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framePr w:w="0" w:hRule="auto" w:wrap="auto" w:vAnchor="margin" w:hAnchor="text" w:xAlign="left" w:yAlign="inline"/>
        <w:spacing w:line="480" w:lineRule="auto"/>
        <w:rPr>
          <w:rFonts w:hint="default" w:ascii="Times New Roman" w:hAnsi="Times New Roman" w:eastAsia="宋体" w:cs="Times New Roman"/>
          <w:sz w:val="48"/>
          <w:szCs w:val="48"/>
          <w:lang w:eastAsia="zh-CN"/>
        </w:rPr>
      </w:pPr>
    </w:p>
    <w:p>
      <w:pPr>
        <w:pStyle w:val="16"/>
        <w:framePr w:w="0" w:hRule="auto" w:wrap="auto" w:vAnchor="margin" w:hAnchor="text" w:xAlign="left" w:yAlign="inline"/>
        <w:spacing w:line="480" w:lineRule="auto"/>
        <w:rPr>
          <w:rFonts w:hint="default" w:ascii="Times New Roman" w:hAnsi="Times New Roman" w:eastAsia="宋体" w:cs="Times New Roman"/>
          <w:sz w:val="48"/>
          <w:szCs w:val="48"/>
          <w:lang w:eastAsia="zh-CN"/>
        </w:rPr>
      </w:pPr>
    </w:p>
    <w:p>
      <w:pPr>
        <w:pStyle w:val="16"/>
        <w:framePr w:w="0" w:hRule="auto" w:wrap="auto" w:vAnchor="margin" w:hAnchor="text" w:xAlign="left" w:yAlign="inline"/>
        <w:spacing w:line="480" w:lineRule="auto"/>
        <w:rPr>
          <w:rFonts w:hint="default" w:ascii="Times New Roman" w:hAnsi="Times New Roman" w:eastAsia="宋体" w:cs="Times New Roman"/>
          <w:sz w:val="48"/>
          <w:szCs w:val="48"/>
          <w:lang w:eastAsia="zh-CN"/>
        </w:rPr>
      </w:pPr>
    </w:p>
    <w:p>
      <w:pPr>
        <w:pStyle w:val="16"/>
        <w:framePr w:w="0" w:hRule="auto" w:wrap="auto" w:vAnchor="margin" w:hAnchor="text" w:xAlign="left" w:yAlign="inline"/>
        <w:spacing w:line="480" w:lineRule="auto"/>
        <w:rPr>
          <w:rFonts w:hint="default" w:ascii="Times New Roman" w:hAnsi="Times New Roman" w:eastAsia="宋体" w:cs="Times New Roman"/>
          <w:b/>
          <w:bCs/>
          <w:sz w:val="48"/>
          <w:szCs w:val="48"/>
          <w:lang w:eastAsia="zh-CN"/>
        </w:rPr>
      </w:pPr>
      <w:r>
        <w:rPr>
          <w:rFonts w:hint="default" w:ascii="Times New Roman" w:hAnsi="Times New Roman" w:eastAsia="宋体" w:cs="Times New Roman"/>
          <w:b/>
          <w:bCs/>
          <w:sz w:val="48"/>
          <w:szCs w:val="48"/>
          <w:lang w:eastAsia="zh-CN"/>
        </w:rPr>
        <w:t>《</w:t>
      </w:r>
      <w:r>
        <w:rPr>
          <w:rFonts w:hint="eastAsia" w:ascii="Times New Roman" w:hAnsi="Times New Roman" w:eastAsia="宋体" w:cs="Times New Roman"/>
          <w:b/>
          <w:bCs/>
          <w:sz w:val="48"/>
          <w:szCs w:val="48"/>
          <w:lang w:val="en-US" w:eastAsia="zh-CN"/>
        </w:rPr>
        <w:t>土壤中总镉的测定</w:t>
      </w:r>
      <w:r>
        <w:rPr>
          <w:rFonts w:hint="eastAsia" w:ascii="Times New Roman" w:eastAsia="宋体" w:cs="Times New Roman"/>
          <w:b/>
          <w:bCs/>
          <w:sz w:val="48"/>
          <w:szCs w:val="48"/>
          <w:lang w:val="en-US" w:eastAsia="zh-CN"/>
        </w:rPr>
        <w:t xml:space="preserve"> </w:t>
      </w:r>
      <w:r>
        <w:rPr>
          <w:rFonts w:hint="eastAsia" w:ascii="Times New Roman" w:hAnsi="Times New Roman" w:eastAsia="宋体" w:cs="Times New Roman"/>
          <w:b/>
          <w:bCs/>
          <w:sz w:val="48"/>
          <w:szCs w:val="48"/>
          <w:lang w:val="en-US" w:eastAsia="zh-CN"/>
        </w:rPr>
        <w:t>固体直接进样电热蒸发原子光谱法</w:t>
      </w:r>
      <w:r>
        <w:rPr>
          <w:rFonts w:hint="default" w:ascii="Times New Roman" w:hAnsi="Times New Roman" w:eastAsia="宋体" w:cs="Times New Roman"/>
          <w:b/>
          <w:bCs/>
          <w:sz w:val="48"/>
          <w:szCs w:val="48"/>
          <w:lang w:eastAsia="zh-CN"/>
        </w:rPr>
        <w:t>》</w:t>
      </w:r>
    </w:p>
    <w:p>
      <w:pPr>
        <w:pStyle w:val="16"/>
        <w:framePr w:w="0" w:hRule="auto" w:wrap="auto" w:vAnchor="margin" w:hAnchor="text" w:xAlign="left" w:yAlign="inline"/>
        <w:spacing w:line="480" w:lineRule="auto"/>
        <w:rPr>
          <w:rFonts w:hint="default" w:ascii="Times New Roman" w:hAnsi="Times New Roman" w:eastAsia="宋体" w:cs="Times New Roman"/>
          <w:b/>
          <w:bCs/>
          <w:sz w:val="48"/>
          <w:szCs w:val="48"/>
        </w:rPr>
      </w:pPr>
      <w:r>
        <w:rPr>
          <w:rFonts w:hint="default" w:ascii="Times New Roman" w:hAnsi="Times New Roman" w:eastAsia="宋体" w:cs="Times New Roman"/>
          <w:b/>
          <w:bCs/>
          <w:sz w:val="48"/>
          <w:szCs w:val="48"/>
        </w:rPr>
        <w:t>湖南省地方标准征求意见稿</w:t>
      </w:r>
    </w:p>
    <w:p>
      <w:pPr>
        <w:pStyle w:val="16"/>
        <w:framePr w:w="0" w:hRule="auto" w:wrap="auto" w:vAnchor="margin" w:hAnchor="text" w:xAlign="left" w:yAlign="inline"/>
        <w:spacing w:line="480" w:lineRule="auto"/>
        <w:rPr>
          <w:rFonts w:hint="default" w:ascii="Times New Roman" w:hAnsi="Times New Roman" w:eastAsia="宋体" w:cs="Times New Roman"/>
          <w:b/>
          <w:bCs/>
          <w:sz w:val="48"/>
          <w:szCs w:val="48"/>
        </w:rPr>
      </w:pPr>
      <w:r>
        <w:rPr>
          <w:rFonts w:hint="default" w:ascii="Times New Roman" w:hAnsi="Times New Roman" w:eastAsia="宋体" w:cs="Times New Roman"/>
          <w:b/>
          <w:bCs/>
          <w:sz w:val="48"/>
          <w:szCs w:val="48"/>
        </w:rPr>
        <w:t>编制说明</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line="480" w:lineRule="auto"/>
        <w:jc w:val="center"/>
        <w:rPr>
          <w:rFonts w:hint="default" w:ascii="Times New Roman" w:hAnsi="Times New Roman" w:eastAsia="宋体" w:cs="Times New Roman"/>
          <w:b/>
          <w:sz w:val="36"/>
          <w:szCs w:val="22"/>
        </w:rPr>
      </w:pPr>
    </w:p>
    <w:p>
      <w:pPr>
        <w:spacing w:line="480" w:lineRule="auto"/>
        <w:jc w:val="center"/>
        <w:rPr>
          <w:rFonts w:hint="default" w:ascii="Times New Roman" w:hAnsi="Times New Roman" w:eastAsia="宋体" w:cs="Times New Roman"/>
          <w:b/>
          <w:sz w:val="36"/>
          <w:szCs w:val="22"/>
          <w:lang w:val="en-US" w:eastAsia="zh-CN"/>
        </w:rPr>
      </w:pPr>
      <w:r>
        <w:rPr>
          <w:rFonts w:hint="default" w:ascii="Times New Roman" w:hAnsi="Times New Roman" w:eastAsia="宋体" w:cs="Times New Roman"/>
          <w:b/>
          <w:sz w:val="36"/>
          <w:szCs w:val="22"/>
          <w:lang w:val="en-US" w:eastAsia="zh-CN"/>
        </w:rPr>
        <w:t>湖南省产商品质量检验研究院</w:t>
      </w:r>
    </w:p>
    <w:p>
      <w:pPr>
        <w:spacing w:line="480" w:lineRule="auto"/>
        <w:jc w:val="center"/>
        <w:rPr>
          <w:rFonts w:hint="default" w:ascii="Times New Roman" w:hAnsi="Times New Roman" w:eastAsia="宋体" w:cs="Times New Roman"/>
          <w:b/>
          <w:sz w:val="36"/>
          <w:szCs w:val="22"/>
          <w:lang w:val="en-US" w:eastAsia="zh-CN"/>
        </w:rPr>
      </w:pPr>
      <w:r>
        <w:rPr>
          <w:rFonts w:hint="default" w:ascii="Times New Roman" w:hAnsi="Times New Roman" w:eastAsia="宋体" w:cs="Times New Roman"/>
          <w:b/>
          <w:sz w:val="36"/>
          <w:szCs w:val="22"/>
          <w:lang w:val="en-US" w:eastAsia="zh-CN"/>
        </w:rPr>
        <w:t xml:space="preserve">2022年 </w:t>
      </w:r>
      <w:r>
        <w:rPr>
          <w:rFonts w:hint="eastAsia" w:ascii="Times New Roman" w:hAnsi="Times New Roman" w:eastAsia="宋体" w:cs="Times New Roman"/>
          <w:b/>
          <w:sz w:val="36"/>
          <w:szCs w:val="22"/>
          <w:lang w:val="en-US" w:eastAsia="zh-CN"/>
        </w:rPr>
        <w:t>9</w:t>
      </w:r>
      <w:r>
        <w:rPr>
          <w:rFonts w:hint="default" w:ascii="Times New Roman" w:hAnsi="Times New Roman" w:eastAsia="宋体" w:cs="Times New Roman"/>
          <w:b/>
          <w:sz w:val="36"/>
          <w:szCs w:val="22"/>
          <w:lang w:val="en-US" w:eastAsia="zh-CN"/>
        </w:rPr>
        <w:t xml:space="preserve"> 月 </w:t>
      </w:r>
    </w:p>
    <w:p>
      <w:pPr>
        <w:spacing w:line="480" w:lineRule="auto"/>
        <w:jc w:val="center"/>
        <w:rPr>
          <w:rFonts w:hint="default" w:ascii="Times New Roman" w:hAnsi="Times New Roman" w:eastAsia="宋体" w:cs="Times New Roman"/>
          <w:b/>
          <w:sz w:val="36"/>
          <w:szCs w:val="22"/>
          <w:lang w:val="en-US" w:eastAsia="zh-CN"/>
        </w:rPr>
      </w:pPr>
    </w:p>
    <w:p>
      <w:pPr>
        <w:keepNext w:val="0"/>
        <w:keepLines w:val="0"/>
        <w:widowControl/>
        <w:suppressLineNumbers w:val="0"/>
        <w:jc w:val="center"/>
        <w:rPr>
          <w:rFonts w:hint="eastAsia" w:ascii="黑体" w:hAnsi="宋体" w:eastAsia="黑体" w:cs="黑体"/>
          <w:color w:val="000000"/>
          <w:kern w:val="0"/>
          <w:sz w:val="32"/>
          <w:szCs w:val="32"/>
          <w:lang w:val="en-US" w:eastAsia="zh-CN" w:bidi="ar"/>
        </w:rPr>
      </w:pPr>
    </w:p>
    <w:p>
      <w:pPr>
        <w:keepNext w:val="0"/>
        <w:keepLines w:val="0"/>
        <w:widowControl/>
        <w:suppressLineNumbers w:val="0"/>
        <w:jc w:val="center"/>
        <w:rPr>
          <w:rFonts w:hint="eastAsia" w:ascii="黑体" w:hAnsi="宋体" w:eastAsia="黑体" w:cs="黑体"/>
          <w:color w:val="000000"/>
          <w:kern w:val="0"/>
          <w:sz w:val="32"/>
          <w:szCs w:val="32"/>
          <w:lang w:val="en-US" w:eastAsia="zh-CN" w:bidi="ar"/>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黑体" w:hAnsi="宋体" w:eastAsia="黑体" w:cs="黑体"/>
          <w:color w:val="000000"/>
          <w:kern w:val="0"/>
          <w:sz w:val="32"/>
          <w:szCs w:val="32"/>
          <w:lang w:val="en-US" w:eastAsia="zh-CN" w:bidi="ar"/>
        </w:rPr>
        <w:t>《土壤中总镉的测定 固体直接进样电热蒸发原子光谱法》</w:t>
      </w:r>
    </w:p>
    <w:p>
      <w:pPr>
        <w:keepNext w:val="0"/>
        <w:keepLines w:val="0"/>
        <w:widowControl/>
        <w:suppressLineNumbers w:val="0"/>
        <w:jc w:val="center"/>
      </w:pPr>
      <w:r>
        <w:rPr>
          <w:rFonts w:ascii="黑体" w:hAnsi="宋体" w:eastAsia="黑体" w:cs="黑体"/>
          <w:color w:val="000000"/>
          <w:kern w:val="0"/>
          <w:sz w:val="32"/>
          <w:szCs w:val="32"/>
          <w:lang w:val="en-US" w:eastAsia="zh-CN" w:bidi="ar"/>
        </w:rPr>
        <w:t>编制说明</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宋体" w:hAnsi="宋体" w:eastAsia="宋体" w:cs="宋体"/>
          <w:sz w:val="28"/>
          <w:szCs w:val="28"/>
          <w:lang w:val="en-US"/>
        </w:rPr>
      </w:pPr>
      <w:r>
        <w:rPr>
          <w:rFonts w:hint="eastAsia" w:ascii="宋体" w:hAnsi="宋体" w:eastAsia="宋体" w:cs="宋体"/>
          <w:color w:val="000000"/>
          <w:kern w:val="0"/>
          <w:sz w:val="28"/>
          <w:szCs w:val="28"/>
          <w:lang w:val="en-US" w:eastAsia="zh-CN" w:bidi="ar"/>
        </w:rPr>
        <w:t>1 工作简况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lang w:val="en-US" w:eastAsia="zh-CN"/>
        </w:rPr>
      </w:pPr>
      <w:r>
        <w:rPr>
          <w:rFonts w:hint="eastAsia" w:ascii="宋体" w:hAnsi="宋体" w:eastAsia="宋体" w:cs="宋体"/>
          <w:color w:val="000000"/>
          <w:kern w:val="0"/>
          <w:sz w:val="28"/>
          <w:szCs w:val="28"/>
          <w:lang w:val="en-US" w:eastAsia="zh-CN" w:bidi="ar"/>
        </w:rPr>
        <w:t>1.1任务来源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本标准是根据湘市监标函[2022]4号《湖南省市场监督管理局关于下达2022年第一批地方标准制修订项目计划的通知》，由湖南省产商品质量检验研究院负责制定。项目名称为《土壤中总镉的测定 固体直接进样电热蒸发原子光谱法》的地方标准，计划编号为369。本标准为首次制定，计划周期为12个月。本标准是在加密调查工作基础上，通过调研、完善和再加工形成现有检测方法。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 工作过程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标准制定任务下达后，由湖南省产商品质量检验研究院成立标准起草工作组，制定了工作方案，查阅了大量文献资料、并进行了样品收集和实验验证工作，在此基础上编写了本标准的征求意见稿和编制说明。主要工作过程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2022年1月～4月：资料调研与收集，包括国家及行业有关政策法规、国内现状调研及现有国家标准、行业标准等，形成《土壤中总镉的测定 固体直接进样电热蒸发原子光谱法》草案；</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2022年4月～2022年6月：收集相关实验样品，依据实验结果优化了实验条件，及时编写了《土壤中总镉的测定 固体直接进样电热蒸发原子光谱法》工作组讨论稿；</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2022年6月～9月：根据工作组讨论稿中的意见或建议，进一步完善了实验过程及实验条件，并编写《土壤中总镉的测定 固体直接进样电热蒸发原子光谱法》征求意见稿。</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ascii="宋体" w:hAnsi="宋体" w:eastAsia="宋体" w:cs="宋体"/>
          <w:color w:val="000000"/>
          <w:kern w:val="0"/>
          <w:sz w:val="24"/>
          <w:szCs w:val="24"/>
          <w:lang w:val="en-US" w:eastAsia="zh-CN" w:bidi="ar"/>
        </w:rPr>
        <w:t>2022年9月～10月：根据征求意见稿中反馈的意见或建议，编写《土壤中总镉的测定 固体直接进样电热蒸发原子光谱法》送审稿和标准编制说明。</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 标准制订的背景及必要性分析</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2.1标准制定背景及必要性</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自20世纪初发现镉（Cd）以来，镉的产量逐年增加。相当数量的镉通过废气、废水、废渣排入环境，造成污染。</w:t>
      </w:r>
      <w:r>
        <w:rPr>
          <w:rFonts w:hint="eastAsia" w:ascii="宋体" w:hAnsi="宋体" w:eastAsia="宋体" w:cs="宋体"/>
          <w:color w:val="000000"/>
          <w:kern w:val="0"/>
          <w:sz w:val="24"/>
          <w:szCs w:val="24"/>
          <w:lang w:val="en-US" w:eastAsia="zh-CN" w:bidi="ar"/>
        </w:rPr>
        <w:t>经研究发现，</w:t>
      </w:r>
      <w:r>
        <w:rPr>
          <w:rFonts w:hint="default" w:ascii="宋体" w:hAnsi="宋体" w:eastAsia="宋体" w:cs="宋体"/>
          <w:color w:val="000000"/>
          <w:kern w:val="0"/>
          <w:sz w:val="24"/>
          <w:szCs w:val="24"/>
          <w:lang w:val="en-US" w:eastAsia="zh-CN" w:bidi="ar"/>
        </w:rPr>
        <w:t>镉对土壤的污染主要有水和气</w:t>
      </w:r>
      <w:r>
        <w:rPr>
          <w:rFonts w:hint="eastAsia" w:ascii="宋体" w:hAnsi="宋体" w:eastAsia="宋体" w:cs="宋体"/>
          <w:color w:val="000000"/>
          <w:kern w:val="0"/>
          <w:sz w:val="24"/>
          <w:szCs w:val="24"/>
          <w:lang w:val="en-US" w:eastAsia="zh-CN" w:bidi="ar"/>
        </w:rPr>
        <w:t>两种类型</w:t>
      </w:r>
      <w:r>
        <w:rPr>
          <w:rFonts w:hint="default" w:ascii="宋体" w:hAnsi="宋体" w:eastAsia="宋体" w:cs="宋体"/>
          <w:color w:val="000000"/>
          <w:kern w:val="0"/>
          <w:sz w:val="24"/>
          <w:szCs w:val="24"/>
          <w:lang w:val="en-US" w:eastAsia="zh-CN" w:bidi="ar"/>
        </w:rPr>
        <w:t>。水污染主要是选矿</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电镀、碱性电池等</w:t>
      </w:r>
      <w:r>
        <w:rPr>
          <w:rFonts w:hint="eastAsia" w:ascii="宋体" w:hAnsi="宋体" w:eastAsia="宋体" w:cs="宋体"/>
          <w:color w:val="000000"/>
          <w:kern w:val="0"/>
          <w:sz w:val="24"/>
          <w:szCs w:val="24"/>
          <w:lang w:val="en-US" w:eastAsia="zh-CN" w:bidi="ar"/>
        </w:rPr>
        <w:t>生产的</w:t>
      </w:r>
      <w:r>
        <w:rPr>
          <w:rFonts w:hint="default" w:ascii="宋体" w:hAnsi="宋体" w:eastAsia="宋体" w:cs="宋体"/>
          <w:color w:val="000000"/>
          <w:kern w:val="0"/>
          <w:sz w:val="24"/>
          <w:szCs w:val="24"/>
          <w:lang w:val="en-US" w:eastAsia="zh-CN" w:bidi="ar"/>
        </w:rPr>
        <w:t>废水排入地面水或渗入地下水引起。气污染主要来自工业废气。镉随废气扩散到工厂</w:t>
      </w:r>
      <w:r>
        <w:rPr>
          <w:rFonts w:hint="eastAsia" w:ascii="宋体" w:hAnsi="宋体" w:eastAsia="宋体" w:cs="宋体"/>
          <w:color w:val="000000"/>
          <w:kern w:val="0"/>
          <w:sz w:val="24"/>
          <w:szCs w:val="24"/>
          <w:lang w:val="en-US" w:eastAsia="zh-CN" w:bidi="ar"/>
        </w:rPr>
        <w:t>四周</w:t>
      </w:r>
      <w:r>
        <w:rPr>
          <w:rFonts w:hint="default" w:ascii="宋体" w:hAnsi="宋体" w:eastAsia="宋体" w:cs="宋体"/>
          <w:color w:val="000000"/>
          <w:kern w:val="0"/>
          <w:sz w:val="24"/>
          <w:szCs w:val="24"/>
          <w:lang w:val="en-US" w:eastAsia="zh-CN" w:bidi="ar"/>
        </w:rPr>
        <w:t>并自然沉降，污染范围可达数千米</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可使工厂周围土壤中的镉浓度达到40</w:t>
      </w:r>
      <w:r>
        <w:rPr>
          <w:rFonts w:hint="eastAsia" w:ascii="宋体" w:hAnsi="宋体" w:eastAsia="宋体" w:cs="宋体"/>
          <w:color w:val="000000"/>
          <w:kern w:val="0"/>
          <w:sz w:val="24"/>
          <w:szCs w:val="24"/>
          <w:lang w:val="en-US" w:eastAsia="zh-CN" w:bidi="ar"/>
        </w:rPr>
        <w:t xml:space="preserve"> mg/kg。</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镉是对人体有害的元素，</w:t>
      </w:r>
      <w:r>
        <w:rPr>
          <w:rFonts w:hint="eastAsia" w:ascii="宋体" w:hAnsi="宋体" w:eastAsia="宋体" w:cs="宋体"/>
          <w:color w:val="000000"/>
          <w:kern w:val="0"/>
          <w:sz w:val="24"/>
          <w:szCs w:val="24"/>
          <w:lang w:val="en-US" w:eastAsia="zh-CN" w:bidi="ar"/>
        </w:rPr>
        <w:t>1974年联合国环境规划署提出具有全球意义的12种危险化合物中，镉被列为首位。</w:t>
      </w:r>
      <w:r>
        <w:rPr>
          <w:rFonts w:hint="default" w:ascii="宋体" w:hAnsi="宋体" w:eastAsia="宋体" w:cs="宋体"/>
          <w:color w:val="000000"/>
          <w:kern w:val="0"/>
          <w:sz w:val="24"/>
          <w:szCs w:val="24"/>
          <w:lang w:val="en-US" w:eastAsia="zh-CN" w:bidi="ar"/>
        </w:rPr>
        <w:t>在自然界中多以化合态存在，含量很低，大气中含镉量一般不超过0.003</w:t>
      </w:r>
      <w:r>
        <w:rPr>
          <w:rFonts w:hint="eastAsia" w:ascii="宋体" w:hAnsi="宋体" w:eastAsia="宋体" w:cs="宋体"/>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μg/m3</w:t>
      </w:r>
      <w:r>
        <w:rPr>
          <w:rFonts w:hint="default" w:ascii="宋体" w:hAnsi="宋体" w:eastAsia="宋体" w:cs="宋体"/>
          <w:color w:val="000000"/>
          <w:kern w:val="0"/>
          <w:sz w:val="24"/>
          <w:szCs w:val="24"/>
          <w:lang w:val="en-US" w:eastAsia="zh-CN" w:bidi="ar"/>
        </w:rPr>
        <w:t>，水中不超过10</w:t>
      </w:r>
      <w:r>
        <w:rPr>
          <w:rFonts w:hint="eastAsia" w:ascii="宋体" w:hAnsi="宋体" w:eastAsia="宋体" w:cs="宋体"/>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μg/L</w:t>
      </w:r>
      <w:r>
        <w:rPr>
          <w:rFonts w:hint="default" w:ascii="宋体" w:hAnsi="宋体" w:eastAsia="宋体" w:cs="宋体"/>
          <w:color w:val="000000"/>
          <w:kern w:val="0"/>
          <w:sz w:val="24"/>
          <w:szCs w:val="24"/>
          <w:lang w:val="en-US" w:eastAsia="zh-CN" w:bidi="ar"/>
        </w:rPr>
        <w:t>，土壤中不超过0.5</w:t>
      </w:r>
      <w:r>
        <w:rPr>
          <w:rFonts w:hint="default" w:ascii="Times New Roman" w:hAnsi="Times New Roman" w:eastAsia="宋体" w:cs="Times New Roman"/>
          <w:color w:val="000000"/>
          <w:kern w:val="0"/>
          <w:sz w:val="24"/>
          <w:szCs w:val="24"/>
          <w:lang w:val="en-US" w:eastAsia="zh-CN" w:bidi="ar"/>
        </w:rPr>
        <w:t xml:space="preserve"> mg/kg</w:t>
      </w:r>
      <w:r>
        <w:rPr>
          <w:rFonts w:hint="default" w:ascii="宋体" w:hAnsi="宋体" w:eastAsia="宋体" w:cs="宋体"/>
          <w:color w:val="000000"/>
          <w:kern w:val="0"/>
          <w:sz w:val="24"/>
          <w:szCs w:val="24"/>
          <w:lang w:val="en-US" w:eastAsia="zh-CN" w:bidi="ar"/>
        </w:rPr>
        <w:t>。低浓度</w:t>
      </w:r>
      <w:r>
        <w:rPr>
          <w:rFonts w:hint="eastAsia" w:ascii="宋体" w:hAnsi="宋体" w:eastAsia="宋体" w:cs="宋体"/>
          <w:color w:val="000000"/>
          <w:kern w:val="0"/>
          <w:sz w:val="24"/>
          <w:szCs w:val="24"/>
          <w:lang w:val="en-US" w:eastAsia="zh-CN" w:bidi="ar"/>
        </w:rPr>
        <w:t>的镉</w:t>
      </w:r>
      <w:r>
        <w:rPr>
          <w:rFonts w:hint="default" w:ascii="宋体" w:hAnsi="宋体" w:eastAsia="宋体" w:cs="宋体"/>
          <w:color w:val="000000"/>
          <w:kern w:val="0"/>
          <w:sz w:val="24"/>
          <w:szCs w:val="24"/>
          <w:lang w:val="en-US" w:eastAsia="zh-CN" w:bidi="ar"/>
        </w:rPr>
        <w:t>通常不会影响人体健康。</w:t>
      </w:r>
      <w:r>
        <w:rPr>
          <w:rFonts w:hint="eastAsia" w:ascii="宋体" w:hAnsi="宋体" w:eastAsia="宋体" w:cs="宋体"/>
          <w:color w:val="000000"/>
          <w:kern w:val="0"/>
          <w:sz w:val="24"/>
          <w:szCs w:val="24"/>
          <w:lang w:val="en-US" w:eastAsia="zh-CN" w:bidi="ar"/>
        </w:rPr>
        <w:t>镉移动性强，难以降解，</w:t>
      </w:r>
      <w:r>
        <w:rPr>
          <w:rFonts w:hint="default" w:ascii="宋体" w:hAnsi="宋体" w:eastAsia="宋体" w:cs="宋体"/>
          <w:color w:val="000000"/>
          <w:kern w:val="0"/>
          <w:sz w:val="24"/>
          <w:szCs w:val="24"/>
          <w:lang w:val="en-US" w:eastAsia="zh-CN" w:bidi="ar"/>
        </w:rPr>
        <w:t>工业生产大量的镉</w:t>
      </w:r>
      <w:r>
        <w:rPr>
          <w:rFonts w:hint="eastAsia" w:ascii="宋体" w:hAnsi="宋体" w:eastAsia="宋体" w:cs="宋体"/>
          <w:color w:val="000000"/>
          <w:kern w:val="0"/>
          <w:sz w:val="24"/>
          <w:szCs w:val="24"/>
          <w:lang w:val="en-US" w:eastAsia="zh-CN" w:bidi="ar"/>
        </w:rPr>
        <w:t>被</w:t>
      </w:r>
      <w:r>
        <w:rPr>
          <w:rFonts w:hint="default" w:ascii="宋体" w:hAnsi="宋体" w:eastAsia="宋体" w:cs="宋体"/>
          <w:color w:val="000000"/>
          <w:kern w:val="0"/>
          <w:sz w:val="24"/>
          <w:szCs w:val="24"/>
          <w:lang w:val="en-US" w:eastAsia="zh-CN" w:bidi="ar"/>
        </w:rPr>
        <w:t>排放到环境中，通过直接接触或食物链富集，引起镉中毒。通过动物研究发现，镉中毒会损伤肠胃、影响肝脏、心脏和肾脏功能，严重会导致死亡。食品中镉污染的主要来源是植物根茎对</w:t>
      </w:r>
      <w:r>
        <w:rPr>
          <w:rFonts w:hint="eastAsia" w:ascii="宋体" w:hAnsi="宋体" w:eastAsia="宋体" w:cs="宋体"/>
          <w:color w:val="000000"/>
          <w:kern w:val="0"/>
          <w:sz w:val="24"/>
          <w:szCs w:val="24"/>
          <w:lang w:val="en-US" w:eastAsia="zh-CN" w:bidi="ar"/>
        </w:rPr>
        <w:t>土壤中</w:t>
      </w:r>
      <w:r>
        <w:rPr>
          <w:rFonts w:hint="default" w:ascii="宋体" w:hAnsi="宋体" w:eastAsia="宋体" w:cs="宋体"/>
          <w:color w:val="000000"/>
          <w:kern w:val="0"/>
          <w:sz w:val="24"/>
          <w:szCs w:val="24"/>
          <w:lang w:val="en-US" w:eastAsia="zh-CN" w:bidi="ar"/>
        </w:rPr>
        <w:t>镉的吸收，并通过饮用水和饲料进入动物性食品中。</w:t>
      </w:r>
      <w:r>
        <w:rPr>
          <w:rFonts w:hint="eastAsia" w:ascii="宋体" w:hAnsi="宋体" w:eastAsia="宋体" w:cs="宋体"/>
          <w:color w:val="000000"/>
          <w:kern w:val="0"/>
          <w:sz w:val="24"/>
          <w:szCs w:val="24"/>
          <w:lang w:val="en-US" w:eastAsia="zh-CN" w:bidi="ar"/>
        </w:rPr>
        <w:t>研究发现</w:t>
      </w:r>
      <w:r>
        <w:rPr>
          <w:rFonts w:hint="default" w:ascii="宋体" w:hAnsi="宋体" w:eastAsia="宋体" w:cs="宋体"/>
          <w:color w:val="000000"/>
          <w:kern w:val="0"/>
          <w:sz w:val="24"/>
          <w:szCs w:val="24"/>
          <w:lang w:val="en-US" w:eastAsia="zh-CN" w:bidi="ar"/>
        </w:rPr>
        <w:t>植物性食品中稻谷类食品的镉含量最高。</w:t>
      </w:r>
      <w:r>
        <w:rPr>
          <w:rFonts w:hint="eastAsia" w:ascii="宋体" w:hAnsi="宋体" w:eastAsia="宋体" w:cs="宋体"/>
          <w:color w:val="000000"/>
          <w:kern w:val="0"/>
          <w:sz w:val="24"/>
          <w:szCs w:val="24"/>
          <w:lang w:val="en-US" w:eastAsia="zh-CN" w:bidi="ar"/>
        </w:rPr>
        <w:t>极易通过食物链进入人体，引起人体机能衰退，长期会引起癌症。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湖南地区是镉排放严重地区，曾曝出过“镉大米”事件。湖南生态环境厅和省农委对土壤和农作物中重金属含量高度重视，近年来每年都要开展土壤和农作物中重金属的普查工作，其中镉含量是调查的重中之重。因此对于土壤样品中镉含量的准确测定方法非常关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因此面对日益严重的镉污染，加强提升检验能力是迫切需要解决的问题。现有测定</w:t>
      </w:r>
      <w:r>
        <w:rPr>
          <w:rFonts w:hint="eastAsia" w:ascii="宋体" w:hAnsi="宋体" w:eastAsia="宋体" w:cs="宋体"/>
          <w:color w:val="000000"/>
          <w:kern w:val="0"/>
          <w:sz w:val="24"/>
          <w:szCs w:val="24"/>
          <w:lang w:val="en-US" w:eastAsia="zh-CN" w:bidi="ar"/>
        </w:rPr>
        <w:t>土壤</w:t>
      </w:r>
      <w:r>
        <w:rPr>
          <w:rFonts w:hint="default" w:ascii="宋体" w:hAnsi="宋体" w:eastAsia="宋体" w:cs="宋体"/>
          <w:color w:val="000000"/>
          <w:kern w:val="0"/>
          <w:sz w:val="24"/>
          <w:szCs w:val="24"/>
          <w:lang w:val="en-US" w:eastAsia="zh-CN" w:bidi="ar"/>
        </w:rPr>
        <w:t>中镉含量的方法主要有</w:t>
      </w:r>
      <w:r>
        <w:rPr>
          <w:rFonts w:hint="default" w:ascii="Times New Roman" w:hAnsi="Times New Roman" w:eastAsia="宋体" w:cs="Times New Roman"/>
          <w:color w:val="000000"/>
          <w:kern w:val="0"/>
          <w:sz w:val="24"/>
          <w:szCs w:val="24"/>
          <w:lang w:val="en-US" w:eastAsia="zh-CN" w:bidi="ar"/>
        </w:rPr>
        <w:t>GB/T 17141-1997《土壤质量 铅、镉的测定 石墨炉原子吸收分光光度法》、GB/T 17140-1997《土壤质量 铅、镉的测定 KI-MIBK萃取火焰原子吸收分光光度法》、NY/T 1613-2008《土壤质量 重金属测定 王水回流消解原子吸收法》、HJ 803-2016《土壤和沉积物 12种金属元素的测定王水提取-电感耦合等离子体质谱法》、CJ/T 221-2005《城市污水处理厂污泥检验方法》。这些分析方法均需对样品进行消解、提取等前</w:t>
      </w:r>
      <w:r>
        <w:rPr>
          <w:rFonts w:hint="eastAsia" w:ascii="宋体" w:hAnsi="宋体" w:eastAsia="宋体" w:cs="宋体"/>
          <w:color w:val="000000"/>
          <w:kern w:val="0"/>
          <w:sz w:val="24"/>
          <w:szCs w:val="24"/>
          <w:lang w:val="en-US" w:eastAsia="zh-CN" w:bidi="ar"/>
        </w:rPr>
        <w:t>处理过程，不仅耗时长，消耗了大量试剂，给环境带来了污染，仪器灵敏度差，基体干扰重，对检测人员专业技术水平要求较高。</w:t>
      </w:r>
      <w:r>
        <w:rPr>
          <w:rFonts w:hint="default" w:ascii="宋体" w:hAnsi="宋体" w:eastAsia="宋体" w:cs="宋体"/>
          <w:color w:val="000000"/>
          <w:kern w:val="0"/>
          <w:sz w:val="24"/>
          <w:szCs w:val="24"/>
          <w:lang w:val="en-US" w:eastAsia="zh-CN" w:bidi="ar"/>
        </w:rPr>
        <w:t>本标准是用固体</w:t>
      </w:r>
      <w:r>
        <w:rPr>
          <w:rFonts w:hint="eastAsia" w:ascii="宋体" w:hAnsi="宋体" w:eastAsia="宋体" w:cs="宋体"/>
          <w:color w:val="000000"/>
          <w:kern w:val="0"/>
          <w:sz w:val="24"/>
          <w:szCs w:val="24"/>
          <w:lang w:val="en-US" w:eastAsia="zh-CN" w:bidi="ar"/>
        </w:rPr>
        <w:t>直接</w:t>
      </w:r>
      <w:r>
        <w:rPr>
          <w:rFonts w:hint="default" w:ascii="宋体" w:hAnsi="宋体" w:eastAsia="宋体" w:cs="宋体"/>
          <w:color w:val="000000"/>
          <w:kern w:val="0"/>
          <w:sz w:val="24"/>
          <w:szCs w:val="24"/>
          <w:lang w:val="en-US" w:eastAsia="zh-CN" w:bidi="ar"/>
        </w:rPr>
        <w:t>进样电热蒸发原子吸收光谱法测定</w:t>
      </w:r>
      <w:r>
        <w:rPr>
          <w:rFonts w:hint="eastAsia" w:ascii="宋体" w:hAnsi="宋体" w:eastAsia="宋体" w:cs="宋体"/>
          <w:color w:val="000000"/>
          <w:kern w:val="0"/>
          <w:sz w:val="24"/>
          <w:szCs w:val="24"/>
          <w:lang w:val="en-US" w:eastAsia="zh-CN" w:bidi="ar"/>
        </w:rPr>
        <w:t>土壤</w:t>
      </w:r>
      <w:r>
        <w:rPr>
          <w:rFonts w:hint="default" w:ascii="宋体" w:hAnsi="宋体" w:eastAsia="宋体" w:cs="宋体"/>
          <w:color w:val="000000"/>
          <w:kern w:val="0"/>
          <w:sz w:val="24"/>
          <w:szCs w:val="24"/>
          <w:lang w:val="en-US" w:eastAsia="zh-CN" w:bidi="ar"/>
        </w:rPr>
        <w:t>中镉的含量。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2.2 参考相关的资料</w:t>
      </w:r>
    </w:p>
    <w:p>
      <w:pPr>
        <w:spacing w:before="156" w:after="156"/>
        <w:ind w:firstLine="480"/>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标准起草工作组查阅大量的国内外文献资料，主要参考文献如下：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 沙拉 托合塔尔汗,娜孜拉 扎曼别克.土壤中重金属含量检测技术分析[J].中国资源综合利用,2018,36(04):120-121+124.</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 韩倍雷.我国农田土壤重金属污染现状及检测技术分析[J].环境与发展,201</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8,30(11):160+162.</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 邵晓龙,魏丽娟.环境卫生监测下的土壤中镉的检测结果分析[J].世界有色金属,2021(11):221-222.</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 甘志勇,农耀京,彭靖茹等.超声提取-石墨炉原子吸收光谱法测定土壤中有效态镉[J].理化检验(化学分册),2013,49(11):1315-1317.</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 甘杰,许晶,罗岳平等.ICP-MS法同时测定地表水中18种金属元素[J].环境监测管理与技术,2010,22(05):36-38.</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 李哲,王宏姝,骆彬彬等.低温灰化-石墨炉原子吸收法测定分析土壤中镉污染的研究[J].医学动物防制,2015,31(09):1055-1056+1059.</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 冉烈,李会合.土壤镉污染现状及危害研究进展[J].重庆文理学院学报(自然科学版),2011,30(04):69-73.</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 崔玉静,赵中秋,刘文菊等.镉在土壤-植物-人体系统中迁移积累及其影响因子[J].生态学报,2003(10):2133-2143.</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[9] Effect of organic acids on the availability of cadmium in wheat[J] Rashmi Nigam,Shalini Srivastava,Satya Prakash,M.M.Srivastava.Chemical Speciation ＆ Bioavailability 2000 (4)</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[10] Cadmium availability to wheat in five soil series from the Yonne district,Burgundy, France[J] M. Mench,D. Baize,B. Mocquot.Environmental Pollution 1997 (1)</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 李丹,高阳俊,耿春女.食物链途径人体健康风险评估的关键内容探讨[J].环境化学,2015,34(03):431-441.</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[12] 李中玺,周丽萍.断续流动在线分离富集-蒸气发生原子荧光光谱法测定复杂环境样品中痕量镉[J].岩矿测试,2006(03):233-238.</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[13] 曾咏梅,毛昆明,李永梅.土壤中镉污染的危害及其防治对策[J].云南农业大学学报,2005(03):360-365.</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[14] 黄宝圣.镉的生物毒性及其防治策略[J].生物学通报,2005(11):26-28.</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[15] 徐继刚,王雷,肖海洋等.我国水环境重金属污染现状及检测技术进展[J].环境科学导刊,2010,29(05):104-108..</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[16] 陈冠宁,宋志峰,魏春雁.重金属检测技术研究进展及其在农产品检测中的应用[J].吉林农业科学,2012,37(06):61-64+71.</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[17] 陈丽萍,胡恭任.土壤和沉积物中汞的提取与检测方法研究进展[J].环境与健康杂志,2009,26(06):557-560.</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[18] Analysis of metal elements of hydrangea sepals at various growing stages by ICP-AES[J] Yuki Toyama-Kato,Kumi Yoshida,Eiji Fujimori,Hiroki Haraguchi,Yoshiyasu Shimizu,Tadao Kondo.Biochemical Engineering Journal 2003 (3)</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[19] 姚振兴,辛晓东,司维等.重金属检测方法的研究进展[J].分析测试技术与仪器,2011,17(01):29-35.</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 林玲,肖晓峰,刘艇飞.基于固体进样直接测汞法的矿物(煤)中汞检测的不确定度研究[J].能源与环保,2021,43(01):66-69+78.</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[21] 曾云军,周斌,陈俊旭,汪泽生.测汞仪测定稻谷及其制品中总汞含量研究[J].粮油食品科技,2016,24(06):63-66.</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[22] 刘丽萍,张妮娜,李筱薇等.直接测汞仪测定食品中的总汞[J].中国食品卫生杂志,2010,22(01):19-23.</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3 标准制订的原则和技术路线 </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3.1 标准制订的原则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4"/>
          <w:szCs w:val="24"/>
        </w:rPr>
        <w:t>本标准的编制主要遵循合法性原则、适用性原则和规范性原则。</w:t>
      </w:r>
    </w:p>
    <w:p>
      <w:pPr>
        <w:keepNext w:val="0"/>
        <w:keepLines w:val="0"/>
        <w:pageBreakBefore w:val="0"/>
        <w:widowControl w:val="0"/>
        <w:numPr>
          <w:ilvl w:val="0"/>
          <w:numId w:val="0"/>
        </w:numPr>
        <w:tabs>
          <w:tab w:val="left" w:pos="690"/>
        </w:tabs>
        <w:kinsoku/>
        <w:wordWrap/>
        <w:overflowPunct/>
        <w:topLinePunct w:val="0"/>
        <w:autoSpaceDE/>
        <w:autoSpaceDN/>
        <w:bidi w:val="0"/>
        <w:adjustRightInd/>
        <w:snapToGrid w:val="0"/>
        <w:spacing w:line="360" w:lineRule="auto"/>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3.1.1</w:t>
      </w:r>
      <w:r>
        <w:rPr>
          <w:rFonts w:hint="default" w:ascii="Times New Roman" w:hAnsi="Times New Roman" w:cs="Times New Roman"/>
          <w:color w:val="auto"/>
          <w:sz w:val="28"/>
          <w:szCs w:val="28"/>
        </w:rPr>
        <w:t>合法性原则</w:t>
      </w:r>
      <w:r>
        <w:rPr>
          <w:rFonts w:hint="eastAsia" w:ascii="Times New Roman" w:hAnsi="Times New Roman" w:cs="Times New Roman"/>
          <w:color w:val="auto"/>
          <w:sz w:val="28"/>
          <w:szCs w:val="28"/>
          <w:lang w:val="en-US" w:eastAsia="zh-CN"/>
        </w:rPr>
        <w:t xml:space="preserve">  </w:t>
      </w:r>
    </w:p>
    <w:p>
      <w:pPr>
        <w:keepNext w:val="0"/>
        <w:keepLines w:val="0"/>
        <w:pageBreakBefore w:val="0"/>
        <w:widowControl w:val="0"/>
        <w:numPr>
          <w:ilvl w:val="0"/>
          <w:numId w:val="0"/>
        </w:numPr>
        <w:tabs>
          <w:tab w:val="left" w:pos="69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FF0000"/>
          <w:sz w:val="28"/>
          <w:szCs w:val="28"/>
        </w:rPr>
      </w:pPr>
      <w:r>
        <w:rPr>
          <w:rFonts w:hint="default" w:ascii="Times New Roman" w:hAnsi="Times New Roman" w:cs="Times New Roman"/>
          <w:color w:val="auto"/>
          <w:sz w:val="24"/>
          <w:szCs w:val="24"/>
        </w:rPr>
        <w:t>该标准中有关</w:t>
      </w:r>
      <w:r>
        <w:rPr>
          <w:rFonts w:hint="eastAsia" w:ascii="Times New Roman" w:hAnsi="Times New Roman" w:cs="Times New Roman"/>
          <w:color w:val="auto"/>
          <w:sz w:val="24"/>
          <w:szCs w:val="24"/>
          <w:lang w:val="en-US" w:eastAsia="zh-CN"/>
        </w:rPr>
        <w:t>土壤</w:t>
      </w:r>
      <w:r>
        <w:rPr>
          <w:rFonts w:hint="default" w:ascii="Times New Roman" w:hAnsi="Times New Roman" w:cs="Times New Roman"/>
          <w:color w:val="auto"/>
          <w:sz w:val="24"/>
          <w:szCs w:val="24"/>
        </w:rPr>
        <w:t>中镉快速检测项目及方法，是以所收集到的相关法律法规、政策性文件、国家标准、行业标准、专业领域论文著作为主要参考依据，同时在充分调查研究我省测镉仪的生产厂家、我省测镉仪使用客户群体使用现状的基础上进行编写。</w:t>
      </w:r>
    </w:p>
    <w:p>
      <w:pPr>
        <w:keepNext w:val="0"/>
        <w:keepLines w:val="0"/>
        <w:pageBreakBefore w:val="0"/>
        <w:widowControl w:val="0"/>
        <w:numPr>
          <w:ilvl w:val="0"/>
          <w:numId w:val="0"/>
        </w:numPr>
        <w:tabs>
          <w:tab w:val="left" w:pos="690"/>
        </w:tabs>
        <w:kinsoku/>
        <w:wordWrap/>
        <w:overflowPunct/>
        <w:topLinePunct w:val="0"/>
        <w:autoSpaceDE/>
        <w:autoSpaceDN/>
        <w:bidi w:val="0"/>
        <w:adjustRightInd/>
        <w:snapToGrid w:val="0"/>
        <w:spacing w:line="360" w:lineRule="auto"/>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3.1.2</w:t>
      </w:r>
      <w:r>
        <w:rPr>
          <w:rFonts w:hint="default" w:ascii="Times New Roman" w:hAnsi="Times New Roman" w:cs="Times New Roman"/>
          <w:color w:val="auto"/>
          <w:sz w:val="28"/>
          <w:szCs w:val="28"/>
        </w:rPr>
        <w:t>适用性原则</w:t>
      </w:r>
      <w:r>
        <w:rPr>
          <w:rFonts w:hint="eastAsia" w:ascii="Times New Roman" w:hAnsi="Times New Roman" w:cs="Times New Roman"/>
          <w:color w:val="auto"/>
          <w:sz w:val="28"/>
          <w:szCs w:val="28"/>
          <w:lang w:val="en-US" w:eastAsia="zh-CN"/>
        </w:rPr>
        <w:t xml:space="preserve">  </w:t>
      </w:r>
    </w:p>
    <w:p>
      <w:pPr>
        <w:keepNext w:val="0"/>
        <w:keepLines w:val="0"/>
        <w:pageBreakBefore w:val="0"/>
        <w:widowControl w:val="0"/>
        <w:numPr>
          <w:ilvl w:val="0"/>
          <w:numId w:val="0"/>
        </w:numPr>
        <w:tabs>
          <w:tab w:val="left" w:pos="69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FF0000"/>
          <w:sz w:val="28"/>
          <w:szCs w:val="28"/>
        </w:rPr>
      </w:pPr>
      <w:r>
        <w:rPr>
          <w:rFonts w:hint="default" w:ascii="Times New Roman" w:hAnsi="Times New Roman" w:cs="Times New Roman"/>
          <w:color w:val="auto"/>
          <w:sz w:val="24"/>
          <w:szCs w:val="24"/>
        </w:rPr>
        <w:t>充分考虑我省生产</w:t>
      </w:r>
      <w:bookmarkStart w:id="2" w:name="_GoBack"/>
      <w:bookmarkEnd w:id="2"/>
      <w:r>
        <w:rPr>
          <w:rFonts w:hint="default" w:ascii="Times New Roman" w:hAnsi="Times New Roman" w:cs="Times New Roman"/>
          <w:color w:val="auto"/>
          <w:sz w:val="24"/>
          <w:szCs w:val="24"/>
        </w:rPr>
        <w:t>和使用的测镉仪的技术特性及在各行业中应用的技术需求，对采用直接进样原子吸收法测定</w:t>
      </w:r>
      <w:r>
        <w:rPr>
          <w:rFonts w:hint="eastAsia" w:ascii="Times New Roman" w:hAnsi="Times New Roman" w:cs="Times New Roman"/>
          <w:color w:val="auto"/>
          <w:sz w:val="24"/>
          <w:szCs w:val="24"/>
          <w:lang w:val="en-US" w:eastAsia="zh-CN"/>
        </w:rPr>
        <w:t>土壤</w:t>
      </w:r>
      <w:r>
        <w:rPr>
          <w:rFonts w:hint="default" w:ascii="Times New Roman" w:hAnsi="Times New Roman" w:cs="Times New Roman"/>
          <w:color w:val="auto"/>
          <w:sz w:val="24"/>
          <w:szCs w:val="24"/>
        </w:rPr>
        <w:t>中镉的适用范围、分析原理、试剂和材料、取样制样、测定、数据处理、质量控制等作出了要求，整个标准的构建过程中遵循严谨、科学、系统的研究方法，并有切实可行的理论和实践依据作为指导。</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3.1.3</w:t>
      </w:r>
      <w:r>
        <w:rPr>
          <w:rFonts w:hint="default" w:ascii="Times New Roman" w:hAnsi="Times New Roman" w:cs="Times New Roman"/>
          <w:color w:val="auto"/>
          <w:sz w:val="28"/>
          <w:szCs w:val="28"/>
        </w:rPr>
        <w:t>规范性原则</w:t>
      </w:r>
      <w:r>
        <w:rPr>
          <w:rFonts w:hint="eastAsia" w:ascii="Times New Roman" w:hAnsi="Times New Roman" w:cs="Times New Roman"/>
          <w:color w:val="auto"/>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default" w:ascii="Times New Roman" w:hAnsi="Times New Roman" w:cs="Times New Roman"/>
          <w:color w:val="auto"/>
          <w:sz w:val="24"/>
          <w:szCs w:val="24"/>
        </w:rPr>
        <w:t>严格按照GB/T 1.1-2020所规定的标准结构和起草规则，以及《湖南省地方标准管理办法（试行）》（湘市监发〔2019〕1号）等所规定的标准编写要求和内容进行编制，确保标准规范有效。</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FF0000"/>
          <w:kern w:val="0"/>
          <w:sz w:val="24"/>
          <w:szCs w:val="24"/>
          <w:lang w:val="en-US" w:eastAsia="zh-CN" w:bidi="ar"/>
        </w:rPr>
      </w:pPr>
      <w:r>
        <w:rPr>
          <w:rFonts w:hint="eastAsia" w:ascii="宋体" w:hAnsi="宋体" w:eastAsia="宋体" w:cs="宋体"/>
          <w:color w:val="auto"/>
          <w:kern w:val="0"/>
          <w:sz w:val="28"/>
          <w:szCs w:val="28"/>
          <w:lang w:val="en-US" w:eastAsia="zh-CN" w:bidi="ar"/>
        </w:rPr>
        <w:t>3.2 标准制订的技术参数</w:t>
      </w:r>
    </w:p>
    <w:p>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目前，我国土壤中镉检测主要依据火焰原子吸收分光光度法、石墨炉原子吸收分光光度法、电感耦合等离子体光谱法、电感耦合等离子体质谱法等国家标准和行业标准来进行的。在实际检测过程中，从样品的前处理消化到上机，整个流程需要4〜8小时左右，其中前处理的时间需要2〜6小时左右，如果遇到基质较复杂的土壤，处理时间会更长，效率低下且检测误差达20%〜30%，效率和精度都不能满足实际检测的需求。因此，建立更准更快速的无前处理直接测定土壤中镉元素的方法标准，为我省确认土壤是否被镉污染提供强有力的技术支撑，意义重大。编制该方法时主要对样品进样量、标准曲线、方法检出限、定量限、线性范围、准确度、精密度、回收率等质量指标进行确定。</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4 方法研究报告 </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4.1 方法研究目标</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sz w:val="24"/>
        </w:rPr>
      </w:pPr>
      <w:r>
        <w:rPr>
          <w:rFonts w:hint="eastAsia" w:ascii="宋体" w:hAnsi="宋体" w:eastAsia="宋体" w:cs="宋体"/>
          <w:color w:val="auto"/>
          <w:kern w:val="0"/>
          <w:sz w:val="24"/>
          <w:szCs w:val="24"/>
          <w:lang w:val="en-US" w:eastAsia="zh-CN" w:bidi="ar"/>
        </w:rPr>
        <w:t>本项目拟采用</w:t>
      </w:r>
      <w:r>
        <w:rPr>
          <w:rFonts w:hint="default" w:ascii="宋体" w:hAnsi="宋体" w:eastAsia="宋体" w:cs="宋体"/>
          <w:color w:val="auto"/>
          <w:kern w:val="0"/>
          <w:sz w:val="24"/>
          <w:szCs w:val="24"/>
          <w:lang w:val="en-US" w:eastAsia="zh-CN" w:bidi="ar"/>
        </w:rPr>
        <w:t>固体</w:t>
      </w:r>
      <w:r>
        <w:rPr>
          <w:rFonts w:hint="eastAsia" w:ascii="宋体" w:hAnsi="宋体" w:eastAsia="宋体" w:cs="宋体"/>
          <w:color w:val="auto"/>
          <w:kern w:val="0"/>
          <w:sz w:val="24"/>
          <w:szCs w:val="24"/>
          <w:lang w:val="en-US" w:eastAsia="zh-CN" w:bidi="ar"/>
        </w:rPr>
        <w:t>直接</w:t>
      </w:r>
      <w:r>
        <w:rPr>
          <w:rFonts w:hint="default" w:ascii="宋体" w:hAnsi="宋体" w:eastAsia="宋体" w:cs="宋体"/>
          <w:color w:val="auto"/>
          <w:kern w:val="0"/>
          <w:sz w:val="24"/>
          <w:szCs w:val="24"/>
          <w:lang w:val="en-US" w:eastAsia="zh-CN" w:bidi="ar"/>
        </w:rPr>
        <w:t>进</w:t>
      </w:r>
      <w:r>
        <w:rPr>
          <w:rFonts w:hint="default" w:ascii="宋体" w:hAnsi="宋体" w:eastAsia="宋体" w:cs="宋体"/>
          <w:color w:val="000000"/>
          <w:kern w:val="0"/>
          <w:sz w:val="24"/>
          <w:szCs w:val="24"/>
          <w:lang w:val="en-US" w:eastAsia="zh-CN" w:bidi="ar"/>
        </w:rPr>
        <w:t>样电热蒸发原子吸收光谱法测定</w:t>
      </w:r>
      <w:r>
        <w:rPr>
          <w:rFonts w:hint="eastAsia" w:ascii="宋体" w:hAnsi="宋体" w:eastAsia="宋体" w:cs="宋体"/>
          <w:color w:val="000000"/>
          <w:kern w:val="0"/>
          <w:sz w:val="24"/>
          <w:szCs w:val="24"/>
          <w:lang w:val="en-US" w:eastAsia="zh-CN" w:bidi="ar"/>
        </w:rPr>
        <w:t>土壤中总镉，并进行方法条件的优化，在此基础上确定此分析方法最优的测定条件。建立一个通用性高、准确度高、精密度好、易于操作的检测方法，为土壤环境中镉污染提供快速、准确的监测数据，从而为治理提供参考。</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4.2 方法原理</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rPr>
      </w:pPr>
      <w:r>
        <w:rPr>
          <w:rFonts w:hint="eastAsia" w:ascii="宋体" w:hAnsi="宋体" w:eastAsia="宋体" w:cs="宋体"/>
          <w:color w:val="000000"/>
          <w:kern w:val="0"/>
          <w:sz w:val="24"/>
          <w:szCs w:val="24"/>
          <w:lang w:val="en-US" w:eastAsia="zh-CN" w:bidi="ar"/>
        </w:rPr>
        <w:t>经风干后的土壤样品导入</w:t>
      </w:r>
      <w:r>
        <w:rPr>
          <w:rFonts w:hint="default" w:ascii="宋体" w:hAnsi="宋体" w:eastAsia="宋体" w:cs="宋体"/>
          <w:color w:val="000000"/>
          <w:kern w:val="0"/>
          <w:sz w:val="24"/>
          <w:szCs w:val="24"/>
          <w:lang w:val="en-US" w:eastAsia="zh-CN" w:bidi="ar"/>
        </w:rPr>
        <w:t>电热蒸发</w:t>
      </w:r>
      <w:r>
        <w:rPr>
          <w:rFonts w:hint="eastAsia" w:ascii="宋体" w:hAnsi="宋体" w:eastAsia="宋体" w:cs="宋体"/>
          <w:color w:val="000000"/>
          <w:kern w:val="0"/>
          <w:sz w:val="24"/>
          <w:szCs w:val="24"/>
          <w:lang w:val="en-US" w:eastAsia="zh-CN" w:bidi="ar"/>
        </w:rPr>
        <w:t>器后，在空气流下加热样品除去水分和有机质，</w:t>
      </w:r>
      <w:r>
        <w:rPr>
          <w:rFonts w:hint="default" w:ascii="宋体" w:hAnsi="宋体" w:eastAsia="宋体" w:cs="宋体"/>
          <w:color w:val="000000"/>
          <w:kern w:val="0"/>
          <w:sz w:val="24"/>
          <w:szCs w:val="24"/>
          <w:lang w:val="en-US" w:eastAsia="zh-CN" w:bidi="ar"/>
        </w:rPr>
        <w:t>氮氢混合气</w:t>
      </w:r>
      <w:r>
        <w:rPr>
          <w:rFonts w:hint="eastAsia" w:ascii="宋体" w:hAnsi="宋体" w:eastAsia="宋体" w:cs="宋体"/>
          <w:color w:val="000000"/>
          <w:kern w:val="0"/>
          <w:sz w:val="24"/>
          <w:szCs w:val="24"/>
          <w:lang w:val="en-US" w:eastAsia="zh-CN" w:bidi="ar"/>
        </w:rPr>
        <w:t>将</w:t>
      </w:r>
      <w:r>
        <w:rPr>
          <w:rFonts w:hint="default" w:ascii="宋体" w:hAnsi="宋体" w:eastAsia="宋体" w:cs="宋体"/>
          <w:color w:val="000000"/>
          <w:kern w:val="0"/>
          <w:sz w:val="24"/>
          <w:szCs w:val="24"/>
          <w:lang w:val="en-US" w:eastAsia="zh-CN" w:bidi="ar"/>
        </w:rPr>
        <w:t>热解样品释出的镉</w:t>
      </w:r>
      <w:r>
        <w:rPr>
          <w:rFonts w:hint="eastAsia" w:ascii="宋体" w:hAnsi="宋体" w:eastAsia="宋体" w:cs="宋体"/>
          <w:color w:val="000000"/>
          <w:kern w:val="0"/>
          <w:sz w:val="24"/>
          <w:szCs w:val="24"/>
          <w:lang w:val="en-US" w:eastAsia="zh-CN" w:bidi="ar"/>
        </w:rPr>
        <w:t>经</w:t>
      </w:r>
      <w:r>
        <w:rPr>
          <w:rFonts w:hint="default" w:ascii="宋体" w:hAnsi="宋体" w:eastAsia="宋体" w:cs="宋体"/>
          <w:color w:val="000000"/>
          <w:kern w:val="0"/>
          <w:sz w:val="24"/>
          <w:szCs w:val="24"/>
          <w:lang w:val="en-US" w:eastAsia="zh-CN" w:bidi="ar"/>
        </w:rPr>
        <w:t>高温填料（催化剂）选择性抓捕送入氢火焰中原子化，镉原子对</w:t>
      </w:r>
      <w:r>
        <w:rPr>
          <w:rFonts w:hint="default" w:ascii="Times New Roman" w:hAnsi="Times New Roman" w:eastAsia="宋体" w:cs="Times New Roman"/>
          <w:color w:val="000000"/>
          <w:kern w:val="0"/>
          <w:sz w:val="24"/>
          <w:szCs w:val="24"/>
          <w:lang w:val="en-US" w:eastAsia="zh-CN" w:bidi="ar"/>
        </w:rPr>
        <w:t>228.8 nm</w:t>
      </w:r>
      <w:r>
        <w:rPr>
          <w:rFonts w:hint="default" w:ascii="宋体" w:hAnsi="宋体" w:eastAsia="宋体" w:cs="宋体"/>
          <w:color w:val="000000"/>
          <w:kern w:val="0"/>
          <w:sz w:val="24"/>
          <w:szCs w:val="24"/>
          <w:lang w:val="en-US" w:eastAsia="zh-CN" w:bidi="ar"/>
        </w:rPr>
        <w:t>特征谱线产生吸收，在一定浓度范围内，吸收强度与镉的浓度成正比</w:t>
      </w:r>
      <w:r>
        <w:rPr>
          <w:rFonts w:hint="eastAsia" w:ascii="宋体" w:hAnsi="宋体" w:eastAsia="宋体" w:cs="宋体"/>
          <w:color w:val="000000"/>
          <w:kern w:val="0"/>
          <w:sz w:val="24"/>
          <w:szCs w:val="24"/>
          <w:lang w:val="en-US" w:eastAsia="zh-CN" w:bidi="ar"/>
        </w:rPr>
        <w:t>，采用标准曲线法定量。</w:t>
      </w:r>
    </w:p>
    <w:p>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kern w:val="2"/>
          <w:sz w:val="28"/>
          <w:szCs w:val="28"/>
          <w:lang w:val="en-US" w:eastAsia="zh-CN" w:bidi="ar-SA"/>
        </w:rPr>
        <w:t>4.3 试剂和材料</w:t>
      </w:r>
    </w:p>
    <w:p>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bookmarkStart w:id="0" w:name="_Toc30335241"/>
      <w:bookmarkStart w:id="1" w:name="_Toc33390041"/>
      <w:r>
        <w:rPr>
          <w:rFonts w:hint="eastAsia" w:ascii="宋体" w:hAnsi="宋体" w:eastAsia="宋体" w:cs="宋体"/>
          <w:color w:val="000000"/>
          <w:kern w:val="0"/>
          <w:sz w:val="24"/>
          <w:szCs w:val="24"/>
          <w:lang w:val="en-US" w:eastAsia="zh-CN" w:bidi="ar"/>
        </w:rPr>
        <w:t>除非另有说明，本方法所用试剂均为分析纯，水为GB/T 6682规定的一级水。</w:t>
      </w:r>
      <w:bookmarkEnd w:id="0"/>
      <w:bookmarkEnd w:id="1"/>
    </w:p>
    <w:p>
      <w:pPr>
        <w:keepNext w:val="0"/>
        <w:keepLines w:val="0"/>
        <w:pageBreakBefore w:val="0"/>
        <w:widowControl/>
        <w:suppressLineNumbers w:val="0"/>
        <w:kinsoku/>
        <w:wordWrap/>
        <w:overflowPunct/>
        <w:topLinePunct w:val="0"/>
        <w:autoSpaceDE/>
        <w:autoSpaceDN/>
        <w:bidi w:val="0"/>
        <w:adjustRightInd/>
        <w:snapToGrid w:val="0"/>
        <w:spacing w:line="360" w:lineRule="auto"/>
        <w:ind w:firstLine="240" w:firstLineChars="100"/>
        <w:jc w:val="left"/>
        <w:textAlignment w:val="auto"/>
        <w:rPr>
          <w:rFonts w:hint="default"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3.</w:t>
      </w:r>
      <w:r>
        <w:rPr>
          <w:rFonts w:hint="default"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 镉标准储备液：ρ(C</w:t>
      </w:r>
      <w:r>
        <w:rPr>
          <w:rFonts w:hint="eastAsia" w:ascii="宋体" w:hAnsi="宋体" w:eastAsia="宋体" w:cs="宋体"/>
          <w:color w:val="000000"/>
          <w:kern w:val="0"/>
          <w:sz w:val="24"/>
          <w:szCs w:val="24"/>
          <w:vertAlign w:val="baseline"/>
          <w:lang w:val="en-US" w:eastAsia="zh-CN" w:bidi="ar"/>
        </w:rPr>
        <w:t>d</w:t>
      </w:r>
      <w:r>
        <w:rPr>
          <w:rFonts w:hint="eastAsia" w:ascii="宋体" w:hAnsi="宋体" w:eastAsia="宋体" w:cs="宋体"/>
          <w:color w:val="000000"/>
          <w:kern w:val="0"/>
          <w:sz w:val="24"/>
          <w:szCs w:val="24"/>
          <w:lang w:val="en-US" w:eastAsia="zh-CN" w:bidi="ar"/>
        </w:rPr>
        <w:t>)=1000 mg/L，购买有证标准物质或按照GB/T 602进行配制。</w:t>
      </w:r>
    </w:p>
    <w:p>
      <w:pPr>
        <w:keepNext w:val="0"/>
        <w:keepLines w:val="0"/>
        <w:pageBreakBefore w:val="0"/>
        <w:widowControl/>
        <w:suppressLineNumbers w:val="0"/>
        <w:kinsoku/>
        <w:wordWrap/>
        <w:overflowPunct/>
        <w:topLinePunct w:val="0"/>
        <w:autoSpaceDE/>
        <w:autoSpaceDN/>
        <w:bidi w:val="0"/>
        <w:adjustRightInd/>
        <w:snapToGrid w:val="0"/>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4.3.2 硝酸（HNO</w:t>
      </w:r>
      <w:r>
        <w:rPr>
          <w:rFonts w:hint="default" w:ascii="宋体" w:hAnsi="宋体" w:eastAsia="宋体" w:cs="宋体"/>
          <w:color w:val="000000"/>
          <w:kern w:val="0"/>
          <w:sz w:val="24"/>
          <w:szCs w:val="24"/>
          <w:vertAlign w:val="subscript"/>
          <w:lang w:val="en-US" w:eastAsia="zh-CN" w:bidi="ar"/>
        </w:rPr>
        <w:t>３</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优级纯。</w:t>
      </w:r>
    </w:p>
    <w:p>
      <w:pPr>
        <w:keepNext w:val="0"/>
        <w:keepLines w:val="0"/>
        <w:pageBreakBefore w:val="0"/>
        <w:widowControl/>
        <w:suppressLineNumbers w:val="0"/>
        <w:kinsoku/>
        <w:wordWrap/>
        <w:overflowPunct/>
        <w:topLinePunct w:val="0"/>
        <w:autoSpaceDE/>
        <w:autoSpaceDN/>
        <w:bidi w:val="0"/>
        <w:adjustRightInd/>
        <w:snapToGrid w:val="0"/>
        <w:spacing w:line="360" w:lineRule="auto"/>
        <w:ind w:firstLine="240" w:firstLineChars="1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4.3.3 硝酸溶液（1%）</w:t>
      </w:r>
      <w:r>
        <w:rPr>
          <w:rFonts w:hint="default" w:ascii="宋体" w:hAnsi="宋体" w:eastAsia="宋体" w:cs="宋体"/>
          <w:color w:val="000000"/>
          <w:kern w:val="0"/>
          <w:sz w:val="24"/>
          <w:szCs w:val="24"/>
          <w:lang w:val="en-US" w:eastAsia="zh-CN" w:bidi="ar"/>
        </w:rPr>
        <w:t>：取</w:t>
      </w:r>
      <w:r>
        <w:rPr>
          <w:rFonts w:hint="eastAsia" w:ascii="宋体" w:hAnsi="宋体" w:eastAsia="宋体" w:cs="宋体"/>
          <w:color w:val="000000"/>
          <w:kern w:val="0"/>
          <w:sz w:val="24"/>
          <w:szCs w:val="24"/>
          <w:lang w:val="en-US" w:eastAsia="zh-CN" w:bidi="ar"/>
        </w:rPr>
        <w:t>10.0 mL</w:t>
      </w:r>
      <w:r>
        <w:rPr>
          <w:rFonts w:hint="default" w:ascii="宋体" w:hAnsi="宋体" w:eastAsia="宋体" w:cs="宋体"/>
          <w:color w:val="000000"/>
          <w:kern w:val="0"/>
          <w:sz w:val="24"/>
          <w:szCs w:val="24"/>
          <w:lang w:val="en-US" w:eastAsia="zh-CN" w:bidi="ar"/>
        </w:rPr>
        <w:t>硝酸加入</w:t>
      </w:r>
      <w:r>
        <w:rPr>
          <w:rFonts w:hint="eastAsia" w:ascii="宋体" w:hAnsi="宋体" w:eastAsia="宋体" w:cs="宋体"/>
          <w:color w:val="000000"/>
          <w:kern w:val="0"/>
          <w:sz w:val="24"/>
          <w:szCs w:val="24"/>
          <w:lang w:val="en-US" w:eastAsia="zh-CN" w:bidi="ar"/>
        </w:rPr>
        <w:t>100 mL</w:t>
      </w:r>
      <w:r>
        <w:rPr>
          <w:rFonts w:hint="default" w:ascii="宋体" w:hAnsi="宋体" w:eastAsia="宋体" w:cs="宋体"/>
          <w:color w:val="000000"/>
          <w:kern w:val="0"/>
          <w:sz w:val="24"/>
          <w:szCs w:val="24"/>
          <w:lang w:val="en-US" w:eastAsia="zh-CN" w:bidi="ar"/>
        </w:rPr>
        <w:t>水中，稀释至</w:t>
      </w:r>
      <w:r>
        <w:rPr>
          <w:rFonts w:hint="eastAsia" w:ascii="宋体" w:hAnsi="宋体" w:eastAsia="宋体" w:cs="宋体"/>
          <w:color w:val="000000"/>
          <w:kern w:val="0"/>
          <w:sz w:val="24"/>
          <w:szCs w:val="24"/>
          <w:lang w:val="en-US" w:eastAsia="zh-CN" w:bidi="ar"/>
        </w:rPr>
        <w:t>1000 mL。</w:t>
      </w:r>
    </w:p>
    <w:p>
      <w:pPr>
        <w:keepNext w:val="0"/>
        <w:keepLines w:val="0"/>
        <w:pageBreakBefore w:val="0"/>
        <w:widowControl/>
        <w:suppressLineNumbers w:val="0"/>
        <w:kinsoku/>
        <w:wordWrap/>
        <w:overflowPunct/>
        <w:topLinePunct w:val="0"/>
        <w:autoSpaceDE/>
        <w:autoSpaceDN/>
        <w:bidi w:val="0"/>
        <w:adjustRightInd/>
        <w:snapToGrid w:val="0"/>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3.</w:t>
      </w:r>
      <w:r>
        <w:rPr>
          <w:rFonts w:hint="default"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 镉标准使用溶液：ρ(Cd)=1.0 mg/L，取1.00 mL镉标准储备液（4.1）用硝酸溶液（1%）（4.3）定容至100 mL，常温下可保存1个月。</w:t>
      </w:r>
    </w:p>
    <w:p>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4.4 仪器和设备</w:t>
      </w:r>
    </w:p>
    <w:p>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240" w:firstLineChars="1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drawing>
          <wp:anchor distT="0" distB="0" distL="114300" distR="114300" simplePos="0" relativeHeight="251660288" behindDoc="0" locked="0" layoutInCell="1" allowOverlap="1">
            <wp:simplePos x="0" y="0"/>
            <wp:positionH relativeFrom="column">
              <wp:posOffset>937260</wp:posOffset>
            </wp:positionH>
            <wp:positionV relativeFrom="paragraph">
              <wp:posOffset>678180</wp:posOffset>
            </wp:positionV>
            <wp:extent cx="3024505" cy="811530"/>
            <wp:effectExtent l="0" t="0" r="4445" b="7620"/>
            <wp:wrapTopAndBottom/>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5"/>
                    <a:stretch>
                      <a:fillRect/>
                    </a:stretch>
                  </pic:blipFill>
                  <pic:spPr>
                    <a:xfrm>
                      <a:off x="0" y="0"/>
                      <a:ext cx="3024505" cy="811530"/>
                    </a:xfrm>
                    <a:prstGeom prst="rect">
                      <a:avLst/>
                    </a:prstGeom>
                    <a:noFill/>
                    <a:ln>
                      <a:noFill/>
                    </a:ln>
                  </pic:spPr>
                </pic:pic>
              </a:graphicData>
            </a:graphic>
          </wp:anchor>
        </w:drawing>
      </w:r>
      <w:r>
        <w:rPr>
          <w:rFonts w:hint="eastAsia" w:ascii="宋体" w:hAnsi="宋体" w:eastAsia="宋体" w:cs="宋体"/>
          <w:color w:val="000000"/>
          <w:kern w:val="0"/>
          <w:sz w:val="24"/>
          <w:szCs w:val="24"/>
          <w:lang w:val="en-US" w:eastAsia="zh-CN" w:bidi="ar"/>
        </w:rPr>
        <w:t>4.4.1 测镉仪：配备有样品舟、燃烧管、热解管、原子吸收分光光度计。参考工作流程图，见图1。</w:t>
      </w:r>
    </w:p>
    <w:p>
      <w:pPr>
        <w:pStyle w:val="2"/>
        <w:numPr>
          <w:ilvl w:val="0"/>
          <w:numId w:val="0"/>
        </w:numPr>
        <w:ind w:leftChars="0"/>
        <w:jc w:val="center"/>
        <w:rPr>
          <w:rFonts w:ascii="宋体" w:hAnsi="宋体" w:eastAsia="宋体" w:cs="宋体"/>
          <w:sz w:val="24"/>
          <w:szCs w:val="24"/>
        </w:rPr>
      </w:pPr>
      <w:r>
        <w:rPr>
          <w:rFonts w:hint="eastAsia" w:ascii="宋体" w:hAnsi="宋体" w:eastAsia="宋体" w:cs="宋体"/>
          <w:sz w:val="15"/>
          <w:szCs w:val="15"/>
          <w:lang w:val="en-US" w:eastAsia="zh-CN"/>
        </w:rPr>
        <w:t>1-</w:t>
      </w:r>
      <w:r>
        <w:rPr>
          <w:rFonts w:ascii="宋体" w:hAnsi="宋体" w:eastAsia="宋体" w:cs="宋体"/>
          <w:sz w:val="15"/>
          <w:szCs w:val="15"/>
        </w:rPr>
        <w:t>样品舟</w:t>
      </w:r>
      <w:r>
        <w:rPr>
          <w:rFonts w:hint="eastAsia" w:ascii="宋体" w:hAnsi="宋体" w:eastAsia="宋体" w:cs="宋体"/>
          <w:sz w:val="15"/>
          <w:szCs w:val="15"/>
          <w:lang w:eastAsia="zh-CN"/>
        </w:rPr>
        <w:t>、</w:t>
      </w:r>
      <w:r>
        <w:rPr>
          <w:rFonts w:ascii="宋体" w:hAnsi="宋体" w:eastAsia="宋体" w:cs="宋体"/>
          <w:sz w:val="15"/>
          <w:szCs w:val="15"/>
        </w:rPr>
        <w:t>样品</w:t>
      </w:r>
      <w:r>
        <w:rPr>
          <w:rFonts w:hint="eastAsia" w:ascii="宋体" w:hAnsi="宋体" w:eastAsia="宋体" w:cs="宋体"/>
          <w:sz w:val="15"/>
          <w:szCs w:val="15"/>
          <w:lang w:eastAsia="zh-CN"/>
        </w:rPr>
        <w:t>、</w:t>
      </w:r>
      <w:r>
        <w:rPr>
          <w:rFonts w:hint="eastAsia" w:ascii="宋体" w:hAnsi="宋体" w:eastAsia="宋体" w:cs="宋体"/>
          <w:sz w:val="15"/>
          <w:szCs w:val="15"/>
          <w:lang w:val="en-US" w:eastAsia="zh-CN"/>
        </w:rPr>
        <w:t>热试剂</w:t>
      </w:r>
      <w:r>
        <w:rPr>
          <w:rFonts w:ascii="宋体" w:hAnsi="宋体" w:eastAsia="宋体" w:cs="宋体"/>
          <w:sz w:val="15"/>
          <w:szCs w:val="15"/>
        </w:rPr>
        <w:t>；2-燃烧和热解气体；3-燃烧炉；4-热解炉；5-火焰原子化器；6-原子吸收分光光度计。</w:t>
      </w:r>
    </w:p>
    <w:p>
      <w:pPr>
        <w:pStyle w:val="2"/>
        <w:numPr>
          <w:ilvl w:val="0"/>
          <w:numId w:val="0"/>
        </w:numPr>
        <w:ind w:leftChars="0"/>
        <w:jc w:val="center"/>
        <w:rPr>
          <w:rFonts w:ascii="宋体" w:hAnsi="宋体" w:eastAsia="宋体" w:cs="宋体"/>
          <w:sz w:val="24"/>
          <w:szCs w:val="24"/>
        </w:rPr>
      </w:pPr>
      <w:r>
        <w:rPr>
          <w:rFonts w:ascii="宋体" w:hAnsi="宋体" w:eastAsia="宋体" w:cs="宋体"/>
          <w:sz w:val="21"/>
          <w:szCs w:val="21"/>
        </w:rPr>
        <w:t>图1 测镉仪结构示意图</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4.4.</w:t>
      </w:r>
      <w:r>
        <w:rPr>
          <w:rFonts w:hint="default" w:ascii="宋体" w:hAnsi="宋体" w:eastAsia="宋体" w:cs="宋体"/>
          <w:color w:val="000000"/>
          <w:kern w:val="0"/>
          <w:sz w:val="24"/>
          <w:szCs w:val="24"/>
          <w:lang w:val="en-US" w:eastAsia="zh-CN" w:bidi="ar"/>
        </w:rPr>
        <w:t>2 镉空心阴极灯。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w:t>
      </w:r>
      <w:r>
        <w:rPr>
          <w:rFonts w:hint="default"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4.</w:t>
      </w:r>
      <w:r>
        <w:rPr>
          <w:rFonts w:hint="default" w:ascii="宋体" w:hAnsi="宋体" w:eastAsia="宋体" w:cs="宋体"/>
          <w:color w:val="000000"/>
          <w:kern w:val="0"/>
          <w:sz w:val="24"/>
          <w:szCs w:val="24"/>
          <w:lang w:val="en-US" w:eastAsia="zh-CN" w:bidi="ar"/>
        </w:rPr>
        <w:t>3 分析天平：感应量 0.0001g。</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4.4.4 样品筛</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4.5 样品 </w:t>
      </w:r>
    </w:p>
    <w:p>
      <w:pPr>
        <w:keepNext w:val="0"/>
        <w:keepLines w:val="0"/>
        <w:pageBreakBefore w:val="0"/>
        <w:widowControl/>
        <w:suppressLineNumbers w:val="0"/>
        <w:kinsoku/>
        <w:wordWrap/>
        <w:overflowPunct/>
        <w:topLinePunct w:val="0"/>
        <w:autoSpaceDE/>
        <w:autoSpaceDN/>
        <w:bidi w:val="0"/>
        <w:adjustRightInd/>
        <w:snapToGrid w:val="0"/>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val="en-US" w:eastAsia="zh-CN" w:bidi="ar"/>
        </w:rPr>
        <w:t>4.5.1样品的采集和保存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0"/>
          <w:sz w:val="24"/>
          <w:szCs w:val="24"/>
          <w:lang w:val="en-US" w:eastAsia="zh-CN" w:bidi="ar"/>
        </w:rPr>
      </w:pPr>
      <w:r>
        <w:rPr>
          <w:rFonts w:ascii="宋体" w:hAnsi="宋体" w:eastAsia="宋体" w:cs="宋体"/>
          <w:sz w:val="24"/>
          <w:szCs w:val="24"/>
        </w:rPr>
        <w:t>按照 HJ/T 166，采集和保存土壤样品。样品采集后，风干保存备用。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4.5.2 试样的制备</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sz w:val="24"/>
          <w:szCs w:val="24"/>
        </w:rPr>
      </w:pPr>
      <w:r>
        <w:rPr>
          <w:rFonts w:ascii="宋体" w:hAnsi="宋体" w:eastAsia="宋体" w:cs="宋体"/>
          <w:sz w:val="24"/>
          <w:szCs w:val="24"/>
        </w:rPr>
        <w:t>按照 HJ/T 166，将采集的样品在实验室风干或低温烘干（40 ℃以下），然后破碎、过孔径0</w:t>
      </w:r>
      <w:r>
        <w:rPr>
          <w:rFonts w:hint="eastAsia" w:ascii="宋体" w:hAnsi="宋体" w:eastAsia="宋体" w:cs="宋体"/>
          <w:sz w:val="24"/>
          <w:szCs w:val="24"/>
          <w:lang w:val="en-US" w:eastAsia="zh-CN"/>
        </w:rPr>
        <w:t>.</w:t>
      </w:r>
      <w:r>
        <w:rPr>
          <w:rFonts w:ascii="宋体" w:hAnsi="宋体" w:eastAsia="宋体" w:cs="宋体"/>
          <w:sz w:val="24"/>
          <w:szCs w:val="24"/>
        </w:rPr>
        <w:t>15</w:t>
      </w:r>
      <w:r>
        <w:rPr>
          <w:rFonts w:hint="eastAsia" w:ascii="宋体" w:hAnsi="宋体" w:eastAsia="宋体" w:cs="宋体"/>
          <w:sz w:val="24"/>
          <w:szCs w:val="24"/>
          <w:lang w:val="en-US" w:eastAsia="zh-CN"/>
        </w:rPr>
        <w:t>0</w:t>
      </w:r>
      <w:r>
        <w:rPr>
          <w:rFonts w:ascii="宋体" w:hAnsi="宋体" w:eastAsia="宋体" w:cs="宋体"/>
          <w:sz w:val="24"/>
          <w:szCs w:val="24"/>
        </w:rPr>
        <w:t xml:space="preserve"> mm（100目）筛，保存备用。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000000"/>
          <w:kern w:val="0"/>
          <w:sz w:val="24"/>
          <w:szCs w:val="24"/>
          <w:lang w:val="en-US" w:eastAsia="zh-CN" w:bidi="ar"/>
        </w:rPr>
      </w:pPr>
      <w:r>
        <w:rPr>
          <w:rFonts w:ascii="宋体" w:hAnsi="宋体" w:eastAsia="宋体" w:cs="宋体"/>
          <w:sz w:val="24"/>
          <w:szCs w:val="24"/>
        </w:rPr>
        <w:t>注：如需测定土壤样品的干物质含量，可按照HJ 613执行。</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4.6 分析步骤 </w:t>
      </w:r>
    </w:p>
    <w:p>
      <w:pPr>
        <w:keepNext w:val="0"/>
        <w:keepLines w:val="0"/>
        <w:pageBreakBefore w:val="0"/>
        <w:widowControl/>
        <w:suppressLineNumbers w:val="0"/>
        <w:kinsoku/>
        <w:wordWrap/>
        <w:overflowPunct/>
        <w:topLinePunct w:val="0"/>
        <w:autoSpaceDE/>
        <w:autoSpaceDN/>
        <w:bidi w:val="0"/>
        <w:adjustRightInd/>
        <w:snapToGrid w:val="0"/>
        <w:ind w:firstLine="240" w:firstLineChars="1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4"/>
          <w:szCs w:val="24"/>
          <w:lang w:val="en-US" w:eastAsia="zh-CN" w:bidi="ar"/>
        </w:rPr>
        <w:t>4.6.1 标准曲线的制定</w:t>
      </w:r>
    </w:p>
    <w:p>
      <w:pPr>
        <w:pStyle w:val="12"/>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分别取</w:t>
      </w:r>
      <w:r>
        <w:rPr>
          <w:rFonts w:hint="default" w:ascii="Times New Roman" w:hAnsi="Times New Roman" w:eastAsia="宋体" w:cs="Times New Roman"/>
          <w:kern w:val="2"/>
          <w:sz w:val="24"/>
          <w:szCs w:val="24"/>
          <w:lang w:val="en-US" w:eastAsia="zh-CN" w:bidi="ar-SA"/>
        </w:rPr>
        <w:t xml:space="preserve"> 0 µL、5 µL、10 µL、20 µL、40 µL、60 µL、80 µL、100 µL标准使用溶液（4.3.4）进样，此时镉含量分别为0 ng、5 ng、10 ng、20 ng、40 ng、60 ng、80 ng、100 ng，以镉的绝对质量（ng）作为横</w:t>
      </w:r>
      <w:r>
        <w:rPr>
          <w:rFonts w:hint="eastAsia" w:ascii="宋体" w:hAnsi="宋体" w:eastAsia="宋体" w:cs="宋体"/>
          <w:kern w:val="2"/>
          <w:sz w:val="24"/>
          <w:szCs w:val="24"/>
          <w:lang w:val="en-US" w:eastAsia="zh-CN" w:bidi="ar-SA"/>
        </w:rPr>
        <w:t>坐标，以得到的积分吸光度值（峰面积）为纵坐标绘制标准曲线，进行定量分析。</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4.6.2仪器参数条件及参考程序</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测镉仪主要参数条件参见表4-6-1；分析方法程序见表4-6-2</w:t>
      </w:r>
    </w:p>
    <w:p>
      <w:pPr>
        <w:pStyle w:val="12"/>
        <w:spacing w:before="78" w:beforeLines="25" w:after="78" w:afterLines="25"/>
        <w:ind w:firstLine="0" w:firstLineChars="0"/>
        <w:jc w:val="center"/>
        <w:rPr>
          <w:rFonts w:hint="eastAsia" w:ascii="黑体" w:hAnsi="黑体" w:eastAsia="黑体"/>
          <w:color w:val="auto"/>
          <w:szCs w:val="21"/>
        </w:rPr>
      </w:pPr>
      <w:r>
        <w:rPr>
          <w:rFonts w:hint="eastAsia" w:ascii="黑体" w:hAnsi="黑体" w:eastAsia="黑体"/>
          <w:color w:val="auto"/>
          <w:kern w:val="2"/>
          <w:szCs w:val="24"/>
        </w:rPr>
        <w:t>表</w:t>
      </w:r>
      <w:r>
        <w:rPr>
          <w:rFonts w:hint="eastAsia" w:ascii="黑体" w:hAnsi="黑体" w:eastAsia="黑体"/>
          <w:color w:val="auto"/>
          <w:kern w:val="2"/>
          <w:szCs w:val="24"/>
          <w:lang w:val="en-US" w:eastAsia="zh-CN"/>
        </w:rPr>
        <w:t>4-6-1</w:t>
      </w:r>
      <w:r>
        <w:rPr>
          <w:rFonts w:hint="eastAsia" w:ascii="黑体" w:hAnsi="黑体" w:eastAsia="黑体"/>
          <w:color w:val="auto"/>
          <w:kern w:val="2"/>
          <w:szCs w:val="24"/>
        </w:rPr>
        <w:t xml:space="preserve"> 测镉仪主要参数条件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07"/>
        <w:gridCol w:w="4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分析波长</w:t>
            </w:r>
          </w:p>
        </w:tc>
        <w:tc>
          <w:tcPr>
            <w:tcW w:w="4490"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228.8</w:t>
            </w:r>
            <w:r>
              <w:rPr>
                <w:rFonts w:ascii="Times New Roman" w:hAnsi="Times New Roman" w:cs="Times New Roman"/>
                <w:color w:val="auto"/>
                <w:sz w:val="21"/>
                <w:szCs w:val="21"/>
              </w:rPr>
              <w:t xml:space="preserve"> </w:t>
            </w:r>
            <w:r>
              <w:rPr>
                <w:rFonts w:hint="default" w:ascii="Times New Roman" w:hAnsi="Times New Roman" w:cs="Times New Roman"/>
                <w:color w:val="auto"/>
                <w:sz w:val="21"/>
                <w:szCs w:val="21"/>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灯电流</w:t>
            </w:r>
          </w:p>
        </w:tc>
        <w:tc>
          <w:tcPr>
            <w:tcW w:w="4490"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5.0</w:t>
            </w:r>
            <w:r>
              <w:rPr>
                <w:rFonts w:ascii="Times New Roman" w:hAnsi="Times New Roman" w:cs="Times New Roman"/>
                <w:color w:val="auto"/>
                <w:sz w:val="21"/>
                <w:szCs w:val="21"/>
              </w:rPr>
              <w:t xml:space="preserve"> </w:t>
            </w:r>
            <w:r>
              <w:rPr>
                <w:rFonts w:hint="default" w:ascii="Times New Roman" w:hAnsi="Times New Roman" w:cs="Times New Roman"/>
                <w:color w:val="auto"/>
                <w:sz w:val="21"/>
                <w:szCs w:val="21"/>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PMT负高压</w:t>
            </w:r>
          </w:p>
        </w:tc>
        <w:tc>
          <w:tcPr>
            <w:tcW w:w="4490"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 xml:space="preserve">266 </w:t>
            </w:r>
            <w:r>
              <w:rPr>
                <w:rFonts w:hint="default" w:ascii="Times New Roman" w:hAnsi="Times New Roman" w:cs="Times New Roman"/>
                <w:color w:val="auto"/>
                <w:sz w:val="21"/>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原子化器</w:t>
            </w:r>
          </w:p>
        </w:tc>
        <w:tc>
          <w:tcPr>
            <w:tcW w:w="4490"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Cs w:val="21"/>
              </w:rPr>
              <w:t>氢</w:t>
            </w:r>
            <w:r>
              <w:rPr>
                <w:rFonts w:ascii="Times New Roman" w:hAnsi="Times New Roman" w:cs="Times New Roman"/>
                <w:color w:val="auto"/>
                <w:szCs w:val="21"/>
              </w:rPr>
              <w:t>火焰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空气流量</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ascii="Times New Roman" w:hAnsi="Times New Roman" w:cs="Times New Roman"/>
                <w:color w:val="auto"/>
                <w:szCs w:val="21"/>
              </w:rPr>
              <w:t>500 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氢气流量</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hint="eastAsia" w:ascii="Times New Roman" w:hAnsi="Times New Roman" w:cs="Times New Roman"/>
                <w:color w:val="auto"/>
                <w:szCs w:val="21"/>
              </w:rPr>
              <w:t>3</w:t>
            </w:r>
            <w:r>
              <w:rPr>
                <w:rFonts w:hint="eastAsia" w:ascii="Times New Roman" w:hAnsi="Times New Roman" w:cs="Times New Roman"/>
                <w:color w:val="auto"/>
                <w:szCs w:val="21"/>
                <w:lang w:val="en-US" w:eastAsia="zh-CN"/>
              </w:rPr>
              <w:t>0</w:t>
            </w:r>
            <w:r>
              <w:rPr>
                <w:rFonts w:hint="eastAsia" w:ascii="Times New Roman" w:hAnsi="Times New Roman" w:cs="Times New Roman"/>
                <w:color w:val="auto"/>
                <w:szCs w:val="21"/>
              </w:rPr>
              <w:t>0</w:t>
            </w:r>
            <w:r>
              <w:rPr>
                <w:rFonts w:ascii="Times New Roman" w:hAnsi="Times New Roman" w:cs="Times New Roman"/>
                <w:color w:val="auto"/>
                <w:szCs w:val="21"/>
              </w:rPr>
              <w:t>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燃烧炉温度</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hint="eastAsia" w:ascii="Times New Roman" w:hAnsi="Times New Roman" w:cs="Times New Roman"/>
                <w:color w:val="auto"/>
                <w:szCs w:val="21"/>
              </w:rPr>
              <w:t>650</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07"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热解炉温度</w:t>
            </w:r>
          </w:p>
        </w:tc>
        <w:tc>
          <w:tcPr>
            <w:tcW w:w="4490" w:type="dxa"/>
            <w:noWrap w:val="0"/>
            <w:vAlign w:val="center"/>
          </w:tcPr>
          <w:p>
            <w:pPr>
              <w:spacing w:line="360" w:lineRule="auto"/>
              <w:jc w:val="center"/>
              <w:rPr>
                <w:rFonts w:ascii="Times New Roman" w:hAnsi="Times New Roman" w:cs="Times New Roman"/>
                <w:color w:val="auto"/>
                <w:sz w:val="21"/>
                <w:szCs w:val="21"/>
              </w:rPr>
            </w:pPr>
            <w:r>
              <w:rPr>
                <w:rFonts w:hint="eastAsia" w:ascii="Times New Roman" w:hAnsi="Times New Roman" w:cs="Times New Roman"/>
                <w:color w:val="auto"/>
                <w:szCs w:val="21"/>
                <w:lang w:val="en-US" w:eastAsia="zh-CN"/>
              </w:rPr>
              <w:t>7</w:t>
            </w:r>
            <w:r>
              <w:rPr>
                <w:rFonts w:ascii="Times New Roman" w:hAnsi="Times New Roman" w:cs="Times New Roman"/>
                <w:color w:val="auto"/>
                <w:szCs w:val="21"/>
              </w:rPr>
              <w:t>50℃</w:t>
            </w:r>
          </w:p>
        </w:tc>
      </w:tr>
    </w:tbl>
    <w:p>
      <w:pPr>
        <w:pStyle w:val="12"/>
        <w:spacing w:before="78" w:beforeLines="25" w:after="78" w:afterLines="25"/>
        <w:ind w:firstLine="0" w:firstLineChars="0"/>
        <w:jc w:val="center"/>
        <w:rPr>
          <w:rFonts w:ascii="黑体" w:hAnsi="黑体" w:eastAsia="黑体"/>
          <w:color w:val="auto"/>
        </w:rPr>
      </w:pPr>
      <w:r>
        <w:rPr>
          <w:rFonts w:hint="eastAsia" w:ascii="黑体" w:hAnsi="黑体" w:eastAsia="黑体"/>
          <w:color w:val="auto"/>
        </w:rPr>
        <w:t>表</w:t>
      </w:r>
      <w:r>
        <w:rPr>
          <w:rFonts w:hint="eastAsia" w:ascii="黑体" w:hAnsi="黑体" w:eastAsia="黑体"/>
          <w:color w:val="auto"/>
          <w:lang w:val="en-US" w:eastAsia="zh-CN"/>
        </w:rPr>
        <w:t>4-6-2</w:t>
      </w:r>
      <w:r>
        <w:rPr>
          <w:rFonts w:hint="eastAsia" w:ascii="黑体" w:hAnsi="黑体" w:eastAsia="黑体"/>
          <w:color w:val="auto"/>
        </w:rPr>
        <w:t xml:space="preserve"> 分析</w:t>
      </w:r>
      <w:r>
        <w:rPr>
          <w:rFonts w:hint="eastAsia" w:ascii="黑体" w:hAnsi="黑体" w:eastAsia="黑体"/>
          <w:color w:val="auto"/>
          <w:kern w:val="2"/>
          <w:szCs w:val="24"/>
        </w:rPr>
        <w:t>方法</w:t>
      </w:r>
      <w:r>
        <w:rPr>
          <w:rFonts w:hint="eastAsia" w:ascii="黑体" w:hAnsi="黑体" w:eastAsia="黑体"/>
          <w:color w:val="auto"/>
        </w:rPr>
        <w:t>参考程序</w:t>
      </w:r>
    </w:p>
    <w:tbl>
      <w:tblPr>
        <w:tblStyle w:val="9"/>
        <w:tblW w:w="8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42"/>
        <w:gridCol w:w="738"/>
        <w:gridCol w:w="1073"/>
        <w:gridCol w:w="1105"/>
        <w:gridCol w:w="1086"/>
        <w:gridCol w:w="938"/>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序号</w:t>
            </w:r>
          </w:p>
        </w:tc>
        <w:tc>
          <w:tcPr>
            <w:tcW w:w="144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程序类型</w:t>
            </w:r>
          </w:p>
        </w:tc>
        <w:tc>
          <w:tcPr>
            <w:tcW w:w="73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时间</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（s）</w:t>
            </w:r>
          </w:p>
        </w:tc>
        <w:tc>
          <w:tcPr>
            <w:tcW w:w="1073"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起始温度（℃）</w:t>
            </w:r>
          </w:p>
        </w:tc>
        <w:tc>
          <w:tcPr>
            <w:tcW w:w="110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升温速度（℃/s）</w:t>
            </w:r>
          </w:p>
        </w:tc>
        <w:tc>
          <w:tcPr>
            <w:tcW w:w="108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目标温度</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w:t>
            </w:r>
          </w:p>
        </w:tc>
        <w:tc>
          <w:tcPr>
            <w:tcW w:w="93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数据</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采集</w:t>
            </w:r>
          </w:p>
        </w:tc>
        <w:tc>
          <w:tcPr>
            <w:tcW w:w="911"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气体</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Times New Roman" w:hAnsi="Times New Roman" w:cs="Times New Roman"/>
                <w:b/>
                <w:bCs/>
                <w:color w:val="auto"/>
                <w:sz w:val="21"/>
                <w:szCs w:val="21"/>
              </w:rPr>
            </w:pPr>
            <w:r>
              <w:rPr>
                <w:rFonts w:hint="default" w:ascii="Times New Roman" w:hAnsi="Times New Roman" w:cs="Times New Roman"/>
                <w:b/>
                <w:bCs/>
                <w:color w:val="auto"/>
                <w:sz w:val="21"/>
                <w:szCs w:val="21"/>
              </w:rPr>
              <w:t>种类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干燥</w:t>
            </w:r>
          </w:p>
        </w:tc>
        <w:tc>
          <w:tcPr>
            <w:tcW w:w="738" w:type="dxa"/>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70</w:t>
            </w:r>
          </w:p>
        </w:tc>
        <w:tc>
          <w:tcPr>
            <w:tcW w:w="1073"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110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086"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911"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燃烧</w:t>
            </w:r>
          </w:p>
        </w:tc>
        <w:tc>
          <w:tcPr>
            <w:tcW w:w="738" w:type="dxa"/>
            <w:noWrap w:val="0"/>
            <w:vAlign w:val="center"/>
          </w:tcPr>
          <w:p>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4</w:t>
            </w:r>
            <w:r>
              <w:rPr>
                <w:rFonts w:hint="default" w:ascii="Times New Roman" w:hAnsi="Times New Roman" w:cs="Times New Roman"/>
                <w:color w:val="auto"/>
                <w:sz w:val="21"/>
                <w:szCs w:val="21"/>
              </w:rPr>
              <w:t>0</w:t>
            </w:r>
          </w:p>
        </w:tc>
        <w:tc>
          <w:tcPr>
            <w:tcW w:w="1073"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6</w:t>
            </w:r>
            <w:r>
              <w:rPr>
                <w:rFonts w:hint="default" w:ascii="Times New Roman" w:hAnsi="Times New Roman" w:cs="Times New Roman"/>
                <w:color w:val="auto"/>
                <w:sz w:val="21"/>
                <w:szCs w:val="21"/>
              </w:rPr>
              <w:t>50</w:t>
            </w:r>
          </w:p>
        </w:tc>
        <w:tc>
          <w:tcPr>
            <w:tcW w:w="1105"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6</w:t>
            </w:r>
          </w:p>
        </w:tc>
        <w:tc>
          <w:tcPr>
            <w:tcW w:w="1086"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65</w:t>
            </w:r>
            <w:r>
              <w:rPr>
                <w:rFonts w:hint="default" w:ascii="Times New Roman" w:hAnsi="Times New Roman" w:cs="Times New Roman"/>
                <w:color w:val="auto"/>
                <w:sz w:val="21"/>
                <w:szCs w:val="21"/>
              </w:rPr>
              <w:t>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911"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热解/检测</w:t>
            </w:r>
          </w:p>
        </w:tc>
        <w:tc>
          <w:tcPr>
            <w:tcW w:w="738" w:type="dxa"/>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80</w:t>
            </w:r>
          </w:p>
        </w:tc>
        <w:tc>
          <w:tcPr>
            <w:tcW w:w="1073"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75</w:t>
            </w:r>
            <w:r>
              <w:rPr>
                <w:rFonts w:hint="default" w:ascii="Times New Roman" w:hAnsi="Times New Roman" w:cs="Times New Roman"/>
                <w:color w:val="auto"/>
                <w:sz w:val="21"/>
                <w:szCs w:val="21"/>
              </w:rPr>
              <w:t>0</w:t>
            </w:r>
          </w:p>
        </w:tc>
        <w:tc>
          <w:tcPr>
            <w:tcW w:w="110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086" w:type="dxa"/>
            <w:noWrap w:val="0"/>
            <w:vAlign w:val="center"/>
          </w:tcPr>
          <w:p>
            <w:pPr>
              <w:jc w:val="center"/>
              <w:rPr>
                <w:rFonts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75</w:t>
            </w:r>
            <w:r>
              <w:rPr>
                <w:rFonts w:hint="default" w:ascii="Times New Roman" w:hAnsi="Times New Roman" w:cs="Times New Roman"/>
                <w:color w:val="auto"/>
                <w:sz w:val="21"/>
                <w:szCs w:val="21"/>
              </w:rPr>
              <w:t>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911"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N</w:t>
            </w:r>
            <w:r>
              <w:rPr>
                <w:rFonts w:hint="default" w:ascii="Times New Roman" w:hAnsi="Times New Roman" w:cs="Times New Roman"/>
                <w:color w:val="auto"/>
                <w:sz w:val="21"/>
                <w:szCs w:val="21"/>
                <w:vertAlign w:val="subscript"/>
              </w:rPr>
              <w:t>2</w:t>
            </w:r>
            <w:r>
              <w:rPr>
                <w:rFonts w:hint="default" w:ascii="Times New Roman" w:hAnsi="Times New Roman" w:cs="Times New Roman"/>
                <w:color w:val="auto"/>
                <w:sz w:val="21"/>
                <w:szCs w:val="21"/>
              </w:rPr>
              <w:t>+H</w:t>
            </w:r>
            <w:r>
              <w:rPr>
                <w:rFonts w:hint="default" w:ascii="Times New Roman" w:hAnsi="Times New Roman" w:cs="Times New Roman"/>
                <w:color w:val="auto"/>
                <w:sz w:val="21"/>
                <w:szCs w:val="21"/>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14"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1442"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气体切换</w:t>
            </w:r>
          </w:p>
        </w:tc>
        <w:tc>
          <w:tcPr>
            <w:tcW w:w="738"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1073" w:type="dxa"/>
            <w:noWrap w:val="0"/>
            <w:vAlign w:val="center"/>
          </w:tcPr>
          <w:p>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75</w:t>
            </w:r>
            <w:r>
              <w:rPr>
                <w:rFonts w:hint="default" w:ascii="Times New Roman" w:hAnsi="Times New Roman" w:cs="Times New Roman"/>
                <w:color w:val="auto"/>
                <w:sz w:val="21"/>
                <w:szCs w:val="21"/>
              </w:rPr>
              <w:t>0</w:t>
            </w:r>
          </w:p>
        </w:tc>
        <w:tc>
          <w:tcPr>
            <w:tcW w:w="110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086" w:type="dxa"/>
            <w:noWrap w:val="0"/>
            <w:vAlign w:val="center"/>
          </w:tcPr>
          <w:p>
            <w:pPr>
              <w:jc w:val="center"/>
              <w:rPr>
                <w:rFonts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938"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911"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空气</w:t>
            </w:r>
          </w:p>
        </w:tc>
      </w:tr>
    </w:tbl>
    <w:p>
      <w:pPr>
        <w:pStyle w:val="12"/>
        <w:ind w:firstLine="0" w:firstLineChars="0"/>
        <w:rPr>
          <w:rFonts w:hint="eastAsia" w:ascii="Times New Roman"/>
          <w:color w:val="auto"/>
          <w:kern w:val="2"/>
          <w:szCs w:val="24"/>
        </w:rPr>
      </w:pPr>
    </w:p>
    <w:p>
      <w:pPr>
        <w:keepNext w:val="0"/>
        <w:keepLines w:val="0"/>
        <w:pageBreakBefore w:val="0"/>
        <w:widowControl/>
        <w:kinsoku/>
        <w:wordWrap/>
        <w:overflowPunct/>
        <w:topLinePunct w:val="0"/>
        <w:autoSpaceDE/>
        <w:autoSpaceDN/>
        <w:bidi w:val="0"/>
        <w:adjustRightInd/>
        <w:snapToGrid w:val="0"/>
        <w:spacing w:line="360" w:lineRule="auto"/>
        <w:ind w:firstLine="240" w:firstLineChars="100"/>
        <w:jc w:val="left"/>
        <w:textAlignment w:val="auto"/>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SA"/>
        </w:rPr>
        <w:t>4.6.3 测定</w:t>
      </w:r>
    </w:p>
    <w:p>
      <w:pPr>
        <w:pStyle w:val="12"/>
        <w:keepNext w:val="0"/>
        <w:keepLines w:val="0"/>
        <w:pageBreakBefore w:val="0"/>
        <w:widowControl/>
        <w:kinsoku/>
        <w:wordWrap/>
        <w:overflowPunct/>
        <w:topLinePunct w:val="0"/>
        <w:bidi w:val="0"/>
        <w:adjustRightInd/>
        <w:snapToGrid w:val="0"/>
        <w:spacing w:line="360" w:lineRule="auto"/>
        <w:ind w:firstLine="36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称取0.01~0.2 g样品（精确至0.0001 g）于样品舟中，加入等质量的热试剂，按照</w:t>
      </w:r>
      <w:r>
        <w:rPr>
          <w:rFonts w:hint="eastAsia" w:ascii="Times New Roman" w:hAnsi="Times New Roman" w:cs="Times New Roman"/>
          <w:kern w:val="2"/>
          <w:sz w:val="24"/>
          <w:szCs w:val="24"/>
          <w:lang w:val="en-US" w:eastAsia="zh-CN" w:bidi="ar-SA"/>
        </w:rPr>
        <w:t>4.6.2</w:t>
      </w:r>
      <w:r>
        <w:rPr>
          <w:rFonts w:hint="eastAsia" w:ascii="Times New Roman" w:hAnsi="Times New Roman" w:eastAsia="宋体" w:cs="Times New Roman"/>
          <w:kern w:val="2"/>
          <w:sz w:val="24"/>
          <w:szCs w:val="24"/>
          <w:lang w:val="en-US" w:eastAsia="zh-CN" w:bidi="ar-SA"/>
        </w:rPr>
        <w:t>推荐的仪器条件和方法程序测试样品。如测得的样品中镉超出标准曲线范围，在保证样品均匀性的条件下可调整称样量。</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4.7 结果计算及表述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color w:val="auto"/>
          <w:kern w:val="0"/>
          <w:szCs w:val="21"/>
        </w:rPr>
      </w:pPr>
      <w:r>
        <w:rPr>
          <w:rFonts w:hint="eastAsia" w:ascii="Times New Roman" w:hAnsi="Times New Roman" w:eastAsia="宋体" w:cs="Times New Roman"/>
          <w:kern w:val="2"/>
          <w:sz w:val="24"/>
          <w:szCs w:val="24"/>
          <w:lang w:val="en-US" w:eastAsia="zh-CN" w:bidi="ar-SA"/>
        </w:rPr>
        <w:t>试样中总镉含量ω按式（1）计算，以质量分数计，单位为毫克每千克（</w:t>
      </w:r>
      <w:r>
        <w:rPr>
          <w:rFonts w:hint="default" w:ascii="Times New Roman" w:hAnsi="Times New Roman" w:eastAsia="宋体" w:cs="Times New Roman"/>
          <w:kern w:val="2"/>
          <w:sz w:val="24"/>
          <w:szCs w:val="24"/>
          <w:lang w:val="en-US" w:eastAsia="zh-CN" w:bidi="ar-SA"/>
        </w:rPr>
        <w:t>mg/kg</w:t>
      </w:r>
      <w:r>
        <w:rPr>
          <w:rFonts w:hint="eastAsia" w:ascii="Times New Roman" w:hAnsi="Times New Roman" w:eastAsia="宋体" w:cs="Times New Roman"/>
          <w:kern w:val="2"/>
          <w:sz w:val="24"/>
          <w:szCs w:val="24"/>
          <w:lang w:val="en-US" w:eastAsia="zh-CN" w:bidi="ar-SA"/>
        </w:rPr>
        <w:t>）。</w:t>
      </w:r>
    </w:p>
    <w:p>
      <w:pPr>
        <w:pStyle w:val="2"/>
        <w:jc w:val="right"/>
        <w:rPr>
          <w:rFonts w:hint="eastAsia"/>
        </w:rPr>
      </w:pPr>
      <m:oMath>
        <m:r>
          <m:rPr>
            <m:sty m:val="p"/>
          </m:rPr>
          <w:rPr>
            <w:rFonts w:hint="eastAsia" w:ascii="Times New Roman" w:hAnsi="Times New Roman" w:eastAsia="宋体" w:cs="Times New Roman"/>
            <w:kern w:val="2"/>
            <w:sz w:val="32"/>
            <w:szCs w:val="32"/>
            <w:lang w:val="en-US" w:eastAsia="zh-CN" w:bidi="ar-SA"/>
          </w:rPr>
          <m:t>ω</m:t>
        </m:r>
        <m:r>
          <m:rPr/>
          <w:rPr>
            <w:rFonts w:ascii="Cambria Math" w:hAnsi="Cambria Math"/>
            <w:sz w:val="32"/>
            <w:szCs w:val="32"/>
          </w:rPr>
          <m:t>=</m:t>
        </m:r>
        <m:f>
          <m:fPr>
            <m:ctrlPr>
              <w:rPr>
                <w:rFonts w:ascii="Cambria Math" w:hAnsi="Cambria Math"/>
                <w:i/>
                <w:sz w:val="32"/>
                <w:szCs w:val="32"/>
              </w:rPr>
            </m:ctrlPr>
          </m:fPr>
          <m:num>
            <m:r>
              <m:rPr/>
              <w:rPr>
                <w:rFonts w:hint="default" w:ascii="Cambria Math" w:hAnsi="Cambria Math"/>
                <w:sz w:val="32"/>
                <w:szCs w:val="32"/>
                <w:lang w:val="en-US" w:eastAsia="zh-CN"/>
              </w:rPr>
              <m:t xml:space="preserve">      </m:t>
            </m:r>
            <m:sSub>
              <m:sSubPr>
                <m:ctrlPr>
                  <w:rPr>
                    <w:rFonts w:ascii="Cambria Math" w:hAnsi="Cambria Math"/>
                    <w:i/>
                    <w:sz w:val="32"/>
                    <w:szCs w:val="32"/>
                  </w:rPr>
                </m:ctrlPr>
              </m:sSubPr>
              <m:e>
                <m:r>
                  <m:rPr/>
                  <w:rPr>
                    <w:rFonts w:hint="default" w:ascii="Cambria Math" w:hAnsi="Cambria Math"/>
                    <w:sz w:val="32"/>
                    <w:szCs w:val="32"/>
                    <w:lang w:val="en-US" w:eastAsia="zh-CN"/>
                  </w:rPr>
                  <m:t>m</m:t>
                </m:r>
                <m:ctrlPr>
                  <w:rPr>
                    <w:rFonts w:ascii="Cambria Math" w:hAnsi="Cambria Math"/>
                    <w:i/>
                    <w:sz w:val="32"/>
                    <w:szCs w:val="32"/>
                  </w:rPr>
                </m:ctrlPr>
              </m:e>
              <m:sub>
                <m:r>
                  <m:rPr/>
                  <w:rPr>
                    <w:rFonts w:hint="default" w:ascii="Cambria Math" w:hAnsi="Cambria Math"/>
                    <w:sz w:val="32"/>
                    <w:szCs w:val="32"/>
                    <w:lang w:val="en-US" w:eastAsia="zh-CN"/>
                  </w:rPr>
                  <m:t>1</m:t>
                </m:r>
                <m:ctrlPr>
                  <w:rPr>
                    <w:rFonts w:ascii="Cambria Math" w:hAnsi="Cambria Math"/>
                    <w:i/>
                    <w:sz w:val="32"/>
                    <w:szCs w:val="32"/>
                  </w:rPr>
                </m:ctrlPr>
              </m:sub>
            </m:sSub>
            <m:r>
              <m:rPr/>
              <w:rPr>
                <w:rFonts w:ascii="Cambria Math" w:hAnsi="Cambria Math"/>
                <w:sz w:val="32"/>
                <w:szCs w:val="32"/>
              </w:rPr>
              <m:t>×</m:t>
            </m:r>
            <m:sSup>
              <m:sSupPr>
                <m:ctrlPr>
                  <w:rPr>
                    <w:rFonts w:ascii="Cambria Math" w:hAnsi="Cambria Math"/>
                    <w:i/>
                    <w:sz w:val="32"/>
                    <w:szCs w:val="32"/>
                  </w:rPr>
                </m:ctrlPr>
              </m:sSupPr>
              <m:e>
                <m:r>
                  <m:rPr/>
                  <w:rPr>
                    <w:rFonts w:hint="default" w:ascii="Cambria Math" w:hAnsi="Cambria Math"/>
                    <w:sz w:val="32"/>
                    <w:szCs w:val="32"/>
                    <w:lang w:val="en-US" w:eastAsia="zh-CN"/>
                  </w:rPr>
                  <m:t>10</m:t>
                </m:r>
                <m:ctrlPr>
                  <w:rPr>
                    <w:rFonts w:ascii="Cambria Math" w:hAnsi="Cambria Math"/>
                    <w:i/>
                    <w:sz w:val="32"/>
                    <w:szCs w:val="32"/>
                  </w:rPr>
                </m:ctrlPr>
              </m:e>
              <m:sup>
                <m:r>
                  <m:rPr/>
                  <w:rPr>
                    <w:rFonts w:hint="default" w:ascii="Cambria Math" w:hAnsi="Cambria Math"/>
                    <w:sz w:val="32"/>
                    <w:szCs w:val="32"/>
                    <w:lang w:val="en-US" w:eastAsia="zh-CN"/>
                  </w:rPr>
                  <m:t>−3</m:t>
                </m:r>
                <m:ctrlPr>
                  <w:rPr>
                    <w:rFonts w:ascii="Cambria Math" w:hAnsi="Cambria Math"/>
                    <w:i/>
                    <w:sz w:val="32"/>
                    <w:szCs w:val="32"/>
                  </w:rPr>
                </m:ctrlPr>
              </m:sup>
            </m:sSup>
            <m:r>
              <m:rPr/>
              <w:rPr>
                <w:rFonts w:hint="default" w:ascii="Cambria Math" w:hAnsi="Cambria Math"/>
                <w:sz w:val="32"/>
                <w:szCs w:val="32"/>
                <w:lang w:val="en-US" w:eastAsia="zh-CN"/>
              </w:rPr>
              <m:t xml:space="preserve">   </m:t>
            </m:r>
            <m:ctrlPr>
              <w:rPr>
                <w:rFonts w:ascii="Cambria Math" w:hAnsi="Cambria Math"/>
                <w:i/>
                <w:sz w:val="32"/>
                <w:szCs w:val="32"/>
              </w:rPr>
            </m:ctrlPr>
          </m:num>
          <m:den>
            <m:r>
              <m:rPr/>
              <w:rPr>
                <w:rFonts w:hint="default" w:ascii="Cambria Math" w:hAnsi="Cambria Math"/>
                <w:sz w:val="32"/>
                <w:szCs w:val="32"/>
                <w:lang w:val="en-US" w:eastAsia="zh-CN"/>
              </w:rPr>
              <m:t>m∗</m:t>
            </m:r>
            <m:sSub>
              <m:sSubPr>
                <m:ctrlPr>
                  <w:rPr>
                    <w:rFonts w:hint="default" w:ascii="Cambria Math" w:hAnsi="Cambria Math"/>
                    <w:i/>
                    <w:sz w:val="32"/>
                    <w:szCs w:val="32"/>
                    <w:lang w:val="en-US" w:eastAsia="zh-CN"/>
                  </w:rPr>
                </m:ctrlPr>
              </m:sSubPr>
              <m:e>
                <m:r>
                  <m:rPr/>
                  <w:rPr>
                    <w:rFonts w:hint="default" w:ascii="Cambria Math" w:hAnsi="Cambria Math"/>
                    <w:sz w:val="32"/>
                    <w:szCs w:val="32"/>
                    <w:lang w:val="en-US" w:eastAsia="zh-CN"/>
                  </w:rPr>
                  <m:t>w</m:t>
                </m:r>
                <m:ctrlPr>
                  <w:rPr>
                    <w:rFonts w:hint="default" w:ascii="Cambria Math" w:hAnsi="Cambria Math"/>
                    <w:i/>
                    <w:sz w:val="32"/>
                    <w:szCs w:val="32"/>
                    <w:lang w:val="en-US" w:eastAsia="zh-CN"/>
                  </w:rPr>
                </m:ctrlPr>
              </m:e>
              <m:sub>
                <m:r>
                  <m:rPr/>
                  <w:rPr>
                    <w:rFonts w:hint="default" w:ascii="Cambria Math" w:hAnsi="Cambria Math"/>
                    <w:sz w:val="32"/>
                    <w:szCs w:val="32"/>
                    <w:lang w:val="en-US" w:eastAsia="zh-CN"/>
                  </w:rPr>
                  <m:t>d</m:t>
                </m:r>
                <m:ctrlPr>
                  <w:rPr>
                    <w:rFonts w:hint="default" w:ascii="Cambria Math" w:hAnsi="Cambria Math"/>
                    <w:i/>
                    <w:sz w:val="32"/>
                    <w:szCs w:val="32"/>
                    <w:lang w:val="en-US" w:eastAsia="zh-CN"/>
                  </w:rPr>
                </m:ctrlPr>
              </m:sub>
            </m:sSub>
            <m:ctrlPr>
              <w:rPr>
                <w:rFonts w:ascii="Cambria Math" w:hAnsi="Cambria Math"/>
                <w:i/>
                <w:sz w:val="32"/>
                <w:szCs w:val="32"/>
              </w:rPr>
            </m:ctrlPr>
          </m:den>
        </m:f>
      </m:oMath>
      <w:r>
        <w:rPr>
          <w:rFonts w:hint="eastAsia"/>
          <w:color w:val="auto"/>
          <w:szCs w:val="21"/>
          <w:u w:val="none"/>
          <w:lang w:val="en-US" w:eastAsia="zh-CN"/>
        </w:rPr>
        <w:t>........................................................</w:t>
      </w:r>
      <w:r>
        <w:rPr>
          <w:color w:val="auto"/>
          <w:szCs w:val="21"/>
        </w:rPr>
        <w:fldChar w:fldCharType="begin"/>
      </w:r>
      <w:r>
        <w:rPr>
          <w:color w:val="auto"/>
          <w:szCs w:val="21"/>
        </w:rPr>
        <w:instrText xml:space="preserve"> </w:instrText>
      </w:r>
      <w:r>
        <w:rPr>
          <w:rFonts w:hint="eastAsia"/>
          <w:color w:val="auto"/>
          <w:szCs w:val="21"/>
        </w:rPr>
        <w:instrText xml:space="preserve">= 1 \* GB2</w:instrText>
      </w:r>
      <w:r>
        <w:rPr>
          <w:color w:val="auto"/>
          <w:szCs w:val="21"/>
        </w:rPr>
        <w:instrText xml:space="preserve"> </w:instrText>
      </w:r>
      <w:r>
        <w:rPr>
          <w:color w:val="auto"/>
          <w:szCs w:val="21"/>
        </w:rPr>
        <w:fldChar w:fldCharType="separate"/>
      </w:r>
      <w:r>
        <w:rPr>
          <w:rFonts w:hint="eastAsia"/>
          <w:color w:val="auto"/>
          <w:szCs w:val="21"/>
        </w:rPr>
        <w:t>⑴</w:t>
      </w:r>
      <w:r>
        <w:rPr>
          <w:color w:val="auto"/>
          <w:szCs w:val="21"/>
        </w:rPr>
        <w:fldChar w:fldCharType="end"/>
      </w:r>
    </w:p>
    <w:p>
      <w:pPr>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color w:val="auto"/>
          <w:kern w:val="0"/>
          <w:szCs w:val="21"/>
        </w:rPr>
      </w:pPr>
      <w:r>
        <w:rPr>
          <w:rFonts w:hint="eastAsia"/>
          <w:color w:val="auto"/>
          <w:kern w:val="0"/>
          <w:sz w:val="24"/>
          <w:szCs w:val="24"/>
        </w:rPr>
        <w:t>式中：</w:t>
      </w:r>
    </w:p>
    <w:p>
      <w:pPr>
        <w:keepNext w:val="0"/>
        <w:keepLines w:val="0"/>
        <w:pageBreakBefore w:val="0"/>
        <w:widowControl/>
        <w:kinsoku/>
        <w:wordWrap/>
        <w:overflowPunct/>
        <w:topLinePunct w:val="0"/>
        <w:autoSpaceDE/>
        <w:autoSpaceDN/>
        <w:bidi w:val="0"/>
        <w:adjustRightInd/>
        <w:snapToGrid/>
        <w:spacing w:line="312" w:lineRule="auto"/>
        <w:ind w:firstLine="420"/>
        <w:jc w:val="left"/>
        <w:textAlignment w:val="auto"/>
        <w:rPr>
          <w:rFonts w:hint="eastAsia"/>
          <w:color w:val="auto"/>
          <w:kern w:val="0"/>
          <w:szCs w:val="21"/>
        </w:rPr>
      </w:pPr>
      <w:r>
        <w:rPr>
          <w:rFonts w:hint="eastAsia"/>
          <w:color w:val="auto"/>
          <w:kern w:val="0"/>
          <w:szCs w:val="21"/>
        </w:rPr>
        <w:t xml:space="preserve">      </w:t>
      </w:r>
      <w:r>
        <w:rPr>
          <w:rFonts w:hint="eastAsia"/>
          <w:i w:val="0"/>
          <w:iCs w:val="0"/>
          <w:color w:val="auto"/>
          <w:kern w:val="0"/>
          <w:szCs w:val="21"/>
        </w:rPr>
        <w:t>m</w:t>
      </w:r>
      <w:r>
        <w:rPr>
          <w:rFonts w:hint="eastAsia"/>
          <w:i w:val="0"/>
          <w:iCs w:val="0"/>
          <w:color w:val="auto"/>
          <w:kern w:val="0"/>
          <w:szCs w:val="21"/>
          <w:vertAlign w:val="subscript"/>
        </w:rPr>
        <w:t>1</w:t>
      </w:r>
      <w:r>
        <w:rPr>
          <w:color w:val="auto"/>
          <w:kern w:val="0"/>
          <w:szCs w:val="20"/>
          <w:lang w:bidi="ar"/>
        </w:rPr>
        <w:t>—</w:t>
      </w:r>
      <w:r>
        <w:rPr>
          <w:rFonts w:hint="eastAsia"/>
          <w:color w:val="auto"/>
          <w:kern w:val="0"/>
          <w:szCs w:val="21"/>
        </w:rPr>
        <w:t>由标准曲线计算所得的样品中镉的绝对质量，单位为纳克（</w:t>
      </w:r>
      <w:r>
        <w:rPr>
          <w:rFonts w:hint="default" w:ascii="Times New Roman" w:hAnsi="Times New Roman" w:cs="Times New Roman"/>
          <w:color w:val="auto"/>
          <w:kern w:val="0"/>
          <w:szCs w:val="21"/>
        </w:rPr>
        <w:t>ng</w:t>
      </w:r>
      <w:r>
        <w:rPr>
          <w:rFonts w:hint="eastAsia"/>
          <w:color w:val="auto"/>
          <w:kern w:val="0"/>
          <w:szCs w:val="21"/>
        </w:rPr>
        <w:t>）；</w:t>
      </w:r>
    </w:p>
    <w:p>
      <w:pPr>
        <w:keepNext w:val="0"/>
        <w:keepLines w:val="0"/>
        <w:pageBreakBefore w:val="0"/>
        <w:widowControl/>
        <w:kinsoku/>
        <w:wordWrap/>
        <w:overflowPunct/>
        <w:topLinePunct w:val="0"/>
        <w:autoSpaceDE/>
        <w:autoSpaceDN/>
        <w:bidi w:val="0"/>
        <w:adjustRightInd/>
        <w:snapToGrid/>
        <w:spacing w:line="312" w:lineRule="auto"/>
        <w:ind w:firstLine="420"/>
        <w:jc w:val="left"/>
        <w:textAlignment w:val="auto"/>
        <w:rPr>
          <w:rFonts w:hint="eastAsia"/>
          <w:color w:val="auto"/>
          <w:kern w:val="0"/>
          <w:szCs w:val="21"/>
        </w:rPr>
      </w:pPr>
      <w:r>
        <w:rPr>
          <w:rFonts w:hint="eastAsia"/>
          <w:color w:val="auto"/>
          <w:kern w:val="0"/>
          <w:szCs w:val="21"/>
        </w:rPr>
        <w:t xml:space="preserve">      </w:t>
      </w:r>
      <w:r>
        <w:rPr>
          <w:rFonts w:hint="eastAsia"/>
          <w:i w:val="0"/>
          <w:iCs w:val="0"/>
          <w:color w:val="auto"/>
          <w:kern w:val="0"/>
          <w:szCs w:val="21"/>
          <w:lang w:val="en-US" w:eastAsia="zh-CN"/>
        </w:rPr>
        <w:t xml:space="preserve">m </w:t>
      </w:r>
      <w:r>
        <w:rPr>
          <w:color w:val="auto"/>
          <w:kern w:val="0"/>
          <w:szCs w:val="20"/>
          <w:lang w:bidi="ar"/>
        </w:rPr>
        <w:t>—</w:t>
      </w:r>
      <w:r>
        <w:rPr>
          <w:rFonts w:hint="eastAsia"/>
          <w:color w:val="auto"/>
          <w:kern w:val="0"/>
          <w:szCs w:val="21"/>
        </w:rPr>
        <w:t>样品称取的质量，单位为克（</w:t>
      </w:r>
      <w:r>
        <w:rPr>
          <w:rFonts w:hint="default" w:ascii="Times New Roman" w:hAnsi="Times New Roman" w:cs="Times New Roman"/>
          <w:color w:val="auto"/>
          <w:kern w:val="0"/>
          <w:szCs w:val="21"/>
        </w:rPr>
        <w:t>g</w:t>
      </w:r>
      <w:r>
        <w:rPr>
          <w:rFonts w:hint="eastAsia"/>
          <w:color w:val="auto"/>
          <w:kern w:val="0"/>
          <w:szCs w:val="21"/>
        </w:rPr>
        <w:t>）；</w:t>
      </w:r>
    </w:p>
    <w:p>
      <w:pPr>
        <w:keepNext w:val="0"/>
        <w:keepLines w:val="0"/>
        <w:pageBreakBefore w:val="0"/>
        <w:widowControl/>
        <w:kinsoku/>
        <w:wordWrap/>
        <w:overflowPunct/>
        <w:topLinePunct w:val="0"/>
        <w:autoSpaceDE/>
        <w:autoSpaceDN/>
        <w:bidi w:val="0"/>
        <w:adjustRightInd/>
        <w:snapToGrid/>
        <w:spacing w:line="312" w:lineRule="auto"/>
        <w:ind w:firstLine="1050" w:firstLineChars="500"/>
        <w:jc w:val="left"/>
        <w:textAlignment w:val="auto"/>
        <w:rPr>
          <w:rFonts w:hint="eastAsia"/>
          <w:color w:val="auto"/>
        </w:rPr>
      </w:pPr>
      <w:r>
        <w:rPr>
          <w:rFonts w:hint="default"/>
          <w:color w:val="auto"/>
          <w:kern w:val="0"/>
          <w:szCs w:val="21"/>
          <w:lang w:val="en-US" w:eastAsia="zh-CN"/>
        </w:rPr>
        <w:t>W</w:t>
      </w:r>
      <w:r>
        <w:rPr>
          <w:rFonts w:hint="eastAsia"/>
          <w:color w:val="auto"/>
          <w:kern w:val="0"/>
          <w:szCs w:val="21"/>
          <w:vertAlign w:val="subscript"/>
          <w:lang w:val="en-US" w:eastAsia="zh-CN"/>
        </w:rPr>
        <w:t>d</w:t>
      </w:r>
      <w:r>
        <w:rPr>
          <w:rFonts w:hint="eastAsia"/>
          <w:color w:val="auto"/>
          <w:kern w:val="0"/>
          <w:szCs w:val="21"/>
          <w:lang w:val="en-US" w:eastAsia="zh-CN"/>
        </w:rPr>
        <w:t>—土壤样品干物质的含量，</w:t>
      </w:r>
      <w:r>
        <w:rPr>
          <w:rFonts w:hint="default"/>
          <w:color w:val="auto"/>
          <w:kern w:val="0"/>
          <w:szCs w:val="21"/>
          <w:lang w:val="en-US" w:eastAsia="zh-CN"/>
        </w:rPr>
        <w:t>%</w:t>
      </w:r>
    </w:p>
    <w:p>
      <w:pPr>
        <w:keepNext w:val="0"/>
        <w:keepLines w:val="0"/>
        <w:pageBreakBefore w:val="0"/>
        <w:widowControl/>
        <w:kinsoku/>
        <w:wordWrap/>
        <w:overflowPunct/>
        <w:topLinePunct w:val="0"/>
        <w:autoSpaceDE/>
        <w:autoSpaceDN/>
        <w:bidi w:val="0"/>
        <w:adjustRightInd/>
        <w:snapToGrid/>
        <w:spacing w:line="312" w:lineRule="auto"/>
        <w:jc w:val="left"/>
        <w:textAlignment w:val="auto"/>
        <w:rPr>
          <w:color w:val="auto"/>
          <w:kern w:val="0"/>
          <w:szCs w:val="21"/>
        </w:rPr>
      </w:pPr>
      <w:r>
        <w:rPr>
          <w:rFonts w:hint="eastAsia"/>
          <w:color w:val="auto"/>
          <w:kern w:val="0"/>
          <w:szCs w:val="21"/>
        </w:rPr>
        <w:t xml:space="preserve">          </w:t>
      </w:r>
      <w:r>
        <w:rPr>
          <w:rFonts w:hint="eastAsia"/>
          <w:i w:val="0"/>
          <w:iCs w:val="0"/>
          <w:color w:val="auto"/>
          <w:kern w:val="0"/>
          <w:szCs w:val="21"/>
        </w:rPr>
        <w:t>10</w:t>
      </w:r>
      <w:r>
        <w:rPr>
          <w:rFonts w:hint="eastAsia"/>
          <w:i w:val="0"/>
          <w:iCs w:val="0"/>
          <w:color w:val="auto"/>
          <w:kern w:val="0"/>
          <w:szCs w:val="21"/>
          <w:vertAlign w:val="superscript"/>
          <w:lang w:val="en-US" w:eastAsia="zh-CN"/>
        </w:rPr>
        <w:t>-3</w:t>
      </w:r>
      <w:r>
        <w:rPr>
          <w:color w:val="auto"/>
          <w:kern w:val="0"/>
          <w:szCs w:val="20"/>
          <w:lang w:bidi="ar"/>
        </w:rPr>
        <w:t>—</w:t>
      </w:r>
      <w:r>
        <w:rPr>
          <w:rFonts w:hint="eastAsia"/>
          <w:color w:val="auto"/>
          <w:kern w:val="0"/>
          <w:szCs w:val="21"/>
        </w:rPr>
        <w:t>换算系数。</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cs="Times New Roman"/>
          <w:color w:val="auto"/>
          <w:sz w:val="21"/>
          <w:szCs w:val="20"/>
          <w:lang w:bidi="ar"/>
        </w:rPr>
      </w:pPr>
      <w:r>
        <w:rPr>
          <w:rFonts w:hint="eastAsia" w:ascii="Times New Roman" w:hAnsi="Times New Roman" w:eastAsia="宋体" w:cs="Times New Roman"/>
          <w:color w:val="auto"/>
          <w:kern w:val="0"/>
          <w:sz w:val="24"/>
          <w:szCs w:val="24"/>
          <w:lang w:val="en-US" w:eastAsia="zh-CN" w:bidi="ar"/>
        </w:rPr>
        <w:t>以重复性条件</w:t>
      </w:r>
      <w:r>
        <w:rPr>
          <w:rFonts w:hint="eastAsia" w:ascii="Times New Roman" w:hAnsi="Times New Roman" w:cs="Times New Roman"/>
          <w:color w:val="auto"/>
          <w:sz w:val="24"/>
          <w:szCs w:val="24"/>
          <w:lang w:val="en-US" w:eastAsia="zh-CN" w:bidi="ar"/>
        </w:rPr>
        <w:t>下获得的两次独立测定结果的算术平均值表示，当镉的测定结果小于1.00 mg/kg时，保留到小数点后三位；当测定结果大于等于1.00 mg/kg时，保留三位有效数字。</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5方法验证</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5.1 称样量</w:t>
      </w:r>
    </w:p>
    <w:p>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cs="Times New Roman"/>
          <w:color w:val="FF0000"/>
          <w:sz w:val="21"/>
          <w:szCs w:val="20"/>
          <w:lang w:val="en-US" w:eastAsia="zh-CN" w:bidi="ar"/>
        </w:rPr>
      </w:pPr>
      <w:r>
        <w:rPr>
          <w:rFonts w:hint="eastAsia" w:ascii="Times New Roman" w:hAnsi="Times New Roman" w:cs="Times New Roman"/>
          <w:color w:val="auto"/>
          <w:sz w:val="24"/>
          <w:szCs w:val="24"/>
          <w:lang w:val="en-US" w:eastAsia="zh-CN" w:bidi="ar"/>
        </w:rPr>
        <w:t>分别称取标准样品0.001g、0.005g、0.01g、0.05g、0.1g、0.2g、0.3g、0.4g、0.5g、1.0g样品用测镉仪重复测定5次，测得值结果如下表5-1，GSS-71称样量在0.01-0.2范围时，测得值与证书值(0.104±0.011)较吻合，相对标准偏差在1.55%-2.151%之间；称样量小于0.01g和大于0.2g时，测得值没有落在证书值范围内，相对标准偏差较大，最大值为29.21%；GSS-5称样量在0.005-0.3范围时，测得值与证书值(0.45±0.06)较吻合，相对标准偏差在0.82%-13.22%之间；称样量大于0.4g时，相对标准偏差为25.73%；GSS-38称样量在0.001-0.4范围时，测得值与证书值(2.8±0.2)较吻合，相对标准偏差在1.97%-9.06%之间。考虑仪器条件及实验的操作性，建议在进行实验时称样量在0.01-0.2g之间最佳。</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color w:val="auto"/>
          <w:sz w:val="21"/>
          <w:szCs w:val="20"/>
          <w:lang w:val="en-US" w:eastAsia="zh-CN" w:bidi="ar"/>
        </w:rPr>
      </w:pPr>
      <w:r>
        <w:rPr>
          <w:rFonts w:hint="eastAsia" w:ascii="Times New Roman" w:hAnsi="Times New Roman" w:cs="Times New Roman"/>
          <w:color w:val="auto"/>
          <w:sz w:val="21"/>
          <w:szCs w:val="20"/>
          <w:lang w:val="en-US" w:eastAsia="zh-CN" w:bidi="ar"/>
        </w:rPr>
        <w:t>表5-1 不同称样量对结果影响</w:t>
      </w:r>
    </w:p>
    <w:tbl>
      <w:tblPr>
        <w:tblStyle w:val="10"/>
        <w:tblW w:w="88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8"/>
        <w:gridCol w:w="1392"/>
        <w:gridCol w:w="768"/>
        <w:gridCol w:w="828"/>
        <w:gridCol w:w="744"/>
        <w:gridCol w:w="768"/>
        <w:gridCol w:w="768"/>
        <w:gridCol w:w="780"/>
        <w:gridCol w:w="936"/>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588"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序号</w:t>
            </w:r>
          </w:p>
        </w:tc>
        <w:tc>
          <w:tcPr>
            <w:tcW w:w="1392"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样品编号</w:t>
            </w:r>
          </w:p>
        </w:tc>
        <w:tc>
          <w:tcPr>
            <w:tcW w:w="768"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称样量</w:t>
            </w:r>
          </w:p>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lang w:val="en-US" w:eastAsia="zh-CN" w:bidi="ar"/>
              </w:rPr>
            </w:pPr>
            <w:r>
              <w:rPr>
                <w:rFonts w:hint="eastAsia" w:ascii="宋体" w:hAnsi="宋体" w:eastAsia="宋体" w:cs="宋体"/>
                <w:color w:val="auto"/>
                <w:sz w:val="18"/>
                <w:szCs w:val="18"/>
                <w:vertAlign w:val="baseline"/>
                <w:lang w:val="en-US" w:eastAsia="zh-CN" w:bidi="ar"/>
              </w:rPr>
              <w:t>(g)</w:t>
            </w:r>
          </w:p>
        </w:tc>
        <w:tc>
          <w:tcPr>
            <w:tcW w:w="3888" w:type="dxa"/>
            <w:gridSpan w:val="5"/>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结果</w:t>
            </w:r>
          </w:p>
        </w:tc>
        <w:tc>
          <w:tcPr>
            <w:tcW w:w="936"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平均值</w:t>
            </w:r>
          </w:p>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（mg/kg）</w:t>
            </w:r>
          </w:p>
        </w:tc>
        <w:tc>
          <w:tcPr>
            <w:tcW w:w="1308"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相对标准偏差（%）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p>
        </w:tc>
        <w:tc>
          <w:tcPr>
            <w:tcW w:w="1392"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p>
        </w:tc>
        <w:tc>
          <w:tcPr>
            <w:tcW w:w="768"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p>
        </w:tc>
        <w:tc>
          <w:tcPr>
            <w:tcW w:w="82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1</w:t>
            </w:r>
          </w:p>
        </w:tc>
        <w:tc>
          <w:tcPr>
            <w:tcW w:w="744"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2</w:t>
            </w:r>
          </w:p>
        </w:tc>
        <w:tc>
          <w:tcPr>
            <w:tcW w:w="76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3</w:t>
            </w:r>
          </w:p>
        </w:tc>
        <w:tc>
          <w:tcPr>
            <w:tcW w:w="76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4</w:t>
            </w:r>
          </w:p>
        </w:tc>
        <w:tc>
          <w:tcPr>
            <w:tcW w:w="780"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auto"/>
                <w:sz w:val="18"/>
                <w:szCs w:val="18"/>
                <w:vertAlign w:val="baseline"/>
                <w:lang w:val="en-US" w:eastAsia="zh-CN" w:bidi="ar"/>
              </w:rPr>
            </w:pPr>
            <w:r>
              <w:rPr>
                <w:rFonts w:hint="eastAsia" w:ascii="宋体" w:hAnsi="宋体" w:eastAsia="宋体" w:cs="宋体"/>
                <w:color w:val="auto"/>
                <w:sz w:val="18"/>
                <w:szCs w:val="18"/>
                <w:vertAlign w:val="baseline"/>
                <w:lang w:val="en-US" w:eastAsia="zh-CN" w:bidi="ar"/>
              </w:rPr>
              <w:t>5</w:t>
            </w:r>
          </w:p>
        </w:tc>
        <w:tc>
          <w:tcPr>
            <w:tcW w:w="936"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auto"/>
                <w:sz w:val="18"/>
                <w:szCs w:val="18"/>
                <w:vertAlign w:val="baseline"/>
                <w:lang w:val="en-US" w:eastAsia="zh-CN" w:bidi="ar"/>
              </w:rPr>
            </w:pPr>
          </w:p>
        </w:tc>
        <w:tc>
          <w:tcPr>
            <w:tcW w:w="1308"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auto"/>
                <w:sz w:val="18"/>
                <w:szCs w:val="18"/>
                <w:vertAlign w:val="baseli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1</w:t>
            </w:r>
          </w:p>
        </w:tc>
        <w:tc>
          <w:tcPr>
            <w:tcW w:w="1392"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GSS-71</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w:t>
            </w:r>
            <w:r>
              <w:rPr>
                <w:rFonts w:hint="eastAsia" w:ascii="宋体" w:hAnsi="宋体" w:eastAsia="宋体" w:cs="宋体"/>
                <w:color w:val="auto"/>
                <w:kern w:val="0"/>
                <w:sz w:val="16"/>
                <w:szCs w:val="16"/>
                <w:vertAlign w:val="baseline"/>
                <w:lang w:val="en-US" w:eastAsia="zh-CN" w:bidi="ar"/>
              </w:rPr>
              <w:t>0.104±0.011</w:t>
            </w:r>
            <w:r>
              <w:rPr>
                <w:rFonts w:hint="eastAsia" w:ascii="Times New Roman" w:hAnsi="Times New Roman" w:cs="Times New Roman"/>
                <w:color w:val="auto"/>
                <w:sz w:val="21"/>
                <w:szCs w:val="20"/>
                <w:vertAlign w:val="baseline"/>
                <w:lang w:val="en-US" w:eastAsia="zh-CN" w:bidi="ar"/>
              </w:rPr>
              <w:t>)</w:t>
            </w:r>
          </w:p>
        </w:tc>
        <w:tc>
          <w:tcPr>
            <w:tcW w:w="768" w:type="dxa"/>
            <w:tcBorders>
              <w:top w:val="single" w:color="auto" w:sz="4" w:space="0"/>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828"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0.047</w:t>
            </w:r>
          </w:p>
        </w:tc>
        <w:tc>
          <w:tcPr>
            <w:tcW w:w="744"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0.056</w:t>
            </w:r>
          </w:p>
        </w:tc>
        <w:tc>
          <w:tcPr>
            <w:tcW w:w="768"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0.058</w:t>
            </w:r>
          </w:p>
        </w:tc>
        <w:tc>
          <w:tcPr>
            <w:tcW w:w="768"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0.096</w:t>
            </w:r>
          </w:p>
        </w:tc>
        <w:tc>
          <w:tcPr>
            <w:tcW w:w="780"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0.075</w:t>
            </w:r>
          </w:p>
        </w:tc>
        <w:tc>
          <w:tcPr>
            <w:tcW w:w="936" w:type="dxa"/>
            <w:tcBorders>
              <w:top w:val="single" w:color="auto" w:sz="4" w:space="0"/>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0.066</w:t>
            </w:r>
          </w:p>
        </w:tc>
        <w:tc>
          <w:tcPr>
            <w:tcW w:w="1308" w:type="dxa"/>
            <w:tcBorders>
              <w:top w:val="single" w:color="auto" w:sz="4" w:space="0"/>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0.005</w:t>
            </w:r>
          </w:p>
        </w:tc>
        <w:tc>
          <w:tcPr>
            <w:tcW w:w="828"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0.064</w:t>
            </w:r>
          </w:p>
        </w:tc>
        <w:tc>
          <w:tcPr>
            <w:tcW w:w="744"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0.075</w:t>
            </w:r>
          </w:p>
        </w:tc>
        <w:tc>
          <w:tcPr>
            <w:tcW w:w="768"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0.058</w:t>
            </w:r>
          </w:p>
        </w:tc>
        <w:tc>
          <w:tcPr>
            <w:tcW w:w="768"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0.064</w:t>
            </w:r>
          </w:p>
        </w:tc>
        <w:tc>
          <w:tcPr>
            <w:tcW w:w="780"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0.052</w:t>
            </w:r>
          </w:p>
        </w:tc>
        <w:tc>
          <w:tcPr>
            <w:tcW w:w="936" w:type="dxa"/>
            <w:tcBorders>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0.063</w:t>
            </w:r>
          </w:p>
        </w:tc>
        <w:tc>
          <w:tcPr>
            <w:tcW w:w="1308" w:type="dxa"/>
            <w:tcBorders>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0.01</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0.096</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0.099</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0.094</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0.095</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0.098</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0.096</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0.05</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0.096</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0.098</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0.099</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0.096</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0.099</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0.098</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1.554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0.1</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0.101</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0.101</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0.102</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0.105</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w:t>
            </w:r>
            <w:r>
              <w:rPr>
                <w:rFonts w:hint="eastAsia" w:ascii="Times New Roman" w:hAnsi="Times New Roman" w:eastAsia="宋体" w:cs="Times New Roman"/>
                <w:i w:val="0"/>
                <w:iCs w:val="0"/>
                <w:color w:val="000000"/>
                <w:kern w:val="0"/>
                <w:sz w:val="21"/>
                <w:szCs w:val="21"/>
                <w:u w:val="none"/>
                <w:lang w:val="en-US" w:eastAsia="zh-CN" w:bidi="ar"/>
              </w:rPr>
              <w:t>00</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0.102</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0.2</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0.104</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0.106</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w:t>
            </w:r>
            <w:r>
              <w:rPr>
                <w:rFonts w:hint="eastAsia" w:ascii="Times New Roman" w:hAnsi="Times New Roman" w:eastAsia="宋体" w:cs="Times New Roman"/>
                <w:i w:val="0"/>
                <w:iCs w:val="0"/>
                <w:color w:val="000000"/>
                <w:kern w:val="0"/>
                <w:sz w:val="21"/>
                <w:szCs w:val="21"/>
                <w:u w:val="none"/>
                <w:lang w:val="en-US" w:eastAsia="zh-CN" w:bidi="ar"/>
              </w:rPr>
              <w:t>00</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0.103</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0.105</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0.104</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0.3</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w:t>
            </w:r>
            <w:r>
              <w:rPr>
                <w:rFonts w:hint="eastAsia" w:ascii="Times New Roman" w:hAnsi="Times New Roman" w:eastAsia="宋体" w:cs="Times New Roman"/>
                <w:i w:val="0"/>
                <w:iCs w:val="0"/>
                <w:color w:val="000000"/>
                <w:kern w:val="0"/>
                <w:sz w:val="21"/>
                <w:szCs w:val="21"/>
                <w:u w:val="none"/>
                <w:lang w:val="en-US" w:eastAsia="zh-CN" w:bidi="ar"/>
              </w:rPr>
              <w:t>0</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0.119</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0.106</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0.117</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0.110</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0.4</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0.121</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0.115</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0.117</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0.109</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0.105</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0.113</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5.63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0.5</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0.118</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0.109</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0.125</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0.114</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0.099</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0.113</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single" w:color="auto" w:sz="4" w:space="0"/>
            </w:tcBorders>
            <w:vAlign w:val="top"/>
          </w:tcPr>
          <w:p>
            <w:pPr>
              <w:keepNext w:val="0"/>
              <w:keepLines w:val="0"/>
              <w:widowControl/>
              <w:suppressLineNumbers w:val="0"/>
              <w:jc w:val="center"/>
              <w:textAlignment w:val="top"/>
              <w:rPr>
                <w:rFonts w:hint="eastAsia" w:ascii="Times New Roman" w:hAnsi="Times New Roman" w:cs="Times New Roman"/>
                <w:color w:val="auto"/>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w:t>
            </w:r>
          </w:p>
        </w:tc>
        <w:tc>
          <w:tcPr>
            <w:tcW w:w="828" w:type="dxa"/>
            <w:tcBorders>
              <w:top w:val="nil"/>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0.112</w:t>
            </w:r>
          </w:p>
        </w:tc>
        <w:tc>
          <w:tcPr>
            <w:tcW w:w="744" w:type="dxa"/>
            <w:tcBorders>
              <w:top w:val="nil"/>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0.131</w:t>
            </w:r>
          </w:p>
        </w:tc>
        <w:tc>
          <w:tcPr>
            <w:tcW w:w="768" w:type="dxa"/>
            <w:tcBorders>
              <w:top w:val="nil"/>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0.124</w:t>
            </w:r>
          </w:p>
        </w:tc>
        <w:tc>
          <w:tcPr>
            <w:tcW w:w="768" w:type="dxa"/>
            <w:tcBorders>
              <w:top w:val="nil"/>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0.105</w:t>
            </w:r>
          </w:p>
        </w:tc>
        <w:tc>
          <w:tcPr>
            <w:tcW w:w="780" w:type="dxa"/>
            <w:tcBorders>
              <w:top w:val="nil"/>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0.117</w:t>
            </w:r>
          </w:p>
        </w:tc>
        <w:tc>
          <w:tcPr>
            <w:tcW w:w="936" w:type="dxa"/>
            <w:tcBorders>
              <w:top w:val="nil"/>
              <w:bottom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0.118</w:t>
            </w:r>
          </w:p>
        </w:tc>
        <w:tc>
          <w:tcPr>
            <w:tcW w:w="1308" w:type="dxa"/>
            <w:tcBorders>
              <w:top w:val="nil"/>
              <w:bottom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2</w:t>
            </w:r>
          </w:p>
        </w:tc>
        <w:tc>
          <w:tcPr>
            <w:tcW w:w="1392"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GSS-5</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w:t>
            </w:r>
            <w:r>
              <w:rPr>
                <w:rFonts w:hint="eastAsia" w:ascii="宋体" w:hAnsi="宋体" w:eastAsia="宋体" w:cs="宋体"/>
                <w:color w:val="auto"/>
                <w:kern w:val="0"/>
                <w:sz w:val="18"/>
                <w:szCs w:val="18"/>
                <w:vertAlign w:val="baseline"/>
                <w:lang w:val="en-US" w:eastAsia="zh-CN" w:bidi="ar"/>
              </w:rPr>
              <w:t>0.45±0.06</w:t>
            </w:r>
            <w:r>
              <w:rPr>
                <w:rFonts w:hint="eastAsia" w:ascii="Times New Roman" w:hAnsi="Times New Roman" w:cs="Times New Roman"/>
                <w:color w:val="auto"/>
                <w:sz w:val="21"/>
                <w:szCs w:val="20"/>
                <w:vertAlign w:val="baseline"/>
                <w:lang w:val="en-US" w:eastAsia="zh-CN" w:bidi="ar"/>
              </w:rPr>
              <w:t>)</w:t>
            </w:r>
          </w:p>
        </w:tc>
        <w:tc>
          <w:tcPr>
            <w:tcW w:w="768" w:type="dxa"/>
            <w:tcBorders>
              <w:top w:val="single" w:color="auto" w:sz="4" w:space="0"/>
              <w:bottom w:val="nil"/>
            </w:tcBorders>
            <w:vAlign w:val="center"/>
          </w:tcPr>
          <w:p>
            <w:pPr>
              <w:keepNext w:val="0"/>
              <w:keepLines w:val="0"/>
              <w:widowControl/>
              <w:suppressLineNumbers w:val="0"/>
              <w:jc w:val="center"/>
              <w:textAlignment w:val="center"/>
              <w:rPr>
                <w:rFonts w:hint="eastAsia" w:ascii="Times New Roman" w:hAnsi="Times New Roman" w:cs="Times New Roman" w:eastAsiaTheme="minorEastAsia"/>
                <w:color w:val="auto"/>
                <w:kern w:val="2"/>
                <w:sz w:val="21"/>
                <w:szCs w:val="20"/>
                <w:vertAlign w:val="baseli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0.001</w:t>
            </w:r>
          </w:p>
        </w:tc>
        <w:tc>
          <w:tcPr>
            <w:tcW w:w="828"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0.351</w:t>
            </w:r>
          </w:p>
        </w:tc>
        <w:tc>
          <w:tcPr>
            <w:tcW w:w="744"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0.335</w:t>
            </w:r>
          </w:p>
        </w:tc>
        <w:tc>
          <w:tcPr>
            <w:tcW w:w="768"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0.424</w:t>
            </w:r>
          </w:p>
        </w:tc>
        <w:tc>
          <w:tcPr>
            <w:tcW w:w="768"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0.416</w:t>
            </w:r>
          </w:p>
        </w:tc>
        <w:tc>
          <w:tcPr>
            <w:tcW w:w="780" w:type="dxa"/>
            <w:tcBorders>
              <w:top w:val="single" w:color="auto" w:sz="4" w:space="0"/>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0.375</w:t>
            </w:r>
          </w:p>
        </w:tc>
        <w:tc>
          <w:tcPr>
            <w:tcW w:w="936" w:type="dxa"/>
            <w:tcBorders>
              <w:top w:val="single" w:color="auto" w:sz="4" w:space="0"/>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0.380</w:t>
            </w:r>
          </w:p>
        </w:tc>
        <w:tc>
          <w:tcPr>
            <w:tcW w:w="1308" w:type="dxa"/>
            <w:tcBorders>
              <w:top w:val="single" w:color="auto" w:sz="4" w:space="0"/>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vertAlign w:val="baseli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0.005</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0.362</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0.396</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0.435</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0.511</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0.423</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13.22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vertAlign w:val="baseli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0.01</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0.389</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0.401</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0.412</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0.416</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0.396</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0.403</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0.05</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0.412</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0.413</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0.405</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0.411</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0.413</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0.411</w:t>
            </w:r>
          </w:p>
        </w:tc>
        <w:tc>
          <w:tcPr>
            <w:tcW w:w="130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0.82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0.1</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0.445</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0.462</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0.451</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0.449</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0.457</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0.453</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bottom w:val="nil"/>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0.2</w:t>
            </w:r>
          </w:p>
        </w:tc>
        <w:tc>
          <w:tcPr>
            <w:tcW w:w="82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0.487</w:t>
            </w:r>
          </w:p>
        </w:tc>
        <w:tc>
          <w:tcPr>
            <w:tcW w:w="744"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0.498</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0.483</w:t>
            </w:r>
          </w:p>
        </w:tc>
        <w:tc>
          <w:tcPr>
            <w:tcW w:w="76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0.462</w:t>
            </w:r>
          </w:p>
        </w:tc>
        <w:tc>
          <w:tcPr>
            <w:tcW w:w="78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0.489</w:t>
            </w:r>
          </w:p>
        </w:tc>
        <w:tc>
          <w:tcPr>
            <w:tcW w:w="936"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0.484</w:t>
            </w:r>
          </w:p>
        </w:tc>
        <w:tc>
          <w:tcPr>
            <w:tcW w:w="1308" w:type="dxa"/>
            <w:tcBorders>
              <w:top w:val="nil"/>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top w:val="nil"/>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0.3</w:t>
            </w:r>
          </w:p>
        </w:tc>
        <w:tc>
          <w:tcPr>
            <w:tcW w:w="828" w:type="dxa"/>
            <w:tcBorders>
              <w:top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0.461</w:t>
            </w:r>
          </w:p>
        </w:tc>
        <w:tc>
          <w:tcPr>
            <w:tcW w:w="744" w:type="dxa"/>
            <w:tcBorders>
              <w:top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0.493</w:t>
            </w:r>
          </w:p>
        </w:tc>
        <w:tc>
          <w:tcPr>
            <w:tcW w:w="768" w:type="dxa"/>
            <w:tcBorders>
              <w:top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0.513</w:t>
            </w:r>
          </w:p>
        </w:tc>
        <w:tc>
          <w:tcPr>
            <w:tcW w:w="768" w:type="dxa"/>
            <w:tcBorders>
              <w:top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0.55</w:t>
            </w:r>
          </w:p>
        </w:tc>
        <w:tc>
          <w:tcPr>
            <w:tcW w:w="780" w:type="dxa"/>
            <w:tcBorders>
              <w:top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0.516</w:t>
            </w:r>
          </w:p>
        </w:tc>
        <w:tc>
          <w:tcPr>
            <w:tcW w:w="936" w:type="dxa"/>
            <w:tcBorders>
              <w:top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0.507</w:t>
            </w:r>
          </w:p>
        </w:tc>
        <w:tc>
          <w:tcPr>
            <w:tcW w:w="1308" w:type="dxa"/>
            <w:tcBorders>
              <w:top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0.4</w:t>
            </w:r>
          </w:p>
        </w:tc>
        <w:tc>
          <w:tcPr>
            <w:tcW w:w="82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0.349</w:t>
            </w:r>
          </w:p>
        </w:tc>
        <w:tc>
          <w:tcPr>
            <w:tcW w:w="744"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0.463</w:t>
            </w:r>
          </w:p>
        </w:tc>
        <w:tc>
          <w:tcPr>
            <w:tcW w:w="76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0.513</w:t>
            </w:r>
          </w:p>
        </w:tc>
        <w:tc>
          <w:tcPr>
            <w:tcW w:w="76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0.713</w:t>
            </w:r>
          </w:p>
        </w:tc>
        <w:tc>
          <w:tcPr>
            <w:tcW w:w="78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0.563</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0.520</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0.5</w:t>
            </w:r>
          </w:p>
        </w:tc>
        <w:tc>
          <w:tcPr>
            <w:tcW w:w="82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0.468</w:t>
            </w:r>
          </w:p>
        </w:tc>
        <w:tc>
          <w:tcPr>
            <w:tcW w:w="744"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0.946</w:t>
            </w:r>
          </w:p>
        </w:tc>
        <w:tc>
          <w:tcPr>
            <w:tcW w:w="76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0.664</w:t>
            </w:r>
          </w:p>
        </w:tc>
        <w:tc>
          <w:tcPr>
            <w:tcW w:w="768"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0.661</w:t>
            </w:r>
          </w:p>
        </w:tc>
        <w:tc>
          <w:tcPr>
            <w:tcW w:w="78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0.436</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0.635</w:t>
            </w:r>
          </w:p>
        </w:tc>
        <w:tc>
          <w:tcPr>
            <w:tcW w:w="1308"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 xml:space="preserve">32.06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Borders>
              <w:bottom w:val="single" w:color="auto" w:sz="4" w:space="0"/>
            </w:tcBorders>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1392" w:type="dxa"/>
            <w:vMerge w:val="continue"/>
            <w:tcBorders>
              <w:bottom w:val="single" w:color="auto" w:sz="4" w:space="0"/>
            </w:tcBorders>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vertAlign w:val="baseline"/>
                <w:lang w:val="en-US" w:eastAsia="zh-CN" w:bidi="ar"/>
              </w:rPr>
            </w:pPr>
          </w:p>
        </w:tc>
        <w:tc>
          <w:tcPr>
            <w:tcW w:w="768" w:type="dxa"/>
            <w:tcBorders>
              <w:bottom w:val="single" w:color="auto" w:sz="4" w:space="0"/>
            </w:tcBorders>
            <w:vAlign w:val="top"/>
          </w:tcPr>
          <w:p>
            <w:pPr>
              <w:keepNext w:val="0"/>
              <w:keepLines w:val="0"/>
              <w:widowControl/>
              <w:suppressLineNumbers w:val="0"/>
              <w:jc w:val="center"/>
              <w:textAlignment w:val="top"/>
              <w:rPr>
                <w:rFonts w:hint="eastAsia" w:ascii="Times New Roman" w:hAnsi="Times New Roman" w:cs="Times New Roman" w:eastAsiaTheme="minorEastAsia"/>
                <w:color w:val="auto"/>
                <w:kern w:val="2"/>
                <w:sz w:val="21"/>
                <w:szCs w:val="20"/>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1</w:t>
            </w:r>
          </w:p>
        </w:tc>
        <w:tc>
          <w:tcPr>
            <w:tcW w:w="828"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0.513</w:t>
            </w:r>
          </w:p>
        </w:tc>
        <w:tc>
          <w:tcPr>
            <w:tcW w:w="744"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0.526</w:t>
            </w:r>
          </w:p>
        </w:tc>
        <w:tc>
          <w:tcPr>
            <w:tcW w:w="768"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0.491</w:t>
            </w:r>
          </w:p>
        </w:tc>
        <w:tc>
          <w:tcPr>
            <w:tcW w:w="768"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0.762</w:t>
            </w:r>
          </w:p>
        </w:tc>
        <w:tc>
          <w:tcPr>
            <w:tcW w:w="780"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0.411</w:t>
            </w:r>
          </w:p>
        </w:tc>
        <w:tc>
          <w:tcPr>
            <w:tcW w:w="936" w:type="dxa"/>
            <w:tcBorders>
              <w:bottom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0.541</w:t>
            </w:r>
          </w:p>
        </w:tc>
        <w:tc>
          <w:tcPr>
            <w:tcW w:w="1308"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24.34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color w:val="auto"/>
                <w:sz w:val="21"/>
                <w:szCs w:val="20"/>
                <w:u w:val="none"/>
                <w:vertAlign w:val="baseline"/>
                <w:lang w:val="en-US" w:eastAsia="zh-CN" w:bidi="ar"/>
              </w:rPr>
            </w:pPr>
            <w:r>
              <w:rPr>
                <w:rFonts w:hint="eastAsia" w:ascii="Times New Roman" w:hAnsi="Times New Roman" w:cs="Times New Roman"/>
                <w:color w:val="auto"/>
                <w:sz w:val="21"/>
                <w:szCs w:val="20"/>
                <w:u w:val="none"/>
                <w:vertAlign w:val="baseline"/>
                <w:lang w:val="en-US" w:eastAsia="zh-CN" w:bidi="ar"/>
              </w:rPr>
              <w:t>3</w:t>
            </w:r>
          </w:p>
        </w:tc>
        <w:tc>
          <w:tcPr>
            <w:tcW w:w="1392"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color w:val="auto"/>
                <w:sz w:val="21"/>
                <w:szCs w:val="20"/>
                <w:u w:val="none"/>
                <w:vertAlign w:val="baseline"/>
                <w:lang w:val="en-US" w:eastAsia="zh-CN" w:bidi="ar"/>
              </w:rPr>
            </w:pPr>
            <w:r>
              <w:rPr>
                <w:rFonts w:hint="eastAsia" w:ascii="Times New Roman" w:hAnsi="Times New Roman" w:cs="Times New Roman"/>
                <w:color w:val="auto"/>
                <w:sz w:val="21"/>
                <w:szCs w:val="20"/>
                <w:u w:val="none"/>
                <w:vertAlign w:val="baseline"/>
                <w:lang w:val="en-US" w:eastAsia="zh-CN" w:bidi="ar"/>
              </w:rPr>
              <w:t>GSS-38</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color w:val="auto"/>
                <w:sz w:val="21"/>
                <w:szCs w:val="20"/>
                <w:u w:val="none"/>
                <w:vertAlign w:val="baseline"/>
                <w:lang w:val="en-US" w:eastAsia="zh-CN" w:bidi="ar"/>
              </w:rPr>
            </w:pPr>
            <w:r>
              <w:rPr>
                <w:rFonts w:hint="eastAsia" w:ascii="Times New Roman" w:hAnsi="Times New Roman" w:cs="Times New Roman"/>
                <w:color w:val="auto"/>
                <w:sz w:val="21"/>
                <w:szCs w:val="20"/>
                <w:u w:val="none"/>
                <w:vertAlign w:val="baseline"/>
                <w:lang w:val="en-US" w:eastAsia="zh-CN" w:bidi="ar"/>
              </w:rPr>
              <w:t>(</w:t>
            </w:r>
            <w:r>
              <w:rPr>
                <w:rFonts w:hint="eastAsia" w:ascii="宋体" w:hAnsi="宋体" w:eastAsia="宋体" w:cs="宋体"/>
                <w:color w:val="auto"/>
                <w:kern w:val="0"/>
                <w:sz w:val="18"/>
                <w:szCs w:val="18"/>
                <w:u w:val="none"/>
                <w:vertAlign w:val="baseline"/>
                <w:lang w:val="en-US" w:eastAsia="zh-CN" w:bidi="ar"/>
              </w:rPr>
              <w:t>2.8±0.2</w:t>
            </w:r>
            <w:r>
              <w:rPr>
                <w:rFonts w:hint="eastAsia" w:ascii="Times New Roman" w:hAnsi="Times New Roman" w:cs="Times New Roman"/>
                <w:color w:val="auto"/>
                <w:sz w:val="21"/>
                <w:szCs w:val="20"/>
                <w:u w:val="none"/>
                <w:vertAlign w:val="baseline"/>
                <w:lang w:val="en-US" w:eastAsia="zh-CN" w:bidi="ar"/>
              </w:rPr>
              <w:t>)</w:t>
            </w:r>
          </w:p>
        </w:tc>
        <w:tc>
          <w:tcPr>
            <w:tcW w:w="768" w:type="dxa"/>
            <w:tcBorders>
              <w:top w:val="single" w:color="auto" w:sz="4" w:space="0"/>
            </w:tcBorders>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vertAlign w:val="baseline"/>
                <w:lang w:val="en-US" w:eastAsia="zh-CN" w:bidi="ar"/>
              </w:rPr>
            </w:pPr>
            <w:r>
              <w:rPr>
                <w:rFonts w:hint="eastAsia" w:ascii="Times New Roman" w:hAnsi="Times New Roman" w:cs="Times New Roman"/>
                <w:color w:val="auto"/>
                <w:sz w:val="21"/>
                <w:szCs w:val="20"/>
                <w:u w:val="none"/>
                <w:lang w:val="en-US" w:eastAsia="zh-CN" w:bidi="ar"/>
              </w:rPr>
              <w:t>0.001</w:t>
            </w:r>
          </w:p>
        </w:tc>
        <w:tc>
          <w:tcPr>
            <w:tcW w:w="828" w:type="dxa"/>
            <w:tcBorders>
              <w:top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2.86</w:t>
            </w:r>
          </w:p>
        </w:tc>
        <w:tc>
          <w:tcPr>
            <w:tcW w:w="744" w:type="dxa"/>
            <w:tcBorders>
              <w:top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2.61</w:t>
            </w:r>
          </w:p>
        </w:tc>
        <w:tc>
          <w:tcPr>
            <w:tcW w:w="768" w:type="dxa"/>
            <w:tcBorders>
              <w:top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2.54</w:t>
            </w:r>
          </w:p>
        </w:tc>
        <w:tc>
          <w:tcPr>
            <w:tcW w:w="768" w:type="dxa"/>
            <w:tcBorders>
              <w:top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2.64</w:t>
            </w:r>
          </w:p>
        </w:tc>
        <w:tc>
          <w:tcPr>
            <w:tcW w:w="780" w:type="dxa"/>
            <w:tcBorders>
              <w:top w:val="single" w:color="auto" w:sz="4" w:space="0"/>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2.46</w:t>
            </w:r>
          </w:p>
        </w:tc>
        <w:tc>
          <w:tcPr>
            <w:tcW w:w="936" w:type="dxa"/>
            <w:tcBorders>
              <w:top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2.62</w:t>
            </w:r>
          </w:p>
        </w:tc>
        <w:tc>
          <w:tcPr>
            <w:tcW w:w="1308" w:type="dxa"/>
            <w:tcBorders>
              <w:top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tcBorders>
              <w:bottom w:val="nil"/>
            </w:tcBorders>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vertAlign w:val="baseline"/>
                <w:lang w:val="en-US" w:eastAsia="zh-CN" w:bidi="ar"/>
              </w:rPr>
            </w:pPr>
            <w:r>
              <w:rPr>
                <w:rFonts w:hint="eastAsia" w:ascii="Times New Roman" w:hAnsi="Times New Roman" w:cs="Times New Roman"/>
                <w:color w:val="auto"/>
                <w:sz w:val="21"/>
                <w:szCs w:val="20"/>
                <w:u w:val="none"/>
                <w:lang w:val="en-US" w:eastAsia="zh-CN" w:bidi="ar"/>
              </w:rPr>
              <w:t>0.005</w:t>
            </w:r>
          </w:p>
        </w:tc>
        <w:tc>
          <w:tcPr>
            <w:tcW w:w="828"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2.59</w:t>
            </w:r>
          </w:p>
        </w:tc>
        <w:tc>
          <w:tcPr>
            <w:tcW w:w="744"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2.67</w:t>
            </w:r>
          </w:p>
        </w:tc>
        <w:tc>
          <w:tcPr>
            <w:tcW w:w="768"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2.88</w:t>
            </w:r>
          </w:p>
        </w:tc>
        <w:tc>
          <w:tcPr>
            <w:tcW w:w="768"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2.76</w:t>
            </w:r>
          </w:p>
        </w:tc>
        <w:tc>
          <w:tcPr>
            <w:tcW w:w="780" w:type="dxa"/>
            <w:tcBorders>
              <w:bottom w:val="nil"/>
            </w:tcBorders>
            <w:vAlign w:val="center"/>
          </w:tcPr>
          <w:p>
            <w:pPr>
              <w:keepNext w:val="0"/>
              <w:keepLines w:val="0"/>
              <w:widowControl/>
              <w:suppressLineNumbers w:val="0"/>
              <w:jc w:val="center"/>
              <w:textAlignment w:val="center"/>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2.25</w:t>
            </w:r>
          </w:p>
        </w:tc>
        <w:tc>
          <w:tcPr>
            <w:tcW w:w="936" w:type="dxa"/>
            <w:tcBorders>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2.63</w:t>
            </w:r>
          </w:p>
        </w:tc>
        <w:tc>
          <w:tcPr>
            <w:tcW w:w="1308" w:type="dxa"/>
            <w:tcBorders>
              <w:bottom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tcBorders>
              <w:top w:val="nil"/>
            </w:tcBorders>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vertAlign w:val="baseline"/>
                <w:lang w:val="en-US" w:eastAsia="zh-CN" w:bidi="ar"/>
              </w:rPr>
            </w:pPr>
            <w:r>
              <w:rPr>
                <w:rFonts w:hint="eastAsia" w:ascii="Times New Roman" w:hAnsi="Times New Roman" w:cs="Times New Roman"/>
                <w:color w:val="auto"/>
                <w:sz w:val="21"/>
                <w:szCs w:val="20"/>
                <w:u w:val="none"/>
                <w:lang w:val="en-US" w:eastAsia="zh-CN" w:bidi="ar"/>
              </w:rPr>
              <w:t>0.01</w:t>
            </w:r>
          </w:p>
        </w:tc>
        <w:tc>
          <w:tcPr>
            <w:tcW w:w="828" w:type="dxa"/>
            <w:tcBorders>
              <w:top w:val="nil"/>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2.76</w:t>
            </w:r>
          </w:p>
        </w:tc>
        <w:tc>
          <w:tcPr>
            <w:tcW w:w="744" w:type="dxa"/>
            <w:tcBorders>
              <w:top w:val="nil"/>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2.86</w:t>
            </w:r>
          </w:p>
        </w:tc>
        <w:tc>
          <w:tcPr>
            <w:tcW w:w="768" w:type="dxa"/>
            <w:tcBorders>
              <w:top w:val="nil"/>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2.87</w:t>
            </w:r>
          </w:p>
        </w:tc>
        <w:tc>
          <w:tcPr>
            <w:tcW w:w="768" w:type="dxa"/>
            <w:tcBorders>
              <w:top w:val="nil"/>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2.75</w:t>
            </w:r>
          </w:p>
        </w:tc>
        <w:tc>
          <w:tcPr>
            <w:tcW w:w="780" w:type="dxa"/>
            <w:tcBorders>
              <w:top w:val="nil"/>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2.89</w:t>
            </w:r>
          </w:p>
        </w:tc>
        <w:tc>
          <w:tcPr>
            <w:tcW w:w="936" w:type="dxa"/>
            <w:tcBorders>
              <w:top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2.83</w:t>
            </w:r>
          </w:p>
        </w:tc>
        <w:tc>
          <w:tcPr>
            <w:tcW w:w="1308" w:type="dxa"/>
            <w:tcBorders>
              <w:top w:val="nil"/>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lang w:val="en-US" w:eastAsia="zh-CN" w:bidi="ar"/>
              </w:rPr>
            </w:pPr>
            <w:r>
              <w:rPr>
                <w:rFonts w:hint="eastAsia" w:ascii="Times New Roman" w:hAnsi="Times New Roman" w:cs="Times New Roman"/>
                <w:color w:val="auto"/>
                <w:sz w:val="21"/>
                <w:szCs w:val="20"/>
                <w:u w:val="none"/>
                <w:lang w:val="en-US" w:eastAsia="zh-CN" w:bidi="ar"/>
              </w:rPr>
              <w:t>0.05</w:t>
            </w:r>
          </w:p>
        </w:tc>
        <w:tc>
          <w:tcPr>
            <w:tcW w:w="82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2.86</w:t>
            </w:r>
          </w:p>
        </w:tc>
        <w:tc>
          <w:tcPr>
            <w:tcW w:w="744"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2.75</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2.86</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2.89</w:t>
            </w:r>
          </w:p>
        </w:tc>
        <w:tc>
          <w:tcPr>
            <w:tcW w:w="780"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2.85</w:t>
            </w:r>
          </w:p>
        </w:tc>
        <w:tc>
          <w:tcPr>
            <w:tcW w:w="1308"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lang w:val="en-US" w:eastAsia="zh-CN" w:bidi="ar"/>
              </w:rPr>
            </w:pPr>
            <w:r>
              <w:rPr>
                <w:rFonts w:hint="eastAsia" w:ascii="Times New Roman" w:hAnsi="Times New Roman" w:cs="Times New Roman"/>
                <w:color w:val="auto"/>
                <w:sz w:val="21"/>
                <w:szCs w:val="20"/>
                <w:u w:val="none"/>
                <w:lang w:val="en-US" w:eastAsia="zh-CN" w:bidi="ar"/>
              </w:rPr>
              <w:t>0.1</w:t>
            </w:r>
          </w:p>
        </w:tc>
        <w:tc>
          <w:tcPr>
            <w:tcW w:w="82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2.91</w:t>
            </w:r>
          </w:p>
        </w:tc>
        <w:tc>
          <w:tcPr>
            <w:tcW w:w="744"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2.91</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2.95</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2.98</w:t>
            </w:r>
          </w:p>
        </w:tc>
        <w:tc>
          <w:tcPr>
            <w:tcW w:w="780"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3.05</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2.96</w:t>
            </w:r>
          </w:p>
        </w:tc>
        <w:tc>
          <w:tcPr>
            <w:tcW w:w="1308"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lang w:val="en-US" w:eastAsia="zh-CN" w:bidi="ar"/>
              </w:rPr>
            </w:pPr>
            <w:r>
              <w:rPr>
                <w:rFonts w:hint="eastAsia" w:ascii="Times New Roman" w:hAnsi="Times New Roman" w:cs="Times New Roman"/>
                <w:color w:val="auto"/>
                <w:sz w:val="21"/>
                <w:szCs w:val="20"/>
                <w:u w:val="none"/>
                <w:lang w:val="en-US" w:eastAsia="zh-CN" w:bidi="ar"/>
              </w:rPr>
              <w:t>0.2</w:t>
            </w:r>
          </w:p>
        </w:tc>
        <w:tc>
          <w:tcPr>
            <w:tcW w:w="82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3.05</w:t>
            </w:r>
          </w:p>
        </w:tc>
        <w:tc>
          <w:tcPr>
            <w:tcW w:w="744"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3.15</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2.98</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2.98</w:t>
            </w:r>
          </w:p>
        </w:tc>
        <w:tc>
          <w:tcPr>
            <w:tcW w:w="780"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2.83</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308"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lang w:val="en-US" w:eastAsia="zh-CN" w:bidi="ar"/>
              </w:rPr>
            </w:pPr>
            <w:r>
              <w:rPr>
                <w:rFonts w:hint="eastAsia" w:ascii="Times New Roman" w:hAnsi="Times New Roman" w:cs="Times New Roman"/>
                <w:color w:val="auto"/>
                <w:sz w:val="21"/>
                <w:szCs w:val="20"/>
                <w:u w:val="none"/>
                <w:lang w:val="en-US" w:eastAsia="zh-CN" w:bidi="ar"/>
              </w:rPr>
              <w:t>0.3</w:t>
            </w:r>
          </w:p>
        </w:tc>
        <w:tc>
          <w:tcPr>
            <w:tcW w:w="82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2.86</w:t>
            </w:r>
          </w:p>
        </w:tc>
        <w:tc>
          <w:tcPr>
            <w:tcW w:w="744"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2.96</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3.02</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3.15</w:t>
            </w:r>
          </w:p>
        </w:tc>
        <w:tc>
          <w:tcPr>
            <w:tcW w:w="780"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3.01</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308"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88"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lang w:val="en-US" w:eastAsia="zh-CN" w:bidi="ar"/>
              </w:rPr>
            </w:pPr>
            <w:r>
              <w:rPr>
                <w:rFonts w:hint="eastAsia" w:ascii="Times New Roman" w:hAnsi="Times New Roman" w:cs="Times New Roman"/>
                <w:color w:val="auto"/>
                <w:sz w:val="21"/>
                <w:szCs w:val="20"/>
                <w:u w:val="none"/>
                <w:lang w:val="en-US" w:eastAsia="zh-CN" w:bidi="ar"/>
              </w:rPr>
              <w:t>0.4</w:t>
            </w:r>
          </w:p>
        </w:tc>
        <w:tc>
          <w:tcPr>
            <w:tcW w:w="82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3.15</w:t>
            </w:r>
          </w:p>
        </w:tc>
        <w:tc>
          <w:tcPr>
            <w:tcW w:w="744"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3.35</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3.11</w:t>
            </w:r>
          </w:p>
        </w:tc>
        <w:tc>
          <w:tcPr>
            <w:tcW w:w="768"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2.98</w:t>
            </w:r>
          </w:p>
        </w:tc>
        <w:tc>
          <w:tcPr>
            <w:tcW w:w="780" w:type="dxa"/>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3.06</w:t>
            </w:r>
          </w:p>
        </w:tc>
        <w:tc>
          <w:tcPr>
            <w:tcW w:w="93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3.13</w:t>
            </w:r>
          </w:p>
        </w:tc>
        <w:tc>
          <w:tcPr>
            <w:tcW w:w="1308"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4.42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588" w:type="dxa"/>
            <w:vMerge w:val="continue"/>
            <w:tcBorders>
              <w:bottom w:val="single" w:color="auto" w:sz="4" w:space="0"/>
            </w:tcBorders>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1392" w:type="dxa"/>
            <w:vMerge w:val="continue"/>
            <w:tcBorders>
              <w:bottom w:val="single" w:color="auto" w:sz="4" w:space="0"/>
            </w:tcBorders>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color w:val="auto"/>
                <w:sz w:val="21"/>
                <w:szCs w:val="20"/>
                <w:u w:val="none"/>
                <w:vertAlign w:val="baseline"/>
                <w:lang w:val="en-US" w:eastAsia="zh-CN" w:bidi="ar"/>
              </w:rPr>
            </w:pPr>
          </w:p>
        </w:tc>
        <w:tc>
          <w:tcPr>
            <w:tcW w:w="768" w:type="dxa"/>
            <w:tcBorders>
              <w:bottom w:val="single" w:color="auto" w:sz="4" w:space="0"/>
            </w:tcBorders>
            <w:vAlign w:val="top"/>
          </w:tcPr>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eastAsiaTheme="minorEastAsia"/>
                <w:color w:val="auto"/>
                <w:kern w:val="2"/>
                <w:sz w:val="21"/>
                <w:szCs w:val="20"/>
                <w:u w:val="none"/>
                <w:lang w:val="en-US" w:eastAsia="zh-CN" w:bidi="ar"/>
              </w:rPr>
            </w:pPr>
            <w:r>
              <w:rPr>
                <w:rFonts w:hint="eastAsia" w:ascii="Times New Roman" w:hAnsi="Times New Roman" w:cs="Times New Roman"/>
                <w:color w:val="auto"/>
                <w:sz w:val="21"/>
                <w:szCs w:val="20"/>
                <w:u w:val="none"/>
                <w:lang w:val="en-US" w:eastAsia="zh-CN" w:bidi="ar"/>
              </w:rPr>
              <w:t>0.5</w:t>
            </w:r>
          </w:p>
        </w:tc>
        <w:tc>
          <w:tcPr>
            <w:tcW w:w="828" w:type="dxa"/>
            <w:tcBorders>
              <w:bottom w:val="single" w:color="auto" w:sz="4" w:space="0"/>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2.96</w:t>
            </w:r>
          </w:p>
        </w:tc>
        <w:tc>
          <w:tcPr>
            <w:tcW w:w="744" w:type="dxa"/>
            <w:tcBorders>
              <w:bottom w:val="single" w:color="auto" w:sz="4" w:space="0"/>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2.84</w:t>
            </w:r>
          </w:p>
        </w:tc>
        <w:tc>
          <w:tcPr>
            <w:tcW w:w="768" w:type="dxa"/>
            <w:tcBorders>
              <w:bottom w:val="single" w:color="auto" w:sz="4" w:space="0"/>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2.76</w:t>
            </w:r>
          </w:p>
        </w:tc>
        <w:tc>
          <w:tcPr>
            <w:tcW w:w="768" w:type="dxa"/>
            <w:tcBorders>
              <w:bottom w:val="single" w:color="auto" w:sz="4" w:space="0"/>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3.15</w:t>
            </w:r>
          </w:p>
        </w:tc>
        <w:tc>
          <w:tcPr>
            <w:tcW w:w="780" w:type="dxa"/>
            <w:tcBorders>
              <w:bottom w:val="single" w:color="auto" w:sz="4" w:space="0"/>
            </w:tcBorders>
            <w:vAlign w:val="top"/>
          </w:tcPr>
          <w:p>
            <w:pPr>
              <w:keepNext w:val="0"/>
              <w:keepLines w:val="0"/>
              <w:widowControl/>
              <w:suppressLineNumbers w:val="0"/>
              <w:jc w:val="center"/>
              <w:textAlignment w:val="top"/>
              <w:rPr>
                <w:rFonts w:hint="default" w:ascii="Times New Roman" w:hAnsi="Times New Roman" w:cs="Times New Roman"/>
                <w:color w:val="auto"/>
                <w:sz w:val="21"/>
                <w:szCs w:val="20"/>
                <w:u w:val="none"/>
                <w:vertAlign w:val="baseli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3.08</w:t>
            </w:r>
          </w:p>
        </w:tc>
        <w:tc>
          <w:tcPr>
            <w:tcW w:w="936" w:type="dxa"/>
            <w:tcBorders>
              <w:bottom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2.96</w:t>
            </w:r>
          </w:p>
        </w:tc>
        <w:tc>
          <w:tcPr>
            <w:tcW w:w="1308" w:type="dxa"/>
            <w:tcBorders>
              <w:bottom w:val="single" w:color="auto" w:sz="4" w:space="0"/>
            </w:tcBorders>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u w:val="none"/>
                <w:vertAlign w:val="baseline"/>
                <w:lang w:val="en-US" w:eastAsia="zh-CN" w:bidi="ar"/>
              </w:rPr>
            </w:pPr>
            <w:r>
              <w:rPr>
                <w:rFonts w:hint="eastAsia" w:ascii="宋体" w:hAnsi="宋体" w:eastAsia="宋体" w:cs="宋体"/>
                <w:i w:val="0"/>
                <w:iCs w:val="0"/>
                <w:color w:val="000000"/>
                <w:kern w:val="0"/>
                <w:sz w:val="22"/>
                <w:szCs w:val="22"/>
                <w:u w:val="none"/>
                <w:lang w:val="en-US" w:eastAsia="zh-CN" w:bidi="ar"/>
              </w:rPr>
              <w:t>5.47</w:t>
            </w:r>
          </w:p>
        </w:tc>
      </w:tr>
    </w:tbl>
    <w:p>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lang w:val="en-US" w:eastAsia="zh-CN"/>
        </w:rPr>
      </w:pPr>
      <w:r>
        <w:rPr>
          <w:rFonts w:hint="eastAsia" w:ascii="宋体" w:hAnsi="宋体" w:eastAsia="宋体" w:cs="宋体"/>
          <w:color w:val="auto"/>
          <w:sz w:val="28"/>
          <w:szCs w:val="28"/>
          <w:lang w:val="en-US" w:eastAsia="zh-CN" w:bidi="ar"/>
        </w:rPr>
        <w:t xml:space="preserve">5.2 </w:t>
      </w:r>
      <w:r>
        <w:rPr>
          <w:rFonts w:hint="eastAsia" w:ascii="宋体" w:hAnsi="宋体" w:eastAsia="宋体" w:cs="宋体"/>
          <w:sz w:val="28"/>
          <w:szCs w:val="28"/>
          <w:lang w:val="en-US" w:eastAsia="zh-CN"/>
        </w:rPr>
        <w:t>方法检出限和定量限</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按照《环境监测分析方法标准制修订技术导则》（HJ 168-2010）</w:t>
      </w:r>
      <w:r>
        <w:rPr>
          <w:rFonts w:hint="eastAsia" w:ascii="宋体" w:hAnsi="宋体" w:eastAsia="宋体" w:cs="宋体"/>
          <w:color w:val="auto"/>
          <w:sz w:val="24"/>
          <w:szCs w:val="24"/>
          <w:lang w:val="en-US" w:eastAsia="zh-CN"/>
        </w:rPr>
        <w:t>附录A(A.1.1 方法检出限的一般确定方法)</w:t>
      </w:r>
      <w:r>
        <w:rPr>
          <w:rFonts w:hint="eastAsia" w:ascii="宋体" w:hAnsi="宋体" w:eastAsia="宋体" w:cs="宋体"/>
          <w:color w:val="auto"/>
          <w:sz w:val="24"/>
          <w:szCs w:val="24"/>
        </w:rPr>
        <w:t>中规定，</w:t>
      </w:r>
      <w:r>
        <w:rPr>
          <w:rFonts w:hint="eastAsia" w:ascii="宋体" w:hAnsi="宋体" w:eastAsia="宋体" w:cs="宋体"/>
          <w:color w:val="auto"/>
          <w:sz w:val="24"/>
          <w:szCs w:val="24"/>
          <w:lang w:val="en-US" w:eastAsia="zh-CN"/>
        </w:rPr>
        <w:t>使用1% HNO</w:t>
      </w:r>
      <w:r>
        <w:rPr>
          <w:rFonts w:hint="eastAsia" w:ascii="宋体" w:hAnsi="宋体" w:eastAsia="宋体" w:cs="宋体"/>
          <w:color w:val="auto"/>
          <w:sz w:val="24"/>
          <w:szCs w:val="24"/>
          <w:vertAlign w:val="subscript"/>
          <w:lang w:val="en-US" w:eastAsia="zh-CN"/>
        </w:rPr>
        <w:t>3</w:t>
      </w:r>
      <w:r>
        <w:rPr>
          <w:rFonts w:hint="eastAsia" w:ascii="宋体" w:hAnsi="宋体" w:eastAsia="宋体" w:cs="宋体"/>
          <w:color w:val="auto"/>
          <w:sz w:val="24"/>
          <w:szCs w:val="24"/>
          <w:lang w:val="en-US" w:eastAsia="zh-CN"/>
        </w:rPr>
        <w:t>溶液（镉含量为0）连续检测7次，根据公式MDL=t</w:t>
      </w:r>
      <w:r>
        <w:rPr>
          <w:rFonts w:hint="eastAsia" w:ascii="宋体" w:hAnsi="宋体" w:eastAsia="宋体" w:cs="宋体"/>
          <w:color w:val="auto"/>
          <w:sz w:val="24"/>
          <w:szCs w:val="24"/>
          <w:vertAlign w:val="subscript"/>
          <w:lang w:val="en-US" w:eastAsia="zh-CN"/>
        </w:rPr>
        <w:t>（n-1,0.99）</w:t>
      </w:r>
      <w:r>
        <w:rPr>
          <w:rFonts w:hint="eastAsia" w:ascii="宋体" w:hAnsi="宋体" w:eastAsia="宋体" w:cs="宋体"/>
          <w:color w:val="auto"/>
          <w:sz w:val="24"/>
          <w:szCs w:val="24"/>
          <w:lang w:val="en-US" w:eastAsia="zh-CN"/>
        </w:rPr>
        <w:t>*S计算方法检出限。得出检出限位0.00143 mg/kg，定量限为0.0034 mg/kg。</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center"/>
        <w:textAlignment w:val="auto"/>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b w:val="0"/>
          <w:bCs w:val="0"/>
          <w:color w:val="auto"/>
          <w:sz w:val="21"/>
          <w:szCs w:val="20"/>
          <w:lang w:val="en-US" w:eastAsia="zh-CN" w:bidi="ar"/>
        </w:rPr>
        <w:t xml:space="preserve">表5-2 </w:t>
      </w:r>
      <w:r>
        <w:rPr>
          <w:rFonts w:hint="eastAsia" w:ascii="宋体" w:hAnsi="宋体" w:eastAsia="宋体" w:cs="宋体"/>
          <w:b w:val="0"/>
          <w:bCs w:val="0"/>
        </w:rPr>
        <w:t>方法的空白标准偏差</w:t>
      </w: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64"/>
        <w:gridCol w:w="972"/>
        <w:gridCol w:w="996"/>
        <w:gridCol w:w="1008"/>
        <w:gridCol w:w="960"/>
        <w:gridCol w:w="972"/>
        <w:gridCol w:w="1014"/>
        <w:gridCol w:w="10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564" w:type="dxa"/>
            <w:vMerge w:val="restart"/>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空白样品名称</w:t>
            </w:r>
          </w:p>
        </w:tc>
        <w:tc>
          <w:tcPr>
            <w:tcW w:w="6930" w:type="dxa"/>
            <w:gridSpan w:val="7"/>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HNO</w:t>
            </w:r>
            <w:r>
              <w:rPr>
                <w:rFonts w:hint="eastAsia" w:ascii="宋体" w:hAnsi="宋体" w:eastAsia="宋体" w:cs="宋体"/>
                <w:color w:val="auto"/>
                <w:sz w:val="24"/>
                <w:szCs w:val="24"/>
                <w:vertAlign w:val="subscript"/>
                <w:lang w:val="en-US" w:eastAsia="zh-CN"/>
              </w:rPr>
              <w:t>3</w:t>
            </w:r>
            <w:r>
              <w:rPr>
                <w:rFonts w:hint="eastAsia" w:ascii="宋体" w:hAnsi="宋体" w:eastAsia="宋体" w:cs="宋体"/>
                <w:color w:val="auto"/>
                <w:sz w:val="24"/>
                <w:szCs w:val="24"/>
                <w:lang w:val="en-US" w:eastAsia="zh-CN"/>
              </w:rPr>
              <w:t>溶液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Merge w:val="continue"/>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1"/>
                <w:szCs w:val="20"/>
                <w:vertAlign w:val="baseline"/>
                <w:lang w:val="en-US" w:eastAsia="zh-CN" w:bidi="ar"/>
              </w:rPr>
            </w:pPr>
          </w:p>
        </w:tc>
        <w:tc>
          <w:tcPr>
            <w:tcW w:w="972"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1</w:t>
            </w:r>
          </w:p>
        </w:tc>
        <w:tc>
          <w:tcPr>
            <w:tcW w:w="996"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2</w:t>
            </w:r>
          </w:p>
        </w:tc>
        <w:tc>
          <w:tcPr>
            <w:tcW w:w="100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3</w:t>
            </w:r>
          </w:p>
        </w:tc>
        <w:tc>
          <w:tcPr>
            <w:tcW w:w="960"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4</w:t>
            </w:r>
          </w:p>
        </w:tc>
        <w:tc>
          <w:tcPr>
            <w:tcW w:w="972"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5</w:t>
            </w:r>
          </w:p>
        </w:tc>
        <w:tc>
          <w:tcPr>
            <w:tcW w:w="1014"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6</w:t>
            </w:r>
          </w:p>
        </w:tc>
        <w:tc>
          <w:tcPr>
            <w:tcW w:w="1008"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进样量</w:t>
            </w:r>
            <w:r>
              <w:rPr>
                <w:rFonts w:ascii="Times New Roman" w:hAnsi="Times New Roman" w:cs="Times New Roman"/>
              </w:rPr>
              <w:t>(μL)</w:t>
            </w:r>
          </w:p>
        </w:tc>
        <w:tc>
          <w:tcPr>
            <w:tcW w:w="6930" w:type="dxa"/>
            <w:gridSpan w:val="7"/>
            <w:tcBorders>
              <w:top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峰面积</w:t>
            </w:r>
            <w:r>
              <w:rPr>
                <w:rFonts w:ascii="Times New Roman" w:hAnsi="Times New Roman" w:cs="Times New Roman"/>
              </w:rPr>
              <w:t>(∑Abs)</w:t>
            </w:r>
          </w:p>
        </w:tc>
        <w:tc>
          <w:tcPr>
            <w:tcW w:w="972"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0.06033</w:t>
            </w:r>
          </w:p>
        </w:tc>
        <w:tc>
          <w:tcPr>
            <w:tcW w:w="996" w:type="dxa"/>
            <w:vAlign w:val="center"/>
          </w:tcPr>
          <w:p>
            <w:pPr>
              <w:keepNext w:val="0"/>
              <w:keepLines w:val="0"/>
              <w:widowControl/>
              <w:suppressLineNumbers w:val="0"/>
              <w:jc w:val="center"/>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0.06122</w:t>
            </w:r>
          </w:p>
        </w:tc>
        <w:tc>
          <w:tcPr>
            <w:tcW w:w="1008" w:type="dxa"/>
            <w:vAlign w:val="center"/>
          </w:tcPr>
          <w:p>
            <w:pPr>
              <w:keepNext w:val="0"/>
              <w:keepLines w:val="0"/>
              <w:widowControl/>
              <w:suppressLineNumbers w:val="0"/>
              <w:jc w:val="both"/>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0.06105</w:t>
            </w:r>
          </w:p>
        </w:tc>
        <w:tc>
          <w:tcPr>
            <w:tcW w:w="960" w:type="dxa"/>
            <w:vAlign w:val="center"/>
          </w:tcPr>
          <w:p>
            <w:pPr>
              <w:keepNext w:val="0"/>
              <w:keepLines w:val="0"/>
              <w:widowControl/>
              <w:suppressLineNumbers w:val="0"/>
              <w:jc w:val="both"/>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0.05998</w:t>
            </w:r>
          </w:p>
        </w:tc>
        <w:tc>
          <w:tcPr>
            <w:tcW w:w="972" w:type="dxa"/>
            <w:vAlign w:val="center"/>
          </w:tcPr>
          <w:p>
            <w:pPr>
              <w:keepNext w:val="0"/>
              <w:keepLines w:val="0"/>
              <w:widowControl/>
              <w:suppressLineNumbers w:val="0"/>
              <w:jc w:val="both"/>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0.06042</w:t>
            </w:r>
          </w:p>
        </w:tc>
        <w:tc>
          <w:tcPr>
            <w:tcW w:w="1014" w:type="dxa"/>
            <w:vAlign w:val="center"/>
          </w:tcPr>
          <w:p>
            <w:pPr>
              <w:keepNext w:val="0"/>
              <w:keepLines w:val="0"/>
              <w:widowControl/>
              <w:suppressLineNumbers w:val="0"/>
              <w:jc w:val="both"/>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0.06102</w:t>
            </w:r>
          </w:p>
        </w:tc>
        <w:tc>
          <w:tcPr>
            <w:tcW w:w="1008" w:type="dxa"/>
            <w:vAlign w:val="center"/>
          </w:tcPr>
          <w:p>
            <w:pPr>
              <w:keepNext w:val="0"/>
              <w:keepLines w:val="0"/>
              <w:widowControl/>
              <w:suppressLineNumbers w:val="0"/>
              <w:jc w:val="both"/>
              <w:textAlignment w:val="center"/>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i w:val="0"/>
                <w:iCs w:val="0"/>
                <w:color w:val="000000"/>
                <w:kern w:val="0"/>
                <w:sz w:val="21"/>
                <w:szCs w:val="21"/>
                <w:u w:val="none"/>
                <w:lang w:val="en-US" w:eastAsia="zh-CN" w:bidi="ar"/>
              </w:rPr>
              <w:t>0.06077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pPr>
              <w:pStyle w:val="2"/>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Times New Roman" w:hAnsi="Times New Roman" w:cs="Times New Roman"/>
                <w:color w:val="auto"/>
                <w:sz w:val="21"/>
                <w:szCs w:val="20"/>
                <w:vertAlign w:val="baseline"/>
                <w:lang w:val="en-US" w:eastAsia="zh-CN" w:bidi="ar"/>
              </w:rPr>
            </w:pPr>
            <w:r>
              <w:rPr>
                <w:rFonts w:hint="eastAsia" w:ascii="宋体" w:hAnsi="宋体" w:eastAsia="宋体" w:cs="宋体"/>
                <w:color w:val="000000"/>
                <w:kern w:val="0"/>
                <w:sz w:val="21"/>
                <w:szCs w:val="21"/>
                <w:lang w:val="en-US" w:eastAsia="zh-CN" w:bidi="ar"/>
              </w:rPr>
              <w:t xml:space="preserve">平均值 </w:t>
            </w:r>
            <w:r>
              <w:rPr>
                <w:rFonts w:hint="eastAsia" w:ascii="宋体" w:hAnsi="宋体" w:eastAsia="宋体" w:cs="宋体"/>
                <w:i w:val="0"/>
                <w:iCs w:val="0"/>
                <w:color w:val="000000"/>
                <w:kern w:val="0"/>
                <w:sz w:val="21"/>
                <w:szCs w:val="21"/>
                <w:lang w:val="en-US" w:eastAsia="zh-CN" w:bidi="ar"/>
              </w:rPr>
              <w:t>xi</w:t>
            </w:r>
            <w:r>
              <w:rPr>
                <w:rFonts w:hint="eastAsia" w:ascii="宋体" w:hAnsi="宋体" w:eastAsia="宋体" w:cs="宋体"/>
                <w:i/>
                <w:iCs/>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（单位Σ</w:t>
            </w:r>
            <w:r>
              <w:rPr>
                <w:rFonts w:hint="eastAsia" w:ascii="宋体" w:hAnsi="宋体" w:eastAsia="宋体" w:cs="宋体"/>
                <w:color w:val="000000"/>
                <w:kern w:val="0"/>
                <w:sz w:val="28"/>
                <w:szCs w:val="28"/>
                <w:vertAlign w:val="subscript"/>
                <w:lang w:val="en-US" w:eastAsia="zh-CN" w:bidi="ar"/>
              </w:rPr>
              <w:t>Abs</w:t>
            </w:r>
            <w:r>
              <w:rPr>
                <w:rFonts w:hint="eastAsia" w:ascii="宋体" w:hAnsi="宋体" w:eastAsia="宋体" w:cs="宋体"/>
                <w:color w:val="000000"/>
                <w:kern w:val="0"/>
                <w:sz w:val="21"/>
                <w:szCs w:val="21"/>
                <w:lang w:val="en-US" w:eastAsia="zh-CN" w:bidi="ar"/>
              </w:rPr>
              <w:t>）</w:t>
            </w:r>
          </w:p>
        </w:tc>
        <w:tc>
          <w:tcPr>
            <w:tcW w:w="6930" w:type="dxa"/>
            <w:gridSpan w:val="7"/>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0.06067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标准偏差（S）</w:t>
            </w:r>
          </w:p>
        </w:tc>
        <w:tc>
          <w:tcPr>
            <w:tcW w:w="6930" w:type="dxa"/>
            <w:gridSpan w:val="7"/>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0.00036571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检出限（mg/kg）</w:t>
            </w:r>
          </w:p>
        </w:tc>
        <w:tc>
          <w:tcPr>
            <w:tcW w:w="6930" w:type="dxa"/>
            <w:gridSpan w:val="7"/>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0.00115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1564"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default" w:ascii="Times New Roman" w:hAnsi="Times New Roman" w:cs="Times New Roman"/>
                <w:color w:val="auto"/>
                <w:sz w:val="21"/>
                <w:szCs w:val="20"/>
                <w:vertAlign w:val="baseline"/>
                <w:lang w:val="en-US" w:eastAsia="zh-CN" w:bidi="ar"/>
              </w:rPr>
            </w:pPr>
            <w:r>
              <w:rPr>
                <w:rFonts w:hint="eastAsia" w:ascii="Times New Roman" w:hAnsi="Times New Roman" w:cs="Times New Roman"/>
                <w:color w:val="auto"/>
                <w:sz w:val="21"/>
                <w:szCs w:val="20"/>
                <w:vertAlign w:val="baseline"/>
                <w:lang w:val="en-US" w:eastAsia="zh-CN" w:bidi="ar"/>
              </w:rPr>
              <w:t>定量线</w:t>
            </w:r>
          </w:p>
        </w:tc>
        <w:tc>
          <w:tcPr>
            <w:tcW w:w="6930" w:type="dxa"/>
            <w:gridSpan w:val="7"/>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0.0034</w:t>
            </w:r>
          </w:p>
        </w:tc>
      </w:tr>
    </w:tbl>
    <w:p>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5.3 方法线性范围</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rPr>
        <w:t>分别取</w:t>
      </w:r>
      <w:r>
        <w:rPr>
          <w:rFonts w:hint="eastAsia" w:ascii="宋体" w:hAnsi="宋体" w:eastAsia="宋体" w:cs="宋体"/>
          <w:color w:val="000000"/>
          <w:kern w:val="0"/>
          <w:sz w:val="24"/>
          <w:szCs w:val="24"/>
          <w:lang w:val="en-US" w:eastAsia="zh-CN" w:bidi="ar"/>
        </w:rPr>
        <w:t>1.0 mg/L镉</w:t>
      </w:r>
      <w:r>
        <w:rPr>
          <w:rFonts w:hint="eastAsia" w:ascii="宋体" w:hAnsi="宋体" w:eastAsia="宋体" w:cs="宋体"/>
          <w:color w:val="auto"/>
          <w:sz w:val="24"/>
          <w:szCs w:val="24"/>
        </w:rPr>
        <w:t>标准使用溶液</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 xml:space="preserve"> µL</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5 µL、10 µL、</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 µL、</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 xml:space="preserve"> µL</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0 µL、</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0 µL、100 µL进样，此时镉含量分别为0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ng、10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100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ng，以镉的绝对质量（ng）作为横坐标，峰面积为纵坐标绘制标准曲线，</w:t>
      </w:r>
      <w:r>
        <w:rPr>
          <w:rFonts w:hint="eastAsia" w:ascii="宋体" w:hAnsi="宋体" w:eastAsia="宋体" w:cs="宋体"/>
          <w:color w:val="auto"/>
          <w:sz w:val="24"/>
          <w:szCs w:val="24"/>
          <w:lang w:val="en-US" w:eastAsia="zh-CN"/>
        </w:rPr>
        <w:t>得到曲线方程为：</w:t>
      </w:r>
      <w:r>
        <w:rPr>
          <w:rFonts w:hint="eastAsia" w:ascii="宋体" w:hAnsi="宋体" w:eastAsia="宋体" w:cs="宋体"/>
          <w:i w:val="0"/>
          <w:iCs w:val="0"/>
          <w:color w:val="000000"/>
          <w:kern w:val="0"/>
          <w:sz w:val="24"/>
          <w:szCs w:val="24"/>
          <w:vertAlign w:val="baseline"/>
          <w:lang w:val="en-US" w:eastAsia="zh-CN" w:bidi="ar"/>
        </w:rPr>
        <w:t>Y=0.1598X+0.0342，R²=0.9995，</w:t>
      </w:r>
      <w:r>
        <w:rPr>
          <w:rFonts w:hint="eastAsia" w:ascii="宋体" w:hAnsi="宋体" w:eastAsia="宋体" w:cs="宋体"/>
          <w:sz w:val="24"/>
          <w:szCs w:val="24"/>
          <w:lang w:val="en-US" w:eastAsia="zh-CN"/>
        </w:rPr>
        <w:t>标准曲线的线性良好，</w:t>
      </w:r>
      <w:r>
        <w:rPr>
          <w:rFonts w:hint="eastAsia" w:ascii="宋体" w:hAnsi="宋体" w:eastAsia="宋体" w:cs="宋体"/>
          <w:sz w:val="24"/>
          <w:szCs w:val="24"/>
        </w:rPr>
        <w:t>相关系数</w:t>
      </w:r>
      <w:r>
        <w:rPr>
          <w:rFonts w:hint="eastAsia" w:ascii="宋体" w:hAnsi="宋体" w:eastAsia="宋体" w:cs="宋体"/>
          <w:sz w:val="24"/>
          <w:szCs w:val="24"/>
          <w:lang w:val="en-US" w:eastAsia="zh-CN"/>
        </w:rPr>
        <w:t>R</w:t>
      </w:r>
      <w:r>
        <w:rPr>
          <w:rFonts w:hint="eastAsia" w:ascii="宋体" w:hAnsi="宋体" w:eastAsia="宋体" w:cs="宋体"/>
          <w:sz w:val="24"/>
          <w:szCs w:val="24"/>
          <w:vertAlign w:val="superscript"/>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0.995。</w:t>
      </w:r>
    </w:p>
    <w:p>
      <w:pPr>
        <w:pStyle w:val="2"/>
        <w:ind w:left="0" w:leftChars="0" w:firstLine="0" w:firstLine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表5-3 标准曲线方程及相关系数</w:t>
      </w:r>
    </w:p>
    <w:tbl>
      <w:tblPr>
        <w:tblStyle w:val="10"/>
        <w:tblW w:w="8856"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19"/>
        <w:gridCol w:w="917"/>
        <w:gridCol w:w="900"/>
        <w:gridCol w:w="888"/>
        <w:gridCol w:w="924"/>
        <w:gridCol w:w="876"/>
        <w:gridCol w:w="900"/>
        <w:gridCol w:w="888"/>
        <w:gridCol w:w="1044"/>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19"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进样体积</w:t>
            </w:r>
          </w:p>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default" w:ascii="宋体" w:hAnsi="宋体" w:eastAsia="宋体" w:cs="宋体"/>
                <w:color w:val="000000"/>
                <w:kern w:val="0"/>
                <w:sz w:val="21"/>
                <w:szCs w:val="21"/>
                <w:vertAlign w:val="baseline"/>
                <w:lang w:val="en-US" w:eastAsia="zh-CN" w:bidi="ar"/>
              </w:rPr>
            </w:pPr>
            <w:r>
              <w:rPr>
                <w:rFonts w:ascii="Times New Roman"/>
                <w:color w:val="auto"/>
                <w:sz w:val="21"/>
                <w:szCs w:val="21"/>
              </w:rPr>
              <w:t>µL</w:t>
            </w:r>
          </w:p>
        </w:tc>
        <w:tc>
          <w:tcPr>
            <w:tcW w:w="917"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0</w:t>
            </w:r>
          </w:p>
        </w:tc>
        <w:tc>
          <w:tcPr>
            <w:tcW w:w="900"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5</w:t>
            </w:r>
          </w:p>
        </w:tc>
        <w:tc>
          <w:tcPr>
            <w:tcW w:w="888"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10</w:t>
            </w:r>
          </w:p>
        </w:tc>
        <w:tc>
          <w:tcPr>
            <w:tcW w:w="924"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20</w:t>
            </w:r>
          </w:p>
        </w:tc>
        <w:tc>
          <w:tcPr>
            <w:tcW w:w="876"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40</w:t>
            </w:r>
          </w:p>
        </w:tc>
        <w:tc>
          <w:tcPr>
            <w:tcW w:w="900"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60</w:t>
            </w:r>
          </w:p>
        </w:tc>
        <w:tc>
          <w:tcPr>
            <w:tcW w:w="888"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80</w:t>
            </w:r>
          </w:p>
        </w:tc>
        <w:tc>
          <w:tcPr>
            <w:tcW w:w="1044"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100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1519"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镉质量</w:t>
            </w:r>
          </w:p>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ng</w:t>
            </w:r>
          </w:p>
        </w:tc>
        <w:tc>
          <w:tcPr>
            <w:tcW w:w="917" w:type="dxa"/>
            <w:tcBorders>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0</w:t>
            </w:r>
          </w:p>
        </w:tc>
        <w:tc>
          <w:tcPr>
            <w:tcW w:w="900"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5</w:t>
            </w:r>
          </w:p>
        </w:tc>
        <w:tc>
          <w:tcPr>
            <w:tcW w:w="888"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10</w:t>
            </w:r>
          </w:p>
        </w:tc>
        <w:tc>
          <w:tcPr>
            <w:tcW w:w="924"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20</w:t>
            </w:r>
          </w:p>
        </w:tc>
        <w:tc>
          <w:tcPr>
            <w:tcW w:w="876"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40</w:t>
            </w:r>
          </w:p>
        </w:tc>
        <w:tc>
          <w:tcPr>
            <w:tcW w:w="900"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60</w:t>
            </w:r>
          </w:p>
        </w:tc>
        <w:tc>
          <w:tcPr>
            <w:tcW w:w="888"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80</w:t>
            </w:r>
          </w:p>
        </w:tc>
        <w:tc>
          <w:tcPr>
            <w:tcW w:w="1044" w:type="dxa"/>
            <w:tcBorders>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100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519"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峰面积</w:t>
            </w:r>
          </w:p>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lang w:val="en-US" w:eastAsia="zh-CN" w:bidi="ar"/>
              </w:rPr>
              <w:t>ΣAbs</w:t>
            </w:r>
          </w:p>
        </w:tc>
        <w:tc>
          <w:tcPr>
            <w:tcW w:w="917"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0.0991</w:t>
            </w:r>
          </w:p>
        </w:tc>
        <w:tc>
          <w:tcPr>
            <w:tcW w:w="900"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0.7052</w:t>
            </w:r>
          </w:p>
        </w:tc>
        <w:tc>
          <w:tcPr>
            <w:tcW w:w="888" w:type="dxa"/>
            <w:tcBorders>
              <w:top w:val="single" w:color="auto" w:sz="4" w:space="0"/>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1.6853</w:t>
            </w:r>
          </w:p>
        </w:tc>
        <w:tc>
          <w:tcPr>
            <w:tcW w:w="924"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3.2666</w:t>
            </w:r>
          </w:p>
        </w:tc>
        <w:tc>
          <w:tcPr>
            <w:tcW w:w="876"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6.2348</w:t>
            </w:r>
          </w:p>
        </w:tc>
        <w:tc>
          <w:tcPr>
            <w:tcW w:w="900"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9.8843</w:t>
            </w:r>
          </w:p>
        </w:tc>
        <w:tc>
          <w:tcPr>
            <w:tcW w:w="888"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12.754</w:t>
            </w:r>
          </w:p>
        </w:tc>
        <w:tc>
          <w:tcPr>
            <w:tcW w:w="1044" w:type="dxa"/>
            <w:tcBorders>
              <w:top w:val="single" w:color="auto" w:sz="4" w:space="0"/>
              <w:bottom w:val="single" w:color="auto" w:sz="4" w:space="0"/>
            </w:tcBorders>
            <w:vAlign w:val="center"/>
          </w:tcPr>
          <w:p>
            <w:pPr>
              <w:pStyle w:val="2"/>
              <w:ind w:left="0" w:leftChars="0" w:firstLine="0" w:firstLineChars="0"/>
              <w:jc w:val="center"/>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15.9721</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1519"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曲线方程</w:t>
            </w:r>
          </w:p>
        </w:tc>
        <w:tc>
          <w:tcPr>
            <w:tcW w:w="7337" w:type="dxa"/>
            <w:gridSpan w:val="8"/>
            <w:tcBorders>
              <w:top w:val="single" w:color="auto" w:sz="4" w:space="0"/>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i w:val="0"/>
                <w:iCs w:val="0"/>
                <w:color w:val="000000"/>
                <w:kern w:val="0"/>
                <w:sz w:val="24"/>
                <w:szCs w:val="24"/>
                <w:vertAlign w:val="baseline"/>
                <w:lang w:val="en-US" w:eastAsia="zh-CN" w:bidi="ar"/>
              </w:rPr>
              <w:t>Y=0.1598X+0.0342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1519" w:type="dxa"/>
            <w:tcBorders>
              <w:top w:val="single" w:color="auto" w:sz="4" w:space="0"/>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vertAlign w:val="baseline"/>
                <w:lang w:val="en-US" w:eastAsia="zh-CN" w:bidi="ar"/>
              </w:rPr>
              <w:t>相关系数</w:t>
            </w:r>
          </w:p>
        </w:tc>
        <w:tc>
          <w:tcPr>
            <w:tcW w:w="7337" w:type="dxa"/>
            <w:gridSpan w:val="8"/>
            <w:tcBorders>
              <w:top w:val="single" w:color="auto" w:sz="4" w:space="0"/>
              <w:bottom w:val="single" w:color="auto" w:sz="4" w:space="0"/>
            </w:tcBorders>
            <w:vAlign w:val="center"/>
          </w:tcPr>
          <w:p>
            <w:pPr>
              <w:pStyle w:val="2"/>
              <w:ind w:left="0" w:leftChars="0" w:firstLine="0" w:firstLineChars="0"/>
              <w:jc w:val="center"/>
              <w:rPr>
                <w:rFonts w:hint="eastAsia" w:ascii="宋体" w:hAnsi="宋体" w:eastAsia="宋体" w:cs="宋体"/>
                <w:color w:val="000000"/>
                <w:kern w:val="0"/>
                <w:sz w:val="21"/>
                <w:szCs w:val="21"/>
                <w:vertAlign w:val="baseline"/>
                <w:lang w:val="en-US" w:eastAsia="zh-CN" w:bidi="ar"/>
              </w:rPr>
            </w:pPr>
            <w:r>
              <w:rPr>
                <w:rFonts w:hint="eastAsia" w:ascii="宋体" w:hAnsi="宋体" w:eastAsia="宋体" w:cs="宋体"/>
                <w:i w:val="0"/>
                <w:iCs w:val="0"/>
                <w:color w:val="000000"/>
                <w:kern w:val="0"/>
                <w:sz w:val="24"/>
                <w:szCs w:val="24"/>
                <w:vertAlign w:val="baseline"/>
                <w:lang w:val="en-US" w:eastAsia="zh-CN" w:bidi="ar"/>
              </w:rPr>
              <w:t>R²=0.9995</w:t>
            </w:r>
          </w:p>
        </w:tc>
      </w:tr>
    </w:tbl>
    <w:p>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lang w:val="en-US" w:eastAsia="zh-CN"/>
        </w:rPr>
      </w:pPr>
      <w:r>
        <w:rPr>
          <w:rFonts w:hint="eastAsia" w:ascii="宋体" w:hAnsi="宋体" w:eastAsia="宋体" w:cs="宋体"/>
          <w:sz w:val="28"/>
          <w:szCs w:val="28"/>
          <w:lang w:val="en-US" w:eastAsia="zh-CN"/>
        </w:rPr>
        <w:t>5.4 方法精密度和准确度</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lang w:val="en-US" w:eastAsia="zh-CN"/>
        </w:rPr>
      </w:pPr>
      <w:r>
        <w:rPr>
          <w:rFonts w:hint="eastAsia" w:ascii="宋体" w:hAnsi="宋体" w:eastAsia="宋体" w:cs="宋体"/>
          <w:color w:val="auto"/>
          <w:kern w:val="0"/>
          <w:sz w:val="24"/>
          <w:szCs w:val="24"/>
          <w:lang w:val="en-US" w:eastAsia="zh-CN" w:bidi="ar"/>
        </w:rPr>
        <w:t>选取6种镉含量不同的土壤标准物质和3个土壤样品依据4.6操作步骤分别测定7定其次，结果见表5-4，由表可知，6种标准物质测定的平均值均在证书值的范围内，相对标准偏差在2.65%-8.82%。3个土壤样品的相对偏差在2.55%-8.98%；该方法测定标准物质的准确度和精密度符合要求，</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lang w:val="en-US" w:eastAsia="zh-CN"/>
        </w:rPr>
      </w:pPr>
      <w:r>
        <w:rPr>
          <w:rFonts w:hint="eastAsia"/>
          <w:b w:val="0"/>
          <w:bCs w:val="0"/>
          <w:lang w:val="en-US" w:eastAsia="zh-CN"/>
        </w:rPr>
        <w:t>5-4 实验的精密度和准确度</w:t>
      </w:r>
    </w:p>
    <w:tbl>
      <w:tblPr>
        <w:tblStyle w:val="10"/>
        <w:tblW w:w="9069" w:type="dxa"/>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25"/>
        <w:gridCol w:w="720"/>
        <w:gridCol w:w="696"/>
        <w:gridCol w:w="672"/>
        <w:gridCol w:w="660"/>
        <w:gridCol w:w="757"/>
        <w:gridCol w:w="627"/>
        <w:gridCol w:w="678"/>
        <w:gridCol w:w="965"/>
        <w:gridCol w:w="897"/>
        <w:gridCol w:w="972"/>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425" w:type="dxa"/>
            <w:vMerge w:val="restart"/>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名称</w:t>
            </w:r>
          </w:p>
        </w:tc>
        <w:tc>
          <w:tcPr>
            <w:tcW w:w="4810" w:type="dxa"/>
            <w:gridSpan w:val="7"/>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结果（mg/kg）</w:t>
            </w:r>
          </w:p>
        </w:tc>
        <w:tc>
          <w:tcPr>
            <w:tcW w:w="965" w:type="dxa"/>
            <w:vMerge w:val="restart"/>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平均值（mg/kg）</w:t>
            </w:r>
          </w:p>
        </w:tc>
        <w:tc>
          <w:tcPr>
            <w:tcW w:w="897" w:type="dxa"/>
            <w:vMerge w:val="restart"/>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标准偏差（%）</w:t>
            </w:r>
          </w:p>
        </w:tc>
        <w:tc>
          <w:tcPr>
            <w:tcW w:w="972" w:type="dxa"/>
            <w:vMerge w:val="restart"/>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相对标准偏差（%）</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1425" w:type="dxa"/>
            <w:vMerge w:val="continue"/>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p>
        </w:tc>
        <w:tc>
          <w:tcPr>
            <w:tcW w:w="720"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1</w:t>
            </w:r>
          </w:p>
        </w:tc>
        <w:tc>
          <w:tcPr>
            <w:tcW w:w="696"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2</w:t>
            </w:r>
          </w:p>
        </w:tc>
        <w:tc>
          <w:tcPr>
            <w:tcW w:w="672"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3</w:t>
            </w:r>
          </w:p>
        </w:tc>
        <w:tc>
          <w:tcPr>
            <w:tcW w:w="660"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4</w:t>
            </w:r>
          </w:p>
        </w:tc>
        <w:tc>
          <w:tcPr>
            <w:tcW w:w="757"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5</w:t>
            </w:r>
          </w:p>
        </w:tc>
        <w:tc>
          <w:tcPr>
            <w:tcW w:w="627"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6</w:t>
            </w:r>
          </w:p>
        </w:tc>
        <w:tc>
          <w:tcPr>
            <w:tcW w:w="678" w:type="dxa"/>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7</w:t>
            </w:r>
          </w:p>
        </w:tc>
        <w:tc>
          <w:tcPr>
            <w:tcW w:w="965" w:type="dxa"/>
            <w:vMerge w:val="continue"/>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p>
        </w:tc>
        <w:tc>
          <w:tcPr>
            <w:tcW w:w="897" w:type="dxa"/>
            <w:vMerge w:val="continue"/>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p>
        </w:tc>
        <w:tc>
          <w:tcPr>
            <w:tcW w:w="972" w:type="dxa"/>
            <w:vMerge w:val="continue"/>
            <w:tcBorders>
              <w:bottom w:val="single" w:color="000000"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default" w:ascii="Times New Roman" w:hAnsi="Times New Roman" w:cs="Times New Roman"/>
                <w:b w:val="0"/>
                <w:bCs w:val="0"/>
                <w:sz w:val="18"/>
                <w:szCs w:val="18"/>
                <w:vertAlign w:val="baseline"/>
                <w:lang w:val="en-US" w:eastAsia="zh-CN"/>
              </w:rPr>
            </w:pP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1425" w:type="dxa"/>
            <w:tcBorders>
              <w:top w:val="single" w:color="000000" w:sz="4" w:space="0"/>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GSS-71</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（0.104±0.011）</w:t>
            </w:r>
          </w:p>
        </w:tc>
        <w:tc>
          <w:tcPr>
            <w:tcW w:w="720"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0.096</w:t>
            </w:r>
          </w:p>
        </w:tc>
        <w:tc>
          <w:tcPr>
            <w:tcW w:w="696"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0.097</w:t>
            </w:r>
          </w:p>
        </w:tc>
        <w:tc>
          <w:tcPr>
            <w:tcW w:w="672"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0.095</w:t>
            </w:r>
          </w:p>
        </w:tc>
        <w:tc>
          <w:tcPr>
            <w:tcW w:w="660"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0.103</w:t>
            </w:r>
          </w:p>
        </w:tc>
        <w:tc>
          <w:tcPr>
            <w:tcW w:w="757"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0.094</w:t>
            </w:r>
          </w:p>
        </w:tc>
        <w:tc>
          <w:tcPr>
            <w:tcW w:w="627"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0.093</w:t>
            </w:r>
          </w:p>
        </w:tc>
        <w:tc>
          <w:tcPr>
            <w:tcW w:w="678"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0.107</w:t>
            </w:r>
          </w:p>
        </w:tc>
        <w:tc>
          <w:tcPr>
            <w:tcW w:w="965"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0.098</w:t>
            </w:r>
          </w:p>
        </w:tc>
        <w:tc>
          <w:tcPr>
            <w:tcW w:w="897"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eastAsiaTheme="minorEastAsia"/>
                <w:b w:val="0"/>
                <w:bCs w:val="0"/>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0.0052</w:t>
            </w:r>
          </w:p>
        </w:tc>
        <w:tc>
          <w:tcPr>
            <w:tcW w:w="972" w:type="dxa"/>
            <w:tcBorders>
              <w:top w:val="single" w:color="000000" w:sz="4" w:space="0"/>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5.29</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142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GSD-31</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（0.23±0.02）</w:t>
            </w:r>
          </w:p>
        </w:tc>
        <w:tc>
          <w:tcPr>
            <w:tcW w:w="72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0.206</w:t>
            </w:r>
          </w:p>
        </w:tc>
        <w:tc>
          <w:tcPr>
            <w:tcW w:w="696"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0.226</w:t>
            </w:r>
          </w:p>
        </w:tc>
        <w:tc>
          <w:tcPr>
            <w:tcW w:w="6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0.211</w:t>
            </w:r>
          </w:p>
        </w:tc>
        <w:tc>
          <w:tcPr>
            <w:tcW w:w="66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0.241</w:t>
            </w:r>
          </w:p>
        </w:tc>
        <w:tc>
          <w:tcPr>
            <w:tcW w:w="75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0.222</w:t>
            </w:r>
          </w:p>
        </w:tc>
        <w:tc>
          <w:tcPr>
            <w:tcW w:w="62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0.253</w:t>
            </w:r>
          </w:p>
        </w:tc>
        <w:tc>
          <w:tcPr>
            <w:tcW w:w="67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0.209</w:t>
            </w:r>
          </w:p>
        </w:tc>
        <w:tc>
          <w:tcPr>
            <w:tcW w:w="965"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0.224</w:t>
            </w:r>
          </w:p>
        </w:tc>
        <w:tc>
          <w:tcPr>
            <w:tcW w:w="89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eastAsiaTheme="minorEastAsia"/>
                <w:b w:val="0"/>
                <w:bCs w:val="0"/>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0.0176</w:t>
            </w:r>
          </w:p>
        </w:tc>
        <w:tc>
          <w:tcPr>
            <w:tcW w:w="9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7.85</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42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GSS-5</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（0.45±0.06）</w:t>
            </w:r>
          </w:p>
        </w:tc>
        <w:tc>
          <w:tcPr>
            <w:tcW w:w="72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0.443</w:t>
            </w:r>
          </w:p>
        </w:tc>
        <w:tc>
          <w:tcPr>
            <w:tcW w:w="696"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0.53</w:t>
            </w:r>
          </w:p>
        </w:tc>
        <w:tc>
          <w:tcPr>
            <w:tcW w:w="6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0.457</w:t>
            </w:r>
          </w:p>
        </w:tc>
        <w:tc>
          <w:tcPr>
            <w:tcW w:w="66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0.454</w:t>
            </w:r>
          </w:p>
        </w:tc>
        <w:tc>
          <w:tcPr>
            <w:tcW w:w="75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0.446</w:t>
            </w:r>
          </w:p>
        </w:tc>
        <w:tc>
          <w:tcPr>
            <w:tcW w:w="62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0.468</w:t>
            </w:r>
          </w:p>
        </w:tc>
        <w:tc>
          <w:tcPr>
            <w:tcW w:w="67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0.463</w:t>
            </w:r>
          </w:p>
        </w:tc>
        <w:tc>
          <w:tcPr>
            <w:tcW w:w="965"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0.466</w:t>
            </w:r>
          </w:p>
        </w:tc>
        <w:tc>
          <w:tcPr>
            <w:tcW w:w="89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eastAsiaTheme="minorEastAsia"/>
                <w:b w:val="0"/>
                <w:bCs w:val="0"/>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0.0296</w:t>
            </w:r>
          </w:p>
        </w:tc>
        <w:tc>
          <w:tcPr>
            <w:tcW w:w="9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6.36</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142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GBW07305a</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（1.37±0.1）</w:t>
            </w:r>
          </w:p>
        </w:tc>
        <w:tc>
          <w:tcPr>
            <w:tcW w:w="72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1.28</w:t>
            </w:r>
          </w:p>
        </w:tc>
        <w:tc>
          <w:tcPr>
            <w:tcW w:w="696"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1.17</w:t>
            </w:r>
          </w:p>
        </w:tc>
        <w:tc>
          <w:tcPr>
            <w:tcW w:w="6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1.44</w:t>
            </w:r>
          </w:p>
        </w:tc>
        <w:tc>
          <w:tcPr>
            <w:tcW w:w="66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1.32</w:t>
            </w:r>
          </w:p>
        </w:tc>
        <w:tc>
          <w:tcPr>
            <w:tcW w:w="75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1.41</w:t>
            </w:r>
          </w:p>
        </w:tc>
        <w:tc>
          <w:tcPr>
            <w:tcW w:w="62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1.32</w:t>
            </w:r>
          </w:p>
        </w:tc>
        <w:tc>
          <w:tcPr>
            <w:tcW w:w="67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1.34</w:t>
            </w:r>
          </w:p>
        </w:tc>
        <w:tc>
          <w:tcPr>
            <w:tcW w:w="965"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1.33</w:t>
            </w:r>
          </w:p>
        </w:tc>
        <w:tc>
          <w:tcPr>
            <w:tcW w:w="89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eastAsiaTheme="minorEastAsia"/>
                <w:b w:val="0"/>
                <w:bCs w:val="0"/>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0.0883</w:t>
            </w:r>
          </w:p>
        </w:tc>
        <w:tc>
          <w:tcPr>
            <w:tcW w:w="9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6.66</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142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GSS-38</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（2.8±0.2）</w:t>
            </w:r>
          </w:p>
        </w:tc>
        <w:tc>
          <w:tcPr>
            <w:tcW w:w="72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2.78</w:t>
            </w:r>
          </w:p>
        </w:tc>
        <w:tc>
          <w:tcPr>
            <w:tcW w:w="696"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2.84</w:t>
            </w:r>
          </w:p>
        </w:tc>
        <w:tc>
          <w:tcPr>
            <w:tcW w:w="6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2.73</w:t>
            </w:r>
          </w:p>
        </w:tc>
        <w:tc>
          <w:tcPr>
            <w:tcW w:w="66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2.78</w:t>
            </w:r>
          </w:p>
        </w:tc>
        <w:tc>
          <w:tcPr>
            <w:tcW w:w="75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2.69</w:t>
            </w:r>
          </w:p>
        </w:tc>
        <w:tc>
          <w:tcPr>
            <w:tcW w:w="62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2.7</w:t>
            </w:r>
          </w:p>
        </w:tc>
        <w:tc>
          <w:tcPr>
            <w:tcW w:w="67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2.62</w:t>
            </w:r>
          </w:p>
        </w:tc>
        <w:tc>
          <w:tcPr>
            <w:tcW w:w="965"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2.73</w:t>
            </w:r>
          </w:p>
        </w:tc>
        <w:tc>
          <w:tcPr>
            <w:tcW w:w="89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eastAsiaTheme="minorEastAsia"/>
                <w:b w:val="0"/>
                <w:bCs w:val="0"/>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0.0725</w:t>
            </w:r>
          </w:p>
        </w:tc>
        <w:tc>
          <w:tcPr>
            <w:tcW w:w="9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2.65</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142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GSD-17</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imes New Roman" w:hAnsi="Times New Roman" w:cs="Times New Roman"/>
                <w:b w:val="0"/>
                <w:bCs w:val="0"/>
                <w:sz w:val="18"/>
                <w:szCs w:val="18"/>
                <w:vertAlign w:val="baseline"/>
                <w:lang w:val="en-US" w:eastAsia="zh-CN"/>
              </w:rPr>
            </w:pPr>
            <w:r>
              <w:rPr>
                <w:rFonts w:hint="default" w:ascii="Times New Roman" w:hAnsi="Times New Roman" w:cs="Times New Roman"/>
                <w:b w:val="0"/>
                <w:bCs w:val="0"/>
                <w:sz w:val="18"/>
                <w:szCs w:val="18"/>
                <w:vertAlign w:val="baseline"/>
                <w:lang w:val="en-US" w:eastAsia="zh-CN"/>
              </w:rPr>
              <w:t>（4.3±0.5）</w:t>
            </w:r>
          </w:p>
        </w:tc>
        <w:tc>
          <w:tcPr>
            <w:tcW w:w="72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4.92</w:t>
            </w:r>
          </w:p>
        </w:tc>
        <w:tc>
          <w:tcPr>
            <w:tcW w:w="696"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3.83</w:t>
            </w:r>
          </w:p>
        </w:tc>
        <w:tc>
          <w:tcPr>
            <w:tcW w:w="6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3.95</w:t>
            </w:r>
          </w:p>
        </w:tc>
        <w:tc>
          <w:tcPr>
            <w:tcW w:w="660"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3.94</w:t>
            </w:r>
          </w:p>
        </w:tc>
        <w:tc>
          <w:tcPr>
            <w:tcW w:w="75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3.99</w:t>
            </w:r>
          </w:p>
        </w:tc>
        <w:tc>
          <w:tcPr>
            <w:tcW w:w="62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4.26</w:t>
            </w:r>
          </w:p>
        </w:tc>
        <w:tc>
          <w:tcPr>
            <w:tcW w:w="678"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4.19</w:t>
            </w:r>
          </w:p>
        </w:tc>
        <w:tc>
          <w:tcPr>
            <w:tcW w:w="965"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4.15</w:t>
            </w:r>
          </w:p>
        </w:tc>
        <w:tc>
          <w:tcPr>
            <w:tcW w:w="897"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eastAsiaTheme="minorEastAsia"/>
                <w:b w:val="0"/>
                <w:bCs w:val="0"/>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0.369</w:t>
            </w:r>
          </w:p>
        </w:tc>
        <w:tc>
          <w:tcPr>
            <w:tcW w:w="972" w:type="dxa"/>
            <w:tcBorders>
              <w:top w:val="nil"/>
              <w:bottom w:val="nil"/>
            </w:tcBorders>
            <w:vAlign w:val="center"/>
          </w:tcPr>
          <w:p>
            <w:pPr>
              <w:keepNext w:val="0"/>
              <w:keepLines w:val="0"/>
              <w:widowControl/>
              <w:suppressLineNumbers w:val="0"/>
              <w:jc w:val="center"/>
              <w:textAlignment w:val="center"/>
              <w:rPr>
                <w:rFonts w:hint="default" w:ascii="Times New Roman" w:hAnsi="Times New Roman" w:cs="Times New Roman"/>
                <w:b w:val="0"/>
                <w:bCs w:val="0"/>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8.89</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pPr>
              <w:pStyle w:val="2"/>
              <w:numPr>
                <w:ilvl w:val="0"/>
                <w:numId w:val="0"/>
              </w:numPr>
              <w:jc w:val="center"/>
              <w:rPr>
                <w:rFonts w:hint="default" w:ascii="Times New Roman" w:hAnsi="Times New Roman" w:eastAsia="宋体" w:cs="Times New Roman"/>
                <w:color w:val="FF0000"/>
                <w:kern w:val="0"/>
                <w:sz w:val="18"/>
                <w:szCs w:val="18"/>
                <w:vertAlign w:val="baseli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22930</w:t>
            </w:r>
          </w:p>
        </w:tc>
        <w:tc>
          <w:tcPr>
            <w:tcW w:w="72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0.229</w:t>
            </w:r>
          </w:p>
        </w:tc>
        <w:tc>
          <w:tcPr>
            <w:tcW w:w="69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0.245</w:t>
            </w:r>
          </w:p>
        </w:tc>
        <w:tc>
          <w:tcPr>
            <w:tcW w:w="67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0.223</w:t>
            </w:r>
          </w:p>
        </w:tc>
        <w:tc>
          <w:tcPr>
            <w:tcW w:w="66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0.243</w:t>
            </w:r>
          </w:p>
        </w:tc>
        <w:tc>
          <w:tcPr>
            <w:tcW w:w="7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0.286</w:t>
            </w:r>
          </w:p>
        </w:tc>
        <w:tc>
          <w:tcPr>
            <w:tcW w:w="62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0.225</w:t>
            </w:r>
          </w:p>
        </w:tc>
        <w:tc>
          <w:tcPr>
            <w:tcW w:w="678"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0.235</w:t>
            </w:r>
          </w:p>
        </w:tc>
        <w:tc>
          <w:tcPr>
            <w:tcW w:w="965" w:type="dxa"/>
            <w:vAlign w:val="center"/>
          </w:tcPr>
          <w:p>
            <w:pPr>
              <w:pStyle w:val="2"/>
              <w:numPr>
                <w:ilvl w:val="0"/>
                <w:numId w:val="0"/>
              </w:numPr>
              <w:jc w:val="center"/>
              <w:rPr>
                <w:rFonts w:hint="default" w:ascii="Times New Roman" w:hAnsi="Times New Roman" w:cs="Times New Roman"/>
                <w:b/>
                <w:bCs/>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0.241</w:t>
            </w:r>
          </w:p>
        </w:tc>
        <w:tc>
          <w:tcPr>
            <w:tcW w:w="89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2.16 </w:t>
            </w:r>
          </w:p>
        </w:tc>
        <w:tc>
          <w:tcPr>
            <w:tcW w:w="97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8.98 </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40491</w:t>
            </w:r>
          </w:p>
        </w:tc>
        <w:tc>
          <w:tcPr>
            <w:tcW w:w="72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2.47 </w:t>
            </w:r>
          </w:p>
        </w:tc>
        <w:tc>
          <w:tcPr>
            <w:tcW w:w="69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2.33 </w:t>
            </w:r>
          </w:p>
        </w:tc>
        <w:tc>
          <w:tcPr>
            <w:tcW w:w="67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2.30 </w:t>
            </w:r>
          </w:p>
        </w:tc>
        <w:tc>
          <w:tcPr>
            <w:tcW w:w="66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2.34 </w:t>
            </w:r>
          </w:p>
        </w:tc>
        <w:tc>
          <w:tcPr>
            <w:tcW w:w="7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2.51 </w:t>
            </w:r>
          </w:p>
        </w:tc>
        <w:tc>
          <w:tcPr>
            <w:tcW w:w="62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2.28 </w:t>
            </w:r>
          </w:p>
        </w:tc>
        <w:tc>
          <w:tcPr>
            <w:tcW w:w="678"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2.38 </w:t>
            </w:r>
          </w:p>
        </w:tc>
        <w:tc>
          <w:tcPr>
            <w:tcW w:w="965" w:type="dxa"/>
            <w:vAlign w:val="center"/>
          </w:tcPr>
          <w:p>
            <w:pPr>
              <w:pStyle w:val="2"/>
              <w:numPr>
                <w:ilvl w:val="0"/>
                <w:numId w:val="0"/>
              </w:numPr>
              <w:jc w:val="center"/>
              <w:rPr>
                <w:rFonts w:hint="default" w:ascii="Times New Roman" w:hAnsi="Times New Roman" w:cs="Times New Roman"/>
                <w:b/>
                <w:bCs/>
                <w:sz w:val="18"/>
                <w:szCs w:val="18"/>
                <w:vertAlign w:val="baseli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2.37</w:t>
            </w:r>
          </w:p>
        </w:tc>
        <w:tc>
          <w:tcPr>
            <w:tcW w:w="89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8.60 </w:t>
            </w:r>
          </w:p>
        </w:tc>
        <w:tc>
          <w:tcPr>
            <w:tcW w:w="97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3.63 </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5"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32187</w:t>
            </w:r>
          </w:p>
        </w:tc>
        <w:tc>
          <w:tcPr>
            <w:tcW w:w="72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7.99 </w:t>
            </w:r>
          </w:p>
        </w:tc>
        <w:tc>
          <w:tcPr>
            <w:tcW w:w="69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8.39 </w:t>
            </w:r>
          </w:p>
        </w:tc>
        <w:tc>
          <w:tcPr>
            <w:tcW w:w="67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7.86 </w:t>
            </w:r>
          </w:p>
        </w:tc>
        <w:tc>
          <w:tcPr>
            <w:tcW w:w="66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7.98 </w:t>
            </w:r>
          </w:p>
        </w:tc>
        <w:tc>
          <w:tcPr>
            <w:tcW w:w="7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8.37 </w:t>
            </w:r>
          </w:p>
        </w:tc>
        <w:tc>
          <w:tcPr>
            <w:tcW w:w="62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7.99 </w:t>
            </w:r>
          </w:p>
        </w:tc>
        <w:tc>
          <w:tcPr>
            <w:tcW w:w="678"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8.07 </w:t>
            </w:r>
          </w:p>
        </w:tc>
        <w:tc>
          <w:tcPr>
            <w:tcW w:w="965" w:type="dxa"/>
            <w:vAlign w:val="center"/>
          </w:tcPr>
          <w:p>
            <w:pPr>
              <w:pStyle w:val="2"/>
              <w:numPr>
                <w:ilvl w:val="0"/>
                <w:numId w:val="0"/>
              </w:numPr>
              <w:ind w:left="0" w:leftChars="0" w:firstLine="0" w:firstLineChars="0"/>
              <w:jc w:val="center"/>
              <w:rPr>
                <w:rFonts w:hint="default" w:ascii="Times New Roman" w:hAnsi="Times New Roman" w:cs="Times New Roman" w:eastAsiaTheme="minorEastAsia"/>
                <w:b/>
                <w:bCs/>
                <w:kern w:val="2"/>
                <w:sz w:val="18"/>
                <w:szCs w:val="18"/>
                <w:vertAlign w:val="baseli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8.09</w:t>
            </w:r>
          </w:p>
        </w:tc>
        <w:tc>
          <w:tcPr>
            <w:tcW w:w="89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20.66 </w:t>
            </w:r>
          </w:p>
        </w:tc>
        <w:tc>
          <w:tcPr>
            <w:tcW w:w="97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2.55 </w:t>
            </w:r>
          </w:p>
        </w:tc>
      </w:tr>
    </w:tbl>
    <w:p>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5.5 加标回收</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lang w:val="en-US" w:eastAsia="zh-CN"/>
        </w:rPr>
      </w:pPr>
      <w:r>
        <w:rPr>
          <w:rFonts w:hint="eastAsia"/>
          <w:sz w:val="24"/>
          <w:szCs w:val="24"/>
          <w:lang w:val="en-US" w:eastAsia="zh-CN"/>
        </w:rPr>
        <w:t>分别对各个样品加标10ng、50ng、70ng、100ng镉标液，每个加标水平制备平行样测定结果见表5-5，通过加标回收，样品加标回收率在94.16%</w:t>
      </w:r>
      <w:r>
        <w:rPr>
          <w:rFonts w:hint="eastAsia" w:ascii="微软雅黑" w:hAnsi="微软雅黑" w:eastAsia="微软雅黑" w:cs="微软雅黑"/>
          <w:sz w:val="24"/>
          <w:szCs w:val="24"/>
          <w:lang w:val="en-US" w:eastAsia="zh-CN"/>
        </w:rPr>
        <w:t>〜</w:t>
      </w:r>
      <w:r>
        <w:rPr>
          <w:rFonts w:hint="eastAsia"/>
          <w:sz w:val="24"/>
          <w:szCs w:val="24"/>
          <w:lang w:val="en-US" w:eastAsia="zh-CN"/>
        </w:rPr>
        <w:t>100.87%之间，加标回收率符合要求。</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lang w:val="en-US" w:eastAsia="zh-CN"/>
        </w:rPr>
      </w:pPr>
      <w:r>
        <w:rPr>
          <w:rFonts w:hint="eastAsia"/>
          <w:b w:val="0"/>
          <w:bCs w:val="0"/>
          <w:lang w:val="en-US" w:eastAsia="zh-CN"/>
        </w:rPr>
        <w:t>5-5 实验的加标回收率</w:t>
      </w:r>
    </w:p>
    <w:tbl>
      <w:tblPr>
        <w:tblStyle w:val="10"/>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68"/>
        <w:gridCol w:w="614"/>
        <w:gridCol w:w="1033"/>
        <w:gridCol w:w="1089"/>
        <w:gridCol w:w="922"/>
        <w:gridCol w:w="1023"/>
        <w:gridCol w:w="866"/>
        <w:gridCol w:w="1056"/>
        <w:gridCol w:w="844"/>
        <w:gridCol w:w="10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1782" w:type="dxa"/>
            <w:gridSpan w:val="2"/>
            <w:vMerge w:val="restart"/>
            <w:tcBorders>
              <w:top w:val="single" w:color="auto" w:sz="4" w:space="0"/>
            </w:tcBorders>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平行号</w:t>
            </w:r>
          </w:p>
        </w:tc>
        <w:tc>
          <w:tcPr>
            <w:tcW w:w="7910" w:type="dxa"/>
            <w:gridSpan w:val="8"/>
            <w:tcBorders>
              <w:top w:val="single" w:color="auto" w:sz="4" w:space="0"/>
            </w:tcBorders>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实际样品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82" w:type="dxa"/>
            <w:gridSpan w:val="2"/>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2122" w:type="dxa"/>
            <w:gridSpan w:val="2"/>
            <w:vAlign w:val="center"/>
          </w:tcPr>
          <w:p>
            <w:pPr>
              <w:keepNext w:val="0"/>
              <w:keepLines w:val="0"/>
              <w:widowControl/>
              <w:suppressLineNumbers w:val="0"/>
              <w:jc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GSS-71</w:t>
            </w:r>
          </w:p>
        </w:tc>
        <w:tc>
          <w:tcPr>
            <w:tcW w:w="1945" w:type="dxa"/>
            <w:gridSpan w:val="2"/>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GSS-5</w:t>
            </w:r>
          </w:p>
        </w:tc>
        <w:tc>
          <w:tcPr>
            <w:tcW w:w="1922" w:type="dxa"/>
            <w:gridSpan w:val="2"/>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GBW07305a</w:t>
            </w:r>
          </w:p>
        </w:tc>
        <w:tc>
          <w:tcPr>
            <w:tcW w:w="1921" w:type="dxa"/>
            <w:gridSpan w:val="2"/>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GSS-1a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782" w:type="dxa"/>
            <w:gridSpan w:val="2"/>
            <w:vMerge w:val="continue"/>
            <w:tcBorders>
              <w:bottom w:val="single" w:color="auto" w:sz="4" w:space="0"/>
            </w:tcBorders>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1033" w:type="dxa"/>
            <w:tcBorders>
              <w:bottom w:val="single" w:color="auto" w:sz="4" w:space="0"/>
            </w:tcBorders>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样品</w:t>
            </w:r>
          </w:p>
        </w:tc>
        <w:tc>
          <w:tcPr>
            <w:tcW w:w="1089"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加1ug/ml标液测试</w:t>
            </w:r>
          </w:p>
        </w:tc>
        <w:tc>
          <w:tcPr>
            <w:tcW w:w="922"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样品</w:t>
            </w:r>
          </w:p>
        </w:tc>
        <w:tc>
          <w:tcPr>
            <w:tcW w:w="1023"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加1ug/ml标液测试</w:t>
            </w:r>
          </w:p>
        </w:tc>
        <w:tc>
          <w:tcPr>
            <w:tcW w:w="86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样品</w:t>
            </w:r>
          </w:p>
        </w:tc>
        <w:tc>
          <w:tcPr>
            <w:tcW w:w="105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加2ug/ml标液测试</w:t>
            </w:r>
          </w:p>
        </w:tc>
        <w:tc>
          <w:tcPr>
            <w:tcW w:w="844"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样品</w:t>
            </w:r>
          </w:p>
        </w:tc>
        <w:tc>
          <w:tcPr>
            <w:tcW w:w="1077"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auto"/>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加2ug/ml标液测试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68" w:type="dxa"/>
            <w:vMerge w:val="restart"/>
            <w:tcBorders>
              <w:top w:val="single" w:color="auto" w:sz="4" w:space="0"/>
            </w:tcBorders>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测定结果（单位： ng）</w:t>
            </w:r>
          </w:p>
        </w:tc>
        <w:tc>
          <w:tcPr>
            <w:tcW w:w="614" w:type="dxa"/>
            <w:tcBorders>
              <w:top w:val="single" w:color="auto" w:sz="4" w:space="0"/>
            </w:tcBorders>
            <w:vAlign w:val="center"/>
          </w:tcPr>
          <w:p>
            <w:pPr>
              <w:keepNext w:val="0"/>
              <w:keepLines w:val="0"/>
              <w:widowControl/>
              <w:suppressLineNumbers w:val="0"/>
              <w:jc w:val="center"/>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w:t>
            </w:r>
          </w:p>
        </w:tc>
        <w:tc>
          <w:tcPr>
            <w:tcW w:w="1033"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11.432</w:t>
            </w:r>
          </w:p>
        </w:tc>
        <w:tc>
          <w:tcPr>
            <w:tcW w:w="1089" w:type="dxa"/>
            <w:tcBorders>
              <w:top w:val="single" w:color="auto" w:sz="4" w:space="0"/>
            </w:tcBorders>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21.585</w:t>
            </w:r>
          </w:p>
        </w:tc>
        <w:tc>
          <w:tcPr>
            <w:tcW w:w="922"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46.423</w:t>
            </w:r>
          </w:p>
        </w:tc>
        <w:tc>
          <w:tcPr>
            <w:tcW w:w="1023" w:type="dxa"/>
            <w:tcBorders>
              <w:top w:val="single" w:color="auto" w:sz="4" w:space="0"/>
            </w:tcBorders>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94.967</w:t>
            </w:r>
          </w:p>
        </w:tc>
        <w:tc>
          <w:tcPr>
            <w:tcW w:w="866"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67.078</w:t>
            </w:r>
          </w:p>
        </w:tc>
        <w:tc>
          <w:tcPr>
            <w:tcW w:w="1056" w:type="dxa"/>
            <w:tcBorders>
              <w:top w:val="single" w:color="auto" w:sz="4" w:space="0"/>
            </w:tcBorders>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126.820</w:t>
            </w:r>
          </w:p>
        </w:tc>
        <w:tc>
          <w:tcPr>
            <w:tcW w:w="844"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85.928</w:t>
            </w:r>
          </w:p>
        </w:tc>
        <w:tc>
          <w:tcPr>
            <w:tcW w:w="1077"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175.088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1168" w:type="dxa"/>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614" w:type="dxa"/>
            <w:vAlign w:val="center"/>
          </w:tcPr>
          <w:p>
            <w:pPr>
              <w:keepNext w:val="0"/>
              <w:keepLines w:val="0"/>
              <w:widowControl/>
              <w:suppressLineNumbers w:val="0"/>
              <w:jc w:val="center"/>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2</w:t>
            </w:r>
          </w:p>
        </w:tc>
        <w:tc>
          <w:tcPr>
            <w:tcW w:w="103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11.208</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20.395</w:t>
            </w:r>
          </w:p>
        </w:tc>
        <w:tc>
          <w:tcPr>
            <w:tcW w:w="92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56.208</w:t>
            </w:r>
          </w:p>
        </w:tc>
        <w:tc>
          <w:tcPr>
            <w:tcW w:w="102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102.286</w:t>
            </w:r>
          </w:p>
        </w:tc>
        <w:tc>
          <w:tcPr>
            <w:tcW w:w="86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70.064</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137.876</w:t>
            </w:r>
          </w:p>
        </w:tc>
        <w:tc>
          <w:tcPr>
            <w:tcW w:w="844"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88.408</w:t>
            </w:r>
          </w:p>
        </w:tc>
        <w:tc>
          <w:tcPr>
            <w:tcW w:w="107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180.975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1168" w:type="dxa"/>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614" w:type="dxa"/>
            <w:vAlign w:val="center"/>
          </w:tcPr>
          <w:p>
            <w:pPr>
              <w:keepNext w:val="0"/>
              <w:keepLines w:val="0"/>
              <w:widowControl/>
              <w:suppressLineNumbers w:val="0"/>
              <w:jc w:val="center"/>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3</w:t>
            </w:r>
          </w:p>
        </w:tc>
        <w:tc>
          <w:tcPr>
            <w:tcW w:w="103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11.660</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23.097</w:t>
            </w:r>
          </w:p>
        </w:tc>
        <w:tc>
          <w:tcPr>
            <w:tcW w:w="92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49.278</w:t>
            </w:r>
          </w:p>
        </w:tc>
        <w:tc>
          <w:tcPr>
            <w:tcW w:w="102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101.541</w:t>
            </w:r>
          </w:p>
        </w:tc>
        <w:tc>
          <w:tcPr>
            <w:tcW w:w="86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67.519</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138.205</w:t>
            </w:r>
          </w:p>
        </w:tc>
        <w:tc>
          <w:tcPr>
            <w:tcW w:w="844"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78.118</w:t>
            </w:r>
          </w:p>
        </w:tc>
        <w:tc>
          <w:tcPr>
            <w:tcW w:w="107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169.091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1168" w:type="dxa"/>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614" w:type="dxa"/>
            <w:vAlign w:val="center"/>
          </w:tcPr>
          <w:p>
            <w:pPr>
              <w:keepNext w:val="0"/>
              <w:keepLines w:val="0"/>
              <w:widowControl/>
              <w:suppressLineNumbers w:val="0"/>
              <w:jc w:val="center"/>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4</w:t>
            </w:r>
          </w:p>
        </w:tc>
        <w:tc>
          <w:tcPr>
            <w:tcW w:w="103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10.596</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21.808</w:t>
            </w:r>
          </w:p>
        </w:tc>
        <w:tc>
          <w:tcPr>
            <w:tcW w:w="92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47.977</w:t>
            </w:r>
          </w:p>
        </w:tc>
        <w:tc>
          <w:tcPr>
            <w:tcW w:w="102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97.269</w:t>
            </w:r>
          </w:p>
        </w:tc>
        <w:tc>
          <w:tcPr>
            <w:tcW w:w="86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69.727</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138.829</w:t>
            </w:r>
          </w:p>
        </w:tc>
        <w:tc>
          <w:tcPr>
            <w:tcW w:w="844"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82.129</w:t>
            </w:r>
          </w:p>
        </w:tc>
        <w:tc>
          <w:tcPr>
            <w:tcW w:w="107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182.159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1168" w:type="dxa"/>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614" w:type="dxa"/>
            <w:vAlign w:val="center"/>
          </w:tcPr>
          <w:p>
            <w:pPr>
              <w:keepNext w:val="0"/>
              <w:keepLines w:val="0"/>
              <w:widowControl/>
              <w:suppressLineNumbers w:val="0"/>
              <w:jc w:val="center"/>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5</w:t>
            </w:r>
          </w:p>
        </w:tc>
        <w:tc>
          <w:tcPr>
            <w:tcW w:w="103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11.930</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20.965</w:t>
            </w:r>
          </w:p>
        </w:tc>
        <w:tc>
          <w:tcPr>
            <w:tcW w:w="92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47.158</w:t>
            </w:r>
          </w:p>
        </w:tc>
        <w:tc>
          <w:tcPr>
            <w:tcW w:w="102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93.364</w:t>
            </w:r>
          </w:p>
        </w:tc>
        <w:tc>
          <w:tcPr>
            <w:tcW w:w="86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77.907</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138.293</w:t>
            </w:r>
          </w:p>
        </w:tc>
        <w:tc>
          <w:tcPr>
            <w:tcW w:w="844"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80.301</w:t>
            </w:r>
          </w:p>
        </w:tc>
        <w:tc>
          <w:tcPr>
            <w:tcW w:w="107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187.234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1168" w:type="dxa"/>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614" w:type="dxa"/>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6</w:t>
            </w:r>
          </w:p>
        </w:tc>
        <w:tc>
          <w:tcPr>
            <w:tcW w:w="103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11.349</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21.379</w:t>
            </w:r>
          </w:p>
        </w:tc>
        <w:tc>
          <w:tcPr>
            <w:tcW w:w="92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51.555</w:t>
            </w:r>
          </w:p>
        </w:tc>
        <w:tc>
          <w:tcPr>
            <w:tcW w:w="102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99.988</w:t>
            </w:r>
          </w:p>
        </w:tc>
        <w:tc>
          <w:tcPr>
            <w:tcW w:w="86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68.101</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138.855</w:t>
            </w:r>
          </w:p>
        </w:tc>
        <w:tc>
          <w:tcPr>
            <w:tcW w:w="844"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83.347</w:t>
            </w:r>
          </w:p>
        </w:tc>
        <w:tc>
          <w:tcPr>
            <w:tcW w:w="107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182.114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168" w:type="dxa"/>
            <w:vMerge w:val="continue"/>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p>
        </w:tc>
        <w:tc>
          <w:tcPr>
            <w:tcW w:w="614" w:type="dxa"/>
            <w:vAlign w:val="center"/>
          </w:tcPr>
          <w:p>
            <w:pPr>
              <w:keepNext w:val="0"/>
              <w:keepLines w:val="0"/>
              <w:widowControl/>
              <w:suppressLineNumbers w:val="0"/>
              <w:jc w:val="center"/>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7</w:t>
            </w:r>
          </w:p>
        </w:tc>
        <w:tc>
          <w:tcPr>
            <w:tcW w:w="103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11.319</w:t>
            </w:r>
          </w:p>
        </w:tc>
        <w:tc>
          <w:tcPr>
            <w:tcW w:w="1089"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20.874</w:t>
            </w:r>
          </w:p>
        </w:tc>
        <w:tc>
          <w:tcPr>
            <w:tcW w:w="922"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50.036</w:t>
            </w:r>
          </w:p>
        </w:tc>
        <w:tc>
          <w:tcPr>
            <w:tcW w:w="1023"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97.177</w:t>
            </w:r>
          </w:p>
        </w:tc>
        <w:tc>
          <w:tcPr>
            <w:tcW w:w="86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76.585</w:t>
            </w:r>
          </w:p>
        </w:tc>
        <w:tc>
          <w:tcPr>
            <w:tcW w:w="1056"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139.501</w:t>
            </w:r>
          </w:p>
        </w:tc>
        <w:tc>
          <w:tcPr>
            <w:tcW w:w="844"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89.083</w:t>
            </w:r>
          </w:p>
        </w:tc>
        <w:tc>
          <w:tcPr>
            <w:tcW w:w="1077" w:type="dxa"/>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176.941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782" w:type="dxa"/>
            <w:gridSpan w:val="2"/>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平均值（单位：ng）</w:t>
            </w:r>
          </w:p>
        </w:tc>
        <w:tc>
          <w:tcPr>
            <w:tcW w:w="1033"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11.356</w:t>
            </w:r>
          </w:p>
        </w:tc>
        <w:tc>
          <w:tcPr>
            <w:tcW w:w="108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21.443</w:t>
            </w:r>
          </w:p>
        </w:tc>
        <w:tc>
          <w:tcPr>
            <w:tcW w:w="92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49.805</w:t>
            </w:r>
          </w:p>
        </w:tc>
        <w:tc>
          <w:tcPr>
            <w:tcW w:w="1023"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98.085</w:t>
            </w:r>
          </w:p>
        </w:tc>
        <w:tc>
          <w:tcPr>
            <w:tcW w:w="86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70.997</w:t>
            </w:r>
          </w:p>
        </w:tc>
        <w:tc>
          <w:tcPr>
            <w:tcW w:w="105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136.911</w:t>
            </w:r>
          </w:p>
        </w:tc>
        <w:tc>
          <w:tcPr>
            <w:tcW w:w="844"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83.902</w:t>
            </w:r>
          </w:p>
        </w:tc>
        <w:tc>
          <w:tcPr>
            <w:tcW w:w="107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175.372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782" w:type="dxa"/>
            <w:gridSpan w:val="2"/>
            <w:vAlign w:val="center"/>
          </w:tcPr>
          <w:p>
            <w:pPr>
              <w:keepNext w:val="0"/>
              <w:keepLines w:val="0"/>
              <w:widowControl/>
              <w:suppressLineNumbers w:val="0"/>
              <w:jc w:val="center"/>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加标量（单位：ng）</w:t>
            </w:r>
          </w:p>
        </w:tc>
        <w:tc>
          <w:tcPr>
            <w:tcW w:w="2122" w:type="dxa"/>
            <w:gridSpan w:val="2"/>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945" w:type="dxa"/>
            <w:gridSpan w:val="2"/>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922" w:type="dxa"/>
            <w:gridSpan w:val="2"/>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w:t>
            </w:r>
          </w:p>
        </w:tc>
        <w:tc>
          <w:tcPr>
            <w:tcW w:w="1921" w:type="dxa"/>
            <w:gridSpan w:val="2"/>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782" w:type="dxa"/>
            <w:gridSpan w:val="2"/>
            <w:tcBorders>
              <w:bottom w:val="single" w:color="auto" w:sz="4" w:space="0"/>
            </w:tcBorders>
            <w:vAlign w:val="center"/>
          </w:tcPr>
          <w:p>
            <w:pPr>
              <w:keepNext w:val="0"/>
              <w:keepLines w:val="0"/>
              <w:widowControl/>
              <w:suppressLineNumbers w:val="0"/>
              <w:jc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加标回收率</w:t>
            </w:r>
            <w:r>
              <w:rPr>
                <w:rFonts w:hint="default" w:ascii="Times New Roman" w:hAnsi="Times New Roman" w:eastAsia="宋体" w:cs="Times New Roman"/>
                <w:i w:val="0"/>
                <w:iCs w:val="0"/>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w:t>
            </w:r>
            <w:r>
              <w:rPr>
                <w:rFonts w:hint="default" w:ascii="Times New Roman" w:hAnsi="Times New Roman" w:eastAsia="宋体" w:cs="Times New Roman"/>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w:t>
            </w:r>
          </w:p>
        </w:tc>
        <w:tc>
          <w:tcPr>
            <w:tcW w:w="2122" w:type="dxa"/>
            <w:gridSpan w:val="2"/>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100.87</w:t>
            </w:r>
          </w:p>
        </w:tc>
        <w:tc>
          <w:tcPr>
            <w:tcW w:w="1945" w:type="dxa"/>
            <w:gridSpan w:val="2"/>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96.56</w:t>
            </w:r>
          </w:p>
        </w:tc>
        <w:tc>
          <w:tcPr>
            <w:tcW w:w="1922" w:type="dxa"/>
            <w:gridSpan w:val="2"/>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94.16</w:t>
            </w:r>
          </w:p>
        </w:tc>
        <w:tc>
          <w:tcPr>
            <w:tcW w:w="1921" w:type="dxa"/>
            <w:gridSpan w:val="2"/>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94.72</w:t>
            </w:r>
          </w:p>
        </w:tc>
      </w:tr>
    </w:tbl>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6 方法比对</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6.1 不同方法和仪器比对</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b/>
          <w:bCs/>
          <w:lang w:val="en-US" w:eastAsia="zh-CN"/>
        </w:rPr>
      </w:pPr>
      <w:r>
        <w:rPr>
          <w:rFonts w:hint="eastAsia"/>
          <w:sz w:val="24"/>
          <w:szCs w:val="24"/>
          <w:lang w:val="en-US" w:eastAsia="zh-CN"/>
        </w:rPr>
        <w:t>选取6种镉含量不同的土壤标准物质依据《土壤和沉积物 12种金属元素的测定王水提取-电感耦合等离子体质谱法》HJ 803-2016方法用电感耦合等离子体质谱仪上机测得数据和本标准编制方法测得的数据进比较，结果见表6-1，由表中数据可以看出，6种标准物质（GSS-71、GSD-31、GSS-5、GBW07305a、GSS-38、GSD-17）经过两种不同的方法和仪器测得数据相对标准偏差分别为：0.96%、4.63%、5.59%、0.90%、1.25%、3.31%。比对结果符合要求。</w:t>
      </w:r>
    </w:p>
    <w:p>
      <w:pPr>
        <w:pStyle w:val="2"/>
        <w:numPr>
          <w:ilvl w:val="0"/>
          <w:numId w:val="0"/>
        </w:numPr>
        <w:ind w:leftChars="0"/>
        <w:jc w:val="both"/>
        <w:rPr>
          <w:rFonts w:hint="eastAsia"/>
          <w:b w:val="0"/>
          <w:bCs w:val="0"/>
          <w:lang w:val="en-US" w:eastAsia="zh-CN"/>
        </w:rPr>
        <w:sectPr>
          <w:footerReference r:id="rId3" w:type="default"/>
          <w:pgSz w:w="11906" w:h="16838"/>
          <w:pgMar w:top="1440" w:right="1236" w:bottom="1440" w:left="1803" w:header="851" w:footer="992" w:gutter="0"/>
          <w:pgBorders>
            <w:top w:val="none" w:sz="0" w:space="0"/>
            <w:left w:val="none" w:sz="0" w:space="0"/>
            <w:bottom w:val="none" w:sz="0" w:space="0"/>
            <w:right w:val="none" w:sz="0" w:space="0"/>
          </w:pgBorders>
          <w:pgNumType w:fmt="decimal" w:start="1"/>
          <w:cols w:space="0" w:num="1"/>
          <w:rtlGutter w:val="0"/>
          <w:docGrid w:type="lines" w:linePitch="319" w:charSpace="0"/>
        </w:sectPr>
      </w:pPr>
    </w:p>
    <w:p>
      <w:pPr>
        <w:pStyle w:val="2"/>
        <w:numPr>
          <w:ilvl w:val="0"/>
          <w:numId w:val="0"/>
        </w:numPr>
        <w:ind w:leftChars="0"/>
        <w:jc w:val="center"/>
        <w:rPr>
          <w:rFonts w:hint="default"/>
          <w:b w:val="0"/>
          <w:bCs w:val="0"/>
          <w:lang w:val="en-US" w:eastAsia="zh-CN"/>
        </w:rPr>
      </w:pPr>
      <w:r>
        <w:rPr>
          <w:rFonts w:hint="eastAsia"/>
          <w:b w:val="0"/>
          <w:bCs w:val="0"/>
          <w:lang w:val="en-US" w:eastAsia="zh-CN"/>
        </w:rPr>
        <w:t>表6-1  ICP-MS测定值和测镉仪测定值结果统计表（单位：mg/kg）</w:t>
      </w:r>
    </w:p>
    <w:tbl>
      <w:tblPr>
        <w:tblStyle w:val="10"/>
        <w:tblW w:w="14004"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4"/>
        <w:gridCol w:w="543"/>
        <w:gridCol w:w="945"/>
        <w:gridCol w:w="1056"/>
        <w:gridCol w:w="1008"/>
        <w:gridCol w:w="1164"/>
        <w:gridCol w:w="960"/>
        <w:gridCol w:w="1020"/>
        <w:gridCol w:w="1044"/>
        <w:gridCol w:w="1080"/>
        <w:gridCol w:w="1020"/>
        <w:gridCol w:w="1200"/>
        <w:gridCol w:w="900"/>
        <w:gridCol w:w="96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7" w:type="dxa"/>
            <w:gridSpan w:val="2"/>
            <w:vMerge w:val="restart"/>
            <w:vAlign w:val="center"/>
          </w:tcPr>
          <w:p>
            <w:pPr>
              <w:pStyle w:val="2"/>
              <w:numPr>
                <w:ilvl w:val="0"/>
                <w:numId w:val="0"/>
              </w:numPr>
              <w:jc w:val="center"/>
              <w:rPr>
                <w:rFonts w:hint="eastAsia"/>
                <w:b w:val="0"/>
                <w:bCs w:val="0"/>
                <w:lang w:val="en-US" w:eastAsia="zh-CN"/>
              </w:rPr>
            </w:pPr>
            <w:r>
              <w:rPr>
                <w:rFonts w:hint="eastAsia"/>
                <w:b w:val="0"/>
                <w:bCs w:val="0"/>
                <w:vertAlign w:val="baseline"/>
                <w:lang w:val="en-US" w:eastAsia="zh-CN"/>
              </w:rPr>
              <w:t>名称</w:t>
            </w:r>
          </w:p>
        </w:tc>
        <w:tc>
          <w:tcPr>
            <w:tcW w:w="6153" w:type="dxa"/>
            <w:gridSpan w:val="6"/>
            <w:tcBorders>
              <w:bottom w:val="single" w:color="auto" w:sz="4" w:space="0"/>
            </w:tcBorders>
            <w:vAlign w:val="center"/>
          </w:tcPr>
          <w:p>
            <w:pPr>
              <w:pStyle w:val="2"/>
              <w:numPr>
                <w:ilvl w:val="0"/>
                <w:numId w:val="0"/>
              </w:numPr>
              <w:jc w:val="center"/>
              <w:rPr>
                <w:rFonts w:hint="default"/>
                <w:b w:val="0"/>
                <w:bCs w:val="0"/>
                <w:vertAlign w:val="baseline"/>
                <w:lang w:val="en-US" w:eastAsia="zh-CN"/>
              </w:rPr>
            </w:pPr>
            <w:r>
              <w:rPr>
                <w:rFonts w:hint="eastAsia"/>
                <w:b w:val="0"/>
                <w:bCs w:val="0"/>
                <w:lang w:val="en-US" w:eastAsia="zh-CN"/>
              </w:rPr>
              <w:t>ICP-MS测定结果</w:t>
            </w:r>
          </w:p>
        </w:tc>
        <w:tc>
          <w:tcPr>
            <w:tcW w:w="6204" w:type="dxa"/>
            <w:gridSpan w:val="6"/>
            <w:tcBorders>
              <w:bottom w:val="single" w:color="auto" w:sz="4" w:space="0"/>
            </w:tcBorders>
            <w:vAlign w:val="center"/>
          </w:tcPr>
          <w:p>
            <w:pPr>
              <w:pStyle w:val="2"/>
              <w:numPr>
                <w:ilvl w:val="0"/>
                <w:numId w:val="0"/>
              </w:numPr>
              <w:jc w:val="center"/>
              <w:rPr>
                <w:rFonts w:hint="default"/>
                <w:b w:val="0"/>
                <w:bCs w:val="0"/>
                <w:vertAlign w:val="baseline"/>
                <w:lang w:val="en-US" w:eastAsia="zh-CN"/>
              </w:rPr>
            </w:pPr>
            <w:r>
              <w:rPr>
                <w:rFonts w:hint="eastAsia"/>
                <w:b w:val="0"/>
                <w:bCs w:val="0"/>
                <w:lang w:val="en-US" w:eastAsia="zh-CN"/>
              </w:rPr>
              <w:t>测镉仪测定结果</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7" w:type="dxa"/>
            <w:gridSpan w:val="2"/>
            <w:vMerge w:val="continue"/>
            <w:tcBorders>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eastAsia"/>
                <w:b w:val="0"/>
                <w:bCs w:val="0"/>
                <w:sz w:val="18"/>
                <w:szCs w:val="18"/>
                <w:vertAlign w:val="baseline"/>
                <w:lang w:val="en-US" w:eastAsia="zh-CN"/>
              </w:rPr>
            </w:pPr>
          </w:p>
        </w:tc>
        <w:tc>
          <w:tcPr>
            <w:tcW w:w="945"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GSS-71</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bCs/>
                <w:kern w:val="2"/>
                <w:sz w:val="21"/>
                <w:szCs w:val="24"/>
                <w:vertAlign w:val="baseline"/>
                <w:lang w:val="en-US" w:eastAsia="zh-CN" w:bidi="ar-SA"/>
              </w:rPr>
            </w:pPr>
            <w:r>
              <w:rPr>
                <w:rFonts w:hint="eastAsia"/>
                <w:b w:val="0"/>
                <w:bCs w:val="0"/>
                <w:sz w:val="18"/>
                <w:szCs w:val="18"/>
                <w:vertAlign w:val="baseline"/>
                <w:lang w:val="en-US" w:eastAsia="zh-CN"/>
              </w:rPr>
              <w:t>（0.104±0.011）</w:t>
            </w:r>
          </w:p>
        </w:tc>
        <w:tc>
          <w:tcPr>
            <w:tcW w:w="1056"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GSD-31</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eastAsia"/>
                <w:b w:val="0"/>
                <w:bCs w:val="0"/>
                <w:vertAlign w:val="baseline"/>
                <w:lang w:val="en-US" w:eastAsia="zh-CN"/>
              </w:rPr>
            </w:pPr>
            <w:r>
              <w:rPr>
                <w:rFonts w:hint="eastAsia"/>
                <w:b w:val="0"/>
                <w:bCs w:val="0"/>
                <w:sz w:val="18"/>
                <w:szCs w:val="18"/>
                <w:vertAlign w:val="baseline"/>
                <w:lang w:val="en-US" w:eastAsia="zh-CN"/>
              </w:rPr>
              <w:t>（0.23±0.02）</w:t>
            </w:r>
          </w:p>
        </w:tc>
        <w:tc>
          <w:tcPr>
            <w:tcW w:w="1008"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GSS-5</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eastAsia"/>
                <w:b w:val="0"/>
                <w:bCs w:val="0"/>
                <w:vertAlign w:val="baseline"/>
                <w:lang w:val="en-US" w:eastAsia="zh-CN"/>
              </w:rPr>
            </w:pPr>
            <w:r>
              <w:rPr>
                <w:rFonts w:hint="eastAsia"/>
                <w:b w:val="0"/>
                <w:bCs w:val="0"/>
                <w:sz w:val="18"/>
                <w:szCs w:val="18"/>
                <w:vertAlign w:val="baseline"/>
                <w:lang w:val="en-US" w:eastAsia="zh-CN"/>
              </w:rPr>
              <w:t>（0.45±0.06）</w:t>
            </w:r>
          </w:p>
        </w:tc>
        <w:tc>
          <w:tcPr>
            <w:tcW w:w="1164"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GBW07305a</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eastAsia"/>
                <w:b w:val="0"/>
                <w:bCs w:val="0"/>
                <w:vertAlign w:val="baseline"/>
                <w:lang w:val="en-US" w:eastAsia="zh-CN"/>
              </w:rPr>
            </w:pPr>
            <w:r>
              <w:rPr>
                <w:rFonts w:hint="eastAsia"/>
                <w:b w:val="0"/>
                <w:bCs w:val="0"/>
                <w:sz w:val="18"/>
                <w:szCs w:val="18"/>
                <w:vertAlign w:val="baseline"/>
                <w:lang w:val="en-US" w:eastAsia="zh-CN"/>
              </w:rPr>
              <w:t>（1.37±0.1）</w:t>
            </w:r>
          </w:p>
        </w:tc>
        <w:tc>
          <w:tcPr>
            <w:tcW w:w="96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GSS-38</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eastAsia"/>
                <w:b w:val="0"/>
                <w:bCs w:val="0"/>
                <w:vertAlign w:val="baseline"/>
                <w:lang w:val="en-US" w:eastAsia="zh-CN"/>
              </w:rPr>
            </w:pPr>
            <w:r>
              <w:rPr>
                <w:rFonts w:hint="eastAsia"/>
                <w:b w:val="0"/>
                <w:bCs w:val="0"/>
                <w:sz w:val="18"/>
                <w:szCs w:val="18"/>
                <w:vertAlign w:val="baseline"/>
                <w:lang w:val="en-US" w:eastAsia="zh-CN"/>
              </w:rPr>
              <w:t>（2.8±0.2）</w:t>
            </w:r>
          </w:p>
        </w:tc>
        <w:tc>
          <w:tcPr>
            <w:tcW w:w="102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GSD-17</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auto"/>
              <w:rPr>
                <w:rFonts w:hint="eastAsia"/>
                <w:b w:val="0"/>
                <w:bCs w:val="0"/>
                <w:vertAlign w:val="baseline"/>
                <w:lang w:val="en-US" w:eastAsia="zh-CN"/>
              </w:rPr>
            </w:pPr>
            <w:r>
              <w:rPr>
                <w:rFonts w:hint="eastAsia"/>
                <w:b w:val="0"/>
                <w:bCs w:val="0"/>
                <w:sz w:val="18"/>
                <w:szCs w:val="18"/>
                <w:vertAlign w:val="baseline"/>
                <w:lang w:val="en-US" w:eastAsia="zh-CN"/>
              </w:rPr>
              <w:t>（4.3±0.5）</w:t>
            </w:r>
          </w:p>
        </w:tc>
        <w:tc>
          <w:tcPr>
            <w:tcW w:w="1044"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GSS-71</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bCs/>
                <w:kern w:val="2"/>
                <w:sz w:val="21"/>
                <w:szCs w:val="24"/>
                <w:vertAlign w:val="baseline"/>
                <w:lang w:val="en-US" w:eastAsia="zh-CN" w:bidi="ar-SA"/>
              </w:rPr>
            </w:pPr>
            <w:r>
              <w:rPr>
                <w:rFonts w:hint="eastAsia"/>
                <w:b w:val="0"/>
                <w:bCs w:val="0"/>
                <w:sz w:val="18"/>
                <w:szCs w:val="18"/>
                <w:vertAlign w:val="baseline"/>
                <w:lang w:val="en-US" w:eastAsia="zh-CN"/>
              </w:rPr>
              <w:t>（0.104±0.011）</w:t>
            </w:r>
          </w:p>
        </w:tc>
        <w:tc>
          <w:tcPr>
            <w:tcW w:w="108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GSD-31</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b w:val="0"/>
                <w:bCs w:val="0"/>
                <w:sz w:val="18"/>
                <w:szCs w:val="18"/>
                <w:vertAlign w:val="baseline"/>
                <w:lang w:val="en-US" w:eastAsia="zh-CN"/>
              </w:rPr>
              <w:t>（0.23±0.02）</w:t>
            </w:r>
          </w:p>
        </w:tc>
        <w:tc>
          <w:tcPr>
            <w:tcW w:w="102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GSS-5</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b w:val="0"/>
                <w:bCs w:val="0"/>
                <w:sz w:val="18"/>
                <w:szCs w:val="18"/>
                <w:vertAlign w:val="baseline"/>
                <w:lang w:val="en-US" w:eastAsia="zh-CN"/>
              </w:rPr>
              <w:t>（0.45±0.06）</w:t>
            </w:r>
          </w:p>
        </w:tc>
        <w:tc>
          <w:tcPr>
            <w:tcW w:w="120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GBW07305a</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b w:val="0"/>
                <w:bCs w:val="0"/>
                <w:sz w:val="18"/>
                <w:szCs w:val="18"/>
                <w:vertAlign w:val="baseline"/>
                <w:lang w:val="en-US" w:eastAsia="zh-CN"/>
              </w:rPr>
              <w:t>（1.37±0.1）</w:t>
            </w:r>
          </w:p>
        </w:tc>
        <w:tc>
          <w:tcPr>
            <w:tcW w:w="90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GSS-38</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b w:val="0"/>
                <w:bCs w:val="0"/>
                <w:sz w:val="18"/>
                <w:szCs w:val="18"/>
                <w:vertAlign w:val="baseline"/>
                <w:lang w:val="en-US" w:eastAsia="zh-CN"/>
              </w:rPr>
              <w:t>（2.8±0.2）</w:t>
            </w:r>
          </w:p>
        </w:tc>
        <w:tc>
          <w:tcPr>
            <w:tcW w:w="960" w:type="dxa"/>
            <w:tcBorders>
              <w:top w:val="single" w:color="auto" w:sz="4" w:space="0"/>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GSD-17</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b w:val="0"/>
                <w:bCs w:val="0"/>
                <w:sz w:val="18"/>
                <w:szCs w:val="18"/>
                <w:vertAlign w:val="baseline"/>
                <w:lang w:val="en-US" w:eastAsia="zh-CN"/>
              </w:rPr>
              <w:t>（4.3±0.5）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restart"/>
            <w:tcBorders>
              <w:top w:val="single" w:color="auto" w:sz="4" w:space="0"/>
            </w:tcBorders>
            <w:vAlign w:val="center"/>
          </w:tcPr>
          <w:p>
            <w:pPr>
              <w:pStyle w:val="2"/>
              <w:numPr>
                <w:ilvl w:val="0"/>
                <w:numId w:val="0"/>
              </w:numPr>
              <w:jc w:val="center"/>
              <w:rPr>
                <w:rFonts w:hint="default"/>
                <w:b w:val="0"/>
                <w:bCs w:val="0"/>
                <w:vertAlign w:val="baseline"/>
                <w:lang w:val="en-US" w:eastAsia="zh-CN"/>
              </w:rPr>
            </w:pPr>
            <w:r>
              <w:rPr>
                <w:rFonts w:hint="eastAsia"/>
                <w:b w:val="0"/>
                <w:bCs w:val="0"/>
                <w:vertAlign w:val="baseline"/>
                <w:lang w:val="en-US" w:eastAsia="zh-CN"/>
              </w:rPr>
              <w:t>结果</w:t>
            </w:r>
            <w:r>
              <w:rPr>
                <w:rFonts w:hint="eastAsia"/>
                <w:b w:val="0"/>
                <w:bCs w:val="0"/>
                <w:sz w:val="18"/>
                <w:szCs w:val="18"/>
                <w:vertAlign w:val="baseline"/>
                <w:lang w:val="en-US" w:eastAsia="zh-CN"/>
              </w:rPr>
              <w:t>（</w:t>
            </w:r>
            <w:r>
              <w:rPr>
                <w:rFonts w:hint="eastAsia"/>
                <w:b w:val="0"/>
                <w:bCs w:val="0"/>
                <w:lang w:val="en-US" w:eastAsia="zh-CN"/>
              </w:rPr>
              <w:t>mg/kg）</w:t>
            </w:r>
          </w:p>
        </w:tc>
        <w:tc>
          <w:tcPr>
            <w:tcW w:w="543" w:type="dxa"/>
            <w:tcBorders>
              <w:top w:val="single" w:color="auto" w:sz="4" w:space="0"/>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1</w:t>
            </w:r>
          </w:p>
        </w:tc>
        <w:tc>
          <w:tcPr>
            <w:tcW w:w="945"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0.100</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0.241</w:t>
            </w:r>
          </w:p>
        </w:tc>
        <w:tc>
          <w:tcPr>
            <w:tcW w:w="1008"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0.448</w:t>
            </w:r>
          </w:p>
        </w:tc>
        <w:tc>
          <w:tcPr>
            <w:tcW w:w="1164"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1.35</w:t>
            </w:r>
          </w:p>
        </w:tc>
        <w:tc>
          <w:tcPr>
            <w:tcW w:w="960"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2.76</w:t>
            </w:r>
          </w:p>
        </w:tc>
        <w:tc>
          <w:tcPr>
            <w:tcW w:w="1020"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3.92</w:t>
            </w:r>
          </w:p>
        </w:tc>
        <w:tc>
          <w:tcPr>
            <w:tcW w:w="1044"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0.096</w:t>
            </w:r>
          </w:p>
        </w:tc>
        <w:tc>
          <w:tcPr>
            <w:tcW w:w="1080"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0.194</w:t>
            </w:r>
          </w:p>
        </w:tc>
        <w:tc>
          <w:tcPr>
            <w:tcW w:w="1020"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0.443</w:t>
            </w:r>
          </w:p>
        </w:tc>
        <w:tc>
          <w:tcPr>
            <w:tcW w:w="1200"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1.32</w:t>
            </w:r>
          </w:p>
        </w:tc>
        <w:tc>
          <w:tcPr>
            <w:tcW w:w="900" w:type="dxa"/>
            <w:tcBorders>
              <w:top w:val="single" w:color="auto" w:sz="4" w:space="0"/>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2.78</w:t>
            </w:r>
          </w:p>
        </w:tc>
        <w:tc>
          <w:tcPr>
            <w:tcW w:w="960" w:type="dxa"/>
            <w:tcBorders>
              <w:top w:val="single" w:color="auto" w:sz="4" w:space="0"/>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3.92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continue"/>
            <w:vAlign w:val="center"/>
          </w:tcPr>
          <w:p>
            <w:pPr>
              <w:pStyle w:val="2"/>
              <w:numPr>
                <w:ilvl w:val="0"/>
                <w:numId w:val="0"/>
              </w:numPr>
              <w:jc w:val="center"/>
              <w:rPr>
                <w:rFonts w:hint="eastAsia"/>
                <w:b w:val="0"/>
                <w:bCs w:val="0"/>
                <w:vertAlign w:val="baseline"/>
                <w:lang w:val="en-US" w:eastAsia="zh-CN"/>
              </w:rPr>
            </w:pPr>
          </w:p>
        </w:tc>
        <w:tc>
          <w:tcPr>
            <w:tcW w:w="543"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2</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0.098</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0.203</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0.396</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1.47</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2.91</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4.13</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0.093</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0.206</w:t>
            </w:r>
          </w:p>
        </w:tc>
        <w:tc>
          <w:tcPr>
            <w:tcW w:w="1020" w:type="dxa"/>
            <w:tcBorders>
              <w:top w:val="nil"/>
              <w:bottom w:val="nil"/>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0.53</w:t>
            </w:r>
            <w:r>
              <w:rPr>
                <w:rFonts w:hint="eastAsia" w:ascii="Calibri" w:hAnsi="Calibri" w:eastAsia="宋体" w:cs="Calibri"/>
                <w:i w:val="0"/>
                <w:iCs w:val="0"/>
                <w:color w:val="000000"/>
                <w:kern w:val="0"/>
                <w:sz w:val="18"/>
                <w:szCs w:val="18"/>
                <w:u w:val="none"/>
                <w:lang w:val="en-US" w:eastAsia="zh-CN" w:bidi="ar"/>
              </w:rPr>
              <w:t>0</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1.27</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2.82</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3.83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continue"/>
            <w:vAlign w:val="center"/>
          </w:tcPr>
          <w:p>
            <w:pPr>
              <w:pStyle w:val="2"/>
              <w:numPr>
                <w:ilvl w:val="0"/>
                <w:numId w:val="0"/>
              </w:numPr>
              <w:jc w:val="center"/>
              <w:rPr>
                <w:rFonts w:hint="eastAsia"/>
                <w:b w:val="0"/>
                <w:bCs w:val="0"/>
                <w:vertAlign w:val="baseline"/>
                <w:lang w:val="en-US" w:eastAsia="zh-CN"/>
              </w:rPr>
            </w:pPr>
          </w:p>
        </w:tc>
        <w:tc>
          <w:tcPr>
            <w:tcW w:w="543"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3</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0.095</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0.211</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0.434</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1.24</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2.75</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3.95</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0.095</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0.201</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0.457</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1.34</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2.73</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3.95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continue"/>
            <w:vAlign w:val="center"/>
          </w:tcPr>
          <w:p>
            <w:pPr>
              <w:pStyle w:val="2"/>
              <w:numPr>
                <w:ilvl w:val="0"/>
                <w:numId w:val="0"/>
              </w:numPr>
              <w:jc w:val="center"/>
              <w:rPr>
                <w:rFonts w:hint="eastAsia"/>
                <w:b w:val="0"/>
                <w:bCs w:val="0"/>
                <w:vertAlign w:val="baseline"/>
                <w:lang w:val="en-US" w:eastAsia="zh-CN"/>
              </w:rPr>
            </w:pPr>
          </w:p>
        </w:tc>
        <w:tc>
          <w:tcPr>
            <w:tcW w:w="543"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4</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0.094</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0.231</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0.481</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1.32</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2.78</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4.25</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0.094</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0.211</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0.454</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1.32</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2.78</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3.94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continue"/>
            <w:vAlign w:val="center"/>
          </w:tcPr>
          <w:p>
            <w:pPr>
              <w:pStyle w:val="2"/>
              <w:numPr>
                <w:ilvl w:val="0"/>
                <w:numId w:val="0"/>
              </w:numPr>
              <w:jc w:val="center"/>
              <w:rPr>
                <w:rFonts w:hint="eastAsia"/>
                <w:b w:val="0"/>
                <w:bCs w:val="0"/>
                <w:vertAlign w:val="baseline"/>
                <w:lang w:val="en-US" w:eastAsia="zh-CN"/>
              </w:rPr>
            </w:pPr>
          </w:p>
        </w:tc>
        <w:tc>
          <w:tcPr>
            <w:tcW w:w="543"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5</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0.094</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0.202</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0.431</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1.42</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2.89</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4.33</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0.094</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0.202</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0.446</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1.41</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2.69</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3.99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continue"/>
            <w:vAlign w:val="center"/>
          </w:tcPr>
          <w:p>
            <w:pPr>
              <w:pStyle w:val="2"/>
              <w:numPr>
                <w:ilvl w:val="0"/>
                <w:numId w:val="0"/>
              </w:numPr>
              <w:jc w:val="center"/>
              <w:rPr>
                <w:rFonts w:hint="eastAsia"/>
                <w:b w:val="0"/>
                <w:bCs w:val="0"/>
                <w:vertAlign w:val="baseline"/>
                <w:lang w:val="en-US" w:eastAsia="zh-CN"/>
              </w:rPr>
            </w:pPr>
          </w:p>
        </w:tc>
        <w:tc>
          <w:tcPr>
            <w:tcW w:w="543"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6</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0.093</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0.223</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0.42</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1.29</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2.72</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4.55</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0.093</w:t>
            </w:r>
          </w:p>
        </w:tc>
        <w:tc>
          <w:tcPr>
            <w:tcW w:w="1080" w:type="dxa"/>
            <w:tcBorders>
              <w:top w:val="nil"/>
              <w:bottom w:val="nil"/>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0.21</w:t>
            </w:r>
            <w:r>
              <w:rPr>
                <w:rFonts w:hint="eastAsia" w:ascii="Calibri" w:hAnsi="Calibri" w:eastAsia="宋体" w:cs="Calibri"/>
                <w:i w:val="0"/>
                <w:iCs w:val="0"/>
                <w:color w:val="000000"/>
                <w:kern w:val="0"/>
                <w:sz w:val="18"/>
                <w:szCs w:val="18"/>
                <w:u w:val="none"/>
                <w:lang w:val="en-US" w:eastAsia="zh-CN" w:bidi="ar"/>
              </w:rPr>
              <w:t>0</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0.468</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1.32</w:t>
            </w:r>
          </w:p>
        </w:tc>
        <w:tc>
          <w:tcPr>
            <w:tcW w:w="900" w:type="dxa"/>
            <w:tcBorders>
              <w:top w:val="nil"/>
              <w:bottom w:val="nil"/>
            </w:tcBorders>
            <w:vAlign w:val="center"/>
          </w:tcPr>
          <w:p>
            <w:pPr>
              <w:keepNext w:val="0"/>
              <w:keepLines w:val="0"/>
              <w:widowControl/>
              <w:suppressLineNumbers w:val="0"/>
              <w:jc w:val="center"/>
              <w:textAlignment w:val="center"/>
              <w:rPr>
                <w:rFonts w:hint="default"/>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2.7</w:t>
            </w:r>
            <w:r>
              <w:rPr>
                <w:rFonts w:hint="eastAsia" w:ascii="Calibri" w:hAnsi="Calibri" w:eastAsia="宋体" w:cs="Calibri"/>
                <w:i w:val="0"/>
                <w:iCs w:val="0"/>
                <w:color w:val="000000"/>
                <w:kern w:val="0"/>
                <w:sz w:val="18"/>
                <w:szCs w:val="18"/>
                <w:u w:val="none"/>
                <w:lang w:val="en-US" w:eastAsia="zh-CN" w:bidi="ar"/>
              </w:rPr>
              <w:t>0</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4.16</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104" w:type="dxa"/>
            <w:vMerge w:val="continue"/>
            <w:vAlign w:val="center"/>
          </w:tcPr>
          <w:p>
            <w:pPr>
              <w:pStyle w:val="2"/>
              <w:numPr>
                <w:ilvl w:val="0"/>
                <w:numId w:val="0"/>
              </w:numPr>
              <w:jc w:val="center"/>
              <w:rPr>
                <w:rFonts w:hint="eastAsia"/>
                <w:b w:val="0"/>
                <w:bCs w:val="0"/>
                <w:vertAlign w:val="baseline"/>
                <w:lang w:val="en-US" w:eastAsia="zh-CN"/>
              </w:rPr>
            </w:pPr>
          </w:p>
        </w:tc>
        <w:tc>
          <w:tcPr>
            <w:tcW w:w="543"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Theme="minorHAnsi" w:hAnsiTheme="minorHAnsi" w:eastAsiaTheme="minorEastAsia" w:cstheme="minorBidi"/>
                <w:b w:val="0"/>
                <w:bCs w:val="0"/>
                <w:kern w:val="2"/>
                <w:sz w:val="21"/>
                <w:szCs w:val="24"/>
                <w:vertAlign w:val="baseline"/>
                <w:lang w:val="en-US" w:eastAsia="zh-CN" w:bidi="ar-SA"/>
              </w:rPr>
            </w:pPr>
            <w:r>
              <w:rPr>
                <w:rFonts w:hint="eastAsia" w:cstheme="minorBidi"/>
                <w:b w:val="0"/>
                <w:bCs w:val="0"/>
                <w:kern w:val="2"/>
                <w:sz w:val="21"/>
                <w:szCs w:val="24"/>
                <w:vertAlign w:val="baseline"/>
                <w:lang w:val="en-US" w:eastAsia="zh-CN" w:bidi="ar-SA"/>
              </w:rPr>
              <w:t>7</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firstLine="0" w:firstLineChars="0"/>
              <w:jc w:val="center"/>
              <w:textAlignment w:val="auto"/>
              <w:rPr>
                <w:rFonts w:hint="default" w:asciiTheme="minorHAnsi" w:hAnsiTheme="minorHAnsi" w:eastAsiaTheme="minorEastAsia" w:cstheme="minorBidi"/>
                <w:b w:val="0"/>
                <w:bCs w:val="0"/>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0.094</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0.219</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0.403</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1.36</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2.65</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4.19</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0.094</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0.209</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0.463</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1.34</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2.62</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4.19</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647" w:type="dxa"/>
            <w:gridSpan w:val="2"/>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eastAsia" w:asciiTheme="minorHAnsi" w:hAnsiTheme="minorHAnsi" w:eastAsiaTheme="minorEastAsia" w:cstheme="minorBidi"/>
                <w:b/>
                <w:bCs/>
                <w:kern w:val="2"/>
                <w:sz w:val="21"/>
                <w:szCs w:val="24"/>
                <w:vertAlign w:val="baseline"/>
                <w:lang w:val="en-US" w:eastAsia="zh-CN" w:bidi="ar-SA"/>
              </w:rPr>
            </w:pPr>
            <w:r>
              <w:rPr>
                <w:rFonts w:hint="eastAsia"/>
                <w:b w:val="0"/>
                <w:bCs w:val="0"/>
                <w:sz w:val="18"/>
                <w:szCs w:val="18"/>
                <w:vertAlign w:val="baseline"/>
                <w:lang w:val="en-US" w:eastAsia="zh-CN"/>
              </w:rPr>
              <w:t>平均值（</w:t>
            </w:r>
            <w:r>
              <w:rPr>
                <w:rFonts w:hint="eastAsia"/>
                <w:b w:val="0"/>
                <w:bCs w:val="0"/>
                <w:lang w:val="en-US" w:eastAsia="zh-CN"/>
              </w:rPr>
              <w:t>mg/kg）</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heme="minorHAnsi" w:hAnsiTheme="minorHAnsi" w:eastAsiaTheme="minorEastAsia" w:cstheme="minorBidi"/>
                <w:b/>
                <w:bCs/>
                <w:kern w:val="2"/>
                <w:sz w:val="21"/>
                <w:szCs w:val="24"/>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0.095</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Theme="minorHAnsi" w:hAnsiTheme="minorHAnsi" w:eastAsiaTheme="minorEastAsia" w:cstheme="minorBidi"/>
                <w:b w:val="0"/>
                <w:bCs w:val="0"/>
                <w:kern w:val="2"/>
                <w:sz w:val="18"/>
                <w:szCs w:val="18"/>
                <w:vertAlign w:val="baseline"/>
                <w:lang w:val="en-US" w:eastAsia="zh-CN" w:bidi="ar-SA"/>
              </w:rPr>
              <w:t>0.219</w:t>
            </w:r>
          </w:p>
        </w:tc>
        <w:tc>
          <w:tcPr>
            <w:tcW w:w="1008" w:type="dxa"/>
            <w:tcBorders>
              <w:top w:val="nil"/>
              <w:bottom w:val="nil"/>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0.43</w:t>
            </w:r>
            <w:r>
              <w:rPr>
                <w:rFonts w:hint="eastAsia" w:ascii="Calibri" w:hAnsi="Calibri" w:eastAsia="宋体" w:cs="Calibri"/>
                <w:i w:val="0"/>
                <w:iCs w:val="0"/>
                <w:color w:val="000000"/>
                <w:kern w:val="0"/>
                <w:sz w:val="18"/>
                <w:szCs w:val="18"/>
                <w:u w:val="none"/>
                <w:lang w:val="en-US" w:eastAsia="zh-CN" w:bidi="ar"/>
              </w:rPr>
              <w:t>0</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1.35</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2.78</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4.189</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0.094</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0.205</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0.466</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1.33</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2.73</w:t>
            </w:r>
          </w:p>
        </w:tc>
        <w:tc>
          <w:tcPr>
            <w:tcW w:w="960" w:type="dxa"/>
            <w:tcBorders>
              <w:top w:val="nil"/>
              <w:bottom w:val="nil"/>
            </w:tcBorders>
            <w:vAlign w:val="center"/>
          </w:tcPr>
          <w:p>
            <w:pPr>
              <w:keepNext w:val="0"/>
              <w:keepLines w:val="0"/>
              <w:widowControl/>
              <w:suppressLineNumbers w:val="0"/>
              <w:jc w:val="center"/>
              <w:textAlignment w:val="center"/>
              <w:rPr>
                <w:rFonts w:hint="default"/>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4</w:t>
            </w:r>
            <w:r>
              <w:rPr>
                <w:rFonts w:hint="eastAsia" w:ascii="Calibri" w:hAnsi="Calibri" w:eastAsia="宋体" w:cs="Calibri"/>
                <w:i w:val="0"/>
                <w:iCs w:val="0"/>
                <w:color w:val="000000"/>
                <w:kern w:val="0"/>
                <w:sz w:val="18"/>
                <w:szCs w:val="18"/>
                <w:u w:val="none"/>
                <w:lang w:val="en-US" w:eastAsia="zh-CN" w:bidi="ar"/>
              </w:rPr>
              <w:t>.00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647" w:type="dxa"/>
            <w:gridSpan w:val="2"/>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eastAsia"/>
                <w:b w:val="0"/>
                <w:bCs w:val="0"/>
                <w:sz w:val="18"/>
                <w:szCs w:val="18"/>
                <w:vertAlign w:val="baseline"/>
                <w:lang w:val="en-US" w:eastAsia="zh-CN"/>
              </w:rPr>
              <w:t>标准偏差（%）</w:t>
            </w:r>
          </w:p>
        </w:tc>
        <w:tc>
          <w:tcPr>
            <w:tcW w:w="945" w:type="dxa"/>
            <w:tcBorders>
              <w:top w:val="nil"/>
              <w:bottom w:val="nil"/>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eastAsia" w:asciiTheme="minorHAnsi" w:hAnsiTheme="minorHAnsi" w:eastAsiaTheme="minorEastAsia" w:cstheme="minorBidi"/>
                <w:b w:val="0"/>
                <w:bCs w:val="0"/>
                <w:kern w:val="2"/>
                <w:sz w:val="18"/>
                <w:szCs w:val="18"/>
                <w:vertAlign w:val="baseline"/>
                <w:lang w:val="en-US" w:eastAsia="zh-CN" w:bidi="ar-SA"/>
              </w:rPr>
              <w:t>0.0026</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eastAsia" w:asciiTheme="minorHAnsi" w:hAnsiTheme="minorHAnsi" w:eastAsiaTheme="minorEastAsia" w:cstheme="minorBidi"/>
                <w:b w:val="0"/>
                <w:bCs w:val="0"/>
                <w:kern w:val="2"/>
                <w:sz w:val="18"/>
                <w:szCs w:val="18"/>
                <w:vertAlign w:val="baseline"/>
                <w:lang w:val="en-US" w:eastAsia="zh-CN" w:bidi="ar-SA"/>
              </w:rPr>
              <w:t>0.0144</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0.0287</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0.0775</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0.092</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0.2187</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0.0011</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0.0061</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0.0296</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0.0418</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0.0679</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0.131</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647" w:type="dxa"/>
            <w:gridSpan w:val="2"/>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eastAsia" w:asciiTheme="minorHAnsi" w:hAnsiTheme="minorHAnsi" w:eastAsiaTheme="minorEastAsia" w:cstheme="minorBidi"/>
                <w:b/>
                <w:bCs/>
                <w:kern w:val="2"/>
                <w:sz w:val="21"/>
                <w:szCs w:val="24"/>
                <w:vertAlign w:val="baseline"/>
                <w:lang w:val="en-US" w:eastAsia="zh-CN" w:bidi="ar-SA"/>
              </w:rPr>
            </w:pPr>
            <w:r>
              <w:rPr>
                <w:rFonts w:hint="eastAsia"/>
                <w:b w:val="0"/>
                <w:bCs w:val="0"/>
                <w:sz w:val="18"/>
                <w:szCs w:val="18"/>
                <w:vertAlign w:val="baseline"/>
                <w:lang w:val="en-US" w:eastAsia="zh-CN"/>
              </w:rPr>
              <w:t>相对标准偏差（%）</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heme="minorHAnsi" w:hAnsiTheme="minorHAnsi" w:eastAsiaTheme="minorEastAsia" w:cstheme="minorBidi"/>
                <w:b/>
                <w:bCs/>
                <w:kern w:val="2"/>
                <w:sz w:val="21"/>
                <w:szCs w:val="24"/>
                <w:vertAlign w:val="baseline"/>
                <w:lang w:val="en-US" w:eastAsia="zh-CN" w:bidi="ar-SA"/>
              </w:rPr>
            </w:pPr>
            <w:r>
              <w:rPr>
                <w:rFonts w:hint="eastAsia" w:asciiTheme="minorHAnsi" w:hAnsiTheme="minorHAnsi" w:eastAsiaTheme="minorEastAsia" w:cstheme="minorBidi"/>
                <w:b w:val="0"/>
                <w:bCs w:val="0"/>
                <w:kern w:val="2"/>
                <w:sz w:val="18"/>
                <w:szCs w:val="18"/>
                <w:vertAlign w:val="baseline"/>
                <w:lang w:val="en-US" w:eastAsia="zh-CN" w:bidi="ar-SA"/>
              </w:rPr>
              <w:t>2.70</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eastAsia" w:asciiTheme="minorHAnsi" w:hAnsiTheme="minorHAnsi" w:eastAsiaTheme="minorEastAsia" w:cstheme="minorBidi"/>
                <w:b w:val="0"/>
                <w:bCs w:val="0"/>
                <w:kern w:val="2"/>
                <w:sz w:val="18"/>
                <w:szCs w:val="18"/>
                <w:vertAlign w:val="baseline"/>
                <w:lang w:val="en-US" w:eastAsia="zh-CN" w:bidi="ar-SA"/>
              </w:rPr>
              <w:t>6.61</w:t>
            </w:r>
          </w:p>
        </w:tc>
        <w:tc>
          <w:tcPr>
            <w:tcW w:w="1008"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6.66</w:t>
            </w:r>
          </w:p>
        </w:tc>
        <w:tc>
          <w:tcPr>
            <w:tcW w:w="116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5.74</w:t>
            </w:r>
          </w:p>
        </w:tc>
        <w:tc>
          <w:tcPr>
            <w:tcW w:w="96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3.31</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5.22</w:t>
            </w:r>
          </w:p>
        </w:tc>
        <w:tc>
          <w:tcPr>
            <w:tcW w:w="104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1.14</w:t>
            </w:r>
          </w:p>
        </w:tc>
        <w:tc>
          <w:tcPr>
            <w:tcW w:w="108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2.98</w:t>
            </w:r>
          </w:p>
        </w:tc>
        <w:tc>
          <w:tcPr>
            <w:tcW w:w="102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6.36</w:t>
            </w:r>
          </w:p>
        </w:tc>
        <w:tc>
          <w:tcPr>
            <w:tcW w:w="120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b w:val="0"/>
                <w:bCs w:val="0"/>
                <w:kern w:val="2"/>
                <w:sz w:val="18"/>
                <w:szCs w:val="18"/>
                <w:vertAlign w:val="baseline"/>
                <w:lang w:val="en-US" w:eastAsia="zh-CN" w:bidi="ar-SA"/>
              </w:rPr>
            </w:pPr>
            <w:r>
              <w:rPr>
                <w:rFonts w:hint="default" w:ascii="Calibri" w:hAnsi="Calibri" w:eastAsia="宋体" w:cs="Calibri"/>
                <w:i w:val="0"/>
                <w:iCs w:val="0"/>
                <w:color w:val="000000"/>
                <w:kern w:val="0"/>
                <w:sz w:val="18"/>
                <w:szCs w:val="18"/>
                <w:u w:val="none"/>
                <w:lang w:val="en-US" w:eastAsia="zh-CN" w:bidi="ar"/>
              </w:rPr>
              <w:t>3.14</w:t>
            </w:r>
          </w:p>
        </w:tc>
        <w:tc>
          <w:tcPr>
            <w:tcW w:w="90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2.49</w:t>
            </w:r>
          </w:p>
        </w:tc>
        <w:tc>
          <w:tcPr>
            <w:tcW w:w="960" w:type="dxa"/>
            <w:tcBorders>
              <w:top w:val="nil"/>
              <w:bottom w:val="nil"/>
            </w:tcBorders>
            <w:vAlign w:val="center"/>
          </w:tcPr>
          <w:p>
            <w:pPr>
              <w:keepNext w:val="0"/>
              <w:keepLines w:val="0"/>
              <w:widowControl/>
              <w:suppressLineNumbers w:val="0"/>
              <w:jc w:val="center"/>
              <w:textAlignment w:val="center"/>
              <w:rPr>
                <w:rFonts w:hint="eastAsia"/>
                <w:b w:val="0"/>
                <w:bCs w:val="0"/>
                <w:vertAlign w:val="baseline"/>
                <w:lang w:val="en-US" w:eastAsia="zh-CN"/>
              </w:rPr>
            </w:pPr>
            <w:r>
              <w:rPr>
                <w:rFonts w:hint="default" w:ascii="Calibri" w:hAnsi="Calibri" w:eastAsia="宋体" w:cs="Calibri"/>
                <w:i w:val="0"/>
                <w:iCs w:val="0"/>
                <w:color w:val="000000"/>
                <w:kern w:val="0"/>
                <w:sz w:val="18"/>
                <w:szCs w:val="18"/>
                <w:u w:val="none"/>
                <w:lang w:val="en-US" w:eastAsia="zh-CN" w:bidi="ar"/>
              </w:rPr>
              <w:t>3.28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647" w:type="dxa"/>
            <w:gridSpan w:val="2"/>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b w:val="0"/>
                <w:bCs w:val="0"/>
                <w:sz w:val="18"/>
                <w:szCs w:val="18"/>
                <w:vertAlign w:val="baseline"/>
                <w:lang w:val="en-US" w:eastAsia="zh-CN"/>
              </w:rPr>
            </w:pPr>
            <w:r>
              <w:rPr>
                <w:rFonts w:hint="eastAsia"/>
                <w:b w:val="0"/>
                <w:bCs w:val="0"/>
                <w:sz w:val="18"/>
                <w:szCs w:val="18"/>
                <w:vertAlign w:val="baseline"/>
                <w:lang w:val="en-US" w:eastAsia="zh-CN"/>
              </w:rPr>
              <w:t>两种方法的平均值（</w:t>
            </w:r>
            <w:r>
              <w:rPr>
                <w:rFonts w:hint="eastAsia"/>
                <w:b w:val="0"/>
                <w:bCs w:val="0"/>
                <w:lang w:val="en-US" w:eastAsia="zh-CN"/>
              </w:rPr>
              <w:t>mg/kg）</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heme="minorHAnsi" w:hAnsiTheme="minorHAnsi" w:eastAsiaTheme="minorEastAsia" w:cstheme="minorBidi"/>
                <w:b w:val="0"/>
                <w:bCs w:val="0"/>
                <w:kern w:val="2"/>
                <w:sz w:val="18"/>
                <w:szCs w:val="18"/>
                <w:vertAlign w:val="baseline"/>
                <w:lang w:val="en-US" w:eastAsia="zh-CN" w:bidi="ar-SA"/>
              </w:rPr>
            </w:pPr>
            <w:r>
              <w:rPr>
                <w:rFonts w:hint="eastAsia" w:cstheme="minorBidi"/>
                <w:b w:val="0"/>
                <w:bCs w:val="0"/>
                <w:kern w:val="2"/>
                <w:sz w:val="18"/>
                <w:szCs w:val="18"/>
                <w:vertAlign w:val="baseline"/>
                <w:lang w:val="en-US" w:eastAsia="zh-CN" w:bidi="ar-SA"/>
              </w:rPr>
              <w:t>0.095</w:t>
            </w:r>
          </w:p>
        </w:tc>
        <w:tc>
          <w:tcPr>
            <w:tcW w:w="1056" w:type="dxa"/>
            <w:tcBorders>
              <w:top w:val="nil"/>
              <w:bottom w:val="nil"/>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eastAsia" w:cstheme="minorBidi"/>
                <w:b w:val="0"/>
                <w:bCs w:val="0"/>
                <w:kern w:val="2"/>
                <w:sz w:val="18"/>
                <w:szCs w:val="18"/>
                <w:vertAlign w:val="baseline"/>
                <w:lang w:val="en-US" w:eastAsia="zh-CN" w:bidi="ar-SA"/>
              </w:rPr>
              <w:t>0.212</w:t>
            </w:r>
          </w:p>
        </w:tc>
        <w:tc>
          <w:tcPr>
            <w:tcW w:w="1008"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0.448</w:t>
            </w:r>
          </w:p>
        </w:tc>
        <w:tc>
          <w:tcPr>
            <w:tcW w:w="1164"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1.341</w:t>
            </w:r>
          </w:p>
        </w:tc>
        <w:tc>
          <w:tcPr>
            <w:tcW w:w="960"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2.756</w:t>
            </w:r>
          </w:p>
        </w:tc>
        <w:tc>
          <w:tcPr>
            <w:tcW w:w="1020"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4.093</w:t>
            </w:r>
          </w:p>
        </w:tc>
        <w:tc>
          <w:tcPr>
            <w:tcW w:w="1044"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08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02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20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90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96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647" w:type="dxa"/>
            <w:gridSpan w:val="2"/>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标准偏差（%）</w:t>
            </w:r>
          </w:p>
        </w:tc>
        <w:tc>
          <w:tcPr>
            <w:tcW w:w="945" w:type="dxa"/>
            <w:tcBorders>
              <w:top w:val="nil"/>
              <w:bottom w:val="nil"/>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heme="minorHAnsi" w:hAnsiTheme="minorHAnsi" w:eastAsiaTheme="minorEastAsia" w:cstheme="minorBidi"/>
                <w:b w:val="0"/>
                <w:bCs w:val="0"/>
                <w:kern w:val="2"/>
                <w:sz w:val="18"/>
                <w:szCs w:val="18"/>
                <w:vertAlign w:val="baseline"/>
                <w:lang w:val="en-US" w:eastAsia="zh-CN" w:bidi="ar-SA"/>
              </w:rPr>
            </w:pPr>
            <w:r>
              <w:rPr>
                <w:rFonts w:hint="eastAsia" w:cstheme="minorBidi"/>
                <w:b w:val="0"/>
                <w:bCs w:val="0"/>
                <w:kern w:val="2"/>
                <w:sz w:val="18"/>
                <w:szCs w:val="18"/>
                <w:vertAlign w:val="baseline"/>
                <w:lang w:val="en-US" w:eastAsia="zh-CN" w:bidi="ar-SA"/>
              </w:rPr>
              <w:t>0.09</w:t>
            </w:r>
          </w:p>
        </w:tc>
        <w:tc>
          <w:tcPr>
            <w:tcW w:w="1056" w:type="dxa"/>
            <w:tcBorders>
              <w:top w:val="nil"/>
              <w:bottom w:val="nil"/>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eastAsia" w:cstheme="minorBidi"/>
                <w:b w:val="0"/>
                <w:bCs w:val="0"/>
                <w:kern w:val="2"/>
                <w:sz w:val="18"/>
                <w:szCs w:val="18"/>
                <w:vertAlign w:val="baseline"/>
                <w:lang w:val="en-US" w:eastAsia="zh-CN" w:bidi="ar-SA"/>
              </w:rPr>
              <w:t>0.98</w:t>
            </w:r>
          </w:p>
        </w:tc>
        <w:tc>
          <w:tcPr>
            <w:tcW w:w="1008"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2.51</w:t>
            </w:r>
          </w:p>
        </w:tc>
        <w:tc>
          <w:tcPr>
            <w:tcW w:w="1164"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1.31</w:t>
            </w:r>
          </w:p>
        </w:tc>
        <w:tc>
          <w:tcPr>
            <w:tcW w:w="960"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3.43</w:t>
            </w:r>
          </w:p>
        </w:tc>
        <w:tc>
          <w:tcPr>
            <w:tcW w:w="1020" w:type="dxa"/>
            <w:tcBorders>
              <w:top w:val="nil"/>
              <w:bottom w:val="nil"/>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13.54</w:t>
            </w:r>
          </w:p>
        </w:tc>
        <w:tc>
          <w:tcPr>
            <w:tcW w:w="1044"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08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02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20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90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960" w:type="dxa"/>
            <w:tcBorders>
              <w:top w:val="nil"/>
              <w:bottom w:val="nil"/>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1647" w:type="dxa"/>
            <w:gridSpan w:val="2"/>
            <w:tcBorders>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eastAsia"/>
                <w:b w:val="0"/>
                <w:bCs w:val="0"/>
                <w:sz w:val="18"/>
                <w:szCs w:val="18"/>
                <w:vertAlign w:val="baseline"/>
                <w:lang w:val="en-US" w:eastAsia="zh-CN"/>
              </w:rPr>
            </w:pPr>
            <w:r>
              <w:rPr>
                <w:rFonts w:hint="eastAsia"/>
                <w:b w:val="0"/>
                <w:bCs w:val="0"/>
                <w:sz w:val="18"/>
                <w:szCs w:val="18"/>
                <w:vertAlign w:val="baseline"/>
                <w:lang w:val="en-US" w:eastAsia="zh-CN"/>
              </w:rPr>
              <w:t>相对标准偏差（%）</w:t>
            </w:r>
          </w:p>
        </w:tc>
        <w:tc>
          <w:tcPr>
            <w:tcW w:w="945" w:type="dxa"/>
            <w:tcBorders>
              <w:top w:val="nil"/>
              <w:bottom w:val="single" w:color="auto" w:sz="4" w:space="0"/>
            </w:tcBorders>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firstLine="0" w:firstLineChars="0"/>
              <w:jc w:val="center"/>
              <w:textAlignment w:val="auto"/>
              <w:rPr>
                <w:rFonts w:hint="default" w:asciiTheme="minorHAnsi" w:hAnsiTheme="minorHAnsi" w:eastAsiaTheme="minorEastAsia" w:cstheme="minorBidi"/>
                <w:b w:val="0"/>
                <w:bCs w:val="0"/>
                <w:kern w:val="2"/>
                <w:sz w:val="18"/>
                <w:szCs w:val="18"/>
                <w:vertAlign w:val="baseline"/>
                <w:lang w:val="en-US" w:eastAsia="zh-CN" w:bidi="ar-SA"/>
              </w:rPr>
            </w:pPr>
            <w:r>
              <w:rPr>
                <w:rFonts w:hint="eastAsia" w:cstheme="minorBidi"/>
                <w:b w:val="0"/>
                <w:bCs w:val="0"/>
                <w:kern w:val="2"/>
                <w:sz w:val="18"/>
                <w:szCs w:val="18"/>
                <w:vertAlign w:val="baseline"/>
                <w:lang w:val="en-US" w:eastAsia="zh-CN" w:bidi="ar-SA"/>
              </w:rPr>
              <w:t>0.96</w:t>
            </w:r>
          </w:p>
        </w:tc>
        <w:tc>
          <w:tcPr>
            <w:tcW w:w="1056" w:type="dxa"/>
            <w:tcBorders>
              <w:top w:val="nil"/>
              <w:bottom w:val="single" w:color="auto" w:sz="4" w:space="0"/>
            </w:tcBorders>
            <w:vAlign w:val="center"/>
          </w:tcPr>
          <w:p>
            <w:pPr>
              <w:keepNext w:val="0"/>
              <w:keepLines w:val="0"/>
              <w:widowControl/>
              <w:suppressLineNumbers w:val="0"/>
              <w:jc w:val="center"/>
              <w:textAlignment w:val="center"/>
              <w:rPr>
                <w:rFonts w:hint="default" w:asciiTheme="minorHAnsi" w:hAnsiTheme="minorHAnsi" w:eastAsiaTheme="minorEastAsia" w:cstheme="minorBidi"/>
                <w:b w:val="0"/>
                <w:bCs w:val="0"/>
                <w:kern w:val="2"/>
                <w:sz w:val="18"/>
                <w:szCs w:val="18"/>
                <w:vertAlign w:val="baseline"/>
                <w:lang w:val="en-US" w:eastAsia="zh-CN" w:bidi="ar-SA"/>
              </w:rPr>
            </w:pPr>
            <w:r>
              <w:rPr>
                <w:rFonts w:hint="eastAsia" w:cstheme="minorBidi"/>
                <w:b w:val="0"/>
                <w:bCs w:val="0"/>
                <w:kern w:val="2"/>
                <w:sz w:val="18"/>
                <w:szCs w:val="18"/>
                <w:vertAlign w:val="baseline"/>
                <w:lang w:val="en-US" w:eastAsia="zh-CN" w:bidi="ar-SA"/>
              </w:rPr>
              <w:t>4.63</w:t>
            </w:r>
          </w:p>
        </w:tc>
        <w:tc>
          <w:tcPr>
            <w:tcW w:w="1008" w:type="dxa"/>
            <w:tcBorders>
              <w:top w:val="nil"/>
              <w:bottom w:val="single" w:color="auto" w:sz="4" w:space="0"/>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5.59</w:t>
            </w:r>
          </w:p>
        </w:tc>
        <w:tc>
          <w:tcPr>
            <w:tcW w:w="1164" w:type="dxa"/>
            <w:tcBorders>
              <w:top w:val="nil"/>
              <w:bottom w:val="single" w:color="auto" w:sz="4" w:space="0"/>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0.90</w:t>
            </w:r>
          </w:p>
        </w:tc>
        <w:tc>
          <w:tcPr>
            <w:tcW w:w="960" w:type="dxa"/>
            <w:tcBorders>
              <w:top w:val="nil"/>
              <w:bottom w:val="single" w:color="auto" w:sz="4" w:space="0"/>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1.25</w:t>
            </w:r>
          </w:p>
        </w:tc>
        <w:tc>
          <w:tcPr>
            <w:tcW w:w="1020" w:type="dxa"/>
            <w:tcBorders>
              <w:top w:val="nil"/>
              <w:bottom w:val="single" w:color="auto" w:sz="4" w:space="0"/>
            </w:tcBorders>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3.31</w:t>
            </w:r>
          </w:p>
        </w:tc>
        <w:tc>
          <w:tcPr>
            <w:tcW w:w="1044" w:type="dxa"/>
            <w:tcBorders>
              <w:top w:val="nil"/>
              <w:bottom w:val="single" w:color="auto" w:sz="4" w:space="0"/>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080" w:type="dxa"/>
            <w:tcBorders>
              <w:top w:val="nil"/>
              <w:bottom w:val="single" w:color="auto" w:sz="4" w:space="0"/>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020" w:type="dxa"/>
            <w:tcBorders>
              <w:top w:val="nil"/>
              <w:bottom w:val="single" w:color="auto" w:sz="4" w:space="0"/>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1200" w:type="dxa"/>
            <w:tcBorders>
              <w:top w:val="nil"/>
              <w:bottom w:val="single" w:color="auto" w:sz="4" w:space="0"/>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900" w:type="dxa"/>
            <w:tcBorders>
              <w:top w:val="nil"/>
              <w:bottom w:val="single" w:color="auto" w:sz="4" w:space="0"/>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c>
          <w:tcPr>
            <w:tcW w:w="960" w:type="dxa"/>
            <w:tcBorders>
              <w:top w:val="nil"/>
              <w:bottom w:val="single" w:color="auto" w:sz="4" w:space="0"/>
            </w:tcBorders>
            <w:vAlign w:val="center"/>
          </w:tcPr>
          <w:p>
            <w:pPr>
              <w:keepNext w:val="0"/>
              <w:keepLines w:val="0"/>
              <w:widowControl/>
              <w:suppressLineNumbers w:val="0"/>
              <w:jc w:val="right"/>
              <w:textAlignment w:val="center"/>
              <w:rPr>
                <w:rFonts w:hint="default" w:ascii="Calibri" w:hAnsi="Calibri" w:eastAsia="宋体" w:cs="Calibri"/>
                <w:i w:val="0"/>
                <w:iCs w:val="0"/>
                <w:color w:val="000000"/>
                <w:kern w:val="0"/>
                <w:sz w:val="18"/>
                <w:szCs w:val="18"/>
                <w:u w:val="none"/>
                <w:lang w:val="en-US" w:eastAsia="zh-CN" w:bidi="ar"/>
              </w:rPr>
            </w:pPr>
          </w:p>
        </w:tc>
      </w:tr>
    </w:tbl>
    <w:p>
      <w:pPr>
        <w:pStyle w:val="2"/>
        <w:numPr>
          <w:ilvl w:val="0"/>
          <w:numId w:val="0"/>
        </w:numPr>
        <w:ind w:leftChars="0"/>
        <w:jc w:val="center"/>
        <w:rPr>
          <w:rFonts w:hint="eastAsia"/>
          <w:b w:val="0"/>
          <w:bCs w:val="0"/>
          <w:lang w:val="en-US" w:eastAsia="zh-CN"/>
        </w:rPr>
      </w:pPr>
    </w:p>
    <w:p>
      <w:pPr>
        <w:rPr>
          <w:rFonts w:hint="eastAsia" w:ascii="宋体" w:hAnsi="宋体" w:eastAsia="宋体" w:cs="宋体"/>
          <w:color w:val="000000"/>
          <w:kern w:val="0"/>
          <w:sz w:val="24"/>
          <w:szCs w:val="24"/>
          <w:lang w:val="en-US" w:eastAsia="zh-CN" w:bidi="ar"/>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6.2 不同实验室方法比对</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6.2.1 概述</w:t>
      </w:r>
    </w:p>
    <w:p>
      <w:pPr>
        <w:keepNext w:val="0"/>
        <w:keepLines w:val="0"/>
        <w:pageBreakBefore w:val="0"/>
        <w:widowControl/>
        <w:suppressLineNumbers w:val="0"/>
        <w:kinsoku/>
        <w:wordWrap/>
        <w:overflowPunct/>
        <w:topLinePunct w:val="0"/>
        <w:autoSpaceDE/>
        <w:autoSpaceDN/>
        <w:bidi w:val="0"/>
        <w:adjustRightInd/>
        <w:snapToGrid w:val="0"/>
        <w:jc w:val="left"/>
        <w:textAlignment w:val="auto"/>
        <w:rPr>
          <w:rFonts w:hint="default"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6.2.2 比对结果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2022年5月至9月，根据标准起草时间进度安排，标准起草组向广电计量检测（湖南）有限公司、核工业二三0研究所、湖南农业大学资源环境学院、湖南省地质调查测试中心、湖南省农业科学院农化检测中心、</w:t>
      </w:r>
      <w:r>
        <w:rPr>
          <w:rFonts w:hint="default" w:ascii="宋体" w:hAnsi="宋体" w:eastAsia="宋体" w:cs="宋体"/>
          <w:color w:val="000000"/>
          <w:kern w:val="0"/>
          <w:sz w:val="24"/>
          <w:szCs w:val="24"/>
          <w:lang w:val="en-US" w:eastAsia="zh-CN" w:bidi="ar"/>
        </w:rPr>
        <w:t>长沙开元弘盛科技有限公司</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湖南省产商品质量检验研究院</w:t>
      </w:r>
      <w:r>
        <w:rPr>
          <w:rFonts w:hint="eastAsia" w:ascii="宋体" w:hAnsi="宋体" w:eastAsia="宋体" w:cs="宋体"/>
          <w:color w:val="000000"/>
          <w:kern w:val="0"/>
          <w:sz w:val="24"/>
          <w:szCs w:val="24"/>
          <w:lang w:val="en-US" w:eastAsia="zh-CN" w:bidi="ar"/>
        </w:rPr>
        <w:t>、湖南省分析测试中心有限公司、湖南省勘测设计院有限公司、益阳生态环境监测中心、中国检验认证集团湖南有限公司11家单位方法验证单位分发了不同镉浓度水平（0.2-15 mg kg-1级别）的5个土壤样品及1个标准质控土壤样品。各验证单位按照标准征求意见稿文本进行实验室间比对实验。要求各单位使用相同的仪器条件对每一个样品重复测定3次，取平均值并计算标准偏差和相对标准偏差。</w:t>
      </w:r>
    </w:p>
    <w:p>
      <w:pPr>
        <w:pStyle w:val="2"/>
        <w:ind w:left="0" w:leftChars="0" w:firstLine="0" w:firstLineChars="0"/>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6.2.2 比对结果</w:t>
      </w:r>
    </w:p>
    <w:p>
      <w:pPr>
        <w:pStyle w:val="2"/>
        <w:ind w:left="0" w:leftChars="0" w:firstLine="0" w:firstLineChars="0"/>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6.2.2.1 各实验室标准曲线</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default"/>
          <w:lang w:val="en-US" w:eastAsia="zh-CN"/>
        </w:rPr>
      </w:pPr>
      <w:r>
        <w:rPr>
          <w:rFonts w:hint="eastAsia" w:ascii="宋体" w:hAnsi="宋体" w:eastAsia="宋体" w:cs="宋体"/>
          <w:color w:val="000000"/>
          <w:kern w:val="0"/>
          <w:sz w:val="24"/>
          <w:szCs w:val="24"/>
          <w:lang w:val="en-US" w:eastAsia="zh-CN" w:bidi="ar"/>
        </w:rPr>
        <w:t>各方法验证单位根据比对要求进行实验，向标准编制小组提供实验的标准曲线方程和相关系数等相关信息和数据，具体详见表6-2，由表可知，各单位再进行实验时绘制标准曲线符合要求，</w:t>
      </w:r>
      <w:r>
        <w:rPr>
          <w:rFonts w:hint="eastAsia" w:ascii="宋体" w:hAnsi="宋体" w:eastAsia="宋体" w:cs="宋体"/>
          <w:sz w:val="24"/>
          <w:szCs w:val="24"/>
          <w:lang w:val="en-US" w:eastAsia="zh-CN"/>
        </w:rPr>
        <w:t>标准曲线的线性良好，</w:t>
      </w:r>
      <w:r>
        <w:rPr>
          <w:rFonts w:hint="eastAsia" w:ascii="宋体" w:hAnsi="宋体" w:eastAsia="宋体" w:cs="宋体"/>
          <w:sz w:val="24"/>
          <w:szCs w:val="24"/>
        </w:rPr>
        <w:t>相关系数</w:t>
      </w:r>
      <w:r>
        <w:rPr>
          <w:rFonts w:hint="eastAsia" w:ascii="宋体" w:hAnsi="宋体" w:eastAsia="宋体" w:cs="宋体"/>
          <w:sz w:val="24"/>
          <w:szCs w:val="24"/>
          <w:lang w:val="en-US" w:eastAsia="zh-CN"/>
        </w:rPr>
        <w:t>R</w:t>
      </w:r>
      <w:r>
        <w:rPr>
          <w:rFonts w:hint="eastAsia" w:ascii="宋体" w:hAnsi="宋体" w:eastAsia="宋体" w:cs="宋体"/>
          <w:sz w:val="24"/>
          <w:szCs w:val="24"/>
          <w:vertAlign w:val="superscript"/>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0.995。</w:t>
      </w:r>
      <w:r>
        <w:rPr>
          <w:rFonts w:hint="eastAsia" w:ascii="宋体" w:hAnsi="宋体" w:eastAsia="宋体" w:cs="宋体"/>
          <w:color w:val="000000"/>
          <w:kern w:val="0"/>
          <w:sz w:val="24"/>
          <w:szCs w:val="24"/>
          <w:lang w:val="en-US" w:eastAsia="zh-CN" w:bidi="ar"/>
        </w:rPr>
        <w:t>，相关系数符合要求。</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center"/>
        <w:textAlignment w:val="auto"/>
        <w:rPr>
          <w:rFonts w:hint="eastAsia"/>
          <w:lang w:val="en-US" w:eastAsia="zh-CN"/>
        </w:rPr>
      </w:pPr>
      <w:r>
        <w:rPr>
          <w:rFonts w:hint="eastAsia"/>
          <w:lang w:val="en-US" w:eastAsia="zh-CN"/>
        </w:rPr>
        <w:t>表6-2 各实验室标准曲线方程及相关系数</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2445"/>
        <w:gridCol w:w="3782"/>
        <w:gridCol w:w="1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tcBorders>
              <w:top w:val="single" w:color="000000" w:sz="4" w:space="0"/>
              <w:bottom w:val="single" w:color="000000" w:sz="4" w:space="0"/>
            </w:tcBorders>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2445" w:type="dxa"/>
            <w:tcBorders>
              <w:top w:val="single" w:color="000000" w:sz="4" w:space="0"/>
              <w:bottom w:val="single" w:color="000000" w:sz="4" w:space="0"/>
            </w:tcBorders>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sz w:val="21"/>
                <w:szCs w:val="21"/>
                <w:vertAlign w:val="baseline"/>
                <w:lang w:val="en-US" w:eastAsia="zh-CN"/>
              </w:rPr>
            </w:pPr>
            <w:r>
              <w:rPr>
                <w:rFonts w:hint="eastAsia"/>
                <w:sz w:val="21"/>
                <w:szCs w:val="21"/>
                <w:vertAlign w:val="baseline"/>
                <w:lang w:val="en-US" w:eastAsia="zh-CN"/>
              </w:rPr>
              <w:t>单位名称</w:t>
            </w:r>
          </w:p>
        </w:tc>
        <w:tc>
          <w:tcPr>
            <w:tcW w:w="3782" w:type="dxa"/>
            <w:tcBorders>
              <w:top w:val="single" w:color="000000" w:sz="4" w:space="0"/>
              <w:bottom w:val="single" w:color="000000" w:sz="4" w:space="0"/>
            </w:tcBorders>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sz w:val="21"/>
                <w:szCs w:val="21"/>
                <w:vertAlign w:val="baseline"/>
                <w:lang w:val="en-US" w:eastAsia="zh-CN"/>
              </w:rPr>
            </w:pPr>
            <w:r>
              <w:rPr>
                <w:rFonts w:hint="eastAsia"/>
                <w:sz w:val="21"/>
                <w:szCs w:val="21"/>
                <w:vertAlign w:val="baseline"/>
                <w:lang w:val="en-US" w:eastAsia="zh-CN"/>
              </w:rPr>
              <w:t>标准曲线方程</w:t>
            </w:r>
          </w:p>
        </w:tc>
        <w:tc>
          <w:tcPr>
            <w:tcW w:w="1478" w:type="dxa"/>
            <w:tcBorders>
              <w:top w:val="single" w:color="000000" w:sz="4" w:space="0"/>
              <w:bottom w:val="single" w:color="000000" w:sz="4" w:space="0"/>
            </w:tcBorders>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sz w:val="21"/>
                <w:szCs w:val="21"/>
                <w:vertAlign w:val="baseline"/>
                <w:lang w:val="en-US" w:eastAsia="zh-CN"/>
              </w:rPr>
            </w:pPr>
            <w:r>
              <w:rPr>
                <w:rFonts w:hint="eastAsia"/>
                <w:sz w:val="21"/>
                <w:szCs w:val="21"/>
                <w:vertAlign w:val="baseline"/>
                <w:lang w:val="en-US" w:eastAsia="zh-CN"/>
              </w:rPr>
              <w:t>相关系数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tcBorders>
              <w:top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1</w:t>
            </w:r>
          </w:p>
        </w:tc>
        <w:tc>
          <w:tcPr>
            <w:tcW w:w="2445" w:type="dxa"/>
            <w:tcBorders>
              <w:top w:val="single" w:color="000000" w:sz="4" w:space="0"/>
            </w:tcBorders>
            <w:vAlign w:val="center"/>
          </w:tcPr>
          <w:p>
            <w:pPr>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广电计量检测(湖南)有限公司</w:t>
            </w:r>
          </w:p>
        </w:tc>
        <w:tc>
          <w:tcPr>
            <w:tcW w:w="3782" w:type="dxa"/>
            <w:tcBorders>
              <w:top w:val="single" w:color="000000" w:sz="4" w:space="0"/>
            </w:tcBorders>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sz w:val="21"/>
                <w:szCs w:val="21"/>
                <w:lang w:val="en-US" w:eastAsia="zh-CN" w:bidi="ar"/>
              </w:rPr>
            </w:pPr>
            <w:r>
              <w:rPr>
                <w:rStyle w:val="13"/>
                <w:sz w:val="21"/>
                <w:szCs w:val="21"/>
                <w:lang w:val="en-US" w:eastAsia="zh-CN" w:bidi="ar"/>
              </w:rPr>
              <w:t>Y=-0.00016777X</w:t>
            </w:r>
            <w:r>
              <w:rPr>
                <w:rStyle w:val="14"/>
                <w:sz w:val="21"/>
                <w:szCs w:val="21"/>
                <w:lang w:val="en-US" w:eastAsia="zh-CN" w:bidi="ar"/>
              </w:rPr>
              <w:t>2</w:t>
            </w:r>
            <w:r>
              <w:rPr>
                <w:rStyle w:val="13"/>
                <w:sz w:val="21"/>
                <w:szCs w:val="21"/>
                <w:lang w:val="en-US" w:eastAsia="zh-CN" w:bidi="ar"/>
              </w:rPr>
              <w:t>+0.1083X+0.9608</w:t>
            </w:r>
          </w:p>
          <w:p>
            <w:pPr>
              <w:pStyle w:val="2"/>
              <w:keepNext w:val="0"/>
              <w:keepLines w:val="0"/>
              <w:pageBreakBefore w:val="0"/>
              <w:widowControl w:val="0"/>
              <w:kinsoku/>
              <w:wordWrap/>
              <w:overflowPunct/>
              <w:topLinePunct w:val="0"/>
              <w:autoSpaceDE/>
              <w:autoSpaceDN/>
              <w:bidi w:val="0"/>
              <w:adjustRightInd/>
              <w:snapToGrid w:val="0"/>
              <w:spacing w:line="0" w:lineRule="atLeast"/>
              <w:ind w:left="0" w:leftChars="0" w:firstLine="0" w:firstLineChars="0"/>
              <w:jc w:val="both"/>
              <w:textAlignment w:val="auto"/>
              <w:rPr>
                <w:rFonts w:hint="default"/>
                <w:vertAlign w:val="baseline"/>
                <w:lang w:val="en-US" w:eastAsia="zh-CN"/>
              </w:rPr>
            </w:pPr>
            <w:r>
              <w:rPr>
                <w:rStyle w:val="13"/>
                <w:sz w:val="21"/>
                <w:szCs w:val="21"/>
                <w:lang w:val="en-US" w:eastAsia="zh-CN" w:bidi="ar"/>
              </w:rPr>
              <w:t>Y=-0.0003424X</w:t>
            </w:r>
            <w:r>
              <w:rPr>
                <w:rStyle w:val="14"/>
                <w:sz w:val="21"/>
                <w:szCs w:val="21"/>
                <w:lang w:val="en-US" w:eastAsia="zh-CN" w:bidi="ar"/>
              </w:rPr>
              <w:t>2</w:t>
            </w:r>
            <w:r>
              <w:rPr>
                <w:rStyle w:val="13"/>
                <w:sz w:val="21"/>
                <w:szCs w:val="21"/>
                <w:lang w:val="en-US" w:eastAsia="zh-CN" w:bidi="ar"/>
              </w:rPr>
              <w:t>+0.1509X+1.698</w:t>
            </w:r>
          </w:p>
        </w:tc>
        <w:tc>
          <w:tcPr>
            <w:tcW w:w="1478" w:type="dxa"/>
            <w:tcBorders>
              <w:top w:val="single" w:color="000000" w:sz="4" w:space="0"/>
            </w:tcBorders>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=0.9982</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2</w:t>
            </w:r>
          </w:p>
        </w:tc>
        <w:tc>
          <w:tcPr>
            <w:tcW w:w="2445" w:type="dxa"/>
            <w:vAlign w:val="center"/>
          </w:tcPr>
          <w:p>
            <w:pPr>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湖南农业大学资源环境学院</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Y=0.1239X+0.088669</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Fonts w:hint="default" w:ascii="宋体" w:hAnsi="宋体" w:eastAsia="宋体" w:cs="宋体"/>
                <w:i w:val="0"/>
                <w:iCs w:val="0"/>
                <w:color w:val="000000"/>
                <w:kern w:val="0"/>
                <w:sz w:val="22"/>
                <w:szCs w:val="22"/>
                <w:u w:val="none"/>
                <w:lang w:val="en-US" w:eastAsia="zh-CN" w:bidi="ar"/>
              </w:rPr>
            </w:pPr>
            <w:r>
              <w:rPr>
                <w:rStyle w:val="13"/>
                <w:rFonts w:hint="eastAsia"/>
                <w:i w:val="0"/>
                <w:iCs w:val="0"/>
                <w:color w:val="000000"/>
                <w:sz w:val="21"/>
                <w:szCs w:val="21"/>
                <w:lang w:val="en-US" w:eastAsia="zh-CN" w:bidi="ar"/>
              </w:rPr>
              <w:t>Y=0.0001749X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+0.1135X+0.7554</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=0.9972</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3</w:t>
            </w:r>
          </w:p>
        </w:tc>
        <w:tc>
          <w:tcPr>
            <w:tcW w:w="2445" w:type="dxa"/>
            <w:vAlign w:val="center"/>
          </w:tcPr>
          <w:p>
            <w:pPr>
              <w:ind w:left="0" w:leftChars="0" w:firstLine="0" w:firstLineChars="0"/>
              <w:jc w:val="center"/>
              <w:rPr>
                <w:rFonts w:hint="default" w:asciiTheme="minorHAnsi" w:hAnsiTheme="minorHAnsi" w:eastAsiaTheme="minorEastAsia" w:cstheme="minorBidi"/>
                <w:kern w:val="2"/>
                <w:sz w:val="21"/>
                <w:szCs w:val="21"/>
                <w:vertAlign w:val="baseline"/>
                <w:lang w:val="en-US" w:eastAsia="zh-CN" w:bidi="ar-SA"/>
              </w:rPr>
            </w:pPr>
            <w:r>
              <w:rPr>
                <w:rFonts w:hint="eastAsia" w:ascii="宋体" w:hAnsi="宋体" w:eastAsia="宋体" w:cs="宋体"/>
                <w:sz w:val="21"/>
                <w:szCs w:val="21"/>
                <w:lang w:val="en-US" w:eastAsia="zh-CN"/>
              </w:rPr>
              <w:t>核工业二三0研究所</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Y=0.1237X+0.6626</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Fonts w:hint="default"/>
                <w:vertAlign w:val="baseline"/>
                <w:lang w:val="en-US" w:eastAsia="zh-CN"/>
              </w:rPr>
            </w:pPr>
            <w:r>
              <w:rPr>
                <w:rStyle w:val="13"/>
                <w:rFonts w:hint="eastAsia"/>
                <w:i w:val="0"/>
                <w:iCs w:val="0"/>
                <w:color w:val="000000"/>
                <w:sz w:val="21"/>
                <w:szCs w:val="21"/>
                <w:lang w:val="en-US" w:eastAsia="zh-CN" w:bidi="ar"/>
              </w:rPr>
              <w:t>Y=0.0002093X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+0.1479X+0.0749</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=0.9999</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4</w:t>
            </w:r>
          </w:p>
        </w:tc>
        <w:tc>
          <w:tcPr>
            <w:tcW w:w="2445" w:type="dxa"/>
            <w:vAlign w:val="center"/>
          </w:tcPr>
          <w:p>
            <w:pPr>
              <w:ind w:left="0" w:leftChars="0" w:firstLine="0" w:firstLineChars="0"/>
              <w:jc w:val="center"/>
              <w:rPr>
                <w:rFonts w:hint="default" w:asciiTheme="minorHAnsi" w:hAnsiTheme="minorHAnsi" w:eastAsiaTheme="minorEastAsia" w:cstheme="minorBidi"/>
                <w:kern w:val="2"/>
                <w:sz w:val="21"/>
                <w:szCs w:val="21"/>
                <w:vertAlign w:val="baseline"/>
                <w:lang w:val="en-US" w:eastAsia="zh-CN" w:bidi="ar-SA"/>
              </w:rPr>
            </w:pPr>
            <w:r>
              <w:rPr>
                <w:rFonts w:hint="eastAsia" w:ascii="宋体" w:hAnsi="宋体" w:eastAsia="宋体" w:cs="宋体"/>
                <w:sz w:val="21"/>
                <w:szCs w:val="21"/>
                <w:lang w:val="en-US" w:eastAsia="zh-CN"/>
              </w:rPr>
              <w:t>湖南省地质调查测试中心</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Y=0.1236X+0.1008</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Fonts w:hint="default"/>
                <w:vertAlign w:val="baseline"/>
                <w:lang w:val="en-US" w:eastAsia="zh-CN"/>
              </w:rPr>
            </w:pPr>
            <w:r>
              <w:rPr>
                <w:rStyle w:val="13"/>
                <w:rFonts w:hint="eastAsia"/>
                <w:i w:val="0"/>
                <w:iCs w:val="0"/>
                <w:color w:val="000000"/>
                <w:sz w:val="21"/>
                <w:szCs w:val="21"/>
                <w:lang w:val="en-US" w:eastAsia="zh-CN" w:bidi="ar"/>
              </w:rPr>
              <w:t>Y=-0.000216X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+0.1502X+0.0749</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=0.9989</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5</w:t>
            </w:r>
          </w:p>
        </w:tc>
        <w:tc>
          <w:tcPr>
            <w:tcW w:w="2445" w:type="dxa"/>
            <w:vAlign w:val="center"/>
          </w:tcPr>
          <w:p>
            <w:pPr>
              <w:ind w:left="0" w:leftChars="0" w:firstLine="0" w:firstLineChars="0"/>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湖南省农业科学院农化检测中心</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Y=-0.0001713X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+0.1481X+0.5996</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Y=-0.0001763X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+0.1423X+0.3871</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=0.9951</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6</w:t>
            </w:r>
          </w:p>
        </w:tc>
        <w:tc>
          <w:tcPr>
            <w:tcW w:w="2445" w:type="dxa"/>
            <w:vAlign w:val="center"/>
          </w:tcPr>
          <w:p>
            <w:pPr>
              <w:ind w:left="0" w:leftChars="0" w:firstLine="0" w:firstLineChars="0"/>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长</w:t>
            </w:r>
            <w:r>
              <w:rPr>
                <w:rFonts w:hint="default" w:ascii="宋体" w:hAnsi="宋体" w:eastAsia="宋体" w:cs="宋体"/>
                <w:sz w:val="21"/>
                <w:szCs w:val="21"/>
              </w:rPr>
              <w:t>沙开元弘盛科技有限公司</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Y=0.1227X+0.1538</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Y=-0.0002044X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+0.1192X+0.6678</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=0.9981</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7</w:t>
            </w:r>
          </w:p>
        </w:tc>
        <w:tc>
          <w:tcPr>
            <w:tcW w:w="2445" w:type="dxa"/>
            <w:vAlign w:val="center"/>
          </w:tcPr>
          <w:p>
            <w:pPr>
              <w:ind w:left="0" w:leftChars="0" w:firstLine="0" w:firstLineChars="0"/>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湖</w:t>
            </w:r>
            <w:r>
              <w:rPr>
                <w:rFonts w:hint="default" w:ascii="宋体" w:hAnsi="宋体" w:eastAsia="宋体" w:cs="宋体"/>
                <w:sz w:val="21"/>
                <w:szCs w:val="21"/>
                <w:lang w:eastAsia="zh-CN"/>
              </w:rPr>
              <w:t>南省产商品质量检验研究院</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Y=0.1741X+0.1571</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Y=-0.0003424X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+0.1509X+1.698</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=0.9990</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Fonts w:hint="default"/>
                <w:vertAlign w:val="baseline"/>
                <w:lang w:val="en-US" w:eastAsia="zh-CN"/>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8</w:t>
            </w:r>
          </w:p>
        </w:tc>
        <w:tc>
          <w:tcPr>
            <w:tcW w:w="2445" w:type="dxa"/>
            <w:vAlign w:val="center"/>
          </w:tcPr>
          <w:p>
            <w:pPr>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湖南省分析测试中心有限公司</w:t>
            </w:r>
          </w:p>
        </w:tc>
        <w:tc>
          <w:tcPr>
            <w:tcW w:w="3782" w:type="dxa"/>
            <w:vAlign w:val="center"/>
          </w:tcPr>
          <w:p>
            <w:pPr>
              <w:keepNext w:val="0"/>
              <w:keepLines w:val="0"/>
              <w:widowControl/>
              <w:suppressLineNumbers w:val="0"/>
              <w:tabs>
                <w:tab w:val="right" w:pos="3540"/>
              </w:tabs>
              <w:jc w:val="left"/>
              <w:textAlignment w:val="center"/>
              <w:rPr>
                <w:rStyle w:val="13"/>
                <w:rFonts w:hint="eastAsia"/>
                <w:i w:val="0"/>
                <w:iCs w:val="0"/>
                <w:kern w:val="2"/>
                <w:sz w:val="21"/>
                <w:szCs w:val="21"/>
                <w:lang w:val="en-US" w:eastAsia="zh-CN" w:bidi="ar"/>
              </w:rPr>
            </w:pPr>
            <w:r>
              <w:rPr>
                <w:rStyle w:val="13"/>
                <w:rFonts w:hint="eastAsia"/>
                <w:i w:val="0"/>
                <w:iCs w:val="0"/>
                <w:kern w:val="2"/>
                <w:sz w:val="21"/>
                <w:szCs w:val="21"/>
                <w:lang w:val="en-US" w:eastAsia="zh-CN" w:bidi="ar"/>
              </w:rPr>
              <w:t>Y=0.0005159X</w:t>
            </w:r>
            <w:r>
              <w:rPr>
                <w:rStyle w:val="13"/>
                <w:rFonts w:hint="eastAsia"/>
                <w:i w:val="0"/>
                <w:iCs w:val="0"/>
                <w:kern w:val="2"/>
                <w:sz w:val="21"/>
                <w:szCs w:val="21"/>
                <w:vertAlign w:val="superscript"/>
                <w:lang w:val="en-US" w:eastAsia="zh-CN" w:bidi="ar"/>
              </w:rPr>
              <w:t>2</w:t>
            </w:r>
            <w:r>
              <w:rPr>
                <w:rStyle w:val="13"/>
                <w:rFonts w:hint="eastAsia"/>
                <w:i w:val="0"/>
                <w:iCs w:val="0"/>
                <w:kern w:val="2"/>
                <w:sz w:val="21"/>
                <w:szCs w:val="21"/>
                <w:lang w:val="en-US" w:eastAsia="zh-CN" w:bidi="ar"/>
              </w:rPr>
              <w:t>+0.144X+0.03952</w:t>
            </w:r>
          </w:p>
          <w:p>
            <w:pPr>
              <w:keepNext w:val="0"/>
              <w:keepLines w:val="0"/>
              <w:widowControl/>
              <w:suppressLineNumbers w:val="0"/>
              <w:tabs>
                <w:tab w:val="right" w:pos="3540"/>
              </w:tabs>
              <w:jc w:val="left"/>
              <w:textAlignment w:val="center"/>
              <w:rPr>
                <w:rStyle w:val="13"/>
                <w:rFonts w:hint="eastAsia"/>
                <w:i w:val="0"/>
                <w:iCs w:val="0"/>
                <w:kern w:val="2"/>
                <w:sz w:val="21"/>
                <w:szCs w:val="21"/>
                <w:lang w:val="en-US" w:eastAsia="zh-CN" w:bidi="ar"/>
              </w:rPr>
            </w:pPr>
            <w:r>
              <w:rPr>
                <w:rStyle w:val="13"/>
                <w:rFonts w:hint="eastAsia"/>
                <w:i w:val="0"/>
                <w:iCs w:val="0"/>
                <w:kern w:val="2"/>
                <w:sz w:val="21"/>
                <w:szCs w:val="21"/>
                <w:lang w:val="en-US" w:eastAsia="zh-CN" w:bidi="ar"/>
              </w:rPr>
              <w:t>Y=0.0001826X</w:t>
            </w:r>
            <w:r>
              <w:rPr>
                <w:rStyle w:val="13"/>
                <w:rFonts w:hint="eastAsia"/>
                <w:i w:val="0"/>
                <w:iCs w:val="0"/>
                <w:kern w:val="2"/>
                <w:sz w:val="21"/>
                <w:szCs w:val="21"/>
                <w:vertAlign w:val="superscript"/>
                <w:lang w:val="en-US" w:eastAsia="zh-CN" w:bidi="ar"/>
              </w:rPr>
              <w:t>2</w:t>
            </w:r>
            <w:r>
              <w:rPr>
                <w:rStyle w:val="13"/>
                <w:rFonts w:hint="eastAsia"/>
                <w:i w:val="0"/>
                <w:iCs w:val="0"/>
                <w:kern w:val="2"/>
                <w:sz w:val="21"/>
                <w:szCs w:val="21"/>
                <w:lang w:val="en-US" w:eastAsia="zh-CN" w:bidi="ar"/>
              </w:rPr>
              <w:t>+0.1162X+0.6188</w:t>
            </w:r>
          </w:p>
        </w:tc>
        <w:tc>
          <w:tcPr>
            <w:tcW w:w="147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w:t>
            </w:r>
            <w:r>
              <w:rPr>
                <w:rFonts w:hint="eastAsia" w:ascii="宋体" w:hAnsi="宋体" w:eastAsia="宋体" w:cs="宋体"/>
                <w:i w:val="0"/>
                <w:iCs w:val="0"/>
                <w:color w:val="000000"/>
                <w:kern w:val="0"/>
                <w:sz w:val="22"/>
                <w:szCs w:val="22"/>
                <w:u w:val="none"/>
                <w:lang w:val="en-US" w:eastAsia="zh-CN" w:bidi="ar"/>
              </w:rPr>
              <w:t>0.9991</w:t>
            </w:r>
          </w:p>
          <w:p>
            <w:pPr>
              <w:keepNext w:val="0"/>
              <w:keepLines w:val="0"/>
              <w:widowControl/>
              <w:suppressLineNumbers w:val="0"/>
              <w:jc w:val="center"/>
              <w:textAlignment w:val="center"/>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w:t>
            </w:r>
            <w:r>
              <w:rPr>
                <w:rFonts w:hint="eastAsia" w:ascii="宋体" w:hAnsi="宋体" w:eastAsia="宋体" w:cs="宋体"/>
                <w:i w:val="0"/>
                <w:iCs w:val="0"/>
                <w:color w:val="000000"/>
                <w:kern w:val="0"/>
                <w:sz w:val="22"/>
                <w:szCs w:val="22"/>
                <w:u w:val="none"/>
                <w:lang w:val="en-US" w:eastAsia="zh-CN" w:bidi="ar"/>
              </w:rPr>
              <w:t>0.9989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9</w:t>
            </w:r>
          </w:p>
        </w:tc>
        <w:tc>
          <w:tcPr>
            <w:tcW w:w="2445"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湖南省勘测设计院有限公司</w:t>
            </w:r>
          </w:p>
        </w:tc>
        <w:tc>
          <w:tcPr>
            <w:tcW w:w="3782"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Y=0.0005667X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+0.1435X+0.1012</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left"/>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Y=0.0001749X</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+0.1133X+0.8151</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=0.9980</w:t>
            </w:r>
          </w:p>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eastAsia"/>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10</w:t>
            </w:r>
          </w:p>
        </w:tc>
        <w:tc>
          <w:tcPr>
            <w:tcW w:w="2445" w:type="dxa"/>
            <w:vAlign w:val="center"/>
          </w:tcPr>
          <w:p>
            <w:pPr>
              <w:ind w:left="0" w:leftChars="0" w:firstLine="0" w:firstLineChars="0"/>
              <w:jc w:val="center"/>
              <w:rPr>
                <w:rFonts w:hint="eastAsia" w:ascii="宋体" w:hAnsi="宋体" w:eastAsia="宋体" w:cs="宋体"/>
                <w:kern w:val="2"/>
                <w:sz w:val="21"/>
                <w:szCs w:val="21"/>
                <w:lang w:val="en-US" w:eastAsia="zh-CN" w:bidi="ar-SA"/>
              </w:rPr>
            </w:pPr>
            <w:r>
              <w:rPr>
                <w:rStyle w:val="13"/>
                <w:rFonts w:hint="eastAsia"/>
                <w:i w:val="0"/>
                <w:iCs w:val="0"/>
                <w:kern w:val="2"/>
                <w:sz w:val="21"/>
                <w:szCs w:val="21"/>
                <w:lang w:val="en-US" w:eastAsia="zh-CN" w:bidi="ar"/>
              </w:rPr>
              <w:t>益阳生态环境监测中心</w:t>
            </w:r>
          </w:p>
        </w:tc>
        <w:tc>
          <w:tcPr>
            <w:tcW w:w="3782" w:type="dxa"/>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left"/>
              <w:textAlignment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Y=0.1219X+0.1643</w:t>
            </w:r>
          </w:p>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Y=0.0001631X</w:t>
            </w:r>
            <w:r>
              <w:rPr>
                <w:rFonts w:hint="eastAsia" w:ascii="宋体" w:hAnsi="宋体" w:eastAsia="宋体" w:cs="宋体"/>
                <w:b w:val="0"/>
                <w:bCs w:val="0"/>
                <w:i w:val="0"/>
                <w:iCs w:val="0"/>
                <w:color w:val="000000"/>
                <w:kern w:val="0"/>
                <w:sz w:val="22"/>
                <w:szCs w:val="22"/>
                <w:u w:val="none"/>
                <w:vertAlign w:val="superscript"/>
                <w:lang w:val="en-US" w:eastAsia="zh-CN" w:bidi="ar"/>
              </w:rPr>
              <w:t>2</w:t>
            </w:r>
            <w:r>
              <w:rPr>
                <w:rFonts w:hint="eastAsia" w:ascii="宋体" w:hAnsi="宋体" w:eastAsia="宋体" w:cs="宋体"/>
                <w:b w:val="0"/>
                <w:bCs w:val="0"/>
                <w:i w:val="0"/>
                <w:iCs w:val="0"/>
                <w:color w:val="000000"/>
                <w:kern w:val="0"/>
                <w:sz w:val="22"/>
                <w:szCs w:val="22"/>
                <w:u w:val="none"/>
                <w:lang w:val="en-US" w:eastAsia="zh-CN" w:bidi="ar"/>
              </w:rPr>
              <w:t>+0.1111X+0.7521</w:t>
            </w:r>
          </w:p>
        </w:tc>
        <w:tc>
          <w:tcPr>
            <w:tcW w:w="1478" w:type="dxa"/>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=0.9975</w:t>
            </w:r>
          </w:p>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1" w:type="dxa"/>
            <w:tcBorders>
              <w:bottom w:val="single" w:color="000000"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vertAlign w:val="baseline"/>
                <w:lang w:val="en-US" w:eastAsia="zh-CN"/>
              </w:rPr>
            </w:pPr>
            <w:r>
              <w:rPr>
                <w:rFonts w:hint="eastAsia"/>
                <w:vertAlign w:val="baseline"/>
                <w:lang w:val="en-US" w:eastAsia="zh-CN"/>
              </w:rPr>
              <w:t>11</w:t>
            </w:r>
          </w:p>
        </w:tc>
        <w:tc>
          <w:tcPr>
            <w:tcW w:w="2445" w:type="dxa"/>
            <w:tcBorders>
              <w:bottom w:val="single" w:color="000000" w:sz="4" w:space="0"/>
            </w:tcBorders>
            <w:vAlign w:val="center"/>
          </w:tcPr>
          <w:p>
            <w:pP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中国检验认证集团湖南有限公司</w:t>
            </w:r>
          </w:p>
        </w:tc>
        <w:tc>
          <w:tcPr>
            <w:tcW w:w="3782" w:type="dxa"/>
            <w:tcBorders>
              <w:bottom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left"/>
              <w:textAlignment w:val="center"/>
              <w:rPr>
                <w:rFonts w:hint="default" w:ascii="宋体" w:hAnsi="宋体" w:eastAsia="宋体" w:cs="宋体"/>
                <w:b w:val="0"/>
                <w:bCs w:val="0"/>
                <w:lang w:val="en-US" w:eastAsia="zh-CN"/>
              </w:rPr>
            </w:pPr>
            <w:r>
              <w:rPr>
                <w:rFonts w:hint="eastAsia" w:ascii="宋体" w:hAnsi="宋体" w:eastAsia="宋体" w:cs="宋体"/>
                <w:b w:val="0"/>
                <w:bCs w:val="0"/>
                <w:lang w:val="en-US" w:eastAsia="zh-CN"/>
              </w:rPr>
              <w:t>Y=0.1191X+0.1845</w:t>
            </w:r>
          </w:p>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rPr>
                <w:rFonts w:hint="default"/>
                <w:lang w:val="en-US" w:eastAsia="zh-CN"/>
              </w:rPr>
            </w:pPr>
            <w:r>
              <w:rPr>
                <w:rFonts w:hint="eastAsia" w:ascii="宋体" w:hAnsi="宋体" w:eastAsia="宋体" w:cs="宋体"/>
                <w:b w:val="0"/>
                <w:bCs w:val="0"/>
                <w:i w:val="0"/>
                <w:iCs w:val="0"/>
                <w:color w:val="000000"/>
                <w:kern w:val="0"/>
                <w:sz w:val="22"/>
                <w:szCs w:val="22"/>
                <w:u w:val="none"/>
                <w:lang w:val="en-US" w:eastAsia="zh-CN" w:bidi="ar"/>
              </w:rPr>
              <w:t>Y=0.000191X</w:t>
            </w:r>
            <w:r>
              <w:rPr>
                <w:rFonts w:hint="eastAsia" w:ascii="宋体" w:hAnsi="宋体" w:eastAsia="宋体" w:cs="宋体"/>
                <w:b w:val="0"/>
                <w:bCs w:val="0"/>
                <w:i w:val="0"/>
                <w:iCs w:val="0"/>
                <w:color w:val="000000"/>
                <w:kern w:val="0"/>
                <w:sz w:val="22"/>
                <w:szCs w:val="22"/>
                <w:u w:val="none"/>
                <w:vertAlign w:val="superscript"/>
                <w:lang w:val="en-US" w:eastAsia="zh-CN" w:bidi="ar"/>
              </w:rPr>
              <w:t>2</w:t>
            </w:r>
            <w:r>
              <w:rPr>
                <w:rFonts w:hint="eastAsia" w:ascii="宋体" w:hAnsi="宋体" w:eastAsia="宋体" w:cs="宋体"/>
                <w:b w:val="0"/>
                <w:bCs w:val="0"/>
                <w:i w:val="0"/>
                <w:iCs w:val="0"/>
                <w:color w:val="000000"/>
                <w:kern w:val="0"/>
                <w:sz w:val="22"/>
                <w:szCs w:val="22"/>
                <w:u w:val="none"/>
                <w:lang w:val="en-US" w:eastAsia="zh-CN" w:bidi="ar"/>
              </w:rPr>
              <w:t>+0.1152X+0.6678</w:t>
            </w:r>
          </w:p>
        </w:tc>
        <w:tc>
          <w:tcPr>
            <w:tcW w:w="1478" w:type="dxa"/>
            <w:tcBorders>
              <w:bottom w:val="single" w:color="000000" w:sz="4" w:space="0"/>
            </w:tcBorders>
            <w:vAlign w:val="center"/>
          </w:tcPr>
          <w:p>
            <w:pPr>
              <w:pStyle w:val="2"/>
              <w:keepNext w:val="0"/>
              <w:keepLines w:val="0"/>
              <w:pageBreakBefore w:val="0"/>
              <w:widowControl w:val="0"/>
              <w:tabs>
                <w:tab w:val="left" w:pos="661"/>
                <w:tab w:val="center" w:pos="2448"/>
              </w:tabs>
              <w:kinsoku/>
              <w:wordWrap/>
              <w:overflowPunct/>
              <w:topLinePunct w:val="0"/>
              <w:autoSpaceDE/>
              <w:autoSpaceDN/>
              <w:bidi w:val="0"/>
              <w:adjustRightInd/>
              <w:snapToGrid w:val="0"/>
              <w:spacing w:line="0" w:lineRule="atLeast"/>
              <w:ind w:left="0" w:leftChars="0" w:firstLine="0" w:firstLineChars="0"/>
              <w:jc w:val="center"/>
              <w:textAlignment w:val="auto"/>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=0.9986</w:t>
            </w:r>
          </w:p>
          <w:p>
            <w:pPr>
              <w:keepNext w:val="0"/>
              <w:keepLines w:val="0"/>
              <w:widowControl/>
              <w:suppressLineNumbers w:val="0"/>
              <w:jc w:val="center"/>
              <w:textAlignment w:val="center"/>
              <w:rPr>
                <w:rStyle w:val="13"/>
                <w:rFonts w:hint="default"/>
                <w:i w:val="0"/>
                <w:iCs w:val="0"/>
                <w:color w:val="000000"/>
                <w:sz w:val="21"/>
                <w:szCs w:val="21"/>
                <w:lang w:val="en-US" w:eastAsia="zh-CN" w:bidi="ar"/>
              </w:rPr>
            </w:pPr>
            <w:r>
              <w:rPr>
                <w:rStyle w:val="13"/>
                <w:rFonts w:hint="eastAsia"/>
                <w:i w:val="0"/>
                <w:iCs w:val="0"/>
                <w:color w:val="000000"/>
                <w:sz w:val="21"/>
                <w:szCs w:val="21"/>
                <w:lang w:val="en-US" w:eastAsia="zh-CN" w:bidi="ar"/>
              </w:rPr>
              <w:t>R</w:t>
            </w:r>
            <w:r>
              <w:rPr>
                <w:rStyle w:val="13"/>
                <w:rFonts w:hint="eastAsia"/>
                <w:i w:val="0"/>
                <w:iCs w:val="0"/>
                <w:color w:val="000000"/>
                <w:sz w:val="21"/>
                <w:szCs w:val="21"/>
                <w:vertAlign w:val="superscript"/>
                <w:lang w:val="en-US" w:eastAsia="zh-CN" w:bidi="ar"/>
              </w:rPr>
              <w:t>2</w:t>
            </w:r>
            <w:r>
              <w:rPr>
                <w:rStyle w:val="13"/>
                <w:rFonts w:hint="eastAsia"/>
                <w:i w:val="0"/>
                <w:iCs w:val="0"/>
                <w:color w:val="000000"/>
                <w:sz w:val="21"/>
                <w:szCs w:val="21"/>
                <w:lang w:val="en-US" w:eastAsia="zh-CN" w:bidi="ar"/>
              </w:rPr>
              <w:t>=0.9982</w:t>
            </w:r>
          </w:p>
        </w:tc>
      </w:tr>
    </w:tbl>
    <w:p>
      <w:pPr>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6.2.2.1 实验室间比对结果</w:t>
      </w:r>
    </w:p>
    <w:p>
      <w:pPr>
        <w:pStyle w:val="2"/>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2022年9月，各比对实验室根据项目时间进度将分发的比对样品（5个土壤样品及1个标准质控土壤样品）数据提交给标准起草工作组。结果经整理汇总见表6-3，由表可知，4家单位对样品编号为GSS-7质控样进行测定，结果值在0.073〜0.084 mg kg</w:t>
      </w:r>
      <w:r>
        <w:rPr>
          <w:rFonts w:hint="eastAsia" w:ascii="宋体" w:hAnsi="宋体" w:eastAsia="宋体" w:cs="宋体"/>
          <w:color w:val="000000"/>
          <w:kern w:val="0"/>
          <w:sz w:val="24"/>
          <w:szCs w:val="24"/>
          <w:vertAlign w:val="superscript"/>
          <w:lang w:val="en-US" w:eastAsia="zh-CN" w:bidi="ar"/>
        </w:rPr>
        <w:t>-1</w:t>
      </w:r>
      <w:r>
        <w:rPr>
          <w:rFonts w:hint="eastAsia" w:ascii="宋体" w:hAnsi="宋体" w:eastAsia="宋体" w:cs="宋体"/>
          <w:color w:val="000000"/>
          <w:kern w:val="0"/>
          <w:sz w:val="24"/>
          <w:szCs w:val="24"/>
          <w:lang w:val="en-US" w:eastAsia="zh-CN" w:bidi="ar"/>
        </w:rPr>
        <w:t>之间，相对标准偏差在1.25〜18.96 %之间，实验室间平均值为0.078 mg kg</w:t>
      </w:r>
      <w:r>
        <w:rPr>
          <w:rFonts w:hint="eastAsia" w:ascii="宋体" w:hAnsi="宋体" w:eastAsia="宋体" w:cs="宋体"/>
          <w:color w:val="000000"/>
          <w:kern w:val="0"/>
          <w:sz w:val="24"/>
          <w:szCs w:val="24"/>
          <w:vertAlign w:val="superscript"/>
          <w:lang w:val="en-US" w:eastAsia="zh-CN" w:bidi="ar"/>
        </w:rPr>
        <w:t>-1</w:t>
      </w:r>
      <w:r>
        <w:rPr>
          <w:rFonts w:hint="eastAsia" w:ascii="宋体" w:hAnsi="宋体" w:eastAsia="宋体" w:cs="宋体"/>
          <w:color w:val="000000"/>
          <w:kern w:val="0"/>
          <w:sz w:val="24"/>
          <w:szCs w:val="24"/>
          <w:vertAlign w:val="baseline"/>
          <w:lang w:val="en-US" w:eastAsia="zh-CN" w:bidi="ar"/>
        </w:rPr>
        <w:t>，</w:t>
      </w:r>
      <w:r>
        <w:rPr>
          <w:rFonts w:hint="eastAsia" w:ascii="宋体" w:hAnsi="宋体" w:eastAsia="宋体" w:cs="宋体"/>
          <w:color w:val="000000"/>
          <w:kern w:val="0"/>
          <w:sz w:val="24"/>
          <w:szCs w:val="24"/>
          <w:lang w:val="en-US" w:eastAsia="zh-CN" w:bidi="ar"/>
        </w:rPr>
        <w:t>实验室间相对标准偏差为6.63 %；6家单位对样品编号为GSS-5质控样进行测定，结果值在0.470〜0.500 mg kg</w:t>
      </w:r>
      <w:r>
        <w:rPr>
          <w:rFonts w:hint="eastAsia" w:ascii="宋体" w:hAnsi="宋体" w:eastAsia="宋体" w:cs="宋体"/>
          <w:color w:val="000000"/>
          <w:kern w:val="0"/>
          <w:sz w:val="24"/>
          <w:szCs w:val="24"/>
          <w:vertAlign w:val="superscript"/>
          <w:lang w:val="en-US" w:eastAsia="zh-CN" w:bidi="ar"/>
        </w:rPr>
        <w:t>-1</w:t>
      </w:r>
      <w:r>
        <w:rPr>
          <w:rFonts w:hint="eastAsia" w:ascii="宋体" w:hAnsi="宋体" w:eastAsia="宋体" w:cs="宋体"/>
          <w:color w:val="000000"/>
          <w:kern w:val="0"/>
          <w:sz w:val="24"/>
          <w:szCs w:val="24"/>
          <w:lang w:val="en-US" w:eastAsia="zh-CN" w:bidi="ar"/>
        </w:rPr>
        <w:t>之间，相对标准偏差在1.22〜6.26%之间，实验室间平均值为0.483 mg kg</w:t>
      </w:r>
      <w:r>
        <w:rPr>
          <w:rFonts w:hint="eastAsia" w:ascii="宋体" w:hAnsi="宋体" w:eastAsia="宋体" w:cs="宋体"/>
          <w:color w:val="000000"/>
          <w:kern w:val="0"/>
          <w:sz w:val="24"/>
          <w:szCs w:val="24"/>
          <w:vertAlign w:val="superscript"/>
          <w:lang w:val="en-US" w:eastAsia="zh-CN" w:bidi="ar"/>
        </w:rPr>
        <w:t>-1</w:t>
      </w:r>
      <w:r>
        <w:rPr>
          <w:rFonts w:hint="eastAsia" w:ascii="宋体" w:hAnsi="宋体" w:eastAsia="宋体" w:cs="宋体"/>
          <w:color w:val="000000"/>
          <w:kern w:val="0"/>
          <w:sz w:val="24"/>
          <w:szCs w:val="24"/>
          <w:vertAlign w:val="baseline"/>
          <w:lang w:val="en-US" w:eastAsia="zh-CN" w:bidi="ar"/>
        </w:rPr>
        <w:t>，</w:t>
      </w:r>
      <w:r>
        <w:rPr>
          <w:rFonts w:hint="eastAsia" w:ascii="宋体" w:hAnsi="宋体" w:eastAsia="宋体" w:cs="宋体"/>
          <w:color w:val="000000"/>
          <w:kern w:val="0"/>
          <w:sz w:val="24"/>
          <w:szCs w:val="24"/>
          <w:lang w:val="en-US" w:eastAsia="zh-CN" w:bidi="ar"/>
        </w:rPr>
        <w:t>实验室间相对标准偏差为2.06 %；11家单位对样品编号为22930样品进行测定，结果值在0.236〜0.244 mg kg</w:t>
      </w:r>
      <w:r>
        <w:rPr>
          <w:rFonts w:hint="eastAsia" w:ascii="宋体" w:hAnsi="宋体" w:eastAsia="宋体" w:cs="宋体"/>
          <w:color w:val="000000"/>
          <w:kern w:val="0"/>
          <w:sz w:val="24"/>
          <w:szCs w:val="24"/>
          <w:vertAlign w:val="superscript"/>
          <w:lang w:val="en-US" w:eastAsia="zh-CN" w:bidi="ar"/>
        </w:rPr>
        <w:t>-1</w:t>
      </w:r>
      <w:r>
        <w:rPr>
          <w:rFonts w:hint="eastAsia" w:ascii="宋体" w:hAnsi="宋体" w:eastAsia="宋体" w:cs="宋体"/>
          <w:color w:val="000000"/>
          <w:kern w:val="0"/>
          <w:sz w:val="24"/>
          <w:szCs w:val="24"/>
          <w:lang w:val="en-US" w:eastAsia="zh-CN" w:bidi="ar"/>
        </w:rPr>
        <w:t>之间，相对标准偏差在0.42〜6.80 %之间，实验室间平均值为0.239 mg kg</w:t>
      </w:r>
      <w:r>
        <w:rPr>
          <w:rFonts w:hint="eastAsia" w:ascii="宋体" w:hAnsi="宋体" w:eastAsia="宋体" w:cs="宋体"/>
          <w:color w:val="000000"/>
          <w:kern w:val="0"/>
          <w:sz w:val="24"/>
          <w:szCs w:val="24"/>
          <w:vertAlign w:val="superscript"/>
          <w:lang w:val="en-US" w:eastAsia="zh-CN" w:bidi="ar"/>
        </w:rPr>
        <w:t>-1</w:t>
      </w:r>
      <w:r>
        <w:rPr>
          <w:rFonts w:hint="eastAsia" w:ascii="宋体" w:hAnsi="宋体" w:eastAsia="宋体" w:cs="宋体"/>
          <w:color w:val="000000"/>
          <w:kern w:val="0"/>
          <w:sz w:val="24"/>
          <w:szCs w:val="24"/>
          <w:vertAlign w:val="baseline"/>
          <w:lang w:val="en-US" w:eastAsia="zh-CN" w:bidi="ar"/>
        </w:rPr>
        <w:t>，</w:t>
      </w:r>
      <w:r>
        <w:rPr>
          <w:rFonts w:hint="eastAsia" w:ascii="宋体" w:hAnsi="宋体" w:eastAsia="宋体" w:cs="宋体"/>
          <w:color w:val="000000"/>
          <w:kern w:val="0"/>
          <w:sz w:val="24"/>
          <w:szCs w:val="24"/>
          <w:lang w:val="en-US" w:eastAsia="zh-CN" w:bidi="ar"/>
        </w:rPr>
        <w:t>实验室间相对标准偏差为0.88 %；</w:t>
      </w:r>
      <w:r>
        <w:rPr>
          <w:rFonts w:hint="eastAsia" w:ascii="宋体" w:hAnsi="宋体" w:eastAsia="宋体" w:cs="宋体"/>
          <w:color w:val="auto"/>
          <w:kern w:val="0"/>
          <w:sz w:val="24"/>
          <w:szCs w:val="24"/>
          <w:lang w:val="en-US" w:eastAsia="zh-CN" w:bidi="ar"/>
        </w:rPr>
        <w:t>11家单位对样品编号为40940样品进行测定，结果值在2.52〜2.66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lang w:val="en-US" w:eastAsia="zh-CN" w:bidi="ar"/>
        </w:rPr>
        <w:t>之间，相对标准偏差在0.58〜4.19 %之间，实验室间平均值为2.60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vertAlign w:val="baseline"/>
          <w:lang w:val="en-US" w:eastAsia="zh-CN" w:bidi="ar"/>
        </w:rPr>
        <w:t>，</w:t>
      </w:r>
      <w:r>
        <w:rPr>
          <w:rFonts w:hint="eastAsia" w:ascii="宋体" w:hAnsi="宋体" w:eastAsia="宋体" w:cs="宋体"/>
          <w:color w:val="auto"/>
          <w:kern w:val="0"/>
          <w:sz w:val="24"/>
          <w:szCs w:val="24"/>
          <w:lang w:val="en-US" w:eastAsia="zh-CN" w:bidi="ar"/>
        </w:rPr>
        <w:t>实验室间相对标准偏差为1.49 %；11家单位对样品编号为40941样品进行测定，结果值在2.32〜2.44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lang w:val="en-US" w:eastAsia="zh-CN" w:bidi="ar"/>
        </w:rPr>
        <w:t>之间，相对标准偏差在0.79〜3.36 %之间，实验室间平均值为2.39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vertAlign w:val="baseline"/>
          <w:lang w:val="en-US" w:eastAsia="zh-CN" w:bidi="ar"/>
        </w:rPr>
        <w:t>，</w:t>
      </w:r>
      <w:r>
        <w:rPr>
          <w:rFonts w:hint="eastAsia" w:ascii="宋体" w:hAnsi="宋体" w:eastAsia="宋体" w:cs="宋体"/>
          <w:color w:val="auto"/>
          <w:kern w:val="0"/>
          <w:sz w:val="24"/>
          <w:szCs w:val="24"/>
          <w:lang w:val="en-US" w:eastAsia="zh-CN" w:bidi="ar"/>
        </w:rPr>
        <w:t>实验室间相对标准偏差为1.40 %；11家单位对样品编号为32187样品进行测定，结果值在7.67〜8.02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lang w:val="en-US" w:eastAsia="zh-CN" w:bidi="ar"/>
        </w:rPr>
        <w:t>之间，相对标准偏差在0.67〜4.59 %之间，实验室间平均值为7.89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vertAlign w:val="baseline"/>
          <w:lang w:val="en-US" w:eastAsia="zh-CN" w:bidi="ar"/>
        </w:rPr>
        <w:t>，</w:t>
      </w:r>
      <w:r>
        <w:rPr>
          <w:rFonts w:hint="eastAsia" w:ascii="宋体" w:hAnsi="宋体" w:eastAsia="宋体" w:cs="宋体"/>
          <w:color w:val="auto"/>
          <w:kern w:val="0"/>
          <w:sz w:val="24"/>
          <w:szCs w:val="24"/>
          <w:lang w:val="en-US" w:eastAsia="zh-CN" w:bidi="ar"/>
        </w:rPr>
        <w:t>实验室间相对标准偏差为1.16 %；11家单位对样品编号为32187样品进行测定，结果值在7.67〜8.02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lang w:val="en-US" w:eastAsia="zh-CN" w:bidi="ar"/>
        </w:rPr>
        <w:t>之间，相对标准偏差在0.67〜4.59 %之间，实验室间平均值为7.89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vertAlign w:val="baseline"/>
          <w:lang w:val="en-US" w:eastAsia="zh-CN" w:bidi="ar"/>
        </w:rPr>
        <w:t>，</w:t>
      </w:r>
      <w:r>
        <w:rPr>
          <w:rFonts w:hint="eastAsia" w:ascii="宋体" w:hAnsi="宋体" w:eastAsia="宋体" w:cs="宋体"/>
          <w:color w:val="auto"/>
          <w:kern w:val="0"/>
          <w:sz w:val="24"/>
          <w:szCs w:val="24"/>
          <w:lang w:val="en-US" w:eastAsia="zh-CN" w:bidi="ar"/>
        </w:rPr>
        <w:t>实验室间相对标准偏差为1.16 %；11家单位对样品编号为43216样品进行测定，结果值在11.41〜12.10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lang w:val="en-US" w:eastAsia="zh-CN" w:bidi="ar"/>
        </w:rPr>
        <w:t>之间，相对标准偏差在0.30〜2.97 %之间，实验室间平均值为11.84 mg kg</w:t>
      </w:r>
      <w:r>
        <w:rPr>
          <w:rFonts w:hint="eastAsia" w:ascii="宋体" w:hAnsi="宋体" w:eastAsia="宋体" w:cs="宋体"/>
          <w:color w:val="auto"/>
          <w:kern w:val="0"/>
          <w:sz w:val="24"/>
          <w:szCs w:val="24"/>
          <w:vertAlign w:val="superscript"/>
          <w:lang w:val="en-US" w:eastAsia="zh-CN" w:bidi="ar"/>
        </w:rPr>
        <w:t>-1</w:t>
      </w:r>
      <w:r>
        <w:rPr>
          <w:rFonts w:hint="eastAsia" w:ascii="宋体" w:hAnsi="宋体" w:eastAsia="宋体" w:cs="宋体"/>
          <w:color w:val="auto"/>
          <w:kern w:val="0"/>
          <w:sz w:val="24"/>
          <w:szCs w:val="24"/>
          <w:vertAlign w:val="baseline"/>
          <w:lang w:val="en-US" w:eastAsia="zh-CN" w:bidi="ar"/>
        </w:rPr>
        <w:t>，</w:t>
      </w:r>
      <w:r>
        <w:rPr>
          <w:rFonts w:hint="eastAsia" w:ascii="宋体" w:hAnsi="宋体" w:eastAsia="宋体" w:cs="宋体"/>
          <w:color w:val="auto"/>
          <w:kern w:val="0"/>
          <w:sz w:val="24"/>
          <w:szCs w:val="24"/>
          <w:lang w:val="en-US" w:eastAsia="zh-CN" w:bidi="ar"/>
        </w:rPr>
        <w:t>实验室间相对标准偏差为1.76 %。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宋体" w:hAnsi="宋体" w:eastAsia="宋体" w:cs="宋体"/>
          <w:color w:val="000000"/>
          <w:kern w:val="0"/>
          <w:sz w:val="24"/>
          <w:szCs w:val="24"/>
          <w:lang w:val="en-US" w:eastAsia="zh-CN" w:bidi="ar"/>
        </w:rPr>
      </w:pPr>
    </w:p>
    <w:p>
      <w:pPr>
        <w:pStyle w:val="2"/>
        <w:rPr>
          <w:rFonts w:hint="eastAsia"/>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jc w:val="center"/>
        <w:rPr>
          <w:rFonts w:hint="eastAsia"/>
          <w:lang w:val="en-US" w:eastAsia="zh-CN"/>
        </w:rPr>
      </w:pPr>
      <w:r>
        <w:rPr>
          <w:rFonts w:hint="eastAsia"/>
          <w:lang w:val="en-US" w:eastAsia="zh-CN"/>
        </w:rPr>
        <w:t>表6-3 各实验室比对数据统计表</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5"/>
        <w:gridCol w:w="1204"/>
        <w:gridCol w:w="2776"/>
        <w:gridCol w:w="1140"/>
        <w:gridCol w:w="1056"/>
        <w:gridCol w:w="1056"/>
        <w:gridCol w:w="1224"/>
        <w:gridCol w:w="1176"/>
        <w:gridCol w:w="1056"/>
        <w:gridCol w:w="1428"/>
        <w:gridCol w:w="1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restart"/>
            <w:tcBorders>
              <w:top w:val="single" w:color="auto" w:sz="4" w:space="0"/>
            </w:tcBorders>
            <w:vAlign w:val="center"/>
          </w:tcPr>
          <w:p>
            <w:pPr>
              <w:pStyle w:val="2"/>
              <w:ind w:left="0" w:leftChars="0" w:firstLine="0" w:firstLineChars="0"/>
              <w:jc w:val="center"/>
              <w:rPr>
                <w:rFonts w:hint="eastAsia"/>
                <w:vertAlign w:val="baseline"/>
                <w:lang w:val="en-US" w:eastAsia="zh-CN"/>
              </w:rPr>
            </w:pPr>
            <w:r>
              <w:rPr>
                <w:rFonts w:hint="eastAsia"/>
                <w:vertAlign w:val="baseline"/>
                <w:lang w:val="en-US" w:eastAsia="zh-CN"/>
              </w:rPr>
              <w:t>序号</w:t>
            </w:r>
          </w:p>
        </w:tc>
        <w:tc>
          <w:tcPr>
            <w:tcW w:w="1204" w:type="dxa"/>
            <w:vMerge w:val="restart"/>
            <w:tcBorders>
              <w:top w:val="single" w:color="auto" w:sz="4" w:space="0"/>
            </w:tcBorders>
            <w:vAlign w:val="center"/>
          </w:tcPr>
          <w:p>
            <w:pPr>
              <w:pStyle w:val="2"/>
              <w:ind w:left="0" w:leftChars="0" w:firstLine="0" w:firstLineChars="0"/>
              <w:jc w:val="center"/>
              <w:rPr>
                <w:rFonts w:hint="eastAsia"/>
                <w:vertAlign w:val="baseline"/>
                <w:lang w:val="en-US" w:eastAsia="zh-CN"/>
              </w:rPr>
            </w:pPr>
            <w:r>
              <w:rPr>
                <w:rFonts w:hint="eastAsia" w:ascii="宋体" w:hAnsi="宋体" w:eastAsia="宋体" w:cs="宋体"/>
                <w:i w:val="0"/>
                <w:iCs w:val="0"/>
                <w:color w:val="000000"/>
                <w:kern w:val="2"/>
                <w:sz w:val="18"/>
                <w:szCs w:val="18"/>
                <w:u w:val="none"/>
                <w:lang w:val="en-US" w:eastAsia="zh-CN" w:bidi="ar-SA"/>
              </w:rPr>
              <w:t>样品编号</w:t>
            </w:r>
          </w:p>
        </w:tc>
        <w:tc>
          <w:tcPr>
            <w:tcW w:w="2776" w:type="dxa"/>
            <w:vMerge w:val="restart"/>
            <w:tcBorders>
              <w:top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vertAlign w:val="baseline"/>
                <w:lang w:val="en-US" w:eastAsia="zh-CN"/>
              </w:rPr>
            </w:pPr>
            <w:r>
              <w:rPr>
                <w:rFonts w:hint="eastAsia" w:ascii="宋体" w:hAnsi="宋体" w:eastAsia="宋体" w:cs="宋体"/>
                <w:i w:val="0"/>
                <w:iCs w:val="0"/>
                <w:color w:val="000000"/>
                <w:kern w:val="0"/>
                <w:sz w:val="18"/>
                <w:szCs w:val="18"/>
                <w:u w:val="none"/>
                <w:lang w:val="en-US" w:eastAsia="zh-CN" w:bidi="ar"/>
              </w:rPr>
              <w:t>单位名称</w:t>
            </w:r>
          </w:p>
        </w:tc>
        <w:tc>
          <w:tcPr>
            <w:tcW w:w="3252" w:type="dxa"/>
            <w:gridSpan w:val="3"/>
            <w:tcBorders>
              <w:top w:val="single" w:color="auto" w:sz="4" w:space="0"/>
              <w:bottom w:val="single" w:color="auto" w:sz="4" w:space="0"/>
            </w:tcBorders>
            <w:vAlign w:val="center"/>
          </w:tcPr>
          <w:p>
            <w:pPr>
              <w:pStyle w:val="2"/>
              <w:jc w:val="center"/>
              <w:rPr>
                <w:rFonts w:hint="eastAsia"/>
                <w:vertAlign w:val="baseline"/>
                <w:lang w:val="en-US" w:eastAsia="zh-CN"/>
              </w:rPr>
            </w:pPr>
            <w:r>
              <w:rPr>
                <w:rFonts w:hint="eastAsia" w:ascii="宋体" w:hAnsi="宋体" w:eastAsia="宋体" w:cs="宋体"/>
                <w:i w:val="0"/>
                <w:iCs w:val="0"/>
                <w:color w:val="000000"/>
                <w:kern w:val="2"/>
                <w:sz w:val="18"/>
                <w:szCs w:val="18"/>
                <w:u w:val="none"/>
                <w:lang w:val="en-US" w:eastAsia="zh-CN" w:bidi="ar-SA"/>
              </w:rPr>
              <w:t>结果</w:t>
            </w:r>
            <w:r>
              <w:rPr>
                <w:rFonts w:hint="eastAsia" w:ascii="Calibri" w:hAnsi="Calibri" w:eastAsia="宋体" w:cs="Calibri"/>
                <w:i w:val="0"/>
                <w:iCs w:val="0"/>
                <w:color w:val="000000"/>
                <w:kern w:val="0"/>
                <w:sz w:val="18"/>
                <w:szCs w:val="18"/>
                <w:u w:val="none"/>
                <w:lang w:val="en-US" w:eastAsia="zh-CN" w:bidi="ar"/>
              </w:rPr>
              <w:t>（mg/kg）</w:t>
            </w:r>
          </w:p>
        </w:tc>
        <w:tc>
          <w:tcPr>
            <w:tcW w:w="1224" w:type="dxa"/>
            <w:vMerge w:val="restart"/>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p>
            <w:pPr>
              <w:pStyle w:val="2"/>
              <w:ind w:left="0" w:leftChars="0" w:firstLine="0" w:firstLineChars="0"/>
              <w:jc w:val="center"/>
              <w:rPr>
                <w:rFonts w:hint="eastAsia"/>
                <w:vertAlign w:val="baseline"/>
                <w:lang w:val="en-US" w:eastAsia="zh-CN"/>
              </w:rPr>
            </w:pPr>
            <w:r>
              <w:rPr>
                <w:rFonts w:hint="eastAsia" w:ascii="Calibri" w:hAnsi="Calibri" w:eastAsia="宋体" w:cs="Calibri"/>
                <w:i w:val="0"/>
                <w:iCs w:val="0"/>
                <w:color w:val="000000"/>
                <w:kern w:val="0"/>
                <w:sz w:val="18"/>
                <w:szCs w:val="18"/>
                <w:u w:val="none"/>
                <w:lang w:val="en-US" w:eastAsia="zh-CN" w:bidi="ar"/>
              </w:rPr>
              <w:t>（mg/kg）</w:t>
            </w:r>
          </w:p>
        </w:tc>
        <w:tc>
          <w:tcPr>
            <w:tcW w:w="1176" w:type="dxa"/>
            <w:vMerge w:val="restart"/>
            <w:tcBorders>
              <w:top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标准偏差</w:t>
            </w:r>
          </w:p>
          <w:p>
            <w:pPr>
              <w:pStyle w:val="2"/>
              <w:ind w:left="0" w:leftChars="0" w:firstLine="0" w:firstLineChars="0"/>
              <w:jc w:val="center"/>
              <w:rPr>
                <w:rFonts w:hint="eastAsia"/>
                <w:vertAlign w:val="baseline"/>
                <w:lang w:val="en-US" w:eastAsia="zh-CN"/>
              </w:rPr>
            </w:pPr>
            <w:r>
              <w:rPr>
                <w:rFonts w:hint="eastAsia" w:ascii="宋体" w:hAnsi="宋体" w:eastAsia="宋体" w:cs="宋体"/>
                <w:i w:val="0"/>
                <w:iCs w:val="0"/>
                <w:color w:val="000000"/>
                <w:kern w:val="0"/>
                <w:sz w:val="18"/>
                <w:szCs w:val="18"/>
                <w:u w:val="none"/>
                <w:lang w:val="en-US" w:eastAsia="zh-CN" w:bidi="ar"/>
              </w:rPr>
              <w:t>（</w:t>
            </w:r>
            <w:r>
              <w:rPr>
                <w:rFonts w:ascii="Calibri" w:hAnsi="Calibri" w:eastAsia="宋体" w:cs="Calibri"/>
                <w:i w:val="0"/>
                <w:iCs w:val="0"/>
                <w:color w:val="000000"/>
                <w:kern w:val="0"/>
                <w:sz w:val="18"/>
                <w:szCs w:val="18"/>
                <w:u w:val="none"/>
                <w:lang w:val="en-US" w:eastAsia="zh-CN" w:bidi="ar"/>
              </w:rPr>
              <w:t>%</w:t>
            </w:r>
            <w:r>
              <w:rPr>
                <w:rStyle w:val="15"/>
                <w:sz w:val="18"/>
                <w:szCs w:val="18"/>
                <w:lang w:val="en-US" w:eastAsia="zh-CN" w:bidi="ar"/>
              </w:rPr>
              <w:t>）</w:t>
            </w:r>
          </w:p>
        </w:tc>
        <w:tc>
          <w:tcPr>
            <w:tcW w:w="1056" w:type="dxa"/>
            <w:vMerge w:val="restart"/>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相对标准偏差（</w:t>
            </w:r>
            <w:r>
              <w:rPr>
                <w:rFonts w:ascii="Calibri" w:hAnsi="Calibri" w:eastAsia="宋体" w:cs="Calibri"/>
                <w:i w:val="0"/>
                <w:iCs w:val="0"/>
                <w:color w:val="000000"/>
                <w:kern w:val="0"/>
                <w:sz w:val="18"/>
                <w:szCs w:val="18"/>
                <w:u w:val="none"/>
                <w:lang w:val="en-US" w:eastAsia="zh-CN" w:bidi="ar"/>
              </w:rPr>
              <w:t>%</w:t>
            </w:r>
            <w:r>
              <w:rPr>
                <w:rStyle w:val="15"/>
                <w:sz w:val="18"/>
                <w:szCs w:val="18"/>
                <w:lang w:val="en-US" w:eastAsia="zh-CN" w:bidi="ar"/>
              </w:rPr>
              <w:t>）</w:t>
            </w:r>
          </w:p>
        </w:tc>
        <w:tc>
          <w:tcPr>
            <w:tcW w:w="1428" w:type="dxa"/>
            <w:vMerge w:val="restart"/>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实验室间平均值（mg/kg）</w:t>
            </w:r>
          </w:p>
        </w:tc>
        <w:tc>
          <w:tcPr>
            <w:tcW w:w="1333" w:type="dxa"/>
            <w:vMerge w:val="restart"/>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实验室间相对标准偏差（%</w:t>
            </w:r>
            <w:r>
              <w:rPr>
                <w:rStyle w:val="15"/>
                <w:rFonts w:hint="eastAsia" w:ascii="宋体" w:hAnsi="宋体" w:eastAsia="宋体" w:cs="宋体"/>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Borders>
              <w:bottom w:val="single" w:color="auto" w:sz="4" w:space="0"/>
            </w:tcBorders>
            <w:vAlign w:val="center"/>
          </w:tcPr>
          <w:p>
            <w:pPr>
              <w:pStyle w:val="2"/>
              <w:jc w:val="center"/>
              <w:rPr>
                <w:rFonts w:hint="eastAsia"/>
                <w:vertAlign w:val="baseline"/>
                <w:lang w:val="en-US" w:eastAsia="zh-CN"/>
              </w:rPr>
            </w:pPr>
          </w:p>
        </w:tc>
        <w:tc>
          <w:tcPr>
            <w:tcW w:w="1204" w:type="dxa"/>
            <w:vMerge w:val="continue"/>
            <w:tcBorders>
              <w:bottom w:val="single" w:color="auto" w:sz="4" w:space="0"/>
            </w:tcBorders>
            <w:vAlign w:val="center"/>
          </w:tcPr>
          <w:p>
            <w:pPr>
              <w:pStyle w:val="2"/>
              <w:jc w:val="center"/>
              <w:rPr>
                <w:rFonts w:hint="eastAsia"/>
                <w:vertAlign w:val="baseline"/>
                <w:lang w:val="en-US" w:eastAsia="zh-CN"/>
              </w:rPr>
            </w:pPr>
          </w:p>
        </w:tc>
        <w:tc>
          <w:tcPr>
            <w:tcW w:w="2776" w:type="dxa"/>
            <w:vMerge w:val="continue"/>
            <w:tcBorders>
              <w:bottom w:val="single" w:color="auto" w:sz="4" w:space="0"/>
            </w:tcBorders>
            <w:vAlign w:val="center"/>
          </w:tcPr>
          <w:p>
            <w:pPr>
              <w:pStyle w:val="2"/>
              <w:jc w:val="center"/>
              <w:rPr>
                <w:rFonts w:hint="eastAsia"/>
                <w:vertAlign w:val="baseline"/>
                <w:lang w:val="en-US" w:eastAsia="zh-CN"/>
              </w:rPr>
            </w:pPr>
          </w:p>
        </w:tc>
        <w:tc>
          <w:tcPr>
            <w:tcW w:w="1140" w:type="dxa"/>
            <w:tcBorders>
              <w:top w:val="single" w:color="auto" w:sz="4" w:space="0"/>
              <w:bottom w:val="single" w:color="auto" w:sz="4" w:space="0"/>
            </w:tcBorders>
            <w:vAlign w:val="center"/>
          </w:tcPr>
          <w:p>
            <w:pPr>
              <w:pStyle w:val="2"/>
              <w:ind w:left="0" w:leftChars="0" w:firstLine="0" w:firstLineChars="0"/>
              <w:jc w:val="both"/>
              <w:rPr>
                <w:rFonts w:hint="eastAsia"/>
                <w:vertAlign w:val="baseline"/>
                <w:lang w:val="en-US" w:eastAsia="zh-CN"/>
              </w:rPr>
            </w:pPr>
            <w:r>
              <w:rPr>
                <w:rFonts w:hint="eastAsia" w:ascii="宋体" w:hAnsi="宋体" w:eastAsia="宋体" w:cs="宋体"/>
                <w:i w:val="0"/>
                <w:iCs w:val="0"/>
                <w:color w:val="000000"/>
                <w:kern w:val="0"/>
                <w:sz w:val="18"/>
                <w:szCs w:val="18"/>
                <w:u w:val="none"/>
                <w:lang w:val="en-US" w:eastAsia="zh-CN" w:bidi="ar"/>
              </w:rPr>
              <w:t>实验数据</w:t>
            </w:r>
            <w:r>
              <w:rPr>
                <w:rFonts w:ascii="Calibri" w:hAnsi="Calibri" w:eastAsia="宋体" w:cs="Calibri"/>
                <w:i w:val="0"/>
                <w:iCs w:val="0"/>
                <w:color w:val="000000"/>
                <w:kern w:val="0"/>
                <w:sz w:val="18"/>
                <w:szCs w:val="18"/>
                <w:u w:val="none"/>
                <w:lang w:val="en-US" w:eastAsia="zh-CN" w:bidi="ar"/>
              </w:rPr>
              <w:t>1</w:t>
            </w:r>
          </w:p>
        </w:tc>
        <w:tc>
          <w:tcPr>
            <w:tcW w:w="1056" w:type="dxa"/>
            <w:tcBorders>
              <w:top w:val="single" w:color="auto" w:sz="4" w:space="0"/>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实验数据</w:t>
            </w:r>
            <w:r>
              <w:rPr>
                <w:rFonts w:ascii="Calibri" w:hAnsi="Calibri" w:eastAsia="宋体" w:cs="Calibri"/>
                <w:i w:val="0"/>
                <w:iCs w:val="0"/>
                <w:color w:val="000000"/>
                <w:kern w:val="0"/>
                <w:sz w:val="18"/>
                <w:szCs w:val="18"/>
                <w:u w:val="none"/>
                <w:lang w:val="en-US" w:eastAsia="zh-CN" w:bidi="ar"/>
              </w:rPr>
              <w:t>2</w:t>
            </w:r>
          </w:p>
        </w:tc>
        <w:tc>
          <w:tcPr>
            <w:tcW w:w="1056" w:type="dxa"/>
            <w:tcBorders>
              <w:top w:val="single" w:color="auto" w:sz="4" w:space="0"/>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实验数据</w:t>
            </w:r>
            <w:r>
              <w:rPr>
                <w:rFonts w:ascii="Calibri" w:hAnsi="Calibri" w:eastAsia="宋体" w:cs="Calibri"/>
                <w:i w:val="0"/>
                <w:iCs w:val="0"/>
                <w:color w:val="000000"/>
                <w:kern w:val="0"/>
                <w:sz w:val="18"/>
                <w:szCs w:val="18"/>
                <w:u w:val="none"/>
                <w:lang w:val="en-US" w:eastAsia="zh-CN" w:bidi="ar"/>
              </w:rPr>
              <w:t>3</w:t>
            </w:r>
          </w:p>
        </w:tc>
        <w:tc>
          <w:tcPr>
            <w:tcW w:w="1224" w:type="dxa"/>
            <w:vMerge w:val="continue"/>
            <w:tcBorders>
              <w:bottom w:val="single" w:color="auto" w:sz="4" w:space="0"/>
            </w:tcBorders>
            <w:vAlign w:val="center"/>
          </w:tcPr>
          <w:p>
            <w:pPr>
              <w:pStyle w:val="2"/>
              <w:jc w:val="center"/>
              <w:rPr>
                <w:rFonts w:hint="eastAsia"/>
                <w:vertAlign w:val="baseline"/>
                <w:lang w:val="en-US" w:eastAsia="zh-CN"/>
              </w:rPr>
            </w:pPr>
          </w:p>
        </w:tc>
        <w:tc>
          <w:tcPr>
            <w:tcW w:w="1176" w:type="dxa"/>
            <w:vMerge w:val="continue"/>
            <w:tcBorders>
              <w:bottom w:val="single" w:color="auto" w:sz="4" w:space="0"/>
            </w:tcBorders>
            <w:vAlign w:val="center"/>
          </w:tcPr>
          <w:p>
            <w:pPr>
              <w:pStyle w:val="2"/>
              <w:jc w:val="center"/>
              <w:rPr>
                <w:rFonts w:hint="eastAsia"/>
                <w:vertAlign w:val="baseline"/>
                <w:lang w:val="en-US" w:eastAsia="zh-CN"/>
              </w:rPr>
            </w:pPr>
          </w:p>
        </w:tc>
        <w:tc>
          <w:tcPr>
            <w:tcW w:w="1056" w:type="dxa"/>
            <w:vMerge w:val="continue"/>
            <w:tcBorders>
              <w:bottom w:val="single" w:color="auto" w:sz="4" w:space="0"/>
            </w:tcBorders>
            <w:vAlign w:val="center"/>
          </w:tcPr>
          <w:p>
            <w:pPr>
              <w:pStyle w:val="2"/>
              <w:jc w:val="center"/>
              <w:rPr>
                <w:rFonts w:hint="eastAsia"/>
                <w:vertAlign w:val="baseline"/>
                <w:lang w:val="en-US" w:eastAsia="zh-CN"/>
              </w:rPr>
            </w:pPr>
          </w:p>
        </w:tc>
        <w:tc>
          <w:tcPr>
            <w:tcW w:w="1428" w:type="dxa"/>
            <w:vMerge w:val="continue"/>
            <w:tcBorders>
              <w:bottom w:val="single" w:color="auto" w:sz="4" w:space="0"/>
            </w:tcBorders>
            <w:vAlign w:val="center"/>
          </w:tcPr>
          <w:p>
            <w:pPr>
              <w:pStyle w:val="2"/>
              <w:jc w:val="center"/>
              <w:rPr>
                <w:rFonts w:hint="eastAsia"/>
                <w:vertAlign w:val="baseline"/>
                <w:lang w:val="en-US" w:eastAsia="zh-CN"/>
              </w:rPr>
            </w:pPr>
          </w:p>
        </w:tc>
        <w:tc>
          <w:tcPr>
            <w:tcW w:w="1333" w:type="dxa"/>
            <w:vMerge w:val="continue"/>
            <w:tcBorders>
              <w:bottom w:val="single" w:color="auto" w:sz="4" w:space="0"/>
            </w:tcBorders>
            <w:vAlign w:val="center"/>
          </w:tcPr>
          <w:p>
            <w:pPr>
              <w:pStyle w:val="2"/>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blHeader/>
        </w:trPr>
        <w:tc>
          <w:tcPr>
            <w:tcW w:w="725" w:type="dxa"/>
            <w:vMerge w:val="restart"/>
            <w:tcBorders>
              <w:top w:val="single" w:color="auto" w:sz="4" w:space="0"/>
            </w:tcBorders>
            <w:vAlign w:val="center"/>
          </w:tcPr>
          <w:p>
            <w:pPr>
              <w:pStyle w:val="2"/>
              <w:tabs>
                <w:tab w:val="center" w:pos="255"/>
              </w:tabs>
              <w:ind w:left="0" w:leftChars="0" w:firstLine="0" w:firstLineChars="0"/>
              <w:jc w:val="center"/>
              <w:rPr>
                <w:rFonts w:hint="default"/>
                <w:vertAlign w:val="baseline"/>
                <w:lang w:val="en-US" w:eastAsia="zh-CN"/>
              </w:rPr>
            </w:pPr>
            <w:r>
              <w:rPr>
                <w:rFonts w:hint="eastAsia"/>
                <w:vertAlign w:val="baseline"/>
                <w:lang w:val="en-US" w:eastAsia="zh-CN"/>
              </w:rPr>
              <w:t>1</w:t>
            </w:r>
          </w:p>
        </w:tc>
        <w:tc>
          <w:tcPr>
            <w:tcW w:w="1204" w:type="dxa"/>
            <w:vMerge w:val="restart"/>
            <w:tcBorders>
              <w:top w:val="single" w:color="auto" w:sz="4" w:space="0"/>
            </w:tcBorders>
            <w:vAlign w:val="center"/>
          </w:tcPr>
          <w:p>
            <w:pPr>
              <w:pStyle w:val="2"/>
              <w:ind w:left="0" w:leftChars="0" w:firstLine="0" w:firstLineChars="0"/>
              <w:jc w:val="center"/>
              <w:rPr>
                <w:rFonts w:hint="eastAsia"/>
                <w:vertAlign w:val="baseline"/>
                <w:lang w:val="en-US" w:eastAsia="zh-CN"/>
              </w:rPr>
            </w:pPr>
            <w:r>
              <w:rPr>
                <w:rFonts w:hint="eastAsia"/>
                <w:lang w:val="en-US" w:eastAsia="zh-CN"/>
              </w:rPr>
              <w:t>GSS-7</w:t>
            </w:r>
          </w:p>
        </w:tc>
        <w:tc>
          <w:tcPr>
            <w:tcW w:w="2776" w:type="dxa"/>
            <w:tcBorders>
              <w:top w:val="single" w:color="auto" w:sz="4" w:space="0"/>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广电计量检测(湖南)有限公司</w:t>
            </w:r>
          </w:p>
        </w:tc>
        <w:tc>
          <w:tcPr>
            <w:tcW w:w="1140"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0.091</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0.066</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0.067</w:t>
            </w:r>
          </w:p>
        </w:tc>
        <w:tc>
          <w:tcPr>
            <w:tcW w:w="1224" w:type="dxa"/>
            <w:tcBorders>
              <w:top w:val="single" w:color="auto" w:sz="4" w:space="0"/>
              <w:bottom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0.075</w:t>
            </w:r>
          </w:p>
        </w:tc>
        <w:tc>
          <w:tcPr>
            <w:tcW w:w="117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0.014</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18.96</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0.078</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6.63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jc w:val="center"/>
              <w:rPr>
                <w:rFonts w:hint="eastAsia"/>
                <w:vertAlign w:val="baseline"/>
                <w:lang w:val="en-US" w:eastAsia="zh-CN"/>
              </w:rPr>
            </w:pPr>
          </w:p>
        </w:tc>
        <w:tc>
          <w:tcPr>
            <w:tcW w:w="1204" w:type="dxa"/>
            <w:vMerge w:val="continue"/>
            <w:vAlign w:val="center"/>
          </w:tcPr>
          <w:p>
            <w:pPr>
              <w:pStyle w:val="2"/>
              <w:jc w:val="center"/>
              <w:rPr>
                <w:rFonts w:hint="eastAsia"/>
                <w:vertAlign w:val="baseline"/>
                <w:lang w:val="en-US" w:eastAsia="zh-CN"/>
              </w:rPr>
            </w:pPr>
          </w:p>
        </w:tc>
        <w:tc>
          <w:tcPr>
            <w:tcW w:w="2776" w:type="dxa"/>
            <w:tcBorders>
              <w:top w:val="nil"/>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湖南省地质调查院测试中心</w:t>
            </w:r>
          </w:p>
        </w:tc>
        <w:tc>
          <w:tcPr>
            <w:tcW w:w="1140"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0.086</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0.084</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0.083</w:t>
            </w:r>
          </w:p>
        </w:tc>
        <w:tc>
          <w:tcPr>
            <w:tcW w:w="1224" w:type="dxa"/>
            <w:tcBorders>
              <w:top w:val="nil"/>
              <w:bottom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0.084</w:t>
            </w:r>
          </w:p>
        </w:tc>
        <w:tc>
          <w:tcPr>
            <w:tcW w:w="117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0.002</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1.81</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jc w:val="center"/>
              <w:rPr>
                <w:rFonts w:hint="eastAsia"/>
                <w:vertAlign w:val="baseline"/>
                <w:lang w:val="en-US" w:eastAsia="zh-CN"/>
              </w:rPr>
            </w:pPr>
          </w:p>
        </w:tc>
        <w:tc>
          <w:tcPr>
            <w:tcW w:w="1204" w:type="dxa"/>
            <w:vMerge w:val="continue"/>
          </w:tcPr>
          <w:p>
            <w:pPr>
              <w:pStyle w:val="2"/>
              <w:jc w:val="center"/>
              <w:rPr>
                <w:rFonts w:hint="eastAsia"/>
                <w:vertAlign w:val="baseline"/>
                <w:lang w:val="en-US" w:eastAsia="zh-CN"/>
              </w:rPr>
            </w:pPr>
          </w:p>
        </w:tc>
        <w:tc>
          <w:tcPr>
            <w:tcW w:w="2776" w:type="dxa"/>
            <w:tcBorders>
              <w:top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湖南省农业科学院农化检测中心</w:t>
            </w:r>
          </w:p>
        </w:tc>
        <w:tc>
          <w:tcPr>
            <w:tcW w:w="1140"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0.080</w:t>
            </w:r>
          </w:p>
        </w:tc>
        <w:tc>
          <w:tcPr>
            <w:tcW w:w="105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0.081</w:t>
            </w:r>
          </w:p>
        </w:tc>
        <w:tc>
          <w:tcPr>
            <w:tcW w:w="105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0.079</w:t>
            </w:r>
          </w:p>
        </w:tc>
        <w:tc>
          <w:tcPr>
            <w:tcW w:w="1224" w:type="dxa"/>
            <w:tcBorders>
              <w:top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0.080</w:t>
            </w:r>
          </w:p>
        </w:tc>
        <w:tc>
          <w:tcPr>
            <w:tcW w:w="117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0.001</w:t>
            </w:r>
          </w:p>
        </w:tc>
        <w:tc>
          <w:tcPr>
            <w:tcW w:w="105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1.25</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blHeader/>
        </w:trPr>
        <w:tc>
          <w:tcPr>
            <w:tcW w:w="725" w:type="dxa"/>
            <w:vMerge w:val="continue"/>
          </w:tcPr>
          <w:p>
            <w:pPr>
              <w:pStyle w:val="2"/>
              <w:jc w:val="center"/>
              <w:rPr>
                <w:rFonts w:hint="eastAsia"/>
                <w:vertAlign w:val="baseline"/>
                <w:lang w:val="en-US" w:eastAsia="zh-CN"/>
              </w:rPr>
            </w:pPr>
          </w:p>
        </w:tc>
        <w:tc>
          <w:tcPr>
            <w:tcW w:w="1204" w:type="dxa"/>
            <w:vMerge w:val="continue"/>
          </w:tcPr>
          <w:p>
            <w:pPr>
              <w:pStyle w:val="2"/>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0.078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0.068</w:t>
            </w:r>
          </w:p>
        </w:tc>
        <w:tc>
          <w:tcPr>
            <w:tcW w:w="1056"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0.073</w:t>
            </w:r>
          </w:p>
        </w:tc>
        <w:tc>
          <w:tcPr>
            <w:tcW w:w="1224" w:type="dxa"/>
            <w:vAlign w:val="center"/>
          </w:tcPr>
          <w:p>
            <w:pPr>
              <w:keepNext w:val="0"/>
              <w:keepLines w:val="0"/>
              <w:widowControl/>
              <w:suppressLineNumbers w:val="0"/>
              <w:jc w:val="center"/>
              <w:textAlignment w:val="center"/>
              <w:rPr>
                <w:rFonts w:hint="default"/>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0.073</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0.005</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6.85</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2</w:t>
            </w:r>
          </w:p>
        </w:tc>
        <w:tc>
          <w:tcPr>
            <w:tcW w:w="1204"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lang w:val="en-US" w:eastAsia="zh-CN"/>
              </w:rPr>
              <w:t>GSS-5</w:t>
            </w:r>
          </w:p>
        </w:tc>
        <w:tc>
          <w:tcPr>
            <w:tcW w:w="2776" w:type="dxa"/>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湖南农业大学资源环境学院</w:t>
            </w:r>
          </w:p>
        </w:tc>
        <w:tc>
          <w:tcPr>
            <w:tcW w:w="1140" w:type="dxa"/>
            <w:tcBorders>
              <w:top w:val="single" w:color="auto" w:sz="4" w:space="0"/>
            </w:tcBorders>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0.483</w:t>
            </w:r>
          </w:p>
        </w:tc>
        <w:tc>
          <w:tcPr>
            <w:tcW w:w="1056" w:type="dxa"/>
            <w:tcBorders>
              <w:top w:val="single" w:color="auto" w:sz="4" w:space="0"/>
            </w:tcBorders>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0.477</w:t>
            </w:r>
          </w:p>
        </w:tc>
        <w:tc>
          <w:tcPr>
            <w:tcW w:w="1056" w:type="dxa"/>
            <w:tcBorders>
              <w:top w:val="single" w:color="auto" w:sz="4" w:space="0"/>
            </w:tcBorders>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0.496</w:t>
            </w:r>
          </w:p>
        </w:tc>
        <w:tc>
          <w:tcPr>
            <w:tcW w:w="1224" w:type="dxa"/>
            <w:tcBorders>
              <w:top w:val="single" w:color="auto" w:sz="4" w:space="0"/>
            </w:tcBorders>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0.485</w:t>
            </w:r>
          </w:p>
        </w:tc>
        <w:tc>
          <w:tcPr>
            <w:tcW w:w="1176" w:type="dxa"/>
            <w:tcBorders>
              <w:top w:val="single" w:color="auto" w:sz="4" w:space="0"/>
            </w:tcBorders>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0.010</w:t>
            </w:r>
          </w:p>
        </w:tc>
        <w:tc>
          <w:tcPr>
            <w:tcW w:w="1056" w:type="dxa"/>
            <w:tcBorders>
              <w:top w:val="single" w:color="auto" w:sz="4" w:space="0"/>
              <w:bottom w:val="nil"/>
            </w:tcBorders>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2.00</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0.483</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tcBorders>
              <w:top w:val="nil"/>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核工业二三0研究所</w:t>
            </w:r>
          </w:p>
        </w:tc>
        <w:tc>
          <w:tcPr>
            <w:tcW w:w="1140"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0.482</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0.475</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0.499</w:t>
            </w:r>
          </w:p>
        </w:tc>
        <w:tc>
          <w:tcPr>
            <w:tcW w:w="1224" w:type="dxa"/>
            <w:tcBorders>
              <w:top w:val="nil"/>
              <w:bottom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0.485</w:t>
            </w:r>
          </w:p>
        </w:tc>
        <w:tc>
          <w:tcPr>
            <w:tcW w:w="117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0.012</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2.54</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tcBorders>
              <w:top w:val="nil"/>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湖南省分析测试中心有限公司</w:t>
            </w:r>
          </w:p>
        </w:tc>
        <w:tc>
          <w:tcPr>
            <w:tcW w:w="1140"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0.453</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0.504</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0.453</w:t>
            </w:r>
          </w:p>
        </w:tc>
        <w:tc>
          <w:tcPr>
            <w:tcW w:w="1224" w:type="dxa"/>
            <w:tcBorders>
              <w:top w:val="nil"/>
              <w:bottom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0.470</w:t>
            </w:r>
          </w:p>
        </w:tc>
        <w:tc>
          <w:tcPr>
            <w:tcW w:w="117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0.029</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6.26</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tcBorders>
              <w:top w:val="nil"/>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0.472</w:t>
            </w:r>
          </w:p>
        </w:tc>
        <w:tc>
          <w:tcPr>
            <w:tcW w:w="1056" w:type="dxa"/>
            <w:tcBorders>
              <w:top w:val="nil"/>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0.474</w:t>
            </w:r>
          </w:p>
        </w:tc>
        <w:tc>
          <w:tcPr>
            <w:tcW w:w="1056" w:type="dxa"/>
            <w:tcBorders>
              <w:top w:val="nil"/>
              <w:bottom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0.499</w:t>
            </w:r>
          </w:p>
        </w:tc>
        <w:tc>
          <w:tcPr>
            <w:tcW w:w="1224" w:type="dxa"/>
            <w:tcBorders>
              <w:top w:val="nil"/>
              <w:bottom w:val="nil"/>
            </w:tcBorders>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0.482</w:t>
            </w:r>
          </w:p>
        </w:tc>
        <w:tc>
          <w:tcPr>
            <w:tcW w:w="1176" w:type="dxa"/>
            <w:tcBorders>
              <w:top w:val="nil"/>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0.0150</w:t>
            </w:r>
          </w:p>
        </w:tc>
        <w:tc>
          <w:tcPr>
            <w:tcW w:w="1056" w:type="dxa"/>
            <w:tcBorders>
              <w:top w:val="nil"/>
              <w:bottom w:val="nil"/>
            </w:tcBorders>
            <w:vAlign w:val="center"/>
          </w:tcPr>
          <w:p>
            <w:pPr>
              <w:keepNext w:val="0"/>
              <w:keepLines w:val="0"/>
              <w:widowControl/>
              <w:suppressLineNumbers w:val="0"/>
              <w:jc w:val="center"/>
              <w:textAlignment w:val="cente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3.12</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tcBorders>
              <w:top w:val="nil"/>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长沙开元弘盛科技有限公司</w:t>
            </w:r>
          </w:p>
        </w:tc>
        <w:tc>
          <w:tcPr>
            <w:tcW w:w="1140"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0.496</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0.473</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0.465</w:t>
            </w:r>
          </w:p>
        </w:tc>
        <w:tc>
          <w:tcPr>
            <w:tcW w:w="1224"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auto"/>
                <w:kern w:val="2"/>
                <w:sz w:val="21"/>
                <w:szCs w:val="24"/>
                <w:vertAlign w:val="baseline"/>
                <w:lang w:val="en-US" w:eastAsia="zh-CN" w:bidi="ar-SA"/>
              </w:rPr>
            </w:pPr>
            <w:r>
              <w:rPr>
                <w:rFonts w:hint="eastAsia" w:ascii="宋体" w:hAnsi="宋体" w:eastAsia="宋体" w:cs="宋体"/>
                <w:i w:val="0"/>
                <w:iCs w:val="0"/>
                <w:color w:val="auto"/>
                <w:kern w:val="0"/>
                <w:sz w:val="22"/>
                <w:szCs w:val="22"/>
                <w:u w:val="none"/>
                <w:lang w:val="en-US" w:eastAsia="zh-CN" w:bidi="ar"/>
              </w:rPr>
              <w:t>0.478</w:t>
            </w:r>
          </w:p>
        </w:tc>
        <w:tc>
          <w:tcPr>
            <w:tcW w:w="117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0.031</w:t>
            </w:r>
          </w:p>
        </w:tc>
        <w:tc>
          <w:tcPr>
            <w:tcW w:w="1056" w:type="dxa"/>
            <w:tcBorders>
              <w:top w:val="nil"/>
              <w:bottom w:val="nil"/>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3.37</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blHeader/>
        </w:trPr>
        <w:tc>
          <w:tcPr>
            <w:tcW w:w="725" w:type="dxa"/>
            <w:vMerge w:val="continue"/>
            <w:tcBorders>
              <w:bottom w:val="single" w:color="auto" w:sz="4" w:space="0"/>
            </w:tcBorders>
          </w:tcPr>
          <w:p>
            <w:pPr>
              <w:pStyle w:val="2"/>
              <w:ind w:left="0" w:leftChars="0" w:firstLine="0" w:firstLineChars="0"/>
              <w:jc w:val="both"/>
              <w:rPr>
                <w:rFonts w:hint="eastAsia"/>
                <w:vertAlign w:val="baseline"/>
                <w:lang w:val="en-US" w:eastAsia="zh-CN"/>
              </w:rPr>
            </w:pPr>
          </w:p>
        </w:tc>
        <w:tc>
          <w:tcPr>
            <w:tcW w:w="1204" w:type="dxa"/>
            <w:vMerge w:val="continue"/>
            <w:tcBorders>
              <w:bottom w:val="single" w:color="auto" w:sz="4" w:space="0"/>
            </w:tcBorders>
          </w:tcPr>
          <w:p>
            <w:pPr>
              <w:pStyle w:val="2"/>
              <w:ind w:left="0" w:leftChars="0" w:firstLine="0" w:firstLineChars="0"/>
              <w:jc w:val="both"/>
              <w:rPr>
                <w:rFonts w:hint="eastAsia"/>
                <w:vertAlign w:val="baseline"/>
                <w:lang w:val="en-US" w:eastAsia="zh-CN"/>
              </w:rPr>
            </w:pPr>
          </w:p>
        </w:tc>
        <w:tc>
          <w:tcPr>
            <w:tcW w:w="2776" w:type="dxa"/>
            <w:tcBorders>
              <w:top w:val="nil"/>
              <w:bottom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中国检验认证集团湖南有限公司</w:t>
            </w:r>
          </w:p>
        </w:tc>
        <w:tc>
          <w:tcPr>
            <w:tcW w:w="1140" w:type="dxa"/>
            <w:tcBorders>
              <w:top w:val="nil"/>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0.493</w:t>
            </w:r>
          </w:p>
        </w:tc>
        <w:tc>
          <w:tcPr>
            <w:tcW w:w="1056" w:type="dxa"/>
            <w:tcBorders>
              <w:top w:val="nil"/>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0.505</w:t>
            </w:r>
          </w:p>
        </w:tc>
        <w:tc>
          <w:tcPr>
            <w:tcW w:w="1056" w:type="dxa"/>
            <w:tcBorders>
              <w:top w:val="nil"/>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0.501</w:t>
            </w:r>
          </w:p>
        </w:tc>
        <w:tc>
          <w:tcPr>
            <w:tcW w:w="1224" w:type="dxa"/>
            <w:tcBorders>
              <w:top w:val="nil"/>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0.500</w:t>
            </w:r>
          </w:p>
        </w:tc>
        <w:tc>
          <w:tcPr>
            <w:tcW w:w="1176" w:type="dxa"/>
            <w:tcBorders>
              <w:top w:val="nil"/>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0.006</w:t>
            </w:r>
          </w:p>
        </w:tc>
        <w:tc>
          <w:tcPr>
            <w:tcW w:w="1056" w:type="dxa"/>
            <w:tcBorders>
              <w:top w:val="nil"/>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1.22</w:t>
            </w:r>
          </w:p>
        </w:tc>
        <w:tc>
          <w:tcPr>
            <w:tcW w:w="1428" w:type="dxa"/>
            <w:vMerge w:val="continue"/>
            <w:tcBorders>
              <w:bottom w:val="single" w:color="auto" w:sz="4" w:space="0"/>
            </w:tcBorders>
            <w:vAlign w:val="center"/>
          </w:tcPr>
          <w:p>
            <w:pPr>
              <w:pStyle w:val="2"/>
              <w:ind w:left="0" w:leftChars="0" w:firstLine="0" w:firstLineChars="0"/>
              <w:jc w:val="center"/>
              <w:rPr>
                <w:rFonts w:hint="eastAsia"/>
                <w:vertAlign w:val="baseline"/>
                <w:lang w:val="en-US" w:eastAsia="zh-CN"/>
              </w:rPr>
            </w:pPr>
          </w:p>
        </w:tc>
        <w:tc>
          <w:tcPr>
            <w:tcW w:w="1333" w:type="dxa"/>
            <w:vMerge w:val="continue"/>
            <w:tcBorders>
              <w:bottom w:val="single" w:color="auto" w:sz="4" w:space="0"/>
            </w:tcBorders>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3</w:t>
            </w:r>
          </w:p>
        </w:tc>
        <w:tc>
          <w:tcPr>
            <w:tcW w:w="1204" w:type="dxa"/>
            <w:vMerge w:val="restart"/>
            <w:tcBorders>
              <w:top w:val="single" w:color="auto" w:sz="4" w:space="0"/>
            </w:tcBorders>
            <w:vAlign w:val="center"/>
          </w:tcPr>
          <w:p>
            <w:pPr>
              <w:pStyle w:val="2"/>
              <w:ind w:left="0" w:leftChars="0" w:firstLine="0" w:firstLineChars="0"/>
              <w:jc w:val="center"/>
              <w:rPr>
                <w:rFonts w:hint="eastAsia"/>
                <w:vertAlign w:val="baseline"/>
                <w:lang w:val="en-US" w:eastAsia="zh-CN"/>
              </w:rPr>
            </w:pPr>
            <w:r>
              <w:rPr>
                <w:rFonts w:hint="eastAsia"/>
                <w:lang w:val="en-US" w:eastAsia="zh-CN"/>
              </w:rPr>
              <w:t>22930</w:t>
            </w:r>
          </w:p>
        </w:tc>
        <w:tc>
          <w:tcPr>
            <w:tcW w:w="2776" w:type="dxa"/>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广电计量检测(湖南)有限公司</w:t>
            </w:r>
          </w:p>
        </w:tc>
        <w:tc>
          <w:tcPr>
            <w:tcW w:w="1140"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0.250</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0.237</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0.231</w:t>
            </w:r>
          </w:p>
        </w:tc>
        <w:tc>
          <w:tcPr>
            <w:tcW w:w="1224" w:type="dxa"/>
            <w:tcBorders>
              <w:top w:val="single" w:color="auto" w:sz="4" w:space="0"/>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0.239</w:t>
            </w:r>
          </w:p>
        </w:tc>
        <w:tc>
          <w:tcPr>
            <w:tcW w:w="117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0.010</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4.06</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0.239</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湖南省地质调查院测试中心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0.234</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0.237</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0.236</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0.88</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湖南省农业科学院农化检测中心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0.239</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0.238</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0.42</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湖南农业大学资源环境学院</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0.236</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0.248</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0.239</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3.49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核工业二三0研究所</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0.240</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0.247</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0.240</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3.13</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湖南省分析测试中心有限公司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0.249</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0.239</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3.79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0.238</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0.229</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0.261</w:t>
            </w:r>
          </w:p>
        </w:tc>
        <w:tc>
          <w:tcPr>
            <w:tcW w:w="1224"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0.243</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0.0165</w:t>
            </w:r>
          </w:p>
        </w:tc>
        <w:tc>
          <w:tcPr>
            <w:tcW w:w="105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6.80</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长沙开元弘盛科技有限公司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0.233</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0.241</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0.24</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0.006</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2.55</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湖南省勘测设计院有限公司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0.251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0.234</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0.242</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0.242</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0.009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3.51</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both"/>
              <w:rPr>
                <w:rFonts w:hint="eastAsia"/>
                <w:vertAlign w:val="baseline"/>
                <w:lang w:val="en-US" w:eastAsia="zh-CN"/>
              </w:rPr>
            </w:pPr>
          </w:p>
        </w:tc>
        <w:tc>
          <w:tcPr>
            <w:tcW w:w="1204" w:type="dxa"/>
            <w:vMerge w:val="continue"/>
          </w:tcPr>
          <w:p>
            <w:pPr>
              <w:pStyle w:val="2"/>
              <w:ind w:left="0" w:leftChars="0" w:firstLine="0" w:firstLineChars="0"/>
              <w:jc w:val="both"/>
              <w:rPr>
                <w:rFonts w:hint="eastAsia"/>
                <w:vertAlign w:val="baseline"/>
                <w:lang w:val="en-US" w:eastAsia="zh-CN"/>
              </w:rPr>
            </w:pPr>
          </w:p>
        </w:tc>
        <w:tc>
          <w:tcPr>
            <w:tcW w:w="2776" w:type="dxa"/>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益阳生态环境监测中心</w:t>
            </w:r>
          </w:p>
        </w:tc>
        <w:tc>
          <w:tcPr>
            <w:tcW w:w="114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0.231</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0.242</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0.234</w:t>
            </w:r>
          </w:p>
        </w:tc>
        <w:tc>
          <w:tcPr>
            <w:tcW w:w="1224" w:type="dxa"/>
            <w:vAlign w:val="center"/>
          </w:tcPr>
          <w:p>
            <w:pPr>
              <w:keepNext w:val="0"/>
              <w:keepLines w:val="0"/>
              <w:widowControl/>
              <w:suppressLineNumbers w:val="0"/>
              <w:jc w:val="center"/>
              <w:textAlignment w:val="center"/>
              <w:rPr>
                <w:rFonts w:hint="eastAsia" w:asciiTheme="minorHAnsi" w:hAnsiTheme="minorHAnsi" w:eastAsiaTheme="minorEastAsia" w:cstheme="minorBidi"/>
                <w:color w:val="auto"/>
                <w:kern w:val="2"/>
                <w:sz w:val="21"/>
                <w:szCs w:val="24"/>
                <w:vertAlign w:val="baseline"/>
                <w:lang w:val="en-US" w:eastAsia="zh-CN" w:bidi="ar-SA"/>
              </w:rPr>
            </w:pPr>
            <w:r>
              <w:rPr>
                <w:rFonts w:hint="eastAsia" w:ascii="宋体" w:hAnsi="宋体" w:eastAsia="宋体" w:cs="宋体"/>
                <w:i w:val="0"/>
                <w:iCs w:val="0"/>
                <w:color w:val="auto"/>
                <w:kern w:val="0"/>
                <w:sz w:val="22"/>
                <w:szCs w:val="22"/>
                <w:u w:val="none"/>
                <w:lang w:val="en-US" w:eastAsia="zh-CN" w:bidi="ar"/>
              </w:rPr>
              <w:t>0.236</w:t>
            </w:r>
          </w:p>
        </w:tc>
        <w:tc>
          <w:tcPr>
            <w:tcW w:w="117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0.006</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2.41</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continue"/>
            <w:tcBorders>
              <w:bottom w:val="single" w:color="auto" w:sz="4" w:space="0"/>
            </w:tcBorders>
          </w:tcPr>
          <w:p>
            <w:pPr>
              <w:pStyle w:val="2"/>
              <w:ind w:left="0" w:leftChars="0" w:firstLine="0" w:firstLineChars="0"/>
              <w:jc w:val="both"/>
              <w:rPr>
                <w:rFonts w:hint="eastAsia"/>
                <w:vertAlign w:val="baseline"/>
                <w:lang w:val="en-US" w:eastAsia="zh-CN"/>
              </w:rPr>
            </w:pPr>
          </w:p>
        </w:tc>
        <w:tc>
          <w:tcPr>
            <w:tcW w:w="1204" w:type="dxa"/>
            <w:vMerge w:val="continue"/>
            <w:tcBorders>
              <w:bottom w:val="single" w:color="auto" w:sz="4" w:space="0"/>
            </w:tcBorders>
          </w:tcPr>
          <w:p>
            <w:pPr>
              <w:pStyle w:val="2"/>
              <w:ind w:left="0" w:leftChars="0" w:firstLine="0" w:firstLineChars="0"/>
              <w:jc w:val="both"/>
              <w:rPr>
                <w:rFonts w:hint="eastAsia"/>
                <w:vertAlign w:val="baseline"/>
                <w:lang w:val="en-US" w:eastAsia="zh-CN"/>
              </w:rPr>
            </w:pPr>
          </w:p>
        </w:tc>
        <w:tc>
          <w:tcPr>
            <w:tcW w:w="277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中国检验认证集团湖南有限公司</w:t>
            </w:r>
          </w:p>
        </w:tc>
        <w:tc>
          <w:tcPr>
            <w:tcW w:w="1140"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0.249</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0.252</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0.232</w:t>
            </w:r>
          </w:p>
        </w:tc>
        <w:tc>
          <w:tcPr>
            <w:tcW w:w="1224"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0.244</w:t>
            </w:r>
          </w:p>
        </w:tc>
        <w:tc>
          <w:tcPr>
            <w:tcW w:w="117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0.011</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4.41</w:t>
            </w:r>
          </w:p>
        </w:tc>
        <w:tc>
          <w:tcPr>
            <w:tcW w:w="1428"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333"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4</w:t>
            </w:r>
          </w:p>
        </w:tc>
        <w:tc>
          <w:tcPr>
            <w:tcW w:w="1204"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40940</w:t>
            </w:r>
          </w:p>
        </w:tc>
        <w:tc>
          <w:tcPr>
            <w:tcW w:w="2776" w:type="dxa"/>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广电计量检测(湖南)有限公司</w:t>
            </w:r>
          </w:p>
        </w:tc>
        <w:tc>
          <w:tcPr>
            <w:tcW w:w="1140"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2.488</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2.705</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2.615</w:t>
            </w:r>
          </w:p>
        </w:tc>
        <w:tc>
          <w:tcPr>
            <w:tcW w:w="1224" w:type="dxa"/>
            <w:tcBorders>
              <w:top w:val="single" w:color="auto" w:sz="4" w:space="0"/>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2.60</w:t>
            </w:r>
          </w:p>
        </w:tc>
        <w:tc>
          <w:tcPr>
            <w:tcW w:w="117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0.109</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4.19</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2.60</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湖南省地质调查院测试中心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2.645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2.625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2.615</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2.63</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0.015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0.58</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湖南省农业科学院农化检测中心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2.615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2.546</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2.534</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2.56</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0.044</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1.70</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湖南农业大学资源环境学院</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2.473</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2.577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2.685</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2.58</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0.106</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4.11</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核工业二三0研究所</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2.493</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2.575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2.503</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2.52</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0.045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1.77</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湖南省分析测试中心有限公司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2.656</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2.608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2.666</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2.64</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0.031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1.17</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2.553</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2.622</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2.612</w:t>
            </w:r>
          </w:p>
        </w:tc>
        <w:tc>
          <w:tcPr>
            <w:tcW w:w="1224" w:type="dxa"/>
          </w:tcPr>
          <w:p>
            <w:pPr>
              <w:pStyle w:val="2"/>
              <w:ind w:left="0" w:leftChars="0" w:firstLine="0" w:firstLineChars="0"/>
              <w:jc w:val="center"/>
              <w:rPr>
                <w:rFonts w:hint="default"/>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2.60</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0.037</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1.44</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长沙开元弘盛科技有限公司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2.498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2.608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2.646</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2.58</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0.077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2.97</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湖南省勘测设计院有限公司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2.622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2.567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2.682</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2.62</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0.058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2.19</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vAlign w:val="center"/>
          </w:tcPr>
          <w:p>
            <w:pPr>
              <w:pStyle w:val="2"/>
              <w:ind w:left="0" w:leftChars="0" w:firstLine="0" w:firstLineChars="0"/>
              <w:jc w:val="center"/>
              <w:rPr>
                <w:rFonts w:hint="eastAsia"/>
                <w:vertAlign w:val="baseline"/>
                <w:lang w:val="en-US" w:eastAsia="zh-CN"/>
              </w:rPr>
            </w:pPr>
          </w:p>
        </w:tc>
        <w:tc>
          <w:tcPr>
            <w:tcW w:w="1204" w:type="dxa"/>
            <w:vMerge w:val="continue"/>
            <w:vAlign w:val="center"/>
          </w:tcPr>
          <w:p>
            <w:pPr>
              <w:pStyle w:val="2"/>
              <w:ind w:left="0" w:leftChars="0" w:firstLine="0" w:firstLineChars="0"/>
              <w:jc w:val="center"/>
              <w:rPr>
                <w:rFonts w:hint="eastAsia"/>
                <w:vertAlign w:val="baseline"/>
                <w:lang w:val="en-US" w:eastAsia="zh-CN"/>
              </w:rPr>
            </w:pPr>
          </w:p>
        </w:tc>
        <w:tc>
          <w:tcPr>
            <w:tcW w:w="2776" w:type="dxa"/>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益阳生态环境监测中心</w:t>
            </w:r>
          </w:p>
        </w:tc>
        <w:tc>
          <w:tcPr>
            <w:tcW w:w="114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2.587</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2.725</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2.652</w:t>
            </w:r>
          </w:p>
        </w:tc>
        <w:tc>
          <w:tcPr>
            <w:tcW w:w="1224" w:type="dxa"/>
            <w:vAlign w:val="center"/>
          </w:tcPr>
          <w:p>
            <w:pPr>
              <w:keepNext w:val="0"/>
              <w:keepLines w:val="0"/>
              <w:widowControl/>
              <w:suppressLineNumbers w:val="0"/>
              <w:jc w:val="center"/>
              <w:textAlignment w:val="center"/>
              <w:rPr>
                <w:rFonts w:hint="eastAsia" w:asciiTheme="minorHAnsi" w:hAnsiTheme="minorHAnsi" w:eastAsiaTheme="minorEastAsia" w:cstheme="minorBidi"/>
                <w:color w:val="auto"/>
                <w:kern w:val="2"/>
                <w:sz w:val="21"/>
                <w:szCs w:val="24"/>
                <w:vertAlign w:val="baseline"/>
                <w:lang w:val="en-US" w:eastAsia="zh-CN" w:bidi="ar-SA"/>
              </w:rPr>
            </w:pPr>
            <w:r>
              <w:rPr>
                <w:rFonts w:hint="eastAsia" w:ascii="宋体" w:hAnsi="宋体" w:eastAsia="宋体" w:cs="宋体"/>
                <w:i w:val="0"/>
                <w:iCs w:val="0"/>
                <w:color w:val="auto"/>
                <w:kern w:val="0"/>
                <w:sz w:val="22"/>
                <w:szCs w:val="22"/>
                <w:u w:val="none"/>
                <w:lang w:val="en-US" w:eastAsia="zh-CN" w:bidi="ar"/>
              </w:rPr>
              <w:t>2.66</w:t>
            </w:r>
          </w:p>
        </w:tc>
        <w:tc>
          <w:tcPr>
            <w:tcW w:w="117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0.069</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2.6</w:t>
            </w:r>
          </w:p>
        </w:tc>
        <w:tc>
          <w:tcPr>
            <w:tcW w:w="1428" w:type="dxa"/>
            <w:vMerge w:val="continue"/>
            <w:vAlign w:val="center"/>
          </w:tcPr>
          <w:p>
            <w:pPr>
              <w:pStyle w:val="2"/>
              <w:ind w:left="0" w:leftChars="0" w:firstLine="0" w:firstLineChars="0"/>
              <w:jc w:val="center"/>
              <w:rPr>
                <w:rFonts w:hint="eastAsia"/>
                <w:vertAlign w:val="baseline"/>
                <w:lang w:val="en-US" w:eastAsia="zh-CN"/>
              </w:rPr>
            </w:pPr>
          </w:p>
        </w:tc>
        <w:tc>
          <w:tcPr>
            <w:tcW w:w="1333" w:type="dxa"/>
            <w:vMerge w:val="continue"/>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Borders>
              <w:bottom w:val="single" w:color="auto" w:sz="4" w:space="0"/>
            </w:tcBorders>
            <w:vAlign w:val="center"/>
          </w:tcPr>
          <w:p>
            <w:pPr>
              <w:pStyle w:val="2"/>
              <w:ind w:left="0" w:leftChars="0" w:firstLine="0" w:firstLineChars="0"/>
              <w:jc w:val="center"/>
              <w:rPr>
                <w:rFonts w:hint="eastAsia"/>
                <w:vertAlign w:val="baseline"/>
                <w:lang w:val="en-US" w:eastAsia="zh-CN"/>
              </w:rPr>
            </w:pPr>
          </w:p>
        </w:tc>
        <w:tc>
          <w:tcPr>
            <w:tcW w:w="1204" w:type="dxa"/>
            <w:vMerge w:val="continue"/>
            <w:tcBorders>
              <w:bottom w:val="single" w:color="auto" w:sz="4" w:space="0"/>
            </w:tcBorders>
            <w:vAlign w:val="center"/>
          </w:tcPr>
          <w:p>
            <w:pPr>
              <w:pStyle w:val="2"/>
              <w:ind w:left="0" w:leftChars="0" w:firstLine="0" w:firstLineChars="0"/>
              <w:jc w:val="center"/>
              <w:rPr>
                <w:rFonts w:hint="eastAsia"/>
                <w:vertAlign w:val="baseline"/>
                <w:lang w:val="en-US" w:eastAsia="zh-CN"/>
              </w:rPr>
            </w:pPr>
          </w:p>
        </w:tc>
        <w:tc>
          <w:tcPr>
            <w:tcW w:w="277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中国检验认证集团湖南有限公司</w:t>
            </w:r>
          </w:p>
        </w:tc>
        <w:tc>
          <w:tcPr>
            <w:tcW w:w="1140"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2.579</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2.620</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2.710</w:t>
            </w:r>
          </w:p>
        </w:tc>
        <w:tc>
          <w:tcPr>
            <w:tcW w:w="1224"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2.64</w:t>
            </w:r>
          </w:p>
        </w:tc>
        <w:tc>
          <w:tcPr>
            <w:tcW w:w="117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0.067</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2.54</w:t>
            </w:r>
          </w:p>
        </w:tc>
        <w:tc>
          <w:tcPr>
            <w:tcW w:w="1428" w:type="dxa"/>
            <w:vMerge w:val="continue"/>
            <w:tcBorders>
              <w:bottom w:val="single" w:color="auto" w:sz="4" w:space="0"/>
            </w:tcBorders>
            <w:vAlign w:val="center"/>
          </w:tcPr>
          <w:p>
            <w:pPr>
              <w:pStyle w:val="2"/>
              <w:ind w:left="0" w:leftChars="0" w:firstLine="0" w:firstLineChars="0"/>
              <w:jc w:val="center"/>
              <w:rPr>
                <w:rFonts w:hint="eastAsia"/>
                <w:vertAlign w:val="baseline"/>
                <w:lang w:val="en-US" w:eastAsia="zh-CN"/>
              </w:rPr>
            </w:pPr>
          </w:p>
        </w:tc>
        <w:tc>
          <w:tcPr>
            <w:tcW w:w="1333" w:type="dxa"/>
            <w:vMerge w:val="continue"/>
            <w:tcBorders>
              <w:bottom w:val="single" w:color="auto" w:sz="4" w:space="0"/>
            </w:tcBorders>
            <w:vAlign w:val="center"/>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5</w:t>
            </w:r>
          </w:p>
        </w:tc>
        <w:tc>
          <w:tcPr>
            <w:tcW w:w="1204"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40941</w:t>
            </w:r>
          </w:p>
        </w:tc>
        <w:tc>
          <w:tcPr>
            <w:tcW w:w="2776" w:type="dxa"/>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广电计量检测(湖南)有限公司</w:t>
            </w:r>
          </w:p>
        </w:tc>
        <w:tc>
          <w:tcPr>
            <w:tcW w:w="1140"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2.357</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2.489</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2.417</w:t>
            </w:r>
          </w:p>
        </w:tc>
        <w:tc>
          <w:tcPr>
            <w:tcW w:w="1224" w:type="dxa"/>
            <w:tcBorders>
              <w:top w:val="single" w:color="auto" w:sz="4" w:space="0"/>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2.42</w:t>
            </w:r>
          </w:p>
        </w:tc>
        <w:tc>
          <w:tcPr>
            <w:tcW w:w="117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0.066</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2.73</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2.39</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湖南省地质调查院测试中心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2.423</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2.435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2.326</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2.39</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0.060</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2.50</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湖南省农业科学院农化检测中心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2.406</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2.340</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2.410</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2.38</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0.039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1.65</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湖南农业大学资源环境学院</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2.272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2.388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2.400</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2.35</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0.071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3.00</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核工业二三0研究所</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2.272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2.305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2.375</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2.32</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0.053</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2.27</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湖南省分析测试中心有限公司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2.377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2.464</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2.392</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2.41</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0.047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1.93</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2.337</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2.435</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2.381</w:t>
            </w:r>
          </w:p>
        </w:tc>
        <w:tc>
          <w:tcPr>
            <w:tcW w:w="1224"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2.38</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0.049</w:t>
            </w:r>
          </w:p>
        </w:tc>
        <w:tc>
          <w:tcPr>
            <w:tcW w:w="105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2.06</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长沙开元弘盛科技有限公司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2.412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2.397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2.502</w:t>
            </w:r>
          </w:p>
        </w:tc>
        <w:tc>
          <w:tcPr>
            <w:tcW w:w="1224" w:type="dxa"/>
            <w:vAlign w:val="center"/>
          </w:tcPr>
          <w:p>
            <w:pPr>
              <w:keepNext w:val="0"/>
              <w:keepLines w:val="0"/>
              <w:widowControl/>
              <w:suppressLineNumbers w:val="0"/>
              <w:jc w:val="center"/>
              <w:textAlignment w:val="center"/>
              <w:rPr>
                <w:rFonts w:hint="default"/>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2.44</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0.057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2.33</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湖南省勘测设计院有限公司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2.365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2.437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2.376</w:t>
            </w:r>
          </w:p>
        </w:tc>
        <w:tc>
          <w:tcPr>
            <w:tcW w:w="1224" w:type="dxa"/>
            <w:vAlign w:val="center"/>
          </w:tcPr>
          <w:p>
            <w:pPr>
              <w:keepNext w:val="0"/>
              <w:keepLines w:val="0"/>
              <w:widowControl/>
              <w:suppressLineNumbers w:val="0"/>
              <w:jc w:val="center"/>
              <w:textAlignment w:val="center"/>
              <w:rPr>
                <w:rFonts w:hint="default"/>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2.39</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0.039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1.62</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益阳生态环境监测中心</w:t>
            </w:r>
          </w:p>
        </w:tc>
        <w:tc>
          <w:tcPr>
            <w:tcW w:w="114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2.385</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2.402</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2.423</w:t>
            </w:r>
          </w:p>
        </w:tc>
        <w:tc>
          <w:tcPr>
            <w:tcW w:w="1224" w:type="dxa"/>
            <w:vAlign w:val="center"/>
          </w:tcPr>
          <w:p>
            <w:pPr>
              <w:keepNext w:val="0"/>
              <w:keepLines w:val="0"/>
              <w:widowControl/>
              <w:suppressLineNumbers w:val="0"/>
              <w:jc w:val="center"/>
              <w:textAlignment w:val="center"/>
              <w:rPr>
                <w:rFonts w:hint="eastAsia" w:asciiTheme="minorHAnsi" w:hAnsiTheme="minorHAnsi" w:eastAsiaTheme="minorEastAsia" w:cstheme="minorBidi"/>
                <w:color w:val="auto"/>
                <w:kern w:val="2"/>
                <w:sz w:val="21"/>
                <w:szCs w:val="24"/>
                <w:vertAlign w:val="baseline"/>
                <w:lang w:val="en-US" w:eastAsia="zh-CN" w:bidi="ar-SA"/>
              </w:rPr>
            </w:pPr>
            <w:r>
              <w:rPr>
                <w:rFonts w:hint="eastAsia" w:ascii="宋体" w:hAnsi="宋体" w:eastAsia="宋体" w:cs="宋体"/>
                <w:i w:val="0"/>
                <w:iCs w:val="0"/>
                <w:color w:val="auto"/>
                <w:kern w:val="0"/>
                <w:sz w:val="22"/>
                <w:szCs w:val="22"/>
                <w:u w:val="none"/>
                <w:lang w:val="en-US" w:eastAsia="zh-CN" w:bidi="ar"/>
              </w:rPr>
              <w:t>2.40</w:t>
            </w:r>
          </w:p>
        </w:tc>
        <w:tc>
          <w:tcPr>
            <w:tcW w:w="117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0.019</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0.79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204"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277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中国检验认证集团湖南有限公司</w:t>
            </w:r>
          </w:p>
        </w:tc>
        <w:tc>
          <w:tcPr>
            <w:tcW w:w="1140"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2.441</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2.285</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2.340</w:t>
            </w:r>
          </w:p>
        </w:tc>
        <w:tc>
          <w:tcPr>
            <w:tcW w:w="1224"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2.36</w:t>
            </w:r>
          </w:p>
        </w:tc>
        <w:tc>
          <w:tcPr>
            <w:tcW w:w="117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0.079</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3.36</w:t>
            </w:r>
          </w:p>
        </w:tc>
        <w:tc>
          <w:tcPr>
            <w:tcW w:w="1428"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333"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blHeader/>
        </w:trPr>
        <w:tc>
          <w:tcPr>
            <w:tcW w:w="725"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6</w:t>
            </w:r>
          </w:p>
        </w:tc>
        <w:tc>
          <w:tcPr>
            <w:tcW w:w="1204"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32187</w:t>
            </w:r>
          </w:p>
        </w:tc>
        <w:tc>
          <w:tcPr>
            <w:tcW w:w="2776" w:type="dxa"/>
            <w:tcBorders>
              <w:top w:val="single" w:color="auto" w:sz="4" w:space="0"/>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广电计量检测(湖南)有限公司</w:t>
            </w:r>
          </w:p>
        </w:tc>
        <w:tc>
          <w:tcPr>
            <w:tcW w:w="1140"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8.042</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7.788</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8.224</w:t>
            </w:r>
          </w:p>
        </w:tc>
        <w:tc>
          <w:tcPr>
            <w:tcW w:w="1224" w:type="dxa"/>
            <w:tcBorders>
              <w:top w:val="single" w:color="auto" w:sz="4" w:space="0"/>
              <w:bottom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8.02</w:t>
            </w:r>
          </w:p>
        </w:tc>
        <w:tc>
          <w:tcPr>
            <w:tcW w:w="117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0.219</w:t>
            </w:r>
          </w:p>
        </w:tc>
        <w:tc>
          <w:tcPr>
            <w:tcW w:w="1056" w:type="dxa"/>
            <w:tcBorders>
              <w:top w:val="single" w:color="auto" w:sz="4" w:space="0"/>
              <w:bottom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2.73</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7.89</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tcBorders>
              <w:top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湖南省地质调查院测试中心</w:t>
            </w:r>
          </w:p>
        </w:tc>
        <w:tc>
          <w:tcPr>
            <w:tcW w:w="1140"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7.782</w:t>
            </w:r>
          </w:p>
        </w:tc>
        <w:tc>
          <w:tcPr>
            <w:tcW w:w="105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7.828</w:t>
            </w:r>
          </w:p>
        </w:tc>
        <w:tc>
          <w:tcPr>
            <w:tcW w:w="105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7.943</w:t>
            </w:r>
          </w:p>
        </w:tc>
        <w:tc>
          <w:tcPr>
            <w:tcW w:w="1224" w:type="dxa"/>
            <w:tcBorders>
              <w:top w:val="nil"/>
            </w:tcBorders>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7.85</w:t>
            </w:r>
          </w:p>
        </w:tc>
        <w:tc>
          <w:tcPr>
            <w:tcW w:w="117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0.083</w:t>
            </w:r>
          </w:p>
        </w:tc>
        <w:tc>
          <w:tcPr>
            <w:tcW w:w="1056" w:type="dxa"/>
            <w:tcBorders>
              <w:top w:val="nil"/>
            </w:tcBorders>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1.06</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湖南省农业科学院农化检测中心</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8.147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7.837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7.795</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7.926</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0.192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2.43</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湖南农业大学资源环境学院</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7.907</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7.762</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7.995</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7.89</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0.118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1.49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核工业二三0研究所</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7.634</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7.729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7.648</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7.67</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0.051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0.67</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湖南省分析测试中心有限公司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7.691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7.964</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8.146</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7.93</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0.229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2.89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7.751</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7.961</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7.792</w:t>
            </w:r>
          </w:p>
        </w:tc>
        <w:tc>
          <w:tcPr>
            <w:tcW w:w="1224" w:type="dxa"/>
          </w:tcPr>
          <w:p>
            <w:pPr>
              <w:pStyle w:val="2"/>
              <w:ind w:left="0" w:leftChars="0" w:firstLine="0" w:firstLineChars="0"/>
              <w:jc w:val="center"/>
              <w:rPr>
                <w:rFonts w:hint="default"/>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7.83</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0.111</w:t>
            </w:r>
          </w:p>
        </w:tc>
        <w:tc>
          <w:tcPr>
            <w:tcW w:w="105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1.42</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长沙开元弘盛科技有限公司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7.588</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8.109</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7.832</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7.84</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0.261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3.32</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湖南省勘测设计院有限公司</w:t>
            </w:r>
          </w:p>
        </w:tc>
        <w:tc>
          <w:tcPr>
            <w:tcW w:w="1140"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7.761</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8.055</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8.055</w:t>
            </w:r>
          </w:p>
        </w:tc>
        <w:tc>
          <w:tcPr>
            <w:tcW w:w="1224" w:type="dxa"/>
            <w:vAlign w:val="center"/>
          </w:tcPr>
          <w:p>
            <w:pPr>
              <w:keepNext w:val="0"/>
              <w:keepLines w:val="0"/>
              <w:widowControl/>
              <w:suppressLineNumbers w:val="0"/>
              <w:jc w:val="center"/>
              <w:textAlignment w:val="center"/>
              <w:rPr>
                <w:rFonts w:hint="eastAsia"/>
                <w:color w:val="auto"/>
                <w:vertAlign w:val="baseline"/>
                <w:lang w:val="en-US" w:eastAsia="zh-CN"/>
              </w:rPr>
            </w:pPr>
            <w:r>
              <w:rPr>
                <w:rFonts w:hint="eastAsia" w:ascii="宋体" w:hAnsi="宋体" w:eastAsia="宋体" w:cs="宋体"/>
                <w:i w:val="0"/>
                <w:iCs w:val="0"/>
                <w:color w:val="auto"/>
                <w:kern w:val="0"/>
                <w:sz w:val="22"/>
                <w:szCs w:val="22"/>
                <w:u w:val="none"/>
                <w:lang w:val="en-US" w:eastAsia="zh-CN" w:bidi="ar"/>
              </w:rPr>
              <w:t>7.96</w:t>
            </w:r>
          </w:p>
        </w:tc>
        <w:tc>
          <w:tcPr>
            <w:tcW w:w="117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0.170</w:t>
            </w:r>
          </w:p>
        </w:tc>
        <w:tc>
          <w:tcPr>
            <w:tcW w:w="1056" w:type="dxa"/>
            <w:vAlign w:val="center"/>
          </w:tcPr>
          <w:p>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2.13</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益阳生态环境监测中心</w:t>
            </w:r>
          </w:p>
        </w:tc>
        <w:tc>
          <w:tcPr>
            <w:tcW w:w="114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7.522</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8.204</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8.087</w:t>
            </w:r>
          </w:p>
        </w:tc>
        <w:tc>
          <w:tcPr>
            <w:tcW w:w="1224" w:type="dxa"/>
            <w:vAlign w:val="center"/>
          </w:tcPr>
          <w:p>
            <w:pPr>
              <w:keepNext w:val="0"/>
              <w:keepLines w:val="0"/>
              <w:widowControl/>
              <w:suppressLineNumbers w:val="0"/>
              <w:jc w:val="center"/>
              <w:textAlignment w:val="center"/>
              <w:rPr>
                <w:rFonts w:hint="eastAsia" w:asciiTheme="minorHAnsi" w:hAnsiTheme="minorHAnsi" w:eastAsiaTheme="minorEastAsia" w:cstheme="minorBidi"/>
                <w:color w:val="auto"/>
                <w:kern w:val="2"/>
                <w:sz w:val="21"/>
                <w:szCs w:val="24"/>
                <w:vertAlign w:val="baseline"/>
                <w:lang w:val="en-US" w:eastAsia="zh-CN" w:bidi="ar-SA"/>
              </w:rPr>
            </w:pPr>
            <w:r>
              <w:rPr>
                <w:rFonts w:hint="eastAsia" w:ascii="宋体" w:hAnsi="宋体" w:eastAsia="宋体" w:cs="宋体"/>
                <w:i w:val="0"/>
                <w:iCs w:val="0"/>
                <w:color w:val="auto"/>
                <w:kern w:val="0"/>
                <w:sz w:val="22"/>
                <w:szCs w:val="22"/>
                <w:u w:val="none"/>
                <w:lang w:val="en-US" w:eastAsia="zh-CN" w:bidi="ar"/>
              </w:rPr>
              <w:t>7.94</w:t>
            </w:r>
          </w:p>
        </w:tc>
        <w:tc>
          <w:tcPr>
            <w:tcW w:w="117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0.365</w:t>
            </w:r>
          </w:p>
        </w:tc>
        <w:tc>
          <w:tcPr>
            <w:tcW w:w="1056"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4.59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204"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277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中国检验认证集团湖南有限公司</w:t>
            </w:r>
          </w:p>
        </w:tc>
        <w:tc>
          <w:tcPr>
            <w:tcW w:w="1140"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8.162</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8.011</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7.627</w:t>
            </w:r>
          </w:p>
        </w:tc>
        <w:tc>
          <w:tcPr>
            <w:tcW w:w="1224"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7.93</w:t>
            </w:r>
          </w:p>
        </w:tc>
        <w:tc>
          <w:tcPr>
            <w:tcW w:w="117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0.276</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3.48</w:t>
            </w:r>
          </w:p>
        </w:tc>
        <w:tc>
          <w:tcPr>
            <w:tcW w:w="1428"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333"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7</w:t>
            </w:r>
          </w:p>
        </w:tc>
        <w:tc>
          <w:tcPr>
            <w:tcW w:w="1204"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43216</w:t>
            </w:r>
          </w:p>
        </w:tc>
        <w:tc>
          <w:tcPr>
            <w:tcW w:w="2776" w:type="dxa"/>
            <w:tcBorders>
              <w:top w:val="single" w:color="auto" w:sz="4" w:space="0"/>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广电计量检测(湖南)有限公司</w:t>
            </w:r>
          </w:p>
        </w:tc>
        <w:tc>
          <w:tcPr>
            <w:tcW w:w="1140"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11.701</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11.371</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12.035</w:t>
            </w:r>
          </w:p>
        </w:tc>
        <w:tc>
          <w:tcPr>
            <w:tcW w:w="1224"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11.70</w:t>
            </w:r>
          </w:p>
        </w:tc>
        <w:tc>
          <w:tcPr>
            <w:tcW w:w="1176"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0.332</w:t>
            </w:r>
          </w:p>
        </w:tc>
        <w:tc>
          <w:tcPr>
            <w:tcW w:w="1056" w:type="dxa"/>
            <w:tcBorders>
              <w:top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2.84</w:t>
            </w:r>
          </w:p>
        </w:tc>
        <w:tc>
          <w:tcPr>
            <w:tcW w:w="1428"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11.84</w:t>
            </w:r>
          </w:p>
        </w:tc>
        <w:tc>
          <w:tcPr>
            <w:tcW w:w="1333" w:type="dxa"/>
            <w:vMerge w:val="restart"/>
            <w:tcBorders>
              <w:top w:val="single" w:color="auto" w:sz="4" w:space="0"/>
            </w:tcBorders>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湖南省地质调查院测试中心</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12.185</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11.808</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12.273</w:t>
            </w:r>
          </w:p>
        </w:tc>
        <w:tc>
          <w:tcPr>
            <w:tcW w:w="122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12.10</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0.247</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2.04</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湖南省农业科学院农化检测中心</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11.400</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11.453</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11.390</w:t>
            </w:r>
          </w:p>
        </w:tc>
        <w:tc>
          <w:tcPr>
            <w:tcW w:w="122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11.41</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0.034</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0.30</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tcBorders>
              <w:bottom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i w:val="0"/>
                <w:iCs w:val="0"/>
                <w:color w:val="000000"/>
                <w:kern w:val="0"/>
                <w:sz w:val="18"/>
                <w:szCs w:val="18"/>
                <w:u w:val="none"/>
                <w:lang w:val="en-US" w:eastAsia="zh-CN" w:bidi="ar"/>
              </w:rPr>
              <w:t>湖南农业大学资源环境学院</w:t>
            </w:r>
          </w:p>
        </w:tc>
        <w:tc>
          <w:tcPr>
            <w:tcW w:w="1140" w:type="dxa"/>
            <w:tcBorders>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11.964</w:t>
            </w:r>
          </w:p>
        </w:tc>
        <w:tc>
          <w:tcPr>
            <w:tcW w:w="1056" w:type="dxa"/>
            <w:tcBorders>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11.971</w:t>
            </w:r>
          </w:p>
        </w:tc>
        <w:tc>
          <w:tcPr>
            <w:tcW w:w="1056" w:type="dxa"/>
            <w:tcBorders>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12.125</w:t>
            </w:r>
          </w:p>
        </w:tc>
        <w:tc>
          <w:tcPr>
            <w:tcW w:w="1224" w:type="dxa"/>
            <w:tcBorders>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12.00</w:t>
            </w:r>
          </w:p>
        </w:tc>
        <w:tc>
          <w:tcPr>
            <w:tcW w:w="1176" w:type="dxa"/>
            <w:tcBorders>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0.091</w:t>
            </w:r>
          </w:p>
        </w:tc>
        <w:tc>
          <w:tcPr>
            <w:tcW w:w="1056" w:type="dxa"/>
            <w:tcBorders>
              <w:bottom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0.76</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tcBorders>
              <w:top w:val="nil"/>
            </w:tcBorders>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核工业二三0研究所</w:t>
            </w:r>
          </w:p>
        </w:tc>
        <w:tc>
          <w:tcPr>
            <w:tcW w:w="1140" w:type="dxa"/>
            <w:tcBorders>
              <w:top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11.907</w:t>
            </w:r>
          </w:p>
        </w:tc>
        <w:tc>
          <w:tcPr>
            <w:tcW w:w="1056" w:type="dxa"/>
            <w:tcBorders>
              <w:top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12.252</w:t>
            </w:r>
          </w:p>
        </w:tc>
        <w:tc>
          <w:tcPr>
            <w:tcW w:w="1056" w:type="dxa"/>
            <w:tcBorders>
              <w:top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12.288</w:t>
            </w:r>
          </w:p>
        </w:tc>
        <w:tc>
          <w:tcPr>
            <w:tcW w:w="1224" w:type="dxa"/>
            <w:tcBorders>
              <w:top w:val="nil"/>
            </w:tcBorders>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12.10</w:t>
            </w:r>
          </w:p>
        </w:tc>
        <w:tc>
          <w:tcPr>
            <w:tcW w:w="1176" w:type="dxa"/>
            <w:tcBorders>
              <w:top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0.210 </w:t>
            </w:r>
          </w:p>
        </w:tc>
        <w:tc>
          <w:tcPr>
            <w:tcW w:w="1056" w:type="dxa"/>
            <w:tcBorders>
              <w:top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1.73</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湖南省分析测试中心有限公司</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11.610</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12.300</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11.817</w:t>
            </w:r>
          </w:p>
        </w:tc>
        <w:tc>
          <w:tcPr>
            <w:tcW w:w="122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11.91</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0.354</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2.97</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湖南省产商品质量检验研究院</w:t>
            </w:r>
          </w:p>
        </w:tc>
        <w:tc>
          <w:tcPr>
            <w:tcW w:w="1140" w:type="dxa"/>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11.792</w:t>
            </w:r>
          </w:p>
        </w:tc>
        <w:tc>
          <w:tcPr>
            <w:tcW w:w="1056" w:type="dxa"/>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11.931</w:t>
            </w:r>
          </w:p>
        </w:tc>
        <w:tc>
          <w:tcPr>
            <w:tcW w:w="1056" w:type="dxa"/>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11.752</w:t>
            </w:r>
          </w:p>
        </w:tc>
        <w:tc>
          <w:tcPr>
            <w:tcW w:w="1224" w:type="dxa"/>
          </w:tcPr>
          <w:p>
            <w:pPr>
              <w:keepNext w:val="0"/>
              <w:keepLines w:val="0"/>
              <w:widowControl/>
              <w:suppressLineNumbers w:val="0"/>
              <w:jc w:val="center"/>
              <w:textAlignment w:val="center"/>
              <w:rPr>
                <w:rFonts w:hint="default"/>
                <w:lang w:val="en-US" w:eastAsia="zh-CN"/>
              </w:rPr>
            </w:pPr>
            <w:r>
              <w:rPr>
                <w:rFonts w:hint="eastAsia" w:ascii="宋体" w:hAnsi="宋体" w:eastAsia="宋体" w:cs="宋体"/>
                <w:i w:val="0"/>
                <w:iCs w:val="0"/>
                <w:color w:val="auto"/>
                <w:kern w:val="0"/>
                <w:sz w:val="22"/>
                <w:szCs w:val="22"/>
                <w:u w:val="none"/>
                <w:lang w:val="en-US" w:eastAsia="zh-CN" w:bidi="ar"/>
              </w:rPr>
              <w:t>11.83</w:t>
            </w:r>
          </w:p>
        </w:tc>
        <w:tc>
          <w:tcPr>
            <w:tcW w:w="1176" w:type="dxa"/>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0.094</w:t>
            </w:r>
          </w:p>
        </w:tc>
        <w:tc>
          <w:tcPr>
            <w:tcW w:w="1056" w:type="dxa"/>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0.79</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长沙开元弘盛科技有限公司</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11.448</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11.644</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12.063</w:t>
            </w:r>
          </w:p>
        </w:tc>
        <w:tc>
          <w:tcPr>
            <w:tcW w:w="122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11.72</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0.314</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2.68</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pStyle w:val="2"/>
              <w:keepNext w:val="0"/>
              <w:keepLines w:val="0"/>
              <w:pageBreakBefore w:val="0"/>
              <w:kinsoku/>
              <w:wordWrap/>
              <w:overflowPunct/>
              <w:topLinePunct w:val="0"/>
              <w:autoSpaceDE/>
              <w:autoSpaceDN/>
              <w:bidi w:val="0"/>
              <w:adjustRightInd/>
              <w:snapToGrid w:val="0"/>
              <w:spacing w:line="0" w:lineRule="atLeast"/>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湖南省勘测设计院有限公司</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11.913</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12.168</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11.700</w:t>
            </w:r>
          </w:p>
        </w:tc>
        <w:tc>
          <w:tcPr>
            <w:tcW w:w="122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11.93</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0.234</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1.96</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Pr>
          <w:p>
            <w:pPr>
              <w:pStyle w:val="2"/>
              <w:ind w:left="0" w:leftChars="0" w:firstLine="0" w:firstLineChars="0"/>
              <w:jc w:val="center"/>
              <w:rPr>
                <w:rFonts w:hint="eastAsia"/>
                <w:vertAlign w:val="baseline"/>
                <w:lang w:val="en-US" w:eastAsia="zh-CN"/>
              </w:rPr>
            </w:pPr>
          </w:p>
        </w:tc>
        <w:tc>
          <w:tcPr>
            <w:tcW w:w="1204" w:type="dxa"/>
            <w:vMerge w:val="continue"/>
          </w:tcPr>
          <w:p>
            <w:pPr>
              <w:pStyle w:val="2"/>
              <w:ind w:left="0" w:leftChars="0" w:firstLine="0" w:firstLineChars="0"/>
              <w:jc w:val="center"/>
              <w:rPr>
                <w:rFonts w:hint="eastAsia"/>
                <w:vertAlign w:val="baseline"/>
                <w:lang w:val="en-US" w:eastAsia="zh-CN"/>
              </w:rPr>
            </w:pPr>
          </w:p>
        </w:tc>
        <w:tc>
          <w:tcPr>
            <w:tcW w:w="2776" w:type="dxa"/>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益阳生态环境监测中心</w:t>
            </w:r>
          </w:p>
        </w:tc>
        <w:tc>
          <w:tcPr>
            <w:tcW w:w="11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11.951</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11.714</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11.529</w:t>
            </w:r>
          </w:p>
        </w:tc>
        <w:tc>
          <w:tcPr>
            <w:tcW w:w="122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11.73</w:t>
            </w:r>
          </w:p>
        </w:tc>
        <w:tc>
          <w:tcPr>
            <w:tcW w:w="117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0.212</w:t>
            </w:r>
          </w:p>
        </w:tc>
        <w:tc>
          <w:tcPr>
            <w:tcW w:w="105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c>
          <w:tcPr>
            <w:tcW w:w="1428" w:type="dxa"/>
            <w:vMerge w:val="continue"/>
          </w:tcPr>
          <w:p>
            <w:pPr>
              <w:pStyle w:val="2"/>
              <w:ind w:left="0" w:leftChars="0" w:firstLine="0" w:firstLineChars="0"/>
              <w:jc w:val="center"/>
              <w:rPr>
                <w:rFonts w:hint="eastAsia"/>
                <w:vertAlign w:val="baseline"/>
                <w:lang w:val="en-US" w:eastAsia="zh-CN"/>
              </w:rPr>
            </w:pPr>
          </w:p>
        </w:tc>
        <w:tc>
          <w:tcPr>
            <w:tcW w:w="1333" w:type="dxa"/>
            <w:vMerge w:val="continue"/>
          </w:tcPr>
          <w:p>
            <w:pPr>
              <w:pStyle w:val="2"/>
              <w:ind w:left="0" w:leftChars="0" w:firstLine="0" w:firstLineChars="0"/>
              <w:jc w:val="center"/>
              <w:rPr>
                <w:rFonts w:hint="eastAsia"/>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725"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204"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277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line="0" w:lineRule="atLeast"/>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中国检验认证集团湖南有限公司</w:t>
            </w:r>
          </w:p>
        </w:tc>
        <w:tc>
          <w:tcPr>
            <w:tcW w:w="1140"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11.582</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11.684</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12.165</w:t>
            </w:r>
          </w:p>
        </w:tc>
        <w:tc>
          <w:tcPr>
            <w:tcW w:w="1224"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11.81</w:t>
            </w:r>
          </w:p>
        </w:tc>
        <w:tc>
          <w:tcPr>
            <w:tcW w:w="117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0.311</w:t>
            </w:r>
          </w:p>
        </w:tc>
        <w:tc>
          <w:tcPr>
            <w:tcW w:w="1056" w:type="dxa"/>
            <w:tcBorders>
              <w:bottom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2.64</w:t>
            </w:r>
          </w:p>
        </w:tc>
        <w:tc>
          <w:tcPr>
            <w:tcW w:w="1428"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c>
          <w:tcPr>
            <w:tcW w:w="1333" w:type="dxa"/>
            <w:vMerge w:val="continue"/>
            <w:tcBorders>
              <w:bottom w:val="single" w:color="auto" w:sz="4" w:space="0"/>
            </w:tcBorders>
          </w:tcPr>
          <w:p>
            <w:pPr>
              <w:pStyle w:val="2"/>
              <w:ind w:left="0" w:leftChars="0" w:firstLine="0" w:firstLineChars="0"/>
              <w:jc w:val="center"/>
              <w:rPr>
                <w:rFonts w:hint="eastAsia"/>
                <w:vertAlign w:val="baseline"/>
                <w:lang w:val="en-US" w:eastAsia="zh-CN"/>
              </w:rPr>
            </w:pPr>
          </w:p>
        </w:tc>
      </w:tr>
    </w:tbl>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lang w:val="en-US" w:eastAsia="zh-CN"/>
        </w:rPr>
      </w:pPr>
    </w:p>
    <w:p>
      <w:pPr>
        <w:rPr>
          <w:rFonts w:hint="eastAsia"/>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8"/>
          <w:szCs w:val="28"/>
          <w:lang w:val="en-US" w:eastAsia="zh-CN" w:bidi="ar"/>
        </w:rPr>
        <w:t>7 与开题报告的差异说明</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kern w:val="0"/>
          <w:szCs w:val="24"/>
          <w:lang w:val="en-US" w:eastAsia="zh-CN" w:bidi="ar"/>
        </w:rPr>
      </w:pPr>
      <w:r>
        <w:rPr>
          <w:rFonts w:hint="eastAsia"/>
          <w:lang w:val="en-US" w:eastAsia="zh-CN"/>
        </w:rPr>
        <w:t>无</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8 预期达到的经济效果及社会效益</w:t>
      </w:r>
    </w:p>
    <w:p>
      <w:pPr>
        <w:keepNext w:val="0"/>
        <w:keepLines w:val="0"/>
        <w:pageBreakBefore w:val="0"/>
        <w:widowControl/>
        <w:suppressLineNumbers w:val="0"/>
        <w:kinsoku/>
        <w:wordWrap/>
        <w:overflowPunct/>
        <w:topLinePunct w:val="0"/>
        <w:autoSpaceDE/>
        <w:autoSpaceDN/>
        <w:bidi w:val="0"/>
        <w:adjustRightInd/>
        <w:snapToGrid w:val="0"/>
        <w:spacing w:line="360" w:lineRule="auto"/>
        <w:ind w:firstLine="280" w:firstLineChars="1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8.1经济收益</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000000"/>
          <w:kern w:val="0"/>
          <w:szCs w:val="24"/>
          <w:lang w:val="en-US" w:eastAsia="zh-CN" w:bidi="ar"/>
        </w:rPr>
      </w:pPr>
      <w:r>
        <w:rPr>
          <w:rFonts w:hint="eastAsia"/>
          <w:sz w:val="24"/>
          <w:szCs w:val="24"/>
          <w:lang w:val="en-US" w:eastAsia="zh-CN"/>
        </w:rPr>
        <w:t>新型检测技术培训收益，承担上级下达的检测任务的事业收益，对社会上企业和个人的委托检测产生的直接收益，为企业和个人就检测数据准确性产生的纠纷进行仲裁、维权等收益。</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280" w:firstLineChars="10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auto"/>
          <w:kern w:val="0"/>
          <w:sz w:val="28"/>
          <w:szCs w:val="28"/>
          <w:lang w:val="en-US" w:eastAsia="zh-CN" w:bidi="ar"/>
        </w:rPr>
        <w:t>8.2 社会效益</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Cs w:val="24"/>
          <w:lang w:val="en-US" w:eastAsia="zh-CN" w:bidi="ar"/>
        </w:rPr>
      </w:pPr>
      <w:r>
        <w:rPr>
          <w:rFonts w:hint="eastAsia"/>
          <w:sz w:val="24"/>
          <w:szCs w:val="24"/>
          <w:lang w:val="en-US" w:eastAsia="zh-CN"/>
        </w:rPr>
        <w:t>本标准建立更准更快速的无前处理直接测定土壤中镉元素的方法标准，减少化学试剂的使用，从而减少在实验过程中化学试剂对环境的污染，降低检测人员的劳动强度，能为我省快速确认土壤是否被镉污染提供强有力的技术支撑。</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000000"/>
          <w:kern w:val="0"/>
          <w:sz w:val="28"/>
          <w:szCs w:val="28"/>
          <w:lang w:val="en-US" w:eastAsia="zh-CN" w:bidi="ar"/>
        </w:rPr>
        <w:t>9 采用国际标准和国外先进标准的程度，以及与国际、国外同类标准水平的对比情况，或与测试的国外样品、样机的有关数据对比情况</w:t>
      </w:r>
    </w:p>
    <w:p>
      <w:pPr>
        <w:keepNext w:val="0"/>
        <w:keepLines w:val="0"/>
        <w:pageBreakBefore w:val="0"/>
        <w:widowControl w:val="0"/>
        <w:kinsoku/>
        <w:wordWrap/>
        <w:overflowPunct/>
        <w:topLinePunct w:val="0"/>
        <w:autoSpaceDE/>
        <w:autoSpaceDN/>
        <w:bidi w:val="0"/>
        <w:adjustRightInd w:val="0"/>
        <w:snapToGrid w:val="0"/>
        <w:spacing w:before="161" w:beforeLines="50" w:line="360" w:lineRule="auto"/>
        <w:ind w:firstLine="480" w:firstLineChars="200"/>
        <w:textAlignment w:val="auto"/>
      </w:pPr>
      <w:r>
        <w:rPr>
          <w:rFonts w:hint="eastAsia"/>
          <w:sz w:val="24"/>
          <w:szCs w:val="24"/>
          <w:lang w:val="en-US" w:eastAsia="zh-CN"/>
        </w:rPr>
        <w:t>编制本标准前详细查阅了国内外标准发布部门的相关信息，至标准编制之日尚未发现与计划编制标准相类同或相似标准。</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10 与有关的现行法律、法规和强制性国家标准的关系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000000"/>
          <w:kern w:val="0"/>
          <w:szCs w:val="24"/>
          <w:lang w:val="en-US" w:eastAsia="zh-CN" w:bidi="ar"/>
        </w:rPr>
      </w:pPr>
      <w:r>
        <w:rPr>
          <w:rFonts w:hint="eastAsia"/>
          <w:lang w:val="en-US" w:eastAsia="zh-CN"/>
        </w:rPr>
        <w:t>本标准符合现行法律、法规和规章的要求，与其它相关标准之间不存在矛盾之处。本标准的制定会快速确认土壤是否被镉污染提供强有力的技术方法。</w:t>
      </w:r>
    </w:p>
    <w:p>
      <w:pPr>
        <w:keepNext w:val="0"/>
        <w:keepLines w:val="0"/>
        <w:pageBreakBefore w:val="0"/>
        <w:widowControl/>
        <w:suppressLineNumbers w:val="0"/>
        <w:kinsoku/>
        <w:wordWrap/>
        <w:overflowPunct/>
        <w:topLinePunct w:val="0"/>
        <w:autoSpaceDE/>
        <w:autoSpaceDN/>
        <w:bidi w:val="0"/>
        <w:adjustRightInd w:val="0"/>
        <w:snapToGrid w:val="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11 标准实施建议对标准实施提出建议和意见</w:t>
      </w:r>
    </w:p>
    <w:p>
      <w:pPr>
        <w:pStyle w:val="2"/>
        <w:keepNext w:val="0"/>
        <w:keepLines w:val="0"/>
        <w:pageBreakBefore w:val="0"/>
        <w:widowControl w:val="0"/>
        <w:kinsoku/>
        <w:wordWrap/>
        <w:overflowPunct/>
        <w:topLinePunct w:val="0"/>
        <w:autoSpaceDE/>
        <w:autoSpaceDN/>
        <w:bidi w:val="0"/>
        <w:adjustRightInd/>
        <w:snapToGrid/>
        <w:spacing w:line="336" w:lineRule="auto"/>
        <w:ind w:left="0" w:leftChars="0" w:firstLine="480" w:firstLineChars="200"/>
        <w:textAlignment w:val="auto"/>
      </w:pPr>
      <w:r>
        <w:rPr>
          <w:rFonts w:hint="default" w:ascii="宋体" w:hAnsi="宋体" w:eastAsia="宋体" w:cs="宋体"/>
          <w:color w:val="000000"/>
          <w:kern w:val="0"/>
          <w:sz w:val="24"/>
          <w:szCs w:val="24"/>
          <w:lang w:val="en-US" w:eastAsia="zh-CN" w:bidi="ar"/>
        </w:rPr>
        <w:t>标准发布实施后，由标准主管部门通报标准发布信息。建议在本标准颁布后，及时组织有关县市标准管理部门，广泛宣传本标准，同时举办由科研、生产单位参加的有关本标准实施培训班，促进该标准技术推广应用，保障本标准在我省镉污染区及</w:t>
      </w:r>
      <w:r>
        <w:rPr>
          <w:rFonts w:hint="eastAsia" w:ascii="宋体" w:hAnsi="宋体" w:eastAsia="宋体" w:cs="宋体"/>
          <w:color w:val="000000"/>
          <w:kern w:val="0"/>
          <w:sz w:val="24"/>
          <w:szCs w:val="24"/>
          <w:lang w:val="en-US" w:eastAsia="zh-CN" w:bidi="ar"/>
        </w:rPr>
        <w:t>第三方检测机构等</w:t>
      </w:r>
      <w:r>
        <w:rPr>
          <w:rFonts w:hint="default" w:ascii="宋体" w:hAnsi="宋体" w:eastAsia="宋体" w:cs="宋体"/>
          <w:color w:val="000000"/>
          <w:kern w:val="0"/>
          <w:sz w:val="24"/>
          <w:szCs w:val="24"/>
          <w:lang w:val="en-US" w:eastAsia="zh-CN" w:bidi="ar"/>
        </w:rPr>
        <w:t>单位顺利实施，鼓励相关单位积极采用本标准。</w:t>
      </w:r>
    </w:p>
    <w:p>
      <w:pPr>
        <w:bidi w:val="0"/>
      </w:pPr>
      <w:r>
        <w:rPr>
          <w:rFonts w:hint="eastAsia" w:ascii="宋体" w:hAnsi="宋体" w:eastAsia="宋体" w:cs="宋体"/>
          <w:color w:val="000000"/>
          <w:kern w:val="0"/>
          <w:sz w:val="28"/>
          <w:szCs w:val="28"/>
          <w:lang w:val="en-US" w:eastAsia="zh-CN" w:bidi="ar"/>
        </w:rPr>
        <w:t>12 重大分歧意见的处理经过和依据</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pPr>
      <w:r>
        <w:rPr>
          <w:rFonts w:hint="eastAsia"/>
        </w:rPr>
        <w:t>无。</w:t>
      </w:r>
    </w:p>
    <w:p>
      <w:pPr>
        <w:bidi w:val="0"/>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13 废止现行相关标准的建议</w:t>
      </w:r>
    </w:p>
    <w:p>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sz w:val="24"/>
          <w:szCs w:val="24"/>
        </w:rPr>
      </w:pPr>
      <w:r>
        <w:rPr>
          <w:sz w:val="24"/>
          <w:szCs w:val="24"/>
        </w:rPr>
        <w:t>该标准</w:t>
      </w:r>
      <w:r>
        <w:rPr>
          <w:rFonts w:hint="eastAsia"/>
          <w:sz w:val="24"/>
          <w:szCs w:val="24"/>
        </w:rPr>
        <w:t>为首次制定，</w:t>
      </w:r>
      <w:r>
        <w:rPr>
          <w:sz w:val="24"/>
          <w:szCs w:val="24"/>
        </w:rPr>
        <w:t>与现行国家标准和行业标准协调一致，</w:t>
      </w:r>
      <w:r>
        <w:rPr>
          <w:rFonts w:hint="eastAsia"/>
          <w:sz w:val="24"/>
          <w:szCs w:val="24"/>
        </w:rPr>
        <w:t>不涉及标准废止的建议。</w:t>
      </w:r>
    </w:p>
    <w:p>
      <w:pPr>
        <w:bidi w:val="0"/>
      </w:pPr>
      <w:r>
        <w:rPr>
          <w:rFonts w:hint="eastAsia" w:ascii="宋体" w:hAnsi="宋体" w:eastAsia="宋体" w:cs="宋体"/>
          <w:color w:val="000000"/>
          <w:kern w:val="0"/>
          <w:sz w:val="28"/>
          <w:szCs w:val="28"/>
          <w:lang w:val="en-US" w:eastAsia="zh-CN" w:bidi="ar"/>
        </w:rPr>
        <w:t>14 其它应予说明的事项</w:t>
      </w:r>
    </w:p>
    <w:p>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default"/>
          <w:sz w:val="24"/>
          <w:szCs w:val="24"/>
          <w:lang w:val="en-US" w:eastAsia="zh-CN"/>
        </w:rPr>
      </w:pPr>
      <w:r>
        <w:rPr>
          <w:rFonts w:hint="eastAsia"/>
          <w:sz w:val="24"/>
          <w:szCs w:val="24"/>
        </w:rPr>
        <w:t>无。</w:t>
      </w:r>
    </w:p>
    <w:sectPr>
      <w:pgSz w:w="11906" w:h="16838"/>
      <w:pgMar w:top="1383" w:right="1803" w:bottom="1383" w:left="1803"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5272"/>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xYjcyNjNkYmQzOWI5YWE0ZTlkODAwMGJjZGI0NDEifQ=="/>
  </w:docVars>
  <w:rsids>
    <w:rsidRoot w:val="639D65C5"/>
    <w:rsid w:val="00E55A55"/>
    <w:rsid w:val="02785724"/>
    <w:rsid w:val="02CD1CDB"/>
    <w:rsid w:val="04A51EA8"/>
    <w:rsid w:val="064E2396"/>
    <w:rsid w:val="073F2CB4"/>
    <w:rsid w:val="07503F44"/>
    <w:rsid w:val="075C5614"/>
    <w:rsid w:val="09475E50"/>
    <w:rsid w:val="0A1341F3"/>
    <w:rsid w:val="0AA53D37"/>
    <w:rsid w:val="0DEF7D9C"/>
    <w:rsid w:val="0E5057A7"/>
    <w:rsid w:val="0F5E124E"/>
    <w:rsid w:val="11CB5175"/>
    <w:rsid w:val="12A82023"/>
    <w:rsid w:val="12B91B6C"/>
    <w:rsid w:val="140160BD"/>
    <w:rsid w:val="1665333E"/>
    <w:rsid w:val="16B53881"/>
    <w:rsid w:val="16F55D4E"/>
    <w:rsid w:val="17F6044A"/>
    <w:rsid w:val="17F85386"/>
    <w:rsid w:val="1E126780"/>
    <w:rsid w:val="1EAA2CB1"/>
    <w:rsid w:val="21E22A5A"/>
    <w:rsid w:val="22614631"/>
    <w:rsid w:val="22F34C27"/>
    <w:rsid w:val="232402B8"/>
    <w:rsid w:val="23EB5FAD"/>
    <w:rsid w:val="253D662D"/>
    <w:rsid w:val="267565E7"/>
    <w:rsid w:val="27D52B4D"/>
    <w:rsid w:val="27D56051"/>
    <w:rsid w:val="28380686"/>
    <w:rsid w:val="288E0F4E"/>
    <w:rsid w:val="29FE3C07"/>
    <w:rsid w:val="2AD62119"/>
    <w:rsid w:val="2B2330A9"/>
    <w:rsid w:val="2BB1634C"/>
    <w:rsid w:val="2BC86CDA"/>
    <w:rsid w:val="2DE55AB4"/>
    <w:rsid w:val="32F6362B"/>
    <w:rsid w:val="348E0634"/>
    <w:rsid w:val="36702D06"/>
    <w:rsid w:val="36A328D9"/>
    <w:rsid w:val="38082E33"/>
    <w:rsid w:val="3BE3534E"/>
    <w:rsid w:val="3C9618E6"/>
    <w:rsid w:val="3CD93725"/>
    <w:rsid w:val="3EF0252A"/>
    <w:rsid w:val="3F982986"/>
    <w:rsid w:val="40AE3FCB"/>
    <w:rsid w:val="4284740B"/>
    <w:rsid w:val="43C54D5A"/>
    <w:rsid w:val="44615ECC"/>
    <w:rsid w:val="44A26055"/>
    <w:rsid w:val="464E1FF0"/>
    <w:rsid w:val="488B1D37"/>
    <w:rsid w:val="488E2B78"/>
    <w:rsid w:val="497C227D"/>
    <w:rsid w:val="4B302306"/>
    <w:rsid w:val="4B455F29"/>
    <w:rsid w:val="4CC052CA"/>
    <w:rsid w:val="4CFB6BC0"/>
    <w:rsid w:val="4DC72DDC"/>
    <w:rsid w:val="4EE3490D"/>
    <w:rsid w:val="4F2460A7"/>
    <w:rsid w:val="4F74239C"/>
    <w:rsid w:val="52303AF7"/>
    <w:rsid w:val="52F57A59"/>
    <w:rsid w:val="54F20DF2"/>
    <w:rsid w:val="56533D1A"/>
    <w:rsid w:val="56F42740"/>
    <w:rsid w:val="58586CFE"/>
    <w:rsid w:val="58F851C8"/>
    <w:rsid w:val="59311602"/>
    <w:rsid w:val="5AF20429"/>
    <w:rsid w:val="5C0B1BBE"/>
    <w:rsid w:val="5C3B496D"/>
    <w:rsid w:val="5CAD6D85"/>
    <w:rsid w:val="5CBA7F88"/>
    <w:rsid w:val="5E8C5954"/>
    <w:rsid w:val="60EE5136"/>
    <w:rsid w:val="62A94436"/>
    <w:rsid w:val="639D65C5"/>
    <w:rsid w:val="64413DB6"/>
    <w:rsid w:val="646507D9"/>
    <w:rsid w:val="65192861"/>
    <w:rsid w:val="660B3602"/>
    <w:rsid w:val="68B652B7"/>
    <w:rsid w:val="68D61626"/>
    <w:rsid w:val="6D231014"/>
    <w:rsid w:val="6E17060E"/>
    <w:rsid w:val="704E6115"/>
    <w:rsid w:val="705A2B0B"/>
    <w:rsid w:val="71231429"/>
    <w:rsid w:val="72977FE0"/>
    <w:rsid w:val="768506A3"/>
    <w:rsid w:val="78CA3AF5"/>
    <w:rsid w:val="79171704"/>
    <w:rsid w:val="7998397B"/>
    <w:rsid w:val="79D43BE1"/>
    <w:rsid w:val="7BC57958"/>
    <w:rsid w:val="7C121D9D"/>
    <w:rsid w:val="7D9677FD"/>
    <w:rsid w:val="7F323340"/>
    <w:rsid w:val="7F3606F0"/>
    <w:rsid w:val="7F8C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7"/>
    <w:qFormat/>
    <w:uiPriority w:val="0"/>
    <w:pPr>
      <w:keepNext/>
      <w:keepLines/>
      <w:snapToGrid w:val="0"/>
      <w:spacing w:line="0" w:lineRule="atLeast"/>
      <w:jc w:val="center"/>
      <w:outlineLvl w:val="0"/>
    </w:pPr>
    <w:rPr>
      <w:rFonts w:ascii="Times New Roman" w:hAnsi="Times New Roman" w:eastAsia="宋体" w:cs="Times New Roman"/>
      <w:bCs/>
      <w:kern w:val="44"/>
      <w:sz w:val="32"/>
      <w:szCs w:val="44"/>
    </w:rPr>
  </w:style>
  <w:style w:type="paragraph" w:styleId="5">
    <w:name w:val="heading 3"/>
    <w:basedOn w:val="1"/>
    <w:next w:val="1"/>
    <w:semiHidden/>
    <w:unhideWhenUsed/>
    <w:qFormat/>
    <w:uiPriority w:val="0"/>
    <w:pPr>
      <w:keepNext/>
      <w:keepLines/>
      <w:ind w:firstLine="0" w:firstLineChars="0"/>
      <w:outlineLvl w:val="2"/>
    </w:pPr>
    <w:rPr>
      <w:b/>
      <w:bCs/>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ind w:left="420" w:leftChars="200"/>
    </w:p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13">
    <w:name w:val="font01"/>
    <w:basedOn w:val="11"/>
    <w:qFormat/>
    <w:uiPriority w:val="0"/>
    <w:rPr>
      <w:rFonts w:hint="eastAsia" w:ascii="宋体" w:hAnsi="宋体" w:eastAsia="宋体" w:cs="宋体"/>
      <w:color w:val="000000"/>
      <w:sz w:val="22"/>
      <w:szCs w:val="22"/>
      <w:u w:val="none"/>
    </w:rPr>
  </w:style>
  <w:style w:type="character" w:customStyle="1" w:styleId="14">
    <w:name w:val="font11"/>
    <w:basedOn w:val="11"/>
    <w:qFormat/>
    <w:uiPriority w:val="0"/>
    <w:rPr>
      <w:rFonts w:hint="eastAsia" w:ascii="宋体" w:hAnsi="宋体" w:eastAsia="宋体" w:cs="宋体"/>
      <w:color w:val="000000"/>
      <w:sz w:val="22"/>
      <w:szCs w:val="22"/>
      <w:u w:val="none"/>
      <w:vertAlign w:val="superscript"/>
    </w:rPr>
  </w:style>
  <w:style w:type="character" w:customStyle="1" w:styleId="15">
    <w:name w:val="font21"/>
    <w:basedOn w:val="11"/>
    <w:qFormat/>
    <w:uiPriority w:val="0"/>
    <w:rPr>
      <w:rFonts w:hint="eastAsia" w:ascii="宋体" w:hAnsi="宋体" w:eastAsia="宋体" w:cs="宋体"/>
      <w:color w:val="000000"/>
      <w:sz w:val="21"/>
      <w:szCs w:val="21"/>
      <w:u w:val="none"/>
    </w:rPr>
  </w:style>
  <w:style w:type="paragraph" w:customStyle="1" w:styleId="1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17">
    <w:name w:val="标题 1 字符"/>
    <w:basedOn w:val="11"/>
    <w:link w:val="4"/>
    <w:qFormat/>
    <w:uiPriority w:val="9"/>
    <w:rPr>
      <w:rFonts w:ascii="Times New Roman" w:hAnsi="Times New Roman" w:eastAsia="宋体" w:cs="Times New Roman"/>
      <w:bCs/>
      <w:kern w:val="44"/>
      <w:sz w:val="32"/>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9598</Words>
  <Characters>16551</Characters>
  <Lines>0</Lines>
  <Paragraphs>0</Paragraphs>
  <TotalTime>26</TotalTime>
  <ScaleCrop>false</ScaleCrop>
  <LinksUpToDate>false</LinksUpToDate>
  <CharactersWithSpaces>16911</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2022-03-15T05:57:00Z</dcterms:created>
  <dc:creator>Tom</dc:creator>
  <cp:lastModifiedBy>识浅水</cp:lastModifiedBy>
  <dcterms:modified xsi:type="dcterms:W3CDTF">2022-09-30T03:09:57Z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C426450829AD4E9A91F64F877E88F5DA</vt:lpwstr>
  </property>
</Properties>
</file>