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720" w:num="1"/>
          <w:titlePg/>
          <w:docGrid w:type="lines" w:linePitch="312" w:charSpace="0"/>
        </w:sectPr>
      </w:pPr>
      <w:bookmarkStart w:id="0" w:name="SectionMark0"/>
      <w:bookmarkStart w:id="1" w:name="_Toc24886882"/>
      <w:bookmarkStart w:id="2" w:name="SectionMark2"/>
      <w:r>
        <mc:AlternateContent>
          <mc:Choice Requires="wps">
            <w:drawing>
              <wp:anchor distT="0" distB="0" distL="114300" distR="114300" simplePos="0" relativeHeight="251667456" behindDoc="0" locked="1" layoutInCell="1" allowOverlap="1">
                <wp:simplePos x="0" y="0"/>
                <wp:positionH relativeFrom="margin">
                  <wp:posOffset>0</wp:posOffset>
                </wp:positionH>
                <wp:positionV relativeFrom="margin">
                  <wp:posOffset>1401445</wp:posOffset>
                </wp:positionV>
                <wp:extent cx="5802630" cy="860425"/>
                <wp:effectExtent l="0" t="0" r="1270" b="3175"/>
                <wp:wrapNone/>
                <wp:docPr id="11"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pPr>
                              <w:pStyle w:val="51"/>
                              <w:rPr>
                                <w:rFonts w:hint="eastAsia" w:ascii="黑体" w:eastAsia="宋体"/>
                                <w:lang w:val="en-US" w:eastAsia="zh-CN"/>
                              </w:rPr>
                            </w:pPr>
                            <w:r>
                              <w:rPr>
                                <w:rFonts w:ascii="黑体"/>
                              </w:rPr>
                              <w:t>DB</w:t>
                            </w:r>
                            <w:r>
                              <w:rPr>
                                <w:rFonts w:hint="eastAsia" w:ascii="黑体"/>
                              </w:rPr>
                              <w:t>XX</w:t>
                            </w:r>
                            <w:r>
                              <w:rPr>
                                <w:rFonts w:ascii="黑体"/>
                              </w:rPr>
                              <w:t>/</w:t>
                            </w:r>
                            <w:r>
                              <w:rPr>
                                <w:rFonts w:hint="eastAsia" w:ascii="黑体"/>
                              </w:rPr>
                              <w:t>XXX</w:t>
                            </w:r>
                            <w:r>
                              <w:rPr>
                                <w:rFonts w:ascii="黑体"/>
                              </w:rPr>
                              <w:t>—20</w:t>
                            </w:r>
                            <w:r>
                              <w:rPr>
                                <w:rFonts w:hint="eastAsia" w:ascii="黑体"/>
                              </w:rPr>
                              <w:t>2</w:t>
                            </w:r>
                            <w:r>
                              <w:rPr>
                                <w:rFonts w:hint="eastAsia" w:ascii="黑体"/>
                                <w:lang w:val="en-US" w:eastAsia="zh-CN"/>
                              </w:rPr>
                              <w:t>2</w:t>
                            </w:r>
                          </w:p>
                        </w:txbxContent>
                      </wps:txbx>
                      <wps:bodyPr lIns="0" tIns="0" rIns="0" bIns="0" upright="1"/>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745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UBpPvYAAAACAEAAA8AAAAAAAAAAQAgAAAAIgAAAGRycy9kb3ducmV2LnhtbFBL&#10;AQIUABQAAAAIAIdO4kAX26ttvQEAAJkDAAAOAAAAAAAAAAEAIAAAACcBAABkcnMvZTJvRG9jLnht&#10;bFBLBQYAAAAABgAGAFkBAABWBQAAAAA=&#10;">
                <v:fill on="t" focussize="0,0"/>
                <v:stroke on="f"/>
                <v:imagedata o:title=""/>
                <o:lock v:ext="edit" aspectratio="f"/>
                <v:textbox inset="0mm,0mm,0mm,0mm">
                  <w:txbxContent>
                    <w:p>
                      <w:pPr>
                        <w:pStyle w:val="51"/>
                        <w:rPr>
                          <w:rFonts w:hint="eastAsia" w:ascii="黑体" w:eastAsia="宋体"/>
                          <w:lang w:val="en-US" w:eastAsia="zh-CN"/>
                        </w:rPr>
                      </w:pPr>
                      <w:r>
                        <w:rPr>
                          <w:rFonts w:ascii="黑体"/>
                        </w:rPr>
                        <w:t>DB</w:t>
                      </w:r>
                      <w:r>
                        <w:rPr>
                          <w:rFonts w:hint="eastAsia" w:ascii="黑体"/>
                        </w:rPr>
                        <w:t>XX</w:t>
                      </w:r>
                      <w:r>
                        <w:rPr>
                          <w:rFonts w:ascii="黑体"/>
                        </w:rPr>
                        <w:t>/</w:t>
                      </w:r>
                      <w:r>
                        <w:rPr>
                          <w:rFonts w:hint="eastAsia" w:ascii="黑体"/>
                        </w:rPr>
                        <w:t>XXX</w:t>
                      </w:r>
                      <w:r>
                        <w:rPr>
                          <w:rFonts w:ascii="黑体"/>
                        </w:rPr>
                        <w:t>—20</w:t>
                      </w:r>
                      <w:r>
                        <w:rPr>
                          <w:rFonts w:hint="eastAsia" w:ascii="黑体"/>
                        </w:rPr>
                        <w:t>2</w:t>
                      </w:r>
                      <w:r>
                        <w:rPr>
                          <w:rFonts w:hint="eastAsia" w:ascii="黑体"/>
                          <w:lang w:val="en-US" w:eastAsia="zh-CN"/>
                        </w:rPr>
                        <w:t>2</w:t>
                      </w:r>
                    </w:p>
                  </w:txbxContent>
                </v:textbox>
                <w10:anchorlock/>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8890000</wp:posOffset>
                </wp:positionV>
                <wp:extent cx="6121400" cy="0"/>
                <wp:effectExtent l="0" t="6350" r="0" b="6350"/>
                <wp:wrapNone/>
                <wp:docPr id="10" name="直线 25"/>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直线 25" o:spid="_x0000_s1026" o:spt="20" style="position:absolute;left:0pt;margin-left:0pt;margin-top:700pt;height:0pt;width:482pt;z-index:251666432;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sS+VjSAAAA&#10;CgEAAA8AAAAAAAAAAQAgAAAAIgAAAGRycy9kb3ducmV2LnhtbFBLAQIUABQAAAAIAIdO4kB5oPdi&#10;6gEAAN4DAAAOAAAAAAAAAAEAIAAAACEBAABkcnMvZTJvRG9jLnhtbFBLBQYAAAAABgAGAFkBAAB9&#10;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2273300</wp:posOffset>
                </wp:positionV>
                <wp:extent cx="6121400" cy="0"/>
                <wp:effectExtent l="0" t="6350" r="0" b="6350"/>
                <wp:wrapNone/>
                <wp:docPr id="9" name="直线 24"/>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直线 24" o:spid="_x0000_s1026" o:spt="20" style="position:absolute;left:0pt;margin-left:0pt;margin-top:179pt;height:0pt;width:482pt;z-index:251665408;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8SivtQA&#10;AAAIAQAADwAAAAAAAAABACAAAAAiAAAAZHJzL2Rvd25yZXYueG1sUEsBAhQAFAAAAAgAh07iQLsi&#10;KtTqAQAA3QMAAA4AAAAAAAAAAQAgAAAAIwEAAGRycy9lMm9Eb2MueG1sUEsFBgAAAAAGAAYAWQEA&#10;AH8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9108440</wp:posOffset>
                </wp:positionV>
                <wp:extent cx="6120130" cy="363220"/>
                <wp:effectExtent l="0" t="0" r="1270" b="5080"/>
                <wp:wrapNone/>
                <wp:docPr id="8"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pPr>
                              <w:pStyle w:val="37"/>
                            </w:pPr>
                            <w:r>
                              <w:rPr>
                                <w:rFonts w:hint="eastAsia"/>
                              </w:rPr>
                              <w:t>湖南省市场监督管理局</w:t>
                            </w:r>
                            <w:r>
                              <w:rPr>
                                <w:rStyle w:val="29"/>
                                <w:rFonts w:hint="eastAsia"/>
                              </w:rPr>
                              <w:t xml:space="preserve"> </w:t>
                            </w:r>
                            <w:r>
                              <w:rPr>
                                <w:rStyle w:val="29"/>
                                <w:rFonts w:hint="eastAsia"/>
                                <w:szCs w:val="28"/>
                              </w:rPr>
                              <w:t>发布</w:t>
                            </w:r>
                          </w:p>
                        </w:txbxContent>
                      </wps:txbx>
                      <wps:bodyPr lIns="0" tIns="0" rIns="0" bIns="0" upright="1"/>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4384;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JVgbr2AAAAAoBAAAPAAAAAAAAAAEAIAAAACIAAABkcnMvZG93bnJldi54bWxQ&#10;SwECFAAUAAAACACHTuJAnVehdr4BAACYAwAADgAAAAAAAAABACAAAAAnAQAAZHJzL2Uyb0RvYy54&#10;bWxQSwUGAAAAAAYABgBZAQAAVwUAAAAA&#10;">
                <v:fill on="t" focussize="0,0"/>
                <v:stroke on="f"/>
                <v:imagedata o:title=""/>
                <o:lock v:ext="edit" aspectratio="f"/>
                <v:textbox inset="0mm,0mm,0mm,0mm">
                  <w:txbxContent>
                    <w:p>
                      <w:pPr>
                        <w:pStyle w:val="37"/>
                      </w:pPr>
                      <w:r>
                        <w:rPr>
                          <w:rFonts w:hint="eastAsia"/>
                        </w:rPr>
                        <w:t>湖南省市场监督管理局</w:t>
                      </w:r>
                      <w:r>
                        <w:rPr>
                          <w:rStyle w:val="29"/>
                          <w:rFonts w:hint="eastAsia"/>
                        </w:rPr>
                        <w:t xml:space="preserve"> </w:t>
                      </w:r>
                      <w:r>
                        <w:rPr>
                          <w:rStyle w:val="29"/>
                          <w:rFonts w:hint="eastAsia"/>
                          <w:szCs w:val="28"/>
                        </w:rPr>
                        <w:t>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4100830</wp:posOffset>
                </wp:positionH>
                <wp:positionV relativeFrom="margin">
                  <wp:posOffset>8563610</wp:posOffset>
                </wp:positionV>
                <wp:extent cx="2019300" cy="312420"/>
                <wp:effectExtent l="0" t="0" r="0" b="5080"/>
                <wp:wrapNone/>
                <wp:docPr id="6"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42"/>
                              <w:rPr>
                                <w:rFonts w:ascii="黑体"/>
                              </w:rPr>
                            </w:pPr>
                            <w:r>
                              <w:rPr>
                                <w:rFonts w:hint="eastAsia" w:ascii="黑体"/>
                              </w:rPr>
                              <w:t>202</w:t>
                            </w:r>
                            <w:r>
                              <w:rPr>
                                <w:rFonts w:hint="eastAsia" w:ascii="黑体"/>
                                <w:lang w:val="en-US" w:eastAsia="zh-CN"/>
                              </w:rPr>
                              <w:t>2</w:t>
                            </w:r>
                            <w:r>
                              <w:rPr>
                                <w:rFonts w:hint="eastAsia" w:ascii="黑体"/>
                              </w:rPr>
                              <w:t>-XX--XX实施</w:t>
                            </w:r>
                          </w:p>
                        </w:txbxContent>
                      </wps:txbx>
                      <wps:bodyPr lIns="0" tIns="0" rIns="0" bIns="0" upright="1"/>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L9qtfaAAAADQEAAA8AAAAAAAAAAQAgAAAAIgAAAGRycy9kb3ducmV2Lnht&#10;bFBLAQIUABQAAAAIAIdO4kAvMCN4vgEAAJgDAAAOAAAAAAAAAAEAIAAAACkBAABkcnMvZTJvRG9j&#10;LnhtbFBLBQYAAAAABgAGAFkBAABZBQAAAAA=&#10;">
                <v:fill on="t" focussize="0,0"/>
                <v:stroke on="f"/>
                <v:imagedata o:title=""/>
                <o:lock v:ext="edit" aspectratio="f"/>
                <v:textbox inset="0mm,0mm,0mm,0mm">
                  <w:txbxContent>
                    <w:p>
                      <w:pPr>
                        <w:pStyle w:val="42"/>
                        <w:rPr>
                          <w:rFonts w:ascii="黑体"/>
                        </w:rPr>
                      </w:pPr>
                      <w:r>
                        <w:rPr>
                          <w:rFonts w:hint="eastAsia" w:ascii="黑体"/>
                        </w:rPr>
                        <w:t>202</w:t>
                      </w:r>
                      <w:r>
                        <w:rPr>
                          <w:rFonts w:hint="eastAsia" w:ascii="黑体"/>
                          <w:lang w:val="en-US" w:eastAsia="zh-CN"/>
                        </w:rPr>
                        <w:t>2</w:t>
                      </w:r>
                      <w:r>
                        <w:rPr>
                          <w:rFonts w:hint="eastAsia" w:ascii="黑体"/>
                        </w:rPr>
                        <w:t>-XX--XX实施</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8563610</wp:posOffset>
                </wp:positionV>
                <wp:extent cx="2019300" cy="312420"/>
                <wp:effectExtent l="0" t="0" r="0" b="5080"/>
                <wp:wrapNone/>
                <wp:docPr id="7"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43"/>
                              <w:rPr>
                                <w:rFonts w:ascii="黑体"/>
                              </w:rPr>
                            </w:pPr>
                            <w:r>
                              <w:rPr>
                                <w:rFonts w:hint="eastAsia" w:ascii="黑体"/>
                              </w:rPr>
                              <w:t>202</w:t>
                            </w:r>
                            <w:r>
                              <w:rPr>
                                <w:rFonts w:hint="eastAsia" w:ascii="黑体"/>
                                <w:lang w:val="en-US" w:eastAsia="zh-CN"/>
                              </w:rPr>
                              <w:t>2</w:t>
                            </w:r>
                            <w:r>
                              <w:rPr>
                                <w:rFonts w:hint="eastAsia" w:ascii="黑体"/>
                              </w:rPr>
                              <w:t>--XX--XX发布</w:t>
                            </w:r>
                          </w:p>
                        </w:txbxContent>
                      </wps:txbx>
                      <wps:bodyPr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fNsqI2AAAAAoBAAAPAAAAAAAAAAEAIAAAACIAAABkcnMvZG93bnJldi54bWxQ&#10;SwECFAAUAAAACACHTuJAhutoZb4BAACYAwAADgAAAAAAAAABACAAAAAnAQAAZHJzL2Uyb0RvYy54&#10;bWxQSwUGAAAAAAYABgBZAQAAVwUAAAAA&#10;">
                <v:fill on="t" focussize="0,0"/>
                <v:stroke on="f"/>
                <v:imagedata o:title=""/>
                <o:lock v:ext="edit" aspectratio="f"/>
                <v:textbox inset="0mm,0mm,0mm,0mm">
                  <w:txbxContent>
                    <w:p>
                      <w:pPr>
                        <w:pStyle w:val="43"/>
                        <w:rPr>
                          <w:rFonts w:ascii="黑体"/>
                        </w:rPr>
                      </w:pPr>
                      <w:r>
                        <w:rPr>
                          <w:rFonts w:hint="eastAsia" w:ascii="黑体"/>
                        </w:rPr>
                        <w:t>202</w:t>
                      </w:r>
                      <w:r>
                        <w:rPr>
                          <w:rFonts w:hint="eastAsia" w:ascii="黑体"/>
                          <w:lang w:val="en-US" w:eastAsia="zh-CN"/>
                        </w:rPr>
                        <w:t>2</w:t>
                      </w:r>
                      <w:r>
                        <w:rPr>
                          <w:rFonts w:hint="eastAsia" w:ascii="黑体"/>
                        </w:rPr>
                        <w:t>--XX--XX发布</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3635375</wp:posOffset>
                </wp:positionV>
                <wp:extent cx="5969000" cy="4681220"/>
                <wp:effectExtent l="0" t="0" r="0" b="5080"/>
                <wp:wrapNone/>
                <wp:docPr id="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pPr>
                              <w:pStyle w:val="53"/>
                              <w:rPr>
                                <w:rFonts w:ascii="黑体" w:eastAsia="黑体"/>
                                <w:sz w:val="52"/>
                              </w:rPr>
                            </w:pPr>
                            <w:r>
                              <w:rPr>
                                <w:rFonts w:hint="eastAsia" w:ascii="黑体" w:eastAsia="黑体"/>
                                <w:sz w:val="52"/>
                              </w:rPr>
                              <w:t>婴幼儿照护服务机构质量等级评定</w:t>
                            </w:r>
                          </w:p>
                          <w:p>
                            <w:pPr>
                              <w:pStyle w:val="53"/>
                              <w:rPr>
                                <w:rFonts w:hint="eastAsia" w:ascii="黑体" w:eastAsia="宋体"/>
                                <w:lang w:val="en-US" w:eastAsia="zh-CN"/>
                              </w:rPr>
                            </w:pPr>
                            <w:r>
                              <w:rPr>
                                <w:rFonts w:hint="eastAsia" w:ascii="黑体"/>
                              </w:rPr>
                              <w:t>Quality Assessment of Infant and Child Care Agenc</w:t>
                            </w:r>
                            <w:r>
                              <w:rPr>
                                <w:rFonts w:hint="eastAsia" w:ascii="黑体"/>
                                <w:lang w:val="en-US" w:eastAsia="zh-CN"/>
                              </w:rPr>
                              <w:t>y</w:t>
                            </w:r>
                          </w:p>
                          <w:p>
                            <w:pPr>
                              <w:pStyle w:val="53"/>
                              <w:tabs>
                                <w:tab w:val="left" w:pos="2160"/>
                                <w:tab w:val="left" w:pos="2340"/>
                              </w:tabs>
                              <w:rPr>
                                <w:rFonts w:ascii="黑体"/>
                              </w:rPr>
                            </w:pPr>
                          </w:p>
                          <w:p>
                            <w:pPr>
                              <w:pStyle w:val="53"/>
                              <w:rPr>
                                <w:rFonts w:ascii="黑体"/>
                              </w:rPr>
                            </w:pPr>
                            <w:r>
                              <w:rPr>
                                <w:rFonts w:hint="eastAsia" w:ascii="黑体"/>
                              </w:rPr>
                              <w:t>（征求意见稿）</w:t>
                            </w:r>
                          </w:p>
                        </w:txbxContent>
                      </wps:txbx>
                      <wps:bodyPr lIns="0" tIns="0" rIns="0" bIns="0" upright="1"/>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2336;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RXn3HYAAAACQEAAA8AAAAAAAAAAQAgAAAAIgAAAGRycy9kb3ducmV2Lnht&#10;bFBLAQIUABQAAAAIAIdO4kBhd5fAwAEAAJkDAAAOAAAAAAAAAAEAIAAAACcBAABkcnMvZTJvRG9j&#10;LnhtbFBLBQYAAAAABgAGAFkBAABZBQAAAAA=&#10;">
                <v:fill on="t" focussize="0,0"/>
                <v:stroke on="f"/>
                <v:imagedata o:title=""/>
                <o:lock v:ext="edit" aspectratio="f"/>
                <v:textbox inset="0mm,0mm,0mm,0mm">
                  <w:txbxContent>
                    <w:p>
                      <w:pPr>
                        <w:pStyle w:val="53"/>
                        <w:rPr>
                          <w:rFonts w:ascii="黑体" w:eastAsia="黑体"/>
                          <w:sz w:val="52"/>
                        </w:rPr>
                      </w:pPr>
                      <w:r>
                        <w:rPr>
                          <w:rFonts w:hint="eastAsia" w:ascii="黑体" w:eastAsia="黑体"/>
                          <w:sz w:val="52"/>
                        </w:rPr>
                        <w:t>婴幼儿照护服务机构质量等级评定</w:t>
                      </w:r>
                    </w:p>
                    <w:p>
                      <w:pPr>
                        <w:pStyle w:val="53"/>
                        <w:rPr>
                          <w:rFonts w:hint="eastAsia" w:ascii="黑体" w:eastAsia="宋体"/>
                          <w:lang w:val="en-US" w:eastAsia="zh-CN"/>
                        </w:rPr>
                      </w:pPr>
                      <w:r>
                        <w:rPr>
                          <w:rFonts w:hint="eastAsia" w:ascii="黑体"/>
                        </w:rPr>
                        <w:t>Quality Assessment of Infant and Child Care Agenc</w:t>
                      </w:r>
                      <w:r>
                        <w:rPr>
                          <w:rFonts w:hint="eastAsia" w:ascii="黑体"/>
                          <w:lang w:val="en-US" w:eastAsia="zh-CN"/>
                        </w:rPr>
                        <w:t>y</w:t>
                      </w:r>
                    </w:p>
                    <w:p>
                      <w:pPr>
                        <w:pStyle w:val="53"/>
                        <w:tabs>
                          <w:tab w:val="left" w:pos="2160"/>
                          <w:tab w:val="left" w:pos="2340"/>
                        </w:tabs>
                        <w:rPr>
                          <w:rFonts w:ascii="黑体"/>
                        </w:rPr>
                      </w:pPr>
                    </w:p>
                    <w:p>
                      <w:pPr>
                        <w:pStyle w:val="53"/>
                        <w:rPr>
                          <w:rFonts w:ascii="黑体"/>
                        </w:rPr>
                      </w:pPr>
                      <w:r>
                        <w:rPr>
                          <w:rFonts w:hint="eastAsia" w:ascii="黑体"/>
                        </w:rPr>
                        <w:t>（征求意见稿）</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0" t="0" r="0" b="3810"/>
                <wp:wrapNone/>
                <wp:docPr id="4"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pPr>
                              <w:pStyle w:val="36"/>
                            </w:pPr>
                            <w:r>
                              <w:t>DB</w:t>
                            </w:r>
                          </w:p>
                        </w:txbxContent>
                      </wps:txbx>
                      <wps:bodyPr lIns="0" tIns="0" rIns="0" bIns="0" upright="1"/>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Vk7PNgAAAAKAQAADwAAAAAAAAABACAAAAAiAAAAZHJzL2Rvd25yZXYueG1s&#10;UEsBAhQAFAAAAAgAh07iQIzpnQm/AQAAmAMAAA4AAAAAAAAAAQAgAAAAJwEAAGRycy9lMm9Eb2Mu&#10;eG1sUEsFBgAAAAAGAAYAWQEAAFgFAAAAAA==&#10;">
                <v:fill on="t" focussize="0,0"/>
                <v:stroke on="f"/>
                <v:imagedata o:title=""/>
                <o:lock v:ext="edit" aspectratio="f"/>
                <v:textbox inset="0mm,0mm,0mm,0mm">
                  <w:txbxContent>
                    <w:p>
                      <w:pPr>
                        <w:pStyle w:val="36"/>
                      </w:pPr>
                      <w:r>
                        <w:t>DB</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270" b="2540"/>
                <wp:wrapNone/>
                <wp:docPr id="3"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pPr>
                              <w:pStyle w:val="35"/>
                            </w:pPr>
                            <w:r>
                              <w:rPr>
                                <w:rFonts w:hint="eastAsia"/>
                              </w:rPr>
                              <w:t>湖南省地方标准</w:t>
                            </w:r>
                          </w:p>
                        </w:txbxContent>
                      </wps:txbx>
                      <wps:bodyPr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YORwXXAAAACAEAAA8AAAAAAAAAAQAgAAAAIgAAAGRycy9kb3ducmV2LnhtbFBL&#10;AQIUABQAAAAIAIdO4kByC57OvgEAAJgDAAAOAAAAAAAAAAEAIAAAACYBAABkcnMvZTJvRG9jLnht&#10;bFBLBQYAAAAABgAGAFkBAABWBQAAAAA=&#10;">
                <v:fill on="t" focussize="0,0"/>
                <v:stroke on="f"/>
                <v:imagedata o:title=""/>
                <o:lock v:ext="edit" aspectratio="f"/>
                <v:textbox inset="0mm,0mm,0mm,0mm">
                  <w:txbxContent>
                    <w:p>
                      <w:pPr>
                        <w:pStyle w:val="35"/>
                      </w:pPr>
                      <w:r>
                        <w:rPr>
                          <w:rFonts w:hint="eastAsia"/>
                        </w:rPr>
                        <w:t>湖南省地方标准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2540"/>
                <wp:wrapNone/>
                <wp:docPr id="2"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pPr>
                              <w:pStyle w:val="48"/>
                              <w:rPr>
                                <w:rFonts w:ascii="黑体"/>
                              </w:rPr>
                            </w:pPr>
                            <w:r>
                              <w:rPr>
                                <w:rFonts w:ascii="黑体"/>
                              </w:rPr>
                              <w:t xml:space="preserve">ICS </w:t>
                            </w:r>
                            <w:r>
                              <w:rPr>
                                <w:rFonts w:hint="eastAsia" w:ascii="黑体"/>
                              </w:rPr>
                              <w:t>XXXXXXX</w:t>
                            </w:r>
                          </w:p>
                          <w:p>
                            <w:pPr>
                              <w:pStyle w:val="48"/>
                              <w:rPr>
                                <w:rFonts w:ascii="黑体"/>
                              </w:rPr>
                            </w:pPr>
                            <w:r>
                              <w:rPr>
                                <w:rFonts w:hint="eastAsia" w:ascii="黑体"/>
                              </w:rPr>
                              <w:t>X</w:t>
                            </w:r>
                            <w:r>
                              <w:rPr>
                                <w:rFonts w:ascii="黑体"/>
                              </w:rPr>
                              <w:t xml:space="preserve"> </w:t>
                            </w:r>
                            <w:r>
                              <w:rPr>
                                <w:rFonts w:hint="eastAsia" w:ascii="黑体"/>
                              </w:rPr>
                              <w:t>XX</w:t>
                            </w:r>
                          </w:p>
                          <w:p>
                            <w:pPr>
                              <w:pStyle w:val="48"/>
                              <w:rPr>
                                <w:rFonts w:ascii="黑体"/>
                              </w:rPr>
                            </w:pPr>
                            <w:r>
                              <w:rPr>
                                <w:rFonts w:hint="eastAsia" w:ascii="黑体"/>
                              </w:rPr>
                              <w:t>备案号：XXXX-XXXX</w:t>
                            </w:r>
                          </w:p>
                          <w:p/>
                        </w:txbxContent>
                      </wps:txbx>
                      <wps:bodyPr lIns="0" tIns="0" rIns="0" bIns="0" upright="1"/>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Xsy+DTAAAABQEAAA8AAAAAAAAAAQAgAAAAIgAAAGRycy9kb3ducmV2LnhtbFBLAQIU&#10;ABQAAAAIAIdO4kCMOkQVvwEAAJgDAAAOAAAAAAAAAAEAIAAAACIBAABkcnMvZTJvRG9jLnhtbFBL&#10;BQYAAAAABgAGAFkBAABTBQAAAAA=&#10;">
                <v:fill on="t" focussize="0,0"/>
                <v:stroke on="f"/>
                <v:imagedata o:title=""/>
                <o:lock v:ext="edit" aspectratio="f"/>
                <v:textbox inset="0mm,0mm,0mm,0mm">
                  <w:txbxContent>
                    <w:p>
                      <w:pPr>
                        <w:pStyle w:val="48"/>
                        <w:rPr>
                          <w:rFonts w:ascii="黑体"/>
                        </w:rPr>
                      </w:pPr>
                      <w:r>
                        <w:rPr>
                          <w:rFonts w:ascii="黑体"/>
                        </w:rPr>
                        <w:t xml:space="preserve">ICS </w:t>
                      </w:r>
                      <w:r>
                        <w:rPr>
                          <w:rFonts w:hint="eastAsia" w:ascii="黑体"/>
                        </w:rPr>
                        <w:t>XXXXXXX</w:t>
                      </w:r>
                    </w:p>
                    <w:p>
                      <w:pPr>
                        <w:pStyle w:val="48"/>
                        <w:rPr>
                          <w:rFonts w:ascii="黑体"/>
                        </w:rPr>
                      </w:pPr>
                      <w:r>
                        <w:rPr>
                          <w:rFonts w:hint="eastAsia" w:ascii="黑体"/>
                        </w:rPr>
                        <w:t>X</w:t>
                      </w:r>
                      <w:r>
                        <w:rPr>
                          <w:rFonts w:ascii="黑体"/>
                        </w:rPr>
                        <w:t xml:space="preserve"> </w:t>
                      </w:r>
                      <w:r>
                        <w:rPr>
                          <w:rFonts w:hint="eastAsia" w:ascii="黑体"/>
                        </w:rPr>
                        <w:t>XX</w:t>
                      </w:r>
                    </w:p>
                    <w:p>
                      <w:pPr>
                        <w:pStyle w:val="48"/>
                        <w:rPr>
                          <w:rFonts w:ascii="黑体"/>
                        </w:rPr>
                      </w:pPr>
                      <w:r>
                        <w:rPr>
                          <w:rFonts w:hint="eastAsia" w:ascii="黑体"/>
                        </w:rPr>
                        <w:t>备案号：XXXX-XXXX</w:t>
                      </w:r>
                    </w:p>
                    <w:p/>
                  </w:txbxContent>
                </v:textbox>
                <w10:anchorlock/>
              </v:shape>
            </w:pict>
          </mc:Fallback>
        </mc:AlternateContent>
      </w:r>
      <w:r>
        <w:rPr>
          <w:rFonts w:hint="eastAsia"/>
        </w:rPr>
        <w:t xml:space="preserve"> </w:t>
      </w:r>
    </w:p>
    <w:bookmarkEnd w:id="0"/>
    <w:p>
      <w:pPr>
        <w:pStyle w:val="38"/>
      </w:pPr>
      <w:bookmarkStart w:id="3" w:name="_Toc96958538"/>
      <w:r>
        <w:rPr>
          <w:rFonts w:hint="eastAsia"/>
        </w:rPr>
        <w:t>目</w:t>
      </w:r>
      <w:r>
        <w:t>  </w:t>
      </w:r>
      <w:r>
        <w:rPr>
          <w:rFonts w:hint="eastAsia"/>
        </w:rPr>
        <w:t>次</w:t>
      </w:r>
      <w:bookmarkEnd w:id="3"/>
    </w:p>
    <w:p>
      <w:pPr>
        <w:pStyle w:val="11"/>
        <w:spacing w:before="78" w:after="78"/>
        <w:rPr>
          <w:rFonts w:asciiTheme="minorHAnsi" w:hAnsiTheme="minorHAnsi" w:eastAsiaTheme="minorEastAsia" w:cstheme="minorBidi"/>
          <w:szCs w:val="22"/>
        </w:rPr>
      </w:pPr>
      <w:r>
        <w:fldChar w:fldCharType="begin"/>
      </w:r>
      <w:r>
        <w:instrText xml:space="preserve"> TOC \o "1-3" \h \z \u </w:instrText>
      </w:r>
      <w:r>
        <w:fldChar w:fldCharType="separate"/>
      </w:r>
      <w:r>
        <w:fldChar w:fldCharType="begin"/>
      </w:r>
      <w:r>
        <w:instrText xml:space="preserve"> HYPERLINK \l "_Toc96958538" </w:instrText>
      </w:r>
      <w:r>
        <w:fldChar w:fldCharType="separate"/>
      </w:r>
      <w:r>
        <w:rPr>
          <w:rStyle w:val="20"/>
          <w:rFonts w:hint="eastAsia"/>
        </w:rPr>
        <w:t>目</w:t>
      </w:r>
      <w:r>
        <w:rPr>
          <w:rStyle w:val="20"/>
        </w:rPr>
        <w:t>  </w:t>
      </w:r>
      <w:r>
        <w:rPr>
          <w:rStyle w:val="20"/>
          <w:rFonts w:hint="eastAsia"/>
        </w:rPr>
        <w:t>次</w:t>
      </w:r>
      <w:r>
        <w:tab/>
      </w:r>
      <w:r>
        <w:fldChar w:fldCharType="begin"/>
      </w:r>
      <w:r>
        <w:instrText xml:space="preserve"> PAGEREF _Toc96958538 \h </w:instrText>
      </w:r>
      <w:r>
        <w:fldChar w:fldCharType="separate"/>
      </w:r>
      <w:r>
        <w:t>II</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"_Toc96958539" </w:instrText>
      </w:r>
      <w:r>
        <w:fldChar w:fldCharType="separate"/>
      </w:r>
      <w:r>
        <w:rPr>
          <w:rStyle w:val="20"/>
          <w:rFonts w:hint="eastAsia"/>
        </w:rPr>
        <w:t>前</w:t>
      </w:r>
      <w:r>
        <w:rPr>
          <w:rStyle w:val="20"/>
        </w:rPr>
        <w:t xml:space="preserve">    </w:t>
      </w:r>
      <w:r>
        <w:rPr>
          <w:rStyle w:val="20"/>
          <w:rFonts w:hint="eastAsia"/>
        </w:rPr>
        <w:t>言</w:t>
      </w:r>
      <w:r>
        <w:tab/>
      </w:r>
      <w:r>
        <w:fldChar w:fldCharType="begin"/>
      </w:r>
      <w:r>
        <w:instrText xml:space="preserve"> PAGEREF _Toc96958539 \h </w:instrText>
      </w:r>
      <w:r>
        <w:fldChar w:fldCharType="separate"/>
      </w:r>
      <w:r>
        <w:t>III</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"_Toc96958540" </w:instrText>
      </w:r>
      <w:r>
        <w:fldChar w:fldCharType="separate"/>
      </w:r>
      <w:r>
        <w:rPr>
          <w:rStyle w:val="20"/>
        </w:rPr>
        <w:t>1</w:t>
      </w:r>
      <w:r>
        <w:rPr>
          <w:rStyle w:val="20"/>
          <w:rFonts w:hint="eastAsia"/>
        </w:rPr>
        <w:t>范围</w:t>
      </w:r>
      <w:r>
        <w:tab/>
      </w:r>
      <w:r>
        <w:fldChar w:fldCharType="begin"/>
      </w:r>
      <w:r>
        <w:instrText xml:space="preserve"> PAGEREF _Toc96958540 \h </w:instrText>
      </w:r>
      <w:r>
        <w:fldChar w:fldCharType="separate"/>
      </w:r>
      <w:r>
        <w:t>1</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"_Toc96958541" </w:instrText>
      </w:r>
      <w:r>
        <w:fldChar w:fldCharType="separate"/>
      </w:r>
      <w:r>
        <w:rPr>
          <w:rStyle w:val="20"/>
        </w:rPr>
        <w:t>2</w:t>
      </w:r>
      <w:r>
        <w:rPr>
          <w:rStyle w:val="20"/>
          <w:rFonts w:hint="eastAsia"/>
        </w:rPr>
        <w:t>规范性引用文件</w:t>
      </w:r>
      <w:r>
        <w:tab/>
      </w:r>
      <w:r>
        <w:fldChar w:fldCharType="begin"/>
      </w:r>
      <w:r>
        <w:instrText xml:space="preserve"> PAGEREF _Toc96958541 \h </w:instrText>
      </w:r>
      <w:r>
        <w:fldChar w:fldCharType="separate"/>
      </w:r>
      <w:r>
        <w:t>1</w:t>
      </w:r>
      <w:r>
        <w:fldChar w:fldCharType="end"/>
      </w:r>
      <w:r>
        <w:fldChar w:fldCharType="end"/>
      </w:r>
    </w:p>
    <w:p>
      <w:pPr>
        <w:pStyle w:val="11"/>
        <w:spacing w:before="78" w:after="78"/>
        <w:rPr>
          <w:rFonts w:hint="default" w:eastAsia="宋体"/>
          <w:lang w:val="en-US" w:eastAsia="zh-CN"/>
        </w:rPr>
      </w:pPr>
      <w:r>
        <w:fldChar w:fldCharType="begin"/>
      </w:r>
      <w:r>
        <w:instrText xml:space="preserve"> HYPERLINK \l "_Toc96958542" </w:instrText>
      </w:r>
      <w:r>
        <w:fldChar w:fldCharType="separate"/>
      </w:r>
      <w:r>
        <w:rPr>
          <w:rStyle w:val="20"/>
        </w:rPr>
        <w:t>3</w:t>
      </w:r>
      <w:r>
        <w:rPr>
          <w:rFonts w:hint="eastAsia"/>
        </w:rPr>
        <w:t>术语和定义</w:t>
      </w:r>
      <w:r>
        <w:tab/>
      </w:r>
      <w:r>
        <w:fldChar w:fldCharType="begin"/>
      </w:r>
      <w:r>
        <w:instrText xml:space="preserve"> PAGEREF _Toc96958542 \h </w:instrText>
      </w:r>
      <w:r>
        <w:fldChar w:fldCharType="separate"/>
      </w:r>
      <w:r>
        <w:t>1</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"_Toc96958543" </w:instrText>
      </w:r>
      <w:r>
        <w:fldChar w:fldCharType="separate"/>
      </w:r>
      <w:r>
        <w:rPr>
          <w:rStyle w:val="20"/>
        </w:rPr>
        <w:t>4</w:t>
      </w:r>
      <w:r>
        <w:rPr>
          <w:rStyle w:val="20"/>
          <w:rFonts w:hint="eastAsia"/>
        </w:rPr>
        <w:t>婴幼儿照护服务机构评定原则</w:t>
      </w:r>
      <w:r>
        <w:tab/>
      </w:r>
      <w:r>
        <w:rPr>
          <w:rFonts w:hint="eastAsia"/>
          <w:lang w:val="en-US" w:eastAsia="zh-CN"/>
        </w:rPr>
        <w:t>1</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"_Toc96958543" </w:instrText>
      </w:r>
      <w:r>
        <w:fldChar w:fldCharType="separate"/>
      </w:r>
      <w:r>
        <w:rPr>
          <w:rStyle w:val="20"/>
        </w:rPr>
        <w:t>4</w:t>
      </w:r>
      <w:r>
        <w:rPr>
          <w:rStyle w:val="20"/>
          <w:rFonts w:hint="eastAsia"/>
          <w:lang w:val="en-US"/>
        </w:rPr>
        <w:t>.1</w:t>
      </w:r>
      <w:r>
        <w:rPr>
          <w:rStyle w:val="20"/>
          <w:rFonts w:hint="eastAsia"/>
        </w:rPr>
        <w:t>公平公开原则</w:t>
      </w:r>
      <w:r>
        <w:tab/>
      </w:r>
      <w:r>
        <w:rPr>
          <w:rFonts w:hint="eastAsia"/>
          <w:lang w:val="en-US" w:eastAsia="zh-CN"/>
        </w:rPr>
        <w:t>1</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"_Toc96958543" </w:instrText>
      </w:r>
      <w:r>
        <w:fldChar w:fldCharType="separate"/>
      </w:r>
      <w:r>
        <w:rPr>
          <w:rStyle w:val="20"/>
        </w:rPr>
        <w:t>4</w:t>
      </w:r>
      <w:r>
        <w:rPr>
          <w:rStyle w:val="20"/>
          <w:rFonts w:hint="eastAsia"/>
          <w:lang w:val="en-US"/>
        </w:rPr>
        <w:t>.2</w:t>
      </w:r>
      <w:r>
        <w:rPr>
          <w:rStyle w:val="20"/>
          <w:rFonts w:hint="eastAsia"/>
        </w:rPr>
        <w:t>客观公正性原则</w:t>
      </w:r>
      <w:r>
        <w:tab/>
      </w:r>
      <w:r>
        <w:rPr>
          <w:rFonts w:hint="eastAsia"/>
          <w:lang w:val="en-US" w:eastAsia="zh-CN"/>
        </w:rPr>
        <w:t>1</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"_Toc96958543" </w:instrText>
      </w:r>
      <w:r>
        <w:fldChar w:fldCharType="separate"/>
      </w:r>
      <w:r>
        <w:rPr>
          <w:rStyle w:val="20"/>
        </w:rPr>
        <w:t>4</w:t>
      </w:r>
      <w:r>
        <w:rPr>
          <w:rStyle w:val="20"/>
          <w:rFonts w:hint="eastAsia"/>
          <w:lang w:val="en-US"/>
        </w:rPr>
        <w:t>.3</w:t>
      </w:r>
      <w:r>
        <w:rPr>
          <w:rStyle w:val="20"/>
          <w:rFonts w:hint="eastAsia"/>
        </w:rPr>
        <w:t>量化定等原则</w:t>
      </w:r>
      <w:r>
        <w:tab/>
      </w:r>
      <w:r>
        <w:rPr>
          <w:rFonts w:hint="eastAsia"/>
          <w:lang w:val="en-US" w:eastAsia="zh-CN"/>
        </w:rPr>
        <w:t>1</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"_Toc96958543" </w:instrText>
      </w:r>
      <w:r>
        <w:fldChar w:fldCharType="separate"/>
      </w:r>
      <w:r>
        <w:rPr>
          <w:rStyle w:val="20"/>
        </w:rPr>
        <w:t>4</w:t>
      </w:r>
      <w:r>
        <w:rPr>
          <w:rStyle w:val="20"/>
          <w:rFonts w:hint="eastAsia"/>
          <w:lang w:val="en-US"/>
        </w:rPr>
        <w:t>.4</w:t>
      </w:r>
      <w:r>
        <w:rPr>
          <w:rStyle w:val="20"/>
          <w:rFonts w:hint="eastAsia"/>
        </w:rPr>
        <w:t>动态评价原则</w:t>
      </w:r>
      <w:r>
        <w:tab/>
      </w:r>
      <w:r>
        <w:rPr>
          <w:rFonts w:hint="eastAsia"/>
          <w:lang w:val="en-US" w:eastAsia="zh-CN"/>
        </w:rPr>
        <w:t>1</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"_Toc96958552" </w:instrText>
      </w:r>
      <w:r>
        <w:fldChar w:fldCharType="separate"/>
      </w:r>
      <w:r>
        <w:rPr>
          <w:rStyle w:val="20"/>
        </w:rPr>
        <w:t>5</w:t>
      </w:r>
      <w:r>
        <w:rPr>
          <w:rStyle w:val="20"/>
          <w:rFonts w:hint="eastAsia"/>
        </w:rPr>
        <w:t>婴幼儿照护服务机构的基本要求</w:t>
      </w:r>
      <w:r>
        <w:tab/>
      </w:r>
      <w:r>
        <w:rPr>
          <w:rFonts w:hint="eastAsia"/>
          <w:lang w:val="en-US" w:eastAsia="zh-CN"/>
        </w:rPr>
        <w:t>1</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"_Toc96958559" </w:instrText>
      </w:r>
      <w:r>
        <w:fldChar w:fldCharType="separate"/>
      </w:r>
      <w:r>
        <w:rPr>
          <w:rStyle w:val="20"/>
        </w:rPr>
        <w:t>6</w:t>
      </w:r>
      <w:r>
        <w:rPr>
          <w:rStyle w:val="20"/>
          <w:rFonts w:hint="eastAsia"/>
        </w:rPr>
        <w:t>等级标志和评分要求</w:t>
      </w:r>
      <w:r>
        <w:tab/>
      </w:r>
      <w:r>
        <w:rPr>
          <w:rFonts w:hint="eastAsia"/>
          <w:lang w:val="en-US" w:eastAsia="zh-CN"/>
        </w:rPr>
        <w:t>1</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"_Toc96958560" </w:instrText>
      </w:r>
      <w:r>
        <w:fldChar w:fldCharType="separate"/>
      </w:r>
      <w:r>
        <w:rPr>
          <w:rStyle w:val="20"/>
        </w:rPr>
        <w:t>6.1</w:t>
      </w:r>
      <w:r>
        <w:rPr>
          <w:rStyle w:val="20"/>
          <w:rFonts w:hint="eastAsia"/>
        </w:rPr>
        <w:t>等级标志</w:t>
      </w:r>
      <w:r>
        <w:tab/>
      </w:r>
      <w:r>
        <w:rPr>
          <w:rFonts w:hint="eastAsia"/>
          <w:lang w:val="en-US" w:eastAsia="zh-CN"/>
        </w:rPr>
        <w:t>2</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"_Toc96958561" </w:instrText>
      </w:r>
      <w:r>
        <w:fldChar w:fldCharType="separate"/>
      </w:r>
      <w:r>
        <w:rPr>
          <w:rStyle w:val="20"/>
        </w:rPr>
        <w:t>6.2</w:t>
      </w:r>
      <w:r>
        <w:rPr>
          <w:rStyle w:val="20"/>
          <w:rFonts w:hint="eastAsia"/>
        </w:rPr>
        <w:t>评定指标</w:t>
      </w:r>
      <w:r>
        <w:tab/>
      </w:r>
      <w:r>
        <w:rPr>
          <w:rFonts w:hint="eastAsia"/>
          <w:lang w:val="en-US" w:eastAsia="zh-CN"/>
        </w:rPr>
        <w:t>2</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"_Toc96958561" </w:instrText>
      </w:r>
      <w:r>
        <w:fldChar w:fldCharType="separate"/>
      </w:r>
      <w:r>
        <w:rPr>
          <w:rStyle w:val="20"/>
        </w:rPr>
        <w:t>6.</w:t>
      </w:r>
      <w:r>
        <w:rPr>
          <w:rStyle w:val="20"/>
          <w:rFonts w:hint="eastAsia"/>
          <w:lang w:val="en-US"/>
        </w:rPr>
        <w:t>3</w:t>
      </w:r>
      <w:r>
        <w:rPr>
          <w:rStyle w:val="20"/>
          <w:rFonts w:hint="eastAsia"/>
        </w:rPr>
        <w:t>等级评分要求</w:t>
      </w:r>
      <w:r>
        <w:tab/>
      </w:r>
      <w:r>
        <w:rPr>
          <w:rFonts w:hint="eastAsia"/>
          <w:lang w:val="en-US" w:eastAsia="zh-CN"/>
        </w:rPr>
        <w:t>2</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"_Toc96958562" </w:instrText>
      </w:r>
      <w:r>
        <w:fldChar w:fldCharType="separate"/>
      </w:r>
      <w:r>
        <w:rPr>
          <w:rStyle w:val="20"/>
        </w:rPr>
        <w:t>7</w:t>
      </w:r>
      <w:r>
        <w:rPr>
          <w:rStyle w:val="20"/>
          <w:rFonts w:hint="eastAsia"/>
        </w:rPr>
        <w:t>评定组织</w:t>
      </w:r>
      <w:r>
        <w:tab/>
      </w:r>
      <w:r>
        <w:rPr>
          <w:rFonts w:hint="eastAsia"/>
          <w:lang w:val="en-US" w:eastAsia="zh-CN"/>
        </w:rPr>
        <w:t>2</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"_Toc96958560" </w:instrText>
      </w:r>
      <w:r>
        <w:fldChar w:fldCharType="separate"/>
      </w:r>
      <w:r>
        <w:rPr>
          <w:rFonts w:hint="eastAsia"/>
          <w:lang w:val="en-US" w:eastAsia="zh-CN"/>
        </w:rPr>
        <w:t>7</w:t>
      </w:r>
      <w:r>
        <w:rPr>
          <w:rStyle w:val="20"/>
        </w:rPr>
        <w:t>.1</w:t>
      </w:r>
      <w:r>
        <w:rPr>
          <w:rStyle w:val="20"/>
          <w:rFonts w:hint="eastAsia"/>
        </w:rPr>
        <w:t>评定机构</w:t>
      </w:r>
      <w:r>
        <w:tab/>
      </w:r>
      <w:r>
        <w:rPr>
          <w:rFonts w:hint="eastAsia"/>
          <w:lang w:val="en-US" w:eastAsia="zh-CN"/>
        </w:rPr>
        <w:t>2</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"_Toc96958561" </w:instrText>
      </w:r>
      <w:r>
        <w:fldChar w:fldCharType="separate"/>
      </w:r>
      <w:r>
        <w:rPr>
          <w:rFonts w:hint="eastAsia"/>
          <w:lang w:val="en-US" w:eastAsia="zh-CN"/>
        </w:rPr>
        <w:t>7</w:t>
      </w:r>
      <w:r>
        <w:rPr>
          <w:rStyle w:val="20"/>
        </w:rPr>
        <w:t>.2</w:t>
      </w:r>
      <w:r>
        <w:rPr>
          <w:rStyle w:val="20"/>
          <w:rFonts w:hint="eastAsia"/>
        </w:rPr>
        <w:t>评定机构职责</w:t>
      </w:r>
      <w:r>
        <w:tab/>
      </w:r>
      <w:r>
        <w:rPr>
          <w:rFonts w:hint="eastAsia"/>
          <w:lang w:val="en-US" w:eastAsia="zh-CN"/>
        </w:rPr>
        <w:t>2</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"_Toc96958563" </w:instrText>
      </w:r>
      <w:r>
        <w:fldChar w:fldCharType="separate"/>
      </w:r>
      <w:r>
        <w:rPr>
          <w:rStyle w:val="20"/>
          <w:rFonts w:hint="eastAsia"/>
          <w:lang w:val="en-US"/>
        </w:rPr>
        <w:t>8</w:t>
      </w:r>
      <w:r>
        <w:rPr>
          <w:rStyle w:val="20"/>
          <w:rFonts w:hint="eastAsia"/>
        </w:rPr>
        <w:t>评定程序</w:t>
      </w:r>
      <w:r>
        <w:tab/>
      </w:r>
      <w:r>
        <w:rPr>
          <w:rFonts w:hint="eastAsia"/>
          <w:lang w:val="en-US" w:eastAsia="zh-CN"/>
        </w:rPr>
        <w:t>2</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"_Toc96958564" </w:instrText>
      </w:r>
      <w:r>
        <w:fldChar w:fldCharType="separate"/>
      </w:r>
      <w:r>
        <w:rPr>
          <w:rFonts w:hint="eastAsia"/>
          <w:lang w:val="en-US" w:eastAsia="zh-CN"/>
        </w:rPr>
        <w:t>8</w:t>
      </w:r>
      <w:r>
        <w:rPr>
          <w:rStyle w:val="20"/>
        </w:rPr>
        <w:t>.</w:t>
      </w:r>
      <w:r>
        <w:rPr>
          <w:rStyle w:val="20"/>
          <w:rFonts w:hint="eastAsia"/>
          <w:lang w:val="en-US"/>
        </w:rPr>
        <w:t>1</w:t>
      </w:r>
      <w:r>
        <w:rPr>
          <w:rStyle w:val="20"/>
          <w:rFonts w:hint="eastAsia"/>
        </w:rPr>
        <w:t>申报</w:t>
      </w:r>
      <w:r>
        <w:tab/>
      </w:r>
      <w:r>
        <w:rPr>
          <w:rFonts w:hint="eastAsia"/>
          <w:lang w:val="en-US" w:eastAsia="zh-CN"/>
        </w:rPr>
        <w:t>2</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"_Toc96958565" </w:instrText>
      </w:r>
      <w:r>
        <w:fldChar w:fldCharType="separate"/>
      </w:r>
      <w:r>
        <w:rPr>
          <w:rFonts w:hint="eastAsia"/>
          <w:lang w:val="en-US" w:eastAsia="zh-CN"/>
        </w:rPr>
        <w:t>8</w:t>
      </w:r>
      <w:r>
        <w:rPr>
          <w:rStyle w:val="20"/>
        </w:rPr>
        <w:t>.</w:t>
      </w:r>
      <w:r>
        <w:rPr>
          <w:rStyle w:val="20"/>
          <w:rFonts w:hint="eastAsia"/>
          <w:lang w:val="en-US"/>
        </w:rPr>
        <w:t>2</w:t>
      </w:r>
      <w:r>
        <w:rPr>
          <w:rStyle w:val="20"/>
          <w:rFonts w:hint="eastAsia"/>
        </w:rPr>
        <w:t>评定</w:t>
      </w:r>
      <w:r>
        <w:tab/>
      </w:r>
      <w:r>
        <w:rPr>
          <w:rFonts w:hint="eastAsia"/>
          <w:lang w:val="en-US" w:eastAsia="zh-CN"/>
        </w:rPr>
        <w:t>2</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"_Toc96958565" </w:instrText>
      </w:r>
      <w:r>
        <w:fldChar w:fldCharType="separate"/>
      </w:r>
      <w:r>
        <w:rPr>
          <w:rStyle w:val="20"/>
          <w:rFonts w:hint="eastAsia"/>
        </w:rPr>
        <w:t>附录A（规范性附录）</w:t>
      </w:r>
      <w:r>
        <w:rPr>
          <w:rStyle w:val="20"/>
        </w:rPr>
        <w:t>　</w:t>
      </w:r>
      <w:r>
        <w:rPr>
          <w:rStyle w:val="20"/>
          <w:rFonts w:hint="eastAsia"/>
        </w:rPr>
        <w:t>婴幼儿照护服务机构等级评定指标</w:t>
      </w:r>
      <w:r>
        <w:tab/>
      </w:r>
      <w:r>
        <w:rPr>
          <w:rFonts w:hint="eastAsia"/>
          <w:lang w:val="en-US" w:eastAsia="zh-CN"/>
        </w:rPr>
        <w:t>3</w:t>
      </w:r>
      <w:r>
        <w:fldChar w:fldCharType="end"/>
      </w:r>
    </w:p>
    <w:p>
      <w:pPr>
        <w:pStyle w:val="11"/>
        <w:spacing w:before="78" w:after="78"/>
      </w:pPr>
      <w:r>
        <w:rPr>
          <w:szCs w:val="21"/>
        </w:rPr>
        <w:fldChar w:fldCharType="end"/>
      </w:r>
    </w:p>
    <w:p>
      <w:pPr>
        <w:pStyle w:val="14"/>
        <w:spacing w:before="156" w:after="156"/>
        <w:jc w:val="center"/>
        <w:rPr>
          <w:sz w:val="32"/>
        </w:rPr>
      </w:pPr>
      <w:r>
        <w:rPr>
          <w:rFonts w:hint="eastAsia" w:ascii="宋体" w:hAnsi="Times New Roman" w:eastAsia="宋体" w:cs="Times New Roman"/>
          <w:bCs w:val="0"/>
          <w:kern w:val="2"/>
          <w:sz w:val="21"/>
          <w:szCs w:val="21"/>
          <w:lang w:val="en-US" w:eastAsia="zh-CN" w:bidi="ar-SA"/>
        </w:rPr>
        <w:br w:type="page"/>
      </w:r>
      <w:bookmarkStart w:id="4" w:name="_Toc96958539"/>
      <w:r>
        <w:rPr>
          <w:rFonts w:hint="eastAsia"/>
          <w:sz w:val="32"/>
        </w:rPr>
        <w:t>前    言</w:t>
      </w:r>
      <w:bookmarkEnd w:id="1"/>
      <w:bookmarkEnd w:id="4"/>
    </w:p>
    <w:p>
      <w:pPr>
        <w:ind w:firstLine="435"/>
        <w:rPr>
          <w:rFonts w:hint="eastAsia"/>
        </w:rPr>
      </w:pPr>
      <w:r>
        <w:rPr>
          <w:rFonts w:hint="eastAsia"/>
        </w:rPr>
        <w:t>本标准依据GB/T 1.1-2020《标准化工作导则 第1部分：标准化文件的结构和起草规则》给出的规则进行起草。</w:t>
      </w:r>
    </w:p>
    <w:p>
      <w:pPr>
        <w:ind w:firstLine="435"/>
        <w:rPr>
          <w:rFonts w:hint="eastAsia"/>
        </w:rPr>
      </w:pPr>
      <w:r>
        <w:rPr>
          <w:rFonts w:hint="eastAsia"/>
        </w:rPr>
        <w:t>本标准由湖南省服务业标准化技术委员会提出并归口。</w:t>
      </w:r>
    </w:p>
    <w:p>
      <w:pPr>
        <w:ind w:firstLine="435"/>
        <w:rPr>
          <w:rFonts w:hint="eastAsia"/>
        </w:rPr>
      </w:pPr>
      <w:r>
        <w:rPr>
          <w:rFonts w:hint="eastAsia"/>
        </w:rPr>
        <w:t>本标准起草单位：</w:t>
      </w:r>
      <w:r>
        <w:rPr>
          <w:rFonts w:hint="eastAsia"/>
          <w:lang w:eastAsia="zh-CN"/>
        </w:rPr>
        <w:t>湖南省育婴师协会</w:t>
      </w:r>
      <w:r>
        <w:rPr>
          <w:rFonts w:hint="eastAsia"/>
        </w:rPr>
        <w:t>。</w:t>
      </w:r>
    </w:p>
    <w:p>
      <w:pPr>
        <w:ind w:firstLine="435"/>
        <w:rPr>
          <w:rFonts w:hint="eastAsia"/>
        </w:rPr>
      </w:pPr>
      <w:r>
        <w:rPr>
          <w:rFonts w:hint="eastAsia"/>
        </w:rPr>
        <w:t>本标准主要起草人：潘建明、彭英、陈万方</w:t>
      </w:r>
      <w:r>
        <w:rPr>
          <w:rFonts w:hint="eastAsia"/>
          <w:lang w:eastAsia="zh-CN"/>
        </w:rPr>
        <w:t>、</w:t>
      </w:r>
      <w:r>
        <w:rPr>
          <w:rFonts w:hint="eastAsia"/>
        </w:rPr>
        <w:t>李偲婧。</w:t>
      </w:r>
    </w:p>
    <w:p>
      <w:pPr>
        <w:ind w:firstLine="435"/>
        <w:rPr>
          <w:rFonts w:hint="eastAsia"/>
        </w:rPr>
        <w:sectPr>
          <w:headerReference r:id="rId8" w:type="default"/>
          <w:footerReference r:id="rId10" w:type="default"/>
          <w:headerReference r:id="rId9" w:type="even"/>
          <w:footerReference r:id="rId11" w:type="even"/>
          <w:pgSz w:w="11907" w:h="16839"/>
          <w:pgMar w:top="1418" w:right="1134" w:bottom="1134" w:left="1418" w:header="1418" w:footer="851" w:gutter="0"/>
          <w:pgNumType w:fmt="upperRoman"/>
          <w:cols w:space="720" w:num="1"/>
          <w:docGrid w:type="lines" w:linePitch="312" w:charSpace="0"/>
        </w:sectPr>
      </w:pPr>
      <w:r>
        <w:rPr>
          <w:rFonts w:hint="eastAsia"/>
        </w:rPr>
        <w:t>本文件为首次发布。</w:t>
      </w:r>
    </w:p>
    <w:bookmarkEnd w:id="2"/>
    <w:p>
      <w:pPr>
        <w:pStyle w:val="44"/>
        <w:widowControl w:val="0"/>
        <w:autoSpaceDE w:val="0"/>
        <w:autoSpaceDN w:val="0"/>
        <w:adjustRightInd w:val="0"/>
        <w:spacing w:before="0" w:line="240" w:lineRule="auto"/>
        <w:jc w:val="both"/>
      </w:pPr>
    </w:p>
    <w:p>
      <w:pPr>
        <w:jc w:val="center"/>
        <w:rPr>
          <w:rFonts w:ascii="黑体" w:hAnsi="黑体" w:eastAsia="黑体"/>
          <w:sz w:val="32"/>
          <w:szCs w:val="32"/>
        </w:rPr>
      </w:pPr>
      <w:r>
        <w:rPr>
          <w:rFonts w:hint="eastAsia" w:ascii="黑体" w:hAnsi="黑体" w:eastAsia="黑体"/>
          <w:sz w:val="32"/>
          <w:szCs w:val="32"/>
        </w:rPr>
        <w:t>婴幼儿照护服务机构质量等级评定</w:t>
      </w:r>
    </w:p>
    <w:p>
      <w:pPr>
        <w:pStyle w:val="14"/>
        <w:spacing w:before="156" w:after="156"/>
      </w:pPr>
      <w:bookmarkStart w:id="5" w:name="_Toc96958540"/>
      <w:r>
        <w:t>1范围</w:t>
      </w:r>
      <w:bookmarkEnd w:id="5"/>
    </w:p>
    <w:p>
      <w:pPr>
        <w:ind w:firstLine="420" w:firstLineChars="200"/>
        <w:rPr>
          <w:rFonts w:hint="eastAsia" w:hAnsiTheme="minorEastAsia" w:eastAsiaTheme="minorEastAsia"/>
          <w:szCs w:val="21"/>
        </w:rPr>
      </w:pPr>
      <w:r>
        <w:rPr>
          <w:rFonts w:hint="eastAsia" w:hAnsiTheme="minorEastAsia" w:eastAsiaTheme="minorEastAsia"/>
          <w:szCs w:val="21"/>
        </w:rPr>
        <w:t>本标准规定了婴幼儿照护服务机构的评定原则、等级标志和评分要求、评定组织和评定程序。</w:t>
      </w:r>
    </w:p>
    <w:p>
      <w:pPr>
        <w:ind w:firstLine="420" w:firstLineChars="200"/>
        <w:rPr>
          <w:rFonts w:hint="eastAsia" w:hAnsiTheme="minorEastAsia" w:eastAsiaTheme="minorEastAsia"/>
          <w:szCs w:val="21"/>
        </w:rPr>
      </w:pPr>
      <w:r>
        <w:rPr>
          <w:rFonts w:hint="eastAsia" w:hAnsiTheme="minorEastAsia" w:eastAsiaTheme="minorEastAsia"/>
          <w:szCs w:val="21"/>
        </w:rPr>
        <w:t>本标准适用于婴幼儿照护服务机构质量的星级评定。</w:t>
      </w:r>
    </w:p>
    <w:p>
      <w:pPr>
        <w:pStyle w:val="14"/>
        <w:spacing w:before="156" w:after="156"/>
        <w:rPr>
          <w:szCs w:val="21"/>
        </w:rPr>
      </w:pPr>
      <w:bookmarkStart w:id="6" w:name="_Toc96958541"/>
      <w:r>
        <w:rPr>
          <w:szCs w:val="21"/>
        </w:rPr>
        <w:t>2规范性引用文件</w:t>
      </w:r>
      <w:bookmarkEnd w:id="6"/>
    </w:p>
    <w:p>
      <w:pPr>
        <w:ind w:firstLine="420" w:firstLineChars="200"/>
        <w:rPr>
          <w:rFonts w:hint="eastAsia" w:hAnsiTheme="minorEastAsia" w:eastAsiaTheme="minorEastAsia"/>
          <w:szCs w:val="21"/>
        </w:rPr>
      </w:pPr>
      <w:r>
        <w:rPr>
          <w:rFonts w:hint="eastAsia" w:hAnsiTheme="minorEastAsia" w:eastAsiaTheme="minorEastAsia"/>
          <w:szCs w:val="21"/>
        </w:rPr>
        <w:t>下列文件对于本文件的应用是必不可少的。凡是注日期的引用文件，仅所注日期的版本适用于本文件。凡是不注日期的引用文件，其最新版本（包括所有的修改单）适用于本文件。</w:t>
      </w:r>
    </w:p>
    <w:p>
      <w:pPr>
        <w:ind w:firstLine="420" w:firstLineChars="200"/>
        <w:rPr>
          <w:rFonts w:hint="eastAsia" w:eastAsiaTheme="minorEastAsia"/>
          <w:szCs w:val="21"/>
        </w:rPr>
      </w:pPr>
      <w:r>
        <w:rPr>
          <w:rFonts w:hint="eastAsia" w:hAnsiTheme="minorEastAsia" w:eastAsiaTheme="minorEastAsia"/>
          <w:szCs w:val="21"/>
        </w:rPr>
        <w:t>本标准没有规范性引用文件</w:t>
      </w:r>
    </w:p>
    <w:p>
      <w:pPr>
        <w:pStyle w:val="14"/>
        <w:spacing w:before="156" w:after="156"/>
        <w:rPr>
          <w:szCs w:val="21"/>
        </w:rPr>
      </w:pPr>
      <w:bookmarkStart w:id="7" w:name="_Toc96958542"/>
      <w:r>
        <w:rPr>
          <w:rFonts w:hint="eastAsia"/>
          <w:szCs w:val="21"/>
        </w:rPr>
        <w:t>3</w:t>
      </w:r>
      <w:bookmarkEnd w:id="7"/>
      <w:bookmarkStart w:id="8" w:name="_Toc105277016"/>
      <w:bookmarkStart w:id="9" w:name="_Toc105276566"/>
      <w:bookmarkStart w:id="10" w:name="_Toc105276799"/>
      <w:r>
        <w:rPr>
          <w:rFonts w:hint="eastAsia"/>
          <w:szCs w:val="21"/>
        </w:rPr>
        <w:t>术语和定义</w:t>
      </w:r>
      <w:bookmarkEnd w:id="8"/>
      <w:bookmarkEnd w:id="9"/>
      <w:bookmarkEnd w:id="10"/>
    </w:p>
    <w:p>
      <w:pPr>
        <w:ind w:firstLine="420" w:firstLineChars="200"/>
        <w:rPr>
          <w:rFonts w:hAnsiTheme="minorEastAsia" w:eastAsiaTheme="minorEastAsia"/>
          <w:szCs w:val="21"/>
        </w:rPr>
      </w:pPr>
      <w:r>
        <w:rPr>
          <w:rFonts w:hint="eastAsia"/>
        </w:rPr>
        <w:t>下列术语和定义适用于本文件</w:t>
      </w:r>
      <w:r>
        <w:rPr>
          <w:rFonts w:hAnsiTheme="minorEastAsia" w:eastAsiaTheme="minorEastAsia"/>
          <w:szCs w:val="21"/>
        </w:rPr>
        <w:t>。</w:t>
      </w:r>
    </w:p>
    <w:p>
      <w:pPr>
        <w:pStyle w:val="2"/>
        <w:spacing w:before="156" w:after="156"/>
        <w:rPr>
          <w:rFonts w:hint="eastAsia"/>
          <w:lang w:val="en-US" w:eastAsia="zh-CN"/>
        </w:rPr>
      </w:pPr>
      <w:r>
        <w:rPr>
          <w:rFonts w:hint="eastAsia"/>
          <w:lang w:val="en-US" w:eastAsia="zh-CN"/>
        </w:rPr>
        <w:t xml:space="preserve">3.1 </w:t>
      </w:r>
      <w:r>
        <w:rPr>
          <w:rFonts w:hint="eastAsia"/>
        </w:rPr>
        <w:t>婴幼儿照护服务机构</w:t>
      </w:r>
      <w:r>
        <w:rPr>
          <w:rFonts w:hint="eastAsia"/>
          <w:lang w:val="en-US" w:eastAsia="zh-CN"/>
        </w:rPr>
        <w:t xml:space="preserve"> Baby and Young Child Care Service Agency</w:t>
      </w:r>
    </w:p>
    <w:p>
      <w:pPr>
        <w:ind w:firstLine="420" w:firstLineChars="200"/>
        <w:rPr>
          <w:rFonts w:hint="eastAsia" w:ascii="Times New Roman" w:hAnsi="Times New Roman" w:eastAsia="宋体" w:cs="Times New Roman"/>
        </w:rPr>
      </w:pPr>
      <w:r>
        <w:rPr>
          <w:rFonts w:hint="eastAsia" w:ascii="Times New Roman" w:hAnsi="Times New Roman" w:eastAsia="宋体" w:cs="Times New Roman"/>
        </w:rPr>
        <w:t>用于哺育、培育、照护6个月至3周岁婴幼儿使用的场所。</w:t>
      </w:r>
    </w:p>
    <w:p>
      <w:pPr>
        <w:pStyle w:val="14"/>
        <w:spacing w:before="156" w:after="156"/>
        <w:rPr>
          <w:rFonts w:hint="eastAsia"/>
        </w:rPr>
      </w:pPr>
      <w:bookmarkStart w:id="11" w:name="_Toc96958543"/>
      <w:r>
        <w:rPr>
          <w:rFonts w:hint="eastAsia"/>
        </w:rPr>
        <w:t>4</w:t>
      </w:r>
      <w:bookmarkEnd w:id="11"/>
      <w:bookmarkStart w:id="12" w:name="_Toc105307221"/>
      <w:r>
        <w:rPr>
          <w:rFonts w:hint="eastAsia"/>
        </w:rPr>
        <w:t>婴幼儿照护服务机构评定原则</w:t>
      </w:r>
      <w:bookmarkEnd w:id="12"/>
    </w:p>
    <w:p>
      <w:pPr>
        <w:pStyle w:val="2"/>
        <w:spacing w:before="156" w:after="156"/>
        <w:rPr>
          <w:rFonts w:hint="default"/>
          <w:lang w:val="en-US" w:eastAsia="zh-CN"/>
        </w:rPr>
      </w:pPr>
      <w:r>
        <w:rPr>
          <w:rFonts w:hint="eastAsia"/>
          <w:lang w:val="en-US" w:eastAsia="zh-CN"/>
        </w:rPr>
        <w:t>4.1公平公开原则</w:t>
      </w:r>
    </w:p>
    <w:p>
      <w:pPr>
        <w:ind w:firstLine="420" w:firstLineChars="200"/>
        <w:rPr>
          <w:rFonts w:hint="eastAsia" w:ascii="Times New Roman" w:hAnsi="Times New Roman" w:eastAsia="宋体" w:cs="Times New Roman"/>
          <w:lang w:val="en-US" w:eastAsia="zh-CN"/>
        </w:rPr>
      </w:pPr>
      <w:bookmarkStart w:id="13" w:name="_Toc96958552"/>
      <w:r>
        <w:rPr>
          <w:rFonts w:hint="eastAsia" w:ascii="Times New Roman" w:hAnsi="Times New Roman" w:eastAsia="宋体" w:cs="Times New Roman"/>
        </w:rPr>
        <w:t>所有合法婴幼儿照护服务机构享有同等的参评权利；所有申报流程公开、评判标准公开、评定结果公开</w:t>
      </w:r>
      <w:r>
        <w:rPr>
          <w:rFonts w:hint="eastAsia" w:ascii="Times New Roman" w:hAnsi="Times New Roman" w:eastAsia="宋体" w:cs="Times New Roman"/>
          <w:lang w:val="en-US" w:eastAsia="zh-CN"/>
        </w:rPr>
        <w:t>。</w:t>
      </w:r>
    </w:p>
    <w:p>
      <w:pPr>
        <w:pStyle w:val="2"/>
        <w:spacing w:before="156" w:after="156"/>
        <w:rPr>
          <w:rFonts w:hint="eastAsia"/>
          <w:lang w:val="en-US" w:eastAsia="zh-CN"/>
        </w:rPr>
      </w:pPr>
      <w:bookmarkStart w:id="14" w:name="_Toc105307223"/>
      <w:r>
        <w:rPr>
          <w:rFonts w:hint="eastAsia"/>
          <w:lang w:val="en-US" w:eastAsia="zh-CN"/>
        </w:rPr>
        <w:t>4.2客观公正性原则</w:t>
      </w:r>
      <w:bookmarkEnd w:id="14"/>
    </w:p>
    <w:p>
      <w:pPr>
        <w:ind w:firstLine="420" w:firstLineChars="200"/>
        <w:rPr>
          <w:rFonts w:hint="eastAsia" w:ascii="Times New Roman" w:hAnsi="Times New Roman" w:eastAsia="宋体" w:cs="Times New Roman"/>
        </w:rPr>
      </w:pPr>
      <w:r>
        <w:rPr>
          <w:rFonts w:hint="eastAsia" w:ascii="Times New Roman" w:hAnsi="Times New Roman" w:eastAsia="宋体" w:cs="Times New Roman"/>
        </w:rPr>
        <w:t>评定工作以客观事实为依据，评审员独立评判，给出公正的结论。</w:t>
      </w:r>
    </w:p>
    <w:p>
      <w:pPr>
        <w:pStyle w:val="2"/>
        <w:spacing w:before="156" w:after="156"/>
        <w:rPr>
          <w:rFonts w:hint="eastAsia"/>
          <w:lang w:val="en-US" w:eastAsia="zh-CN"/>
        </w:rPr>
      </w:pPr>
      <w:bookmarkStart w:id="15" w:name="_Toc105307224"/>
      <w:r>
        <w:rPr>
          <w:rFonts w:hint="eastAsia"/>
          <w:lang w:val="en-US" w:eastAsia="zh-CN"/>
        </w:rPr>
        <w:t>4.3量化定等原则</w:t>
      </w:r>
      <w:bookmarkEnd w:id="15"/>
    </w:p>
    <w:p>
      <w:pPr>
        <w:ind w:firstLine="420" w:firstLineChars="200"/>
        <w:rPr>
          <w:rFonts w:hint="eastAsia" w:ascii="Times New Roman" w:hAnsi="Times New Roman" w:eastAsia="宋体" w:cs="Times New Roman"/>
        </w:rPr>
      </w:pPr>
      <w:r>
        <w:rPr>
          <w:rFonts w:hint="eastAsia" w:ascii="Times New Roman" w:hAnsi="Times New Roman" w:eastAsia="宋体" w:cs="Times New Roman"/>
        </w:rPr>
        <w:t>婴幼儿照护服务机构实行量化评分评定，根据评分结果确定相应婴幼儿照护服务机构等级。</w:t>
      </w:r>
    </w:p>
    <w:p>
      <w:pPr>
        <w:pStyle w:val="2"/>
        <w:spacing w:before="156" w:after="156"/>
        <w:rPr>
          <w:rFonts w:hint="eastAsia"/>
          <w:lang w:val="en-US" w:eastAsia="zh-CN"/>
        </w:rPr>
      </w:pPr>
      <w:bookmarkStart w:id="16" w:name="_Toc105307225"/>
      <w:r>
        <w:rPr>
          <w:rFonts w:hint="eastAsia"/>
          <w:lang w:val="en-US" w:eastAsia="zh-CN"/>
        </w:rPr>
        <w:t>4.4动态评价原则</w:t>
      </w:r>
      <w:bookmarkEnd w:id="16"/>
    </w:p>
    <w:p>
      <w:pPr>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rPr>
        <w:t>婴幼儿照护服务机构实行动态性评定，评定周期一般为3年，评价结果三年内有效。</w:t>
      </w:r>
    </w:p>
    <w:p>
      <w:pPr>
        <w:pStyle w:val="14"/>
        <w:spacing w:before="156" w:after="156"/>
        <w:rPr>
          <w:rFonts w:hint="eastAsia"/>
        </w:rPr>
      </w:pPr>
      <w:r>
        <w:rPr>
          <w:rFonts w:hint="eastAsia"/>
        </w:rPr>
        <w:t>5</w:t>
      </w:r>
      <w:bookmarkEnd w:id="13"/>
      <w:bookmarkStart w:id="17" w:name="_Toc105307226"/>
      <w:r>
        <w:rPr>
          <w:rFonts w:hint="eastAsia"/>
        </w:rPr>
        <w:t>婴幼儿照护服务机构的基本要求</w:t>
      </w:r>
      <w:bookmarkEnd w:id="17"/>
    </w:p>
    <w:p>
      <w:pPr>
        <w:ind w:firstLine="420" w:firstLineChars="200"/>
        <w:rPr>
          <w:rFonts w:hint="eastAsia" w:ascii="Times New Roman" w:hAnsi="Times New Roman" w:eastAsia="宋体" w:cs="Times New Roman"/>
        </w:rPr>
      </w:pPr>
      <w:r>
        <w:rPr>
          <w:rFonts w:hint="eastAsia" w:ascii="Times New Roman" w:hAnsi="Times New Roman" w:eastAsia="宋体" w:cs="Times New Roman"/>
        </w:rPr>
        <w:t>婴幼儿照护服务机构应满足以下基本要求：</w:t>
      </w:r>
    </w:p>
    <w:p>
      <w:pPr>
        <w:ind w:firstLine="420" w:firstLineChars="200"/>
        <w:rPr>
          <w:rFonts w:hint="eastAsia" w:eastAsiaTheme="minorEastAsia"/>
          <w:szCs w:val="21"/>
        </w:rPr>
      </w:pPr>
      <w:r>
        <w:rPr>
          <w:rFonts w:eastAsiaTheme="minorEastAsia"/>
          <w:szCs w:val="21"/>
        </w:rPr>
        <w:t>a</w:t>
      </w:r>
      <w:r>
        <w:rPr>
          <w:rFonts w:hAnsiTheme="minorEastAsia" w:eastAsiaTheme="minorEastAsia"/>
          <w:szCs w:val="21"/>
        </w:rPr>
        <w:t>）</w:t>
      </w:r>
      <w:r>
        <w:rPr>
          <w:rFonts w:hint="eastAsia" w:eastAsiaTheme="minorEastAsia"/>
          <w:szCs w:val="21"/>
        </w:rPr>
        <w:t>依法成立；</w:t>
      </w:r>
    </w:p>
    <w:p>
      <w:pPr>
        <w:ind w:firstLine="420" w:firstLineChars="200"/>
        <w:rPr>
          <w:rFonts w:hint="eastAsia" w:eastAsiaTheme="minorEastAsia"/>
          <w:szCs w:val="21"/>
        </w:rPr>
      </w:pPr>
      <w:r>
        <w:rPr>
          <w:rFonts w:hint="eastAsia" w:hAnsiTheme="minorEastAsia" w:eastAsiaTheme="minorEastAsia"/>
          <w:szCs w:val="21"/>
          <w:lang w:val="en-US" w:eastAsia="zh-CN"/>
        </w:rPr>
        <w:t>b</w:t>
      </w:r>
      <w:r>
        <w:rPr>
          <w:rFonts w:hAnsiTheme="minorEastAsia" w:eastAsiaTheme="minorEastAsia"/>
          <w:szCs w:val="21"/>
        </w:rPr>
        <w:t>）</w:t>
      </w:r>
      <w:r>
        <w:rPr>
          <w:rFonts w:hint="eastAsia" w:eastAsiaTheme="minorEastAsia"/>
          <w:szCs w:val="21"/>
        </w:rPr>
        <w:t>应有与业务范围相适应的固定经营场所、管理人员及设施。</w:t>
      </w:r>
    </w:p>
    <w:p>
      <w:pPr>
        <w:ind w:firstLine="420" w:firstLineChars="200"/>
        <w:rPr>
          <w:rFonts w:hint="eastAsia" w:eastAsiaTheme="minorEastAsia"/>
          <w:szCs w:val="21"/>
        </w:rPr>
      </w:pPr>
      <w:r>
        <w:rPr>
          <w:rFonts w:hint="eastAsia" w:hAnsiTheme="minorEastAsia" w:eastAsiaTheme="minorEastAsia"/>
          <w:szCs w:val="21"/>
          <w:lang w:val="en-US" w:eastAsia="zh-CN"/>
        </w:rPr>
        <w:t>c</w:t>
      </w:r>
      <w:r>
        <w:rPr>
          <w:rFonts w:hAnsiTheme="minorEastAsia" w:eastAsiaTheme="minorEastAsia"/>
          <w:szCs w:val="21"/>
        </w:rPr>
        <w:t>）</w:t>
      </w:r>
      <w:r>
        <w:rPr>
          <w:rFonts w:hint="eastAsia" w:eastAsiaTheme="minorEastAsia"/>
          <w:szCs w:val="21"/>
        </w:rPr>
        <w:t>明示相关证照、服务项目、收费标准、规章制度、岗位职责和投诉监督电话。</w:t>
      </w:r>
    </w:p>
    <w:p>
      <w:pPr>
        <w:ind w:firstLine="420" w:firstLineChars="200"/>
        <w:rPr>
          <w:rFonts w:hint="eastAsia" w:eastAsiaTheme="minorEastAsia"/>
          <w:szCs w:val="21"/>
        </w:rPr>
      </w:pPr>
      <w:r>
        <w:rPr>
          <w:rFonts w:hint="eastAsia" w:hAnsiTheme="minorEastAsia" w:eastAsiaTheme="minorEastAsia"/>
          <w:szCs w:val="21"/>
          <w:lang w:val="en-US" w:eastAsia="zh-CN"/>
        </w:rPr>
        <w:t>d</w:t>
      </w:r>
      <w:r>
        <w:rPr>
          <w:rFonts w:hAnsiTheme="minorEastAsia" w:eastAsiaTheme="minorEastAsia"/>
          <w:szCs w:val="21"/>
        </w:rPr>
        <w:t>）</w:t>
      </w:r>
      <w:r>
        <w:rPr>
          <w:rFonts w:hint="eastAsia" w:eastAsiaTheme="minorEastAsia"/>
          <w:szCs w:val="21"/>
        </w:rPr>
        <w:t>应制定本机构的经营管理制度并组织实施。</w:t>
      </w:r>
    </w:p>
    <w:p>
      <w:pPr>
        <w:ind w:firstLine="420" w:firstLineChars="200"/>
        <w:rPr>
          <w:rFonts w:hint="eastAsia" w:eastAsiaTheme="minorEastAsia"/>
          <w:szCs w:val="21"/>
        </w:rPr>
      </w:pPr>
      <w:r>
        <w:rPr>
          <w:rFonts w:hint="eastAsia" w:hAnsiTheme="minorEastAsia" w:eastAsiaTheme="minorEastAsia"/>
          <w:szCs w:val="21"/>
          <w:lang w:val="en-US" w:eastAsia="zh-CN"/>
        </w:rPr>
        <w:t>e</w:t>
      </w:r>
      <w:r>
        <w:rPr>
          <w:rFonts w:hAnsiTheme="minorEastAsia" w:eastAsiaTheme="minorEastAsia"/>
          <w:szCs w:val="21"/>
        </w:rPr>
        <w:t>）</w:t>
      </w:r>
      <w:r>
        <w:rPr>
          <w:rFonts w:hint="eastAsia" w:eastAsiaTheme="minorEastAsia"/>
          <w:szCs w:val="21"/>
        </w:rPr>
        <w:t>应建立完善的婴幼儿照护服务专业培训机制，应定期对服务人员进行适时培训。</w:t>
      </w:r>
    </w:p>
    <w:p>
      <w:pPr>
        <w:ind w:firstLine="420" w:firstLineChars="200"/>
        <w:rPr>
          <w:rFonts w:hint="eastAsia" w:ascii="Times New Roman" w:hAnsi="Times New Roman" w:eastAsia="宋体" w:cs="Times New Roman"/>
        </w:rPr>
      </w:pPr>
      <w:r>
        <w:rPr>
          <w:rFonts w:hint="eastAsia" w:hAnsiTheme="minorEastAsia" w:eastAsiaTheme="minorEastAsia"/>
          <w:szCs w:val="21"/>
          <w:lang w:val="en-US" w:eastAsia="zh-CN"/>
        </w:rPr>
        <w:t>f</w:t>
      </w:r>
      <w:r>
        <w:rPr>
          <w:rFonts w:hAnsiTheme="minorEastAsia" w:eastAsiaTheme="minorEastAsia"/>
          <w:szCs w:val="21"/>
        </w:rPr>
        <w:t>）</w:t>
      </w:r>
      <w:r>
        <w:rPr>
          <w:rFonts w:hint="eastAsia" w:eastAsiaTheme="minorEastAsia"/>
          <w:szCs w:val="21"/>
        </w:rPr>
        <w:t>布局合理，环境整洁、安全消防措施到位，有对预期危机进行评估及危机处理预案。</w:t>
      </w:r>
    </w:p>
    <w:p>
      <w:pPr>
        <w:pStyle w:val="14"/>
        <w:spacing w:before="156" w:after="156"/>
        <w:rPr>
          <w:rFonts w:hint="eastAsia"/>
        </w:rPr>
      </w:pPr>
      <w:bookmarkStart w:id="18" w:name="_Toc96958559"/>
      <w:r>
        <w:rPr>
          <w:rFonts w:hint="eastAsia"/>
        </w:rPr>
        <w:t>6</w:t>
      </w:r>
      <w:bookmarkEnd w:id="18"/>
      <w:bookmarkStart w:id="19" w:name="_Toc105307227"/>
      <w:r>
        <w:rPr>
          <w:rFonts w:hint="eastAsia"/>
        </w:rPr>
        <w:t>等级标志和评分要求</w:t>
      </w:r>
      <w:bookmarkEnd w:id="19"/>
    </w:p>
    <w:p>
      <w:pPr>
        <w:pStyle w:val="2"/>
        <w:spacing w:before="156" w:after="156"/>
      </w:pPr>
      <w:bookmarkStart w:id="20" w:name="_Toc96958560"/>
      <w:r>
        <w:rPr>
          <w:rFonts w:hint="eastAsia"/>
        </w:rPr>
        <w:t>6</w:t>
      </w:r>
      <w:r>
        <w:t>.1</w:t>
      </w:r>
      <w:bookmarkEnd w:id="20"/>
      <w:bookmarkStart w:id="21" w:name="_Toc105307228"/>
      <w:r>
        <w:rPr>
          <w:rFonts w:hint="eastAsia"/>
        </w:rPr>
        <w:t>等级标志</w:t>
      </w:r>
      <w:bookmarkEnd w:id="21"/>
    </w:p>
    <w:p>
      <w:pPr>
        <w:ind w:firstLine="420" w:firstLineChars="200"/>
        <w:rPr>
          <w:rFonts w:hint="eastAsia" w:ascii="Times New Roman" w:hAnsi="Times New Roman" w:eastAsia="宋体" w:cs="Times New Roman"/>
        </w:rPr>
      </w:pPr>
      <w:bookmarkStart w:id="22" w:name="_Toc96958561"/>
      <w:r>
        <w:rPr>
          <w:rFonts w:hint="eastAsia" w:ascii="Times New Roman" w:hAnsi="Times New Roman" w:eastAsia="宋体" w:cs="Times New Roman"/>
        </w:rPr>
        <w:t>婴幼儿照护服务机构的等级划分采用星级方式进行划分，分为五级，从低到高依次为一星级、二星级、三星级、四星级、五星级，并应“★”作为等级标志：</w:t>
      </w:r>
    </w:p>
    <w:p>
      <w:pPr>
        <w:ind w:firstLine="420" w:firstLineChars="200"/>
        <w:rPr>
          <w:rFonts w:hint="eastAsia" w:eastAsiaTheme="minorEastAsia"/>
          <w:szCs w:val="21"/>
        </w:rPr>
      </w:pPr>
      <w:r>
        <w:rPr>
          <w:rFonts w:eastAsiaTheme="minorEastAsia"/>
          <w:szCs w:val="21"/>
        </w:rPr>
        <w:t>a</w:t>
      </w:r>
      <w:r>
        <w:rPr>
          <w:rFonts w:hAnsiTheme="minorEastAsia" w:eastAsiaTheme="minorEastAsia"/>
          <w:szCs w:val="21"/>
        </w:rPr>
        <w:t>）</w:t>
      </w:r>
      <w:r>
        <w:rPr>
          <w:rFonts w:hint="eastAsia" w:eastAsiaTheme="minorEastAsia"/>
          <w:szCs w:val="21"/>
        </w:rPr>
        <w:t>★表示一星级；</w:t>
      </w:r>
    </w:p>
    <w:p>
      <w:pPr>
        <w:ind w:firstLine="420" w:firstLineChars="200"/>
        <w:rPr>
          <w:rFonts w:hint="eastAsia" w:eastAsiaTheme="minorEastAsia"/>
          <w:szCs w:val="21"/>
        </w:rPr>
      </w:pPr>
      <w:r>
        <w:rPr>
          <w:rFonts w:hint="eastAsia" w:hAnsiTheme="minorEastAsia" w:eastAsiaTheme="minorEastAsia"/>
          <w:szCs w:val="21"/>
          <w:lang w:val="en-US" w:eastAsia="zh-CN"/>
        </w:rPr>
        <w:t>b</w:t>
      </w:r>
      <w:r>
        <w:rPr>
          <w:rFonts w:hAnsiTheme="minorEastAsia" w:eastAsiaTheme="minorEastAsia"/>
          <w:szCs w:val="21"/>
        </w:rPr>
        <w:t>）</w:t>
      </w:r>
      <w:r>
        <w:rPr>
          <w:rFonts w:hint="eastAsia" w:eastAsiaTheme="minorEastAsia"/>
          <w:szCs w:val="21"/>
        </w:rPr>
        <w:t>★★表示二星级；</w:t>
      </w:r>
    </w:p>
    <w:p>
      <w:pPr>
        <w:ind w:firstLine="420" w:firstLineChars="200"/>
        <w:rPr>
          <w:rFonts w:hint="eastAsia" w:eastAsiaTheme="minorEastAsia"/>
          <w:szCs w:val="21"/>
        </w:rPr>
      </w:pPr>
      <w:r>
        <w:rPr>
          <w:rFonts w:hint="eastAsia" w:hAnsiTheme="minorEastAsia" w:eastAsiaTheme="minorEastAsia"/>
          <w:szCs w:val="21"/>
          <w:lang w:val="en-US" w:eastAsia="zh-CN"/>
        </w:rPr>
        <w:t>c</w:t>
      </w:r>
      <w:r>
        <w:rPr>
          <w:rFonts w:hAnsiTheme="minorEastAsia" w:eastAsiaTheme="minorEastAsia"/>
          <w:szCs w:val="21"/>
        </w:rPr>
        <w:t>）</w:t>
      </w:r>
      <w:r>
        <w:rPr>
          <w:rFonts w:hint="eastAsia" w:eastAsiaTheme="minorEastAsia"/>
          <w:szCs w:val="21"/>
        </w:rPr>
        <w:t>★★★表示三星级；</w:t>
      </w:r>
    </w:p>
    <w:p>
      <w:pPr>
        <w:ind w:firstLine="420" w:firstLineChars="200"/>
        <w:rPr>
          <w:rFonts w:hint="eastAsia" w:eastAsiaTheme="minorEastAsia"/>
          <w:szCs w:val="21"/>
        </w:rPr>
      </w:pPr>
      <w:r>
        <w:rPr>
          <w:rFonts w:hint="eastAsia" w:hAnsiTheme="minorEastAsia" w:eastAsiaTheme="minorEastAsia"/>
          <w:szCs w:val="21"/>
          <w:lang w:val="en-US" w:eastAsia="zh-CN"/>
        </w:rPr>
        <w:t>d</w:t>
      </w:r>
      <w:r>
        <w:rPr>
          <w:rFonts w:hAnsiTheme="minorEastAsia" w:eastAsiaTheme="minorEastAsia"/>
          <w:szCs w:val="21"/>
        </w:rPr>
        <w:t>）</w:t>
      </w:r>
      <w:r>
        <w:rPr>
          <w:rFonts w:hint="eastAsia" w:eastAsiaTheme="minorEastAsia"/>
          <w:szCs w:val="21"/>
        </w:rPr>
        <w:t>★★★★表示四星级；</w:t>
      </w:r>
    </w:p>
    <w:p>
      <w:pPr>
        <w:ind w:firstLine="420" w:firstLineChars="200"/>
        <w:rPr>
          <w:rFonts w:hint="eastAsia" w:eastAsiaTheme="minorEastAsia"/>
          <w:szCs w:val="21"/>
        </w:rPr>
      </w:pPr>
      <w:r>
        <w:rPr>
          <w:rFonts w:hint="eastAsia" w:hAnsiTheme="minorEastAsia" w:eastAsiaTheme="minorEastAsia"/>
          <w:szCs w:val="21"/>
          <w:lang w:val="en-US" w:eastAsia="zh-CN"/>
        </w:rPr>
        <w:t>e</w:t>
      </w:r>
      <w:r>
        <w:rPr>
          <w:rFonts w:hAnsiTheme="minorEastAsia" w:eastAsiaTheme="minorEastAsia"/>
          <w:szCs w:val="21"/>
        </w:rPr>
        <w:t>）</w:t>
      </w:r>
      <w:r>
        <w:rPr>
          <w:rFonts w:hint="eastAsia" w:eastAsiaTheme="minorEastAsia"/>
          <w:szCs w:val="21"/>
        </w:rPr>
        <w:t>★★★★★表示五星级。</w:t>
      </w:r>
    </w:p>
    <w:p>
      <w:pPr>
        <w:pStyle w:val="2"/>
        <w:spacing w:before="156" w:after="156"/>
      </w:pPr>
      <w:r>
        <w:rPr>
          <w:rFonts w:hint="eastAsia"/>
        </w:rPr>
        <w:t>6</w:t>
      </w:r>
      <w:r>
        <w:t>.</w:t>
      </w:r>
      <w:r>
        <w:rPr>
          <w:rFonts w:hint="eastAsia"/>
        </w:rPr>
        <w:t>2</w:t>
      </w:r>
      <w:bookmarkEnd w:id="22"/>
      <w:bookmarkStart w:id="23" w:name="_Toc105307229"/>
      <w:r>
        <w:rPr>
          <w:rFonts w:hint="eastAsia"/>
        </w:rPr>
        <w:t>评定指标</w:t>
      </w:r>
      <w:bookmarkEnd w:id="23"/>
    </w:p>
    <w:p>
      <w:pPr>
        <w:ind w:firstLine="420" w:firstLineChars="200"/>
        <w:rPr>
          <w:rFonts w:hint="eastAsia" w:ascii="Times New Roman" w:hAnsi="Times New Roman" w:eastAsia="宋体" w:cs="Times New Roman"/>
        </w:rPr>
      </w:pPr>
      <w:bookmarkStart w:id="24" w:name="_Toc105252960"/>
      <w:bookmarkStart w:id="25" w:name="_Toc96958562"/>
      <w:r>
        <w:rPr>
          <w:rFonts w:hint="eastAsia" w:ascii="Times New Roman" w:hAnsi="Times New Roman" w:eastAsia="宋体" w:cs="Times New Roman"/>
        </w:rPr>
        <w:t>一星级、二星级、三星级、四星级、五星级婴幼儿照护服务机构等级评定指标按附录A规定执行。</w:t>
      </w:r>
    </w:p>
    <w:p>
      <w:pPr>
        <w:pStyle w:val="2"/>
        <w:spacing w:before="156" w:after="156"/>
        <w:rPr>
          <w:rFonts w:hint="eastAsia"/>
        </w:rPr>
      </w:pPr>
      <w:r>
        <w:rPr>
          <w:rFonts w:hint="eastAsia"/>
          <w:lang w:val="en-US" w:eastAsia="zh-CN"/>
        </w:rPr>
        <w:t>6.3</w:t>
      </w:r>
      <w:bookmarkEnd w:id="24"/>
      <w:bookmarkStart w:id="26" w:name="_Toc105307230"/>
      <w:r>
        <w:rPr>
          <w:rFonts w:hint="eastAsia"/>
        </w:rPr>
        <w:t>等级评分要求</w:t>
      </w:r>
      <w:bookmarkEnd w:id="26"/>
    </w:p>
    <w:p>
      <w:pPr>
        <w:ind w:firstLine="420" w:firstLineChars="200"/>
        <w:rPr>
          <w:rFonts w:hint="eastAsia" w:ascii="Times New Roman" w:hAnsi="Times New Roman" w:eastAsia="宋体" w:cs="Times New Roman"/>
        </w:rPr>
      </w:pPr>
      <w:r>
        <w:rPr>
          <w:rFonts w:hint="eastAsia" w:ascii="Times New Roman" w:hAnsi="Times New Roman" w:eastAsia="宋体" w:cs="Times New Roman"/>
        </w:rPr>
        <w:t>等级评定基础分值为1300分，分为基本要求、机构管理、机构实力，运营管理、员工管理和培训、服务质量六个一级指标和45个二级指标，加分项为200分，分为行业贡献、技能大赛、荣誉称号、品牌建设四个指标。总分共计1500分。五个等级对应的基础分值如下：</w:t>
      </w:r>
    </w:p>
    <w:p>
      <w:pPr>
        <w:ind w:firstLine="420" w:firstLineChars="200"/>
        <w:rPr>
          <w:rFonts w:hint="eastAsia" w:eastAsiaTheme="minorEastAsia"/>
          <w:szCs w:val="21"/>
        </w:rPr>
      </w:pPr>
      <w:r>
        <w:rPr>
          <w:rFonts w:eastAsiaTheme="minorEastAsia"/>
          <w:szCs w:val="21"/>
        </w:rPr>
        <w:t>a</w:t>
      </w:r>
      <w:r>
        <w:rPr>
          <w:rFonts w:hAnsiTheme="minorEastAsia" w:eastAsiaTheme="minorEastAsia"/>
          <w:szCs w:val="21"/>
        </w:rPr>
        <w:t>）</w:t>
      </w:r>
      <w:r>
        <w:rPr>
          <w:rFonts w:hint="eastAsia" w:eastAsiaTheme="minorEastAsia"/>
          <w:szCs w:val="21"/>
        </w:rPr>
        <w:t>一星级服务机构：650分～800分；</w:t>
      </w:r>
    </w:p>
    <w:p>
      <w:pPr>
        <w:ind w:firstLine="420" w:firstLineChars="200"/>
        <w:rPr>
          <w:rFonts w:hint="eastAsia" w:eastAsiaTheme="minorEastAsia"/>
          <w:szCs w:val="21"/>
        </w:rPr>
      </w:pPr>
      <w:r>
        <w:rPr>
          <w:rFonts w:hint="eastAsia" w:hAnsiTheme="minorEastAsia" w:eastAsiaTheme="minorEastAsia"/>
          <w:szCs w:val="21"/>
          <w:lang w:val="en-US" w:eastAsia="zh-CN"/>
        </w:rPr>
        <w:t>b</w:t>
      </w:r>
      <w:r>
        <w:rPr>
          <w:rFonts w:hAnsiTheme="minorEastAsia" w:eastAsiaTheme="minorEastAsia"/>
          <w:szCs w:val="21"/>
        </w:rPr>
        <w:t>）</w:t>
      </w:r>
      <w:r>
        <w:rPr>
          <w:rFonts w:hint="eastAsia" w:eastAsiaTheme="minorEastAsia"/>
          <w:szCs w:val="21"/>
        </w:rPr>
        <w:t>二星级服务机构：801分～950分；</w:t>
      </w:r>
    </w:p>
    <w:p>
      <w:pPr>
        <w:ind w:firstLine="420" w:firstLineChars="200"/>
        <w:rPr>
          <w:rFonts w:hint="eastAsia" w:eastAsiaTheme="minorEastAsia"/>
          <w:szCs w:val="21"/>
        </w:rPr>
      </w:pPr>
      <w:r>
        <w:rPr>
          <w:rFonts w:hint="eastAsia" w:hAnsiTheme="minorEastAsia" w:eastAsiaTheme="minorEastAsia"/>
          <w:szCs w:val="21"/>
          <w:lang w:val="en-US" w:eastAsia="zh-CN"/>
        </w:rPr>
        <w:t>c</w:t>
      </w:r>
      <w:r>
        <w:rPr>
          <w:rFonts w:hAnsiTheme="minorEastAsia" w:eastAsiaTheme="minorEastAsia"/>
          <w:szCs w:val="21"/>
        </w:rPr>
        <w:t>）</w:t>
      </w:r>
      <w:r>
        <w:rPr>
          <w:rFonts w:hint="eastAsia" w:eastAsiaTheme="minorEastAsia"/>
          <w:szCs w:val="21"/>
        </w:rPr>
        <w:t>三星级服务机构：951～1050分；</w:t>
      </w:r>
    </w:p>
    <w:p>
      <w:pPr>
        <w:ind w:firstLine="420" w:firstLineChars="200"/>
        <w:rPr>
          <w:rFonts w:hint="eastAsia" w:eastAsiaTheme="minorEastAsia"/>
          <w:szCs w:val="21"/>
        </w:rPr>
      </w:pPr>
      <w:r>
        <w:rPr>
          <w:rFonts w:hint="eastAsia" w:hAnsiTheme="minorEastAsia" w:eastAsiaTheme="minorEastAsia"/>
          <w:szCs w:val="21"/>
          <w:lang w:val="en-US" w:eastAsia="zh-CN"/>
        </w:rPr>
        <w:t>d</w:t>
      </w:r>
      <w:r>
        <w:rPr>
          <w:rFonts w:hAnsiTheme="minorEastAsia" w:eastAsiaTheme="minorEastAsia"/>
          <w:szCs w:val="21"/>
        </w:rPr>
        <w:t>）</w:t>
      </w:r>
      <w:r>
        <w:rPr>
          <w:rFonts w:hint="eastAsia" w:eastAsiaTheme="minorEastAsia"/>
          <w:szCs w:val="21"/>
        </w:rPr>
        <w:t>四星级服务机构：1051分～1200分；</w:t>
      </w:r>
    </w:p>
    <w:p>
      <w:pPr>
        <w:ind w:firstLine="420" w:firstLineChars="200"/>
        <w:rPr>
          <w:rFonts w:hint="eastAsia" w:eastAsiaTheme="minorEastAsia"/>
          <w:szCs w:val="21"/>
        </w:rPr>
      </w:pPr>
      <w:r>
        <w:rPr>
          <w:rFonts w:hint="eastAsia" w:hAnsiTheme="minorEastAsia" w:eastAsiaTheme="minorEastAsia"/>
          <w:szCs w:val="21"/>
          <w:lang w:val="en-US" w:eastAsia="zh-CN"/>
        </w:rPr>
        <w:t>e</w:t>
      </w:r>
      <w:r>
        <w:rPr>
          <w:rFonts w:hAnsiTheme="minorEastAsia" w:eastAsiaTheme="minorEastAsia"/>
          <w:szCs w:val="21"/>
        </w:rPr>
        <w:t>）</w:t>
      </w:r>
      <w:r>
        <w:rPr>
          <w:rFonts w:hint="eastAsia" w:eastAsiaTheme="minorEastAsia"/>
          <w:szCs w:val="21"/>
        </w:rPr>
        <w:t>五星级服务机构：1200分以上。</w:t>
      </w:r>
    </w:p>
    <w:p>
      <w:pPr>
        <w:pStyle w:val="14"/>
        <w:spacing w:before="156" w:after="156"/>
      </w:pPr>
      <w:r>
        <w:rPr>
          <w:rFonts w:hint="eastAsia"/>
        </w:rPr>
        <w:t>7</w:t>
      </w:r>
      <w:bookmarkEnd w:id="25"/>
      <w:bookmarkStart w:id="27" w:name="_Toc105307231"/>
      <w:r>
        <w:rPr>
          <w:rFonts w:hint="eastAsia"/>
        </w:rPr>
        <w:t>评定组织</w:t>
      </w:r>
      <w:bookmarkEnd w:id="27"/>
    </w:p>
    <w:p>
      <w:pPr>
        <w:pStyle w:val="2"/>
        <w:spacing w:before="156" w:after="156"/>
        <w:rPr>
          <w:rFonts w:hint="eastAsia"/>
          <w:lang w:val="en-US" w:eastAsia="zh-CN"/>
        </w:rPr>
      </w:pPr>
      <w:bookmarkStart w:id="28" w:name="_Toc96958563"/>
      <w:r>
        <w:rPr>
          <w:rFonts w:hint="eastAsia"/>
          <w:lang w:val="en-US" w:eastAsia="zh-CN"/>
        </w:rPr>
        <w:t>7.1</w:t>
      </w:r>
      <w:bookmarkEnd w:id="28"/>
      <w:bookmarkStart w:id="29" w:name="_Toc105307232"/>
      <w:r>
        <w:rPr>
          <w:rFonts w:hint="eastAsia"/>
        </w:rPr>
        <w:t>评定机构</w:t>
      </w:r>
      <w:bookmarkEnd w:id="29"/>
    </w:p>
    <w:p>
      <w:pPr>
        <w:ind w:firstLine="420" w:firstLineChars="200"/>
        <w:rPr>
          <w:rFonts w:hint="eastAsia" w:ascii="Times New Roman" w:hAnsi="Times New Roman" w:eastAsia="宋体" w:cs="Times New Roman"/>
        </w:rPr>
      </w:pPr>
      <w:bookmarkStart w:id="30" w:name="_Toc105252963"/>
      <w:bookmarkStart w:id="31" w:name="_Toc105277039"/>
      <w:bookmarkStart w:id="32" w:name="_Toc105276823"/>
      <w:bookmarkStart w:id="33" w:name="_Toc105276590"/>
      <w:r>
        <w:rPr>
          <w:rFonts w:hint="eastAsia" w:ascii="Times New Roman" w:hAnsi="Times New Roman" w:eastAsia="宋体" w:cs="Times New Roman"/>
        </w:rPr>
        <w:t>可成立婴幼儿照护服务机构等级非营利性的行业协会或评定委员会，下设评定委员会办公室。</w:t>
      </w:r>
    </w:p>
    <w:p>
      <w:pPr>
        <w:pStyle w:val="2"/>
        <w:spacing w:before="156" w:after="156"/>
        <w:rPr>
          <w:rFonts w:hint="eastAsia"/>
          <w:lang w:val="en-US" w:eastAsia="zh-CN"/>
        </w:rPr>
      </w:pPr>
      <w:r>
        <w:rPr>
          <w:rFonts w:hint="eastAsia"/>
          <w:lang w:val="en-US" w:eastAsia="zh-CN"/>
        </w:rPr>
        <w:t>7.2</w:t>
      </w:r>
      <w:bookmarkEnd w:id="30"/>
      <w:bookmarkStart w:id="34" w:name="_Toc105307233"/>
      <w:r>
        <w:rPr>
          <w:rFonts w:hint="eastAsia"/>
        </w:rPr>
        <w:t>评定机构职责</w:t>
      </w:r>
      <w:bookmarkEnd w:id="34"/>
    </w:p>
    <w:p>
      <w:pPr>
        <w:pStyle w:val="26"/>
        <w:tabs>
          <w:tab w:val="center" w:pos="4201"/>
          <w:tab w:val="right" w:leader="dot" w:pos="9298"/>
        </w:tabs>
        <w:rPr>
          <w:rFonts w:hint="eastAsia"/>
        </w:rPr>
      </w:pPr>
      <w:bookmarkStart w:id="35" w:name="_Toc105252964"/>
      <w:r>
        <w:rPr>
          <w:rFonts w:hint="eastAsia"/>
        </w:rPr>
        <w:t>评定机构职责包括初审服务机构提交的自评报告、申请材料等相关材料，并组织评定专家开展现场评定。</w:t>
      </w:r>
    </w:p>
    <w:bookmarkEnd w:id="35"/>
    <w:p>
      <w:pPr>
        <w:pStyle w:val="14"/>
        <w:spacing w:before="156" w:after="156"/>
        <w:rPr>
          <w:rFonts w:hint="eastAsia"/>
        </w:rPr>
      </w:pPr>
      <w:r>
        <w:rPr>
          <w:rFonts w:hint="eastAsia"/>
          <w:lang w:val="en-US" w:eastAsia="zh-CN"/>
        </w:rPr>
        <w:t>8</w:t>
      </w:r>
      <w:bookmarkEnd w:id="31"/>
      <w:bookmarkEnd w:id="32"/>
      <w:bookmarkEnd w:id="33"/>
      <w:bookmarkStart w:id="36" w:name="_Toc105307234"/>
      <w:r>
        <w:rPr>
          <w:rFonts w:hint="eastAsia"/>
        </w:rPr>
        <w:t>评定程序</w:t>
      </w:r>
      <w:bookmarkEnd w:id="36"/>
    </w:p>
    <w:p>
      <w:pPr>
        <w:pStyle w:val="2"/>
        <w:spacing w:before="156" w:after="156"/>
      </w:pPr>
      <w:bookmarkStart w:id="37" w:name="_Toc96958566"/>
      <w:r>
        <w:rPr>
          <w:rFonts w:hint="eastAsia"/>
          <w:lang w:val="en-US" w:eastAsia="zh-CN"/>
        </w:rPr>
        <w:t>8</w:t>
      </w:r>
      <w:r>
        <w:t>.</w:t>
      </w:r>
      <w:bookmarkEnd w:id="37"/>
      <w:bookmarkStart w:id="38" w:name="_Toc105276591"/>
      <w:bookmarkStart w:id="39" w:name="_Toc105277040"/>
      <w:bookmarkStart w:id="40" w:name="_Toc105276824"/>
      <w:r>
        <w:rPr>
          <w:rFonts w:hint="eastAsia"/>
          <w:lang w:val="en-US" w:eastAsia="zh-CN"/>
        </w:rPr>
        <w:t>1</w:t>
      </w:r>
      <w:bookmarkEnd w:id="38"/>
      <w:bookmarkEnd w:id="39"/>
      <w:bookmarkEnd w:id="40"/>
      <w:bookmarkStart w:id="41" w:name="_Toc105307235"/>
      <w:r>
        <w:rPr>
          <w:rFonts w:hint="eastAsia"/>
        </w:rPr>
        <w:t>申报</w:t>
      </w:r>
      <w:bookmarkEnd w:id="41"/>
    </w:p>
    <w:p>
      <w:pPr>
        <w:pStyle w:val="26"/>
        <w:tabs>
          <w:tab w:val="center" w:pos="4201"/>
          <w:tab w:val="right" w:leader="dot" w:pos="9298"/>
        </w:tabs>
        <w:rPr>
          <w:rFonts w:hint="eastAsia"/>
        </w:rPr>
      </w:pPr>
      <w:bookmarkStart w:id="42" w:name="_Toc105277041"/>
      <w:bookmarkStart w:id="43" w:name="_Toc105276825"/>
      <w:bookmarkStart w:id="44" w:name="_Toc105276592"/>
      <w:r>
        <w:rPr>
          <w:rFonts w:hint="eastAsia"/>
        </w:rPr>
        <w:t>采取自愿申报的原则，参评机构根据自身需要，向评定机构提出申请并提交相关材料。</w:t>
      </w:r>
    </w:p>
    <w:p>
      <w:pPr>
        <w:pStyle w:val="2"/>
        <w:spacing w:before="156" w:after="156"/>
        <w:rPr>
          <w:rFonts w:hint="eastAsia" w:ascii="Times New Roman" w:hAnsi="Times New Roman" w:cs="Times New Roman"/>
          <w:lang w:val="en-US" w:eastAsia="zh-CN"/>
        </w:rPr>
      </w:pPr>
      <w:r>
        <w:rPr>
          <w:rFonts w:hint="eastAsia" w:ascii="Times New Roman" w:hAnsi="Times New Roman" w:cs="Times New Roman"/>
          <w:lang w:val="en-US" w:eastAsia="zh-CN"/>
        </w:rPr>
        <w:t>8.2</w:t>
      </w:r>
      <w:bookmarkEnd w:id="42"/>
      <w:bookmarkEnd w:id="43"/>
      <w:bookmarkEnd w:id="44"/>
      <w:bookmarkStart w:id="45" w:name="_Toc105307236"/>
      <w:bookmarkStart w:id="46" w:name="_Toc105252969"/>
      <w:r>
        <w:rPr>
          <w:rFonts w:hint="eastAsia"/>
        </w:rPr>
        <w:t>评定</w:t>
      </w:r>
      <w:bookmarkEnd w:id="45"/>
      <w:bookmarkEnd w:id="46"/>
    </w:p>
    <w:p>
      <w:pPr>
        <w:pStyle w:val="26"/>
        <w:tabs>
          <w:tab w:val="center" w:pos="4201"/>
          <w:tab w:val="right" w:leader="dot" w:pos="9298"/>
        </w:tabs>
        <w:rPr>
          <w:rFonts w:hint="eastAsia"/>
        </w:rPr>
      </w:pPr>
      <w:bookmarkStart w:id="47" w:name="_Toc105252970"/>
      <w:bookmarkStart w:id="48" w:name="_Toc105276826"/>
      <w:bookmarkStart w:id="49" w:name="_Toc105276593"/>
      <w:bookmarkStart w:id="50" w:name="_Toc105277042"/>
      <w:r>
        <w:rPr>
          <w:rFonts w:hint="eastAsia"/>
        </w:rPr>
        <w:t>婴幼儿照护服务机构等级评定委员会对参评机构的申报材料进行初审，初审合格后，评定机构组织成立专家组进行现场评定。专家组结合评定指标，采取查看资料、询问员工、现场观察、随机客户电话调查等方式进行现场评定。专家组根据专家的综合评定意见确定评定等级结果。</w:t>
      </w:r>
    </w:p>
    <w:p>
      <w:pPr>
        <w:rPr>
          <w:rFonts w:hint="eastAsia"/>
        </w:rPr>
      </w:pPr>
      <w:r>
        <w:rPr>
          <w:rFonts w:hint="eastAsia"/>
        </w:rPr>
        <w:br w:type="page"/>
      </w:r>
    </w:p>
    <w:bookmarkEnd w:id="47"/>
    <w:bookmarkEnd w:id="48"/>
    <w:bookmarkEnd w:id="49"/>
    <w:bookmarkEnd w:id="50"/>
    <w:p>
      <w:pPr>
        <w:pStyle w:val="64"/>
        <w:rPr>
          <w:rFonts w:hint="eastAsia"/>
        </w:rPr>
      </w:pPr>
      <w:r>
        <w:br w:type="textWrapping"/>
      </w:r>
      <w:bookmarkStart w:id="51" w:name="_Toc105307237"/>
      <w:r>
        <w:rPr>
          <w:rFonts w:hint="eastAsia"/>
        </w:rPr>
        <w:t>（规范性附录）</w:t>
      </w:r>
      <w:r>
        <w:br w:type="textWrapping"/>
      </w:r>
      <w:bookmarkStart w:id="52" w:name="_GoBack"/>
      <w:r>
        <w:rPr>
          <w:rFonts w:hint="eastAsia"/>
        </w:rPr>
        <w:t>婴幼儿照护服务机构等级评定指标</w:t>
      </w:r>
      <w:bookmarkEnd w:id="51"/>
      <w:bookmarkEnd w:id="52"/>
    </w:p>
    <w:p>
      <w:pPr>
        <w:pStyle w:val="26"/>
        <w:tabs>
          <w:tab w:val="center" w:pos="4201"/>
          <w:tab w:val="right" w:leader="dot" w:pos="9298"/>
        </w:tabs>
        <w:rPr>
          <w:rFonts w:hint="eastAsia"/>
        </w:rPr>
      </w:pPr>
      <w:r>
        <w:rPr>
          <w:rFonts w:hint="eastAsia"/>
        </w:rPr>
        <w:t>表A.1给出了婴幼儿照护服务机构等级评定指标</w:t>
      </w:r>
    </w:p>
    <w:p>
      <w:pPr>
        <w:jc w:val="cente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t>表A.1等级评定指标</w:t>
      </w:r>
    </w:p>
    <w:tbl>
      <w:tblPr>
        <w:tblStyle w:val="16"/>
        <w:tblW w:w="9640" w:type="dxa"/>
        <w:tblInd w:w="-34" w:type="dxa"/>
        <w:tblLayout w:type="fixed"/>
        <w:tblCellMar>
          <w:top w:w="0" w:type="dxa"/>
          <w:left w:w="108" w:type="dxa"/>
          <w:bottom w:w="0" w:type="dxa"/>
          <w:right w:w="108" w:type="dxa"/>
        </w:tblCellMar>
      </w:tblPr>
      <w:tblGrid>
        <w:gridCol w:w="709"/>
        <w:gridCol w:w="1218"/>
        <w:gridCol w:w="909"/>
        <w:gridCol w:w="3827"/>
        <w:gridCol w:w="1134"/>
        <w:gridCol w:w="1134"/>
        <w:gridCol w:w="709"/>
      </w:tblGrid>
      <w:tr>
        <w:tblPrEx>
          <w:tblCellMar>
            <w:top w:w="0" w:type="dxa"/>
            <w:left w:w="108" w:type="dxa"/>
            <w:bottom w:w="0" w:type="dxa"/>
            <w:right w:w="108" w:type="dxa"/>
          </w:tblCellMar>
        </w:tblPrEx>
        <w:trPr>
          <w:trHeight w:val="27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序号</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评定项目</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标准分</w:t>
            </w:r>
          </w:p>
        </w:tc>
        <w:tc>
          <w:tcPr>
            <w:tcW w:w="3827" w:type="dxa"/>
            <w:tcBorders>
              <w:top w:val="single" w:color="000000" w:sz="4" w:space="0"/>
              <w:left w:val="nil"/>
              <w:bottom w:val="single" w:color="000000" w:sz="4" w:space="0"/>
              <w:right w:val="single" w:color="000000" w:sz="4" w:space="0"/>
            </w:tcBorders>
            <w:noWrap w:val="0"/>
            <w:vAlign w:val="center"/>
          </w:tcPr>
          <w:p>
            <w:pPr>
              <w:widowControl/>
              <w:ind w:firstLine="1320" w:firstLineChars="600"/>
              <w:jc w:val="left"/>
              <w:textAlignment w:val="center"/>
              <w:rPr>
                <w:rFonts w:ascii="宋体" w:hAnsi="宋体"/>
                <w:color w:val="000000"/>
                <w:sz w:val="22"/>
                <w:szCs w:val="22"/>
              </w:rPr>
            </w:pPr>
            <w:r>
              <w:rPr>
                <w:rFonts w:hint="eastAsia" w:ascii="宋体" w:hAnsi="宋体"/>
                <w:color w:val="000000"/>
                <w:kern w:val="0"/>
                <w:sz w:val="22"/>
                <w:szCs w:val="22"/>
              </w:rPr>
              <w:t>考核内容</w:t>
            </w:r>
          </w:p>
        </w:tc>
        <w:tc>
          <w:tcPr>
            <w:tcW w:w="1134"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自评分</w:t>
            </w:r>
          </w:p>
        </w:tc>
        <w:tc>
          <w:tcPr>
            <w:tcW w:w="1134"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评定得分</w:t>
            </w:r>
          </w:p>
        </w:tc>
        <w:tc>
          <w:tcPr>
            <w:tcW w:w="709" w:type="dxa"/>
            <w:tcBorders>
              <w:top w:val="single" w:color="000000" w:sz="4" w:space="0"/>
              <w:left w:val="nil"/>
              <w:bottom w:val="single" w:color="000000" w:sz="4" w:space="0"/>
              <w:right w:val="single" w:color="000000" w:sz="4" w:space="0"/>
            </w:tcBorders>
            <w:noWrap/>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备注</w:t>
            </w:r>
          </w:p>
        </w:tc>
      </w:tr>
      <w:tr>
        <w:tblPrEx>
          <w:tblCellMar>
            <w:top w:w="0" w:type="dxa"/>
            <w:left w:w="108" w:type="dxa"/>
            <w:bottom w:w="0" w:type="dxa"/>
            <w:right w:w="108" w:type="dxa"/>
          </w:tblCellMar>
        </w:tblPrEx>
        <w:trPr>
          <w:trHeight w:val="27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基本要求</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200</w:t>
            </w:r>
          </w:p>
        </w:tc>
        <w:tc>
          <w:tcPr>
            <w:tcW w:w="3827"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0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1.1</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证照明示</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在</w:t>
            </w:r>
            <w:r>
              <w:rPr>
                <w:rFonts w:hint="eastAsia" w:ascii="宋体" w:hAnsi="宋体"/>
                <w:color w:val="000000"/>
                <w:kern w:val="0"/>
                <w:sz w:val="22"/>
                <w:szCs w:val="22"/>
                <w:lang w:val="en-US" w:eastAsia="zh-CN"/>
              </w:rPr>
              <w:t>办公</w:t>
            </w:r>
            <w:r>
              <w:rPr>
                <w:rFonts w:hint="eastAsia" w:ascii="宋体" w:hAnsi="宋体"/>
                <w:color w:val="000000"/>
                <w:kern w:val="0"/>
                <w:sz w:val="22"/>
                <w:szCs w:val="22"/>
              </w:rPr>
              <w:t>场所醒目位置悬挂政府有关部门批准的证照的，得30分；证照齐全，但未悬挂的得10分； 证照不全的，取消评定资格</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1.2</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价格明示</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在</w:t>
            </w:r>
            <w:r>
              <w:rPr>
                <w:rFonts w:hint="eastAsia" w:ascii="宋体" w:hAnsi="宋体"/>
                <w:color w:val="000000"/>
                <w:kern w:val="0"/>
                <w:sz w:val="22"/>
                <w:szCs w:val="22"/>
                <w:lang w:val="en-US" w:eastAsia="zh-CN"/>
              </w:rPr>
              <w:t>办公</w:t>
            </w:r>
            <w:r>
              <w:rPr>
                <w:rFonts w:hint="eastAsia" w:ascii="宋体" w:hAnsi="宋体"/>
                <w:color w:val="000000"/>
                <w:kern w:val="0"/>
                <w:sz w:val="22"/>
                <w:szCs w:val="22"/>
              </w:rPr>
              <w:t>场所醒目位置公布服务项目价格一览表，项目及内容齐全的得30分；仅公布部分项目价格的得10分；不明示的不得分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1.3</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业务明示</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在</w:t>
            </w:r>
            <w:r>
              <w:rPr>
                <w:rFonts w:hint="eastAsia" w:ascii="宋体" w:hAnsi="宋体"/>
                <w:color w:val="000000"/>
                <w:kern w:val="0"/>
                <w:sz w:val="22"/>
                <w:szCs w:val="22"/>
                <w:lang w:val="en-US" w:eastAsia="zh-CN"/>
              </w:rPr>
              <w:t>办公</w:t>
            </w:r>
            <w:r>
              <w:rPr>
                <w:rFonts w:hint="eastAsia" w:ascii="宋体" w:hAnsi="宋体"/>
                <w:color w:val="000000"/>
                <w:kern w:val="0"/>
                <w:sz w:val="22"/>
                <w:szCs w:val="22"/>
              </w:rPr>
              <w:t>场所明示服务项目、内容、流程、投诉与监督联系方式的得30分；明示部分内容的得10分； 没有的不得分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1.4</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合规性</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严格遵守法律法规和行业规范，无违</w:t>
            </w:r>
            <w:r>
              <w:rPr>
                <w:rFonts w:hint="eastAsia" w:ascii="宋体" w:hAnsi="宋体"/>
                <w:color w:val="000000"/>
                <w:kern w:val="0"/>
                <w:sz w:val="22"/>
                <w:szCs w:val="22"/>
                <w:lang w:val="en-US" w:eastAsia="zh-CN"/>
              </w:rPr>
              <w:t>法</w:t>
            </w:r>
            <w:r>
              <w:rPr>
                <w:rFonts w:hint="eastAsia" w:ascii="宋体" w:hAnsi="宋体"/>
                <w:color w:val="000000"/>
                <w:kern w:val="0"/>
                <w:sz w:val="22"/>
                <w:szCs w:val="22"/>
              </w:rPr>
              <w:t>违</w:t>
            </w:r>
            <w:r>
              <w:rPr>
                <w:rFonts w:hint="eastAsia" w:ascii="宋体" w:hAnsi="宋体"/>
                <w:color w:val="000000"/>
                <w:kern w:val="0"/>
                <w:sz w:val="22"/>
                <w:szCs w:val="22"/>
                <w:lang w:val="en-US" w:eastAsia="zh-CN"/>
              </w:rPr>
              <w:t>规</w:t>
            </w:r>
            <w:r>
              <w:rPr>
                <w:rFonts w:hint="eastAsia" w:ascii="宋体" w:hAnsi="宋体"/>
                <w:color w:val="000000"/>
                <w:kern w:val="0"/>
                <w:sz w:val="22"/>
                <w:szCs w:val="22"/>
              </w:rPr>
              <w:t>行为的得30分；有违</w:t>
            </w:r>
            <w:r>
              <w:rPr>
                <w:rFonts w:hint="eastAsia" w:ascii="宋体" w:hAnsi="宋体"/>
                <w:color w:val="000000"/>
                <w:kern w:val="0"/>
                <w:sz w:val="22"/>
                <w:szCs w:val="22"/>
                <w:lang w:val="en-US" w:eastAsia="zh-CN"/>
              </w:rPr>
              <w:t>法</w:t>
            </w:r>
            <w:r>
              <w:rPr>
                <w:rFonts w:hint="eastAsia" w:ascii="宋体" w:hAnsi="宋体"/>
                <w:color w:val="000000"/>
                <w:kern w:val="0"/>
                <w:sz w:val="22"/>
                <w:szCs w:val="22"/>
              </w:rPr>
              <w:t>违</w:t>
            </w:r>
            <w:r>
              <w:rPr>
                <w:rFonts w:hint="eastAsia" w:ascii="宋体" w:hAnsi="宋体"/>
                <w:color w:val="000000"/>
                <w:kern w:val="0"/>
                <w:sz w:val="22"/>
                <w:szCs w:val="22"/>
                <w:lang w:val="en-US" w:eastAsia="zh-CN"/>
              </w:rPr>
              <w:t>规</w:t>
            </w:r>
            <w:r>
              <w:rPr>
                <w:rFonts w:hint="eastAsia" w:ascii="宋体" w:hAnsi="宋体"/>
                <w:color w:val="000000"/>
                <w:kern w:val="0"/>
                <w:sz w:val="22"/>
                <w:szCs w:val="22"/>
              </w:rPr>
              <w:t>行为的取消评定资格</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1.5</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工作环境</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工作环境整洁、卫生状况良好的得30分； 较好的得20分；一般的得10分；不好的不得分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0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1.6</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财务管理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有明确的财务管理制度并严格执行，按时发放工资、按规定开具发票的得30分；有基本财务制度并执行良好的得20分；无财务管理的不得分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5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1.7</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证照年审</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按时参加并通过各项年审的得20分；超期年审的得10分；不年审的得0分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27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机构管理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150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right"/>
              <w:textAlignment w:val="center"/>
              <w:rPr>
                <w:rFonts w:ascii="宋体" w:hAnsi="宋体"/>
                <w:color w:val="000000"/>
                <w:sz w:val="22"/>
                <w:szCs w:val="22"/>
              </w:rPr>
            </w:pPr>
            <w:r>
              <w:rPr>
                <w:rFonts w:hint="eastAsia" w:ascii="宋体" w:hAnsi="宋体"/>
                <w:color w:val="000000"/>
                <w:kern w:val="0"/>
                <w:sz w:val="22"/>
                <w:szCs w:val="22"/>
              </w:rPr>
              <w:t>10</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2.1</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组织结构</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组织机构完整合理并有清晰明确的组织结构图的得30分；组织结构合理，但没有组织结构图的得10分；组织机构不完整的不得分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Times New Roman"/>
                <w:color w:val="000000"/>
                <w:kern w:val="2"/>
                <w:sz w:val="22"/>
                <w:szCs w:val="22"/>
                <w:lang w:val="en-US" w:eastAsia="zh-CN" w:bidi="ar-SA"/>
              </w:rPr>
            </w:pPr>
            <w:r>
              <w:rPr>
                <w:rFonts w:hint="eastAsia" w:ascii="宋体" w:hAnsi="宋体"/>
                <w:color w:val="000000"/>
                <w:kern w:val="0"/>
                <w:sz w:val="22"/>
                <w:szCs w:val="22"/>
              </w:rPr>
              <w:t>2.2</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hint="eastAsia" w:ascii="宋体" w:hAnsi="宋体" w:eastAsia="宋体" w:cs="Times New Roman"/>
                <w:color w:val="000000"/>
                <w:kern w:val="2"/>
                <w:sz w:val="22"/>
                <w:szCs w:val="22"/>
                <w:lang w:val="en-US" w:eastAsia="zh-CN" w:bidi="ar-SA"/>
              </w:rPr>
            </w:pPr>
            <w:r>
              <w:rPr>
                <w:rFonts w:hint="eastAsia" w:ascii="宋体" w:hAnsi="宋体"/>
                <w:color w:val="000000"/>
                <w:kern w:val="0"/>
                <w:sz w:val="22"/>
                <w:szCs w:val="22"/>
              </w:rPr>
              <w:t>目标特色</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hint="eastAsia" w:ascii="宋体" w:hAnsi="宋体" w:eastAsia="宋体" w:cs="Times New Roman"/>
                <w:color w:val="000000"/>
                <w:kern w:val="2"/>
                <w:sz w:val="22"/>
                <w:szCs w:val="22"/>
                <w:lang w:val="en-US" w:eastAsia="zh-CN" w:bidi="ar-SA"/>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hint="eastAsia" w:ascii="宋体" w:hAnsi="宋体" w:eastAsia="宋体" w:cs="Times New Roman"/>
                <w:color w:val="000000"/>
                <w:kern w:val="2"/>
                <w:sz w:val="22"/>
                <w:szCs w:val="22"/>
                <w:lang w:val="en-US" w:eastAsia="zh-CN" w:bidi="ar-SA"/>
              </w:rPr>
            </w:pPr>
            <w:r>
              <w:rPr>
                <w:rFonts w:hint="eastAsia" w:ascii="宋体" w:hAnsi="宋体"/>
                <w:color w:val="000000"/>
                <w:kern w:val="0"/>
                <w:sz w:val="22"/>
                <w:szCs w:val="22"/>
              </w:rPr>
              <w:t>结合国家实时政策</w:t>
            </w:r>
            <w:r>
              <w:rPr>
                <w:rFonts w:hint="eastAsia" w:ascii="宋体" w:hAnsi="宋体"/>
                <w:color w:val="000000"/>
                <w:kern w:val="0"/>
                <w:sz w:val="22"/>
                <w:szCs w:val="22"/>
                <w:lang w:val="en-US" w:eastAsia="zh-CN"/>
              </w:rPr>
              <w:t>机构</w:t>
            </w:r>
            <w:r>
              <w:rPr>
                <w:rFonts w:hint="eastAsia" w:ascii="宋体" w:hAnsi="宋体"/>
                <w:color w:val="000000"/>
                <w:kern w:val="0"/>
                <w:sz w:val="22"/>
                <w:szCs w:val="22"/>
              </w:rPr>
              <w:t>有明确目标及实施流程的得30分；有目标</w:t>
            </w:r>
            <w:r>
              <w:rPr>
                <w:rFonts w:hint="eastAsia" w:ascii="宋体" w:hAnsi="宋体"/>
                <w:color w:val="000000"/>
                <w:kern w:val="0"/>
                <w:sz w:val="22"/>
                <w:szCs w:val="22"/>
                <w:lang w:val="en-US" w:eastAsia="zh-CN"/>
              </w:rPr>
              <w:t>但</w:t>
            </w:r>
            <w:r>
              <w:rPr>
                <w:rFonts w:hint="eastAsia" w:ascii="宋体" w:hAnsi="宋体"/>
                <w:color w:val="000000"/>
                <w:kern w:val="0"/>
                <w:sz w:val="22"/>
                <w:szCs w:val="22"/>
              </w:rPr>
              <w:t>实施流程不明确的得</w:t>
            </w:r>
            <w:r>
              <w:rPr>
                <w:rFonts w:hint="eastAsia" w:ascii="宋体" w:hAnsi="宋体"/>
                <w:color w:val="000000"/>
                <w:kern w:val="0"/>
                <w:sz w:val="22"/>
                <w:szCs w:val="22"/>
                <w:lang w:val="en-US" w:eastAsia="zh-CN"/>
              </w:rPr>
              <w:t>1</w:t>
            </w:r>
            <w:r>
              <w:rPr>
                <w:rFonts w:hint="eastAsia" w:ascii="宋体" w:hAnsi="宋体"/>
                <w:color w:val="000000"/>
                <w:kern w:val="0"/>
                <w:sz w:val="22"/>
                <w:szCs w:val="22"/>
              </w:rPr>
              <w:t>0分；</w:t>
            </w:r>
            <w:r>
              <w:rPr>
                <w:rFonts w:hint="eastAsia" w:ascii="宋体" w:hAnsi="宋体"/>
                <w:color w:val="000000"/>
                <w:kern w:val="0"/>
                <w:sz w:val="22"/>
                <w:szCs w:val="22"/>
                <w:lang w:val="en-US" w:eastAsia="zh-CN"/>
              </w:rPr>
              <w:t>没</w:t>
            </w:r>
            <w:r>
              <w:rPr>
                <w:rFonts w:hint="eastAsia" w:ascii="宋体" w:hAnsi="宋体"/>
                <w:color w:val="000000"/>
                <w:kern w:val="0"/>
                <w:sz w:val="22"/>
                <w:szCs w:val="22"/>
              </w:rPr>
              <w:t>有的不得分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eastAsia="宋体" w:cs="Times New Roman"/>
                <w:color w:val="000000"/>
                <w:kern w:val="2"/>
                <w:sz w:val="22"/>
                <w:szCs w:val="22"/>
                <w:lang w:val="en-US" w:eastAsia="zh-CN" w:bidi="ar-SA"/>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eastAsia="宋体" w:cs="Times New Roman"/>
                <w:color w:val="000000"/>
                <w:kern w:val="2"/>
                <w:sz w:val="22"/>
                <w:szCs w:val="22"/>
                <w:lang w:val="en-US" w:eastAsia="zh-CN" w:bidi="ar-SA"/>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eastAsia="宋体" w:cs="Times New Roman"/>
                <w:color w:val="000000"/>
                <w:kern w:val="2"/>
                <w:sz w:val="22"/>
                <w:szCs w:val="22"/>
                <w:lang w:val="en-US" w:eastAsia="zh-CN" w:bidi="ar-SA"/>
              </w:rPr>
            </w:pPr>
          </w:p>
        </w:tc>
      </w:tr>
    </w:tbl>
    <w:p>
      <w:pP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br w:type="page"/>
      </w:r>
    </w:p>
    <w:p>
      <w:pPr>
        <w:jc w:val="cente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t>表A.1等级评定指标（续1）</w:t>
      </w:r>
    </w:p>
    <w:tbl>
      <w:tblPr>
        <w:tblStyle w:val="16"/>
        <w:tblW w:w="9640" w:type="dxa"/>
        <w:tblInd w:w="-34" w:type="dxa"/>
        <w:tblLayout w:type="fixed"/>
        <w:tblCellMar>
          <w:top w:w="0" w:type="dxa"/>
          <w:left w:w="108" w:type="dxa"/>
          <w:bottom w:w="0" w:type="dxa"/>
          <w:right w:w="108" w:type="dxa"/>
        </w:tblCellMar>
      </w:tblPr>
      <w:tblGrid>
        <w:gridCol w:w="709"/>
        <w:gridCol w:w="1218"/>
        <w:gridCol w:w="909"/>
        <w:gridCol w:w="3827"/>
        <w:gridCol w:w="1134"/>
        <w:gridCol w:w="1134"/>
        <w:gridCol w:w="709"/>
      </w:tblGrid>
      <w:tr>
        <w:tblPrEx>
          <w:tblCellMar>
            <w:top w:w="0" w:type="dxa"/>
            <w:left w:w="108" w:type="dxa"/>
            <w:bottom w:w="0" w:type="dxa"/>
            <w:right w:w="108" w:type="dxa"/>
          </w:tblCellMar>
        </w:tblPrEx>
        <w:trPr>
          <w:trHeight w:val="922"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序号</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评定项目</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标准分</w:t>
            </w:r>
          </w:p>
        </w:tc>
        <w:tc>
          <w:tcPr>
            <w:tcW w:w="3827" w:type="dxa"/>
            <w:tcBorders>
              <w:top w:val="single" w:color="000000" w:sz="4" w:space="0"/>
              <w:left w:val="nil"/>
              <w:bottom w:val="single" w:color="000000" w:sz="4" w:space="0"/>
              <w:right w:val="single" w:color="000000" w:sz="4" w:space="0"/>
            </w:tcBorders>
            <w:noWrap w:val="0"/>
            <w:vAlign w:val="center"/>
          </w:tcPr>
          <w:p>
            <w:pPr>
              <w:widowControl/>
              <w:ind w:firstLine="1320" w:firstLineChars="600"/>
              <w:jc w:val="left"/>
              <w:textAlignment w:val="center"/>
              <w:rPr>
                <w:rFonts w:ascii="宋体" w:hAnsi="宋体"/>
                <w:color w:val="000000"/>
                <w:sz w:val="22"/>
                <w:szCs w:val="22"/>
              </w:rPr>
            </w:pPr>
            <w:r>
              <w:rPr>
                <w:rFonts w:hint="eastAsia" w:ascii="宋体" w:hAnsi="宋体"/>
                <w:color w:val="000000"/>
                <w:kern w:val="0"/>
                <w:sz w:val="22"/>
                <w:szCs w:val="22"/>
              </w:rPr>
              <w:t>考核内容</w:t>
            </w:r>
          </w:p>
        </w:tc>
        <w:tc>
          <w:tcPr>
            <w:tcW w:w="1134"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自评分</w:t>
            </w:r>
          </w:p>
        </w:tc>
        <w:tc>
          <w:tcPr>
            <w:tcW w:w="1134"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评定得分</w:t>
            </w:r>
          </w:p>
        </w:tc>
        <w:tc>
          <w:tcPr>
            <w:tcW w:w="709" w:type="dxa"/>
            <w:tcBorders>
              <w:top w:val="single" w:color="000000" w:sz="4" w:space="0"/>
              <w:left w:val="nil"/>
              <w:bottom w:val="single" w:color="000000" w:sz="4" w:space="0"/>
              <w:right w:val="single" w:color="000000" w:sz="4" w:space="0"/>
            </w:tcBorders>
            <w:noWrap/>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备注</w:t>
            </w:r>
          </w:p>
        </w:tc>
      </w:tr>
      <w:tr>
        <w:tblPrEx>
          <w:tblCellMar>
            <w:top w:w="0" w:type="dxa"/>
            <w:left w:w="108" w:type="dxa"/>
            <w:bottom w:w="0" w:type="dxa"/>
            <w:right w:w="108" w:type="dxa"/>
          </w:tblCellMar>
        </w:tblPrEx>
        <w:trPr>
          <w:trHeight w:val="135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2.3</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制度管理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有与目标相符</w:t>
            </w:r>
            <w:r>
              <w:rPr>
                <w:rFonts w:hint="eastAsia" w:ascii="宋体" w:hAnsi="宋体"/>
                <w:color w:val="000000"/>
                <w:kern w:val="0"/>
                <w:sz w:val="22"/>
                <w:szCs w:val="22"/>
                <w:lang w:val="en-US" w:eastAsia="zh-CN"/>
              </w:rPr>
              <w:t>且有</w:t>
            </w:r>
            <w:r>
              <w:rPr>
                <w:rFonts w:hint="eastAsia" w:ascii="宋体" w:hAnsi="宋体"/>
                <w:color w:val="000000"/>
                <w:kern w:val="0"/>
                <w:sz w:val="22"/>
                <w:szCs w:val="22"/>
              </w:rPr>
              <w:t>完善的人事管理制度、财务管理制度、业务管理制度、卫生安全管理制度、员工管理制度、日常管理制度、客户投诉流程和处理制度的得30分。每缺一项减5分，扣完为止</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0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2.4</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档案管理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有完善的档案管理规范，人事档案、业务档案、婴幼儿健康档案、财务档案等行政档案齐全完备的得30分，缺一项扣10分，扣完为止</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35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2.5</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安全管理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有安全与应急管理预案、定期演练方案、演练记录及改进意见，并设有兼职安全员的得30分；有安全与应急管理预案、定期演练方案、演练记录及改进意见，无兼职安全员的得10分；其他的得0分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27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机构实力</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210</w:t>
            </w:r>
          </w:p>
        </w:tc>
        <w:tc>
          <w:tcPr>
            <w:tcW w:w="3827"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0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3.1</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场地设施</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有固定办公场所（含分店）且能满足洽谈业务、员工培训、员工宿舍的场地设置的得40分；有固定办公场所（含分店）的场地设置的得20分；其他不得分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35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3.2</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办公设施</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办公场所设施齐全，配备有能满足业务需要的通讯联系方式、联网计算机、打印机、复印机、培训所需的投影仪等设施的得40分；办公场所设施基本齐全，但无培训所需的投影仪等设施的得30分；其他不得分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35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3.3</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运管人员</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运管人员具有国家三级及以上职业资格证书或大专以上学历且从事家政运营管理工作达到5年以上，人员比例占80%以上的得40分； 达到50%～80%的得30分； 达到30～50%的得20分； 30%以下的不得分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35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Times New Roman"/>
                <w:color w:val="000000"/>
                <w:kern w:val="2"/>
                <w:sz w:val="22"/>
                <w:szCs w:val="22"/>
                <w:lang w:val="en-US" w:eastAsia="zh-CN" w:bidi="ar-SA"/>
              </w:rPr>
            </w:pPr>
            <w:r>
              <w:rPr>
                <w:rFonts w:hint="eastAsia" w:ascii="宋体" w:hAnsi="宋体"/>
                <w:color w:val="000000"/>
                <w:kern w:val="0"/>
                <w:sz w:val="22"/>
                <w:szCs w:val="22"/>
              </w:rPr>
              <w:t>3.4</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hint="eastAsia" w:ascii="宋体" w:hAnsi="宋体" w:eastAsia="宋体" w:cs="Times New Roman"/>
                <w:color w:val="000000"/>
                <w:kern w:val="2"/>
                <w:sz w:val="22"/>
                <w:szCs w:val="22"/>
                <w:lang w:val="en-US" w:eastAsia="zh-CN" w:bidi="ar-SA"/>
              </w:rPr>
            </w:pPr>
            <w:r>
              <w:rPr>
                <w:rFonts w:hint="eastAsia" w:ascii="宋体" w:hAnsi="宋体"/>
                <w:color w:val="000000"/>
                <w:kern w:val="0"/>
                <w:sz w:val="22"/>
                <w:szCs w:val="22"/>
              </w:rPr>
              <w:t>培训师资</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hint="eastAsia" w:ascii="宋体" w:hAnsi="宋体" w:eastAsia="宋体" w:cs="Times New Roman"/>
                <w:color w:val="000000"/>
                <w:kern w:val="2"/>
                <w:sz w:val="22"/>
                <w:szCs w:val="22"/>
                <w:lang w:val="en-US" w:eastAsia="zh-CN" w:bidi="ar-SA"/>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hint="eastAsia" w:ascii="宋体" w:hAnsi="宋体" w:eastAsia="宋体" w:cs="Times New Roman"/>
                <w:color w:val="000000"/>
                <w:kern w:val="2"/>
                <w:sz w:val="22"/>
                <w:szCs w:val="22"/>
                <w:lang w:val="en-US" w:eastAsia="zh-CN" w:bidi="ar-SA"/>
              </w:rPr>
            </w:pPr>
            <w:r>
              <w:rPr>
                <w:rFonts w:hint="eastAsia" w:ascii="宋体" w:hAnsi="宋体"/>
                <w:color w:val="000000"/>
                <w:kern w:val="0"/>
                <w:sz w:val="22"/>
                <w:szCs w:val="22"/>
              </w:rPr>
              <w:t>培训老师具有国家三级职业资格证书和家政行业协会颁发的师资证书的得</w:t>
            </w:r>
            <w:r>
              <w:rPr>
                <w:rFonts w:hint="eastAsia" w:ascii="宋体" w:hAnsi="宋体"/>
                <w:color w:val="000000"/>
                <w:kern w:val="0"/>
                <w:sz w:val="22"/>
                <w:szCs w:val="22"/>
                <w:lang w:val="en-US" w:eastAsia="zh-CN"/>
              </w:rPr>
              <w:t>3</w:t>
            </w:r>
            <w:r>
              <w:rPr>
                <w:rFonts w:hint="eastAsia" w:ascii="宋体" w:hAnsi="宋体"/>
                <w:color w:val="000000"/>
                <w:kern w:val="0"/>
                <w:sz w:val="22"/>
                <w:szCs w:val="22"/>
              </w:rPr>
              <w:t>0分；其他不得分</w:t>
            </w: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eastAsia="宋体" w:cs="Times New Roman"/>
                <w:color w:val="000000"/>
                <w:kern w:val="2"/>
                <w:sz w:val="22"/>
                <w:szCs w:val="22"/>
                <w:lang w:val="en-US" w:eastAsia="zh-CN" w:bidi="ar-SA"/>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eastAsia="宋体" w:cs="Times New Roman"/>
                <w:color w:val="000000"/>
                <w:kern w:val="2"/>
                <w:sz w:val="22"/>
                <w:szCs w:val="22"/>
                <w:lang w:val="en-US" w:eastAsia="zh-CN" w:bidi="ar-SA"/>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eastAsia="宋体" w:cs="Times New Roman"/>
                <w:color w:val="000000"/>
                <w:kern w:val="2"/>
                <w:sz w:val="22"/>
                <w:szCs w:val="22"/>
                <w:lang w:val="en-US" w:eastAsia="zh-CN" w:bidi="ar-SA"/>
              </w:rPr>
            </w:pPr>
          </w:p>
        </w:tc>
      </w:tr>
    </w:tbl>
    <w:p>
      <w:pPr>
        <w:jc w:val="center"/>
        <w:rPr>
          <w:rFonts w:hint="default" w:ascii="Times New Roman" w:cs="Times New Roman" w:hAnsiTheme="minorEastAsia" w:eastAsiaTheme="minorEastAsia"/>
          <w:szCs w:val="21"/>
          <w:lang w:val="en-US" w:eastAsia="zh-CN"/>
        </w:rPr>
      </w:pPr>
    </w:p>
    <w:p>
      <w:pPr>
        <w:jc w:val="cente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t>表A.1等级评定指标（续2）</w:t>
      </w:r>
    </w:p>
    <w:tbl>
      <w:tblPr>
        <w:tblStyle w:val="16"/>
        <w:tblW w:w="9640" w:type="dxa"/>
        <w:tblInd w:w="-34" w:type="dxa"/>
        <w:tblLayout w:type="fixed"/>
        <w:tblCellMar>
          <w:top w:w="0" w:type="dxa"/>
          <w:left w:w="108" w:type="dxa"/>
          <w:bottom w:w="0" w:type="dxa"/>
          <w:right w:w="108" w:type="dxa"/>
        </w:tblCellMar>
      </w:tblPr>
      <w:tblGrid>
        <w:gridCol w:w="709"/>
        <w:gridCol w:w="1218"/>
        <w:gridCol w:w="909"/>
        <w:gridCol w:w="3827"/>
        <w:gridCol w:w="142"/>
        <w:gridCol w:w="992"/>
        <w:gridCol w:w="1134"/>
        <w:gridCol w:w="709"/>
      </w:tblGrid>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序号</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评定项目</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标准分</w:t>
            </w:r>
          </w:p>
        </w:tc>
        <w:tc>
          <w:tcPr>
            <w:tcW w:w="3827" w:type="dxa"/>
            <w:tcBorders>
              <w:top w:val="single" w:color="000000" w:sz="4" w:space="0"/>
              <w:left w:val="nil"/>
              <w:bottom w:val="single" w:color="000000" w:sz="4" w:space="0"/>
              <w:right w:val="single" w:color="000000" w:sz="4" w:space="0"/>
            </w:tcBorders>
            <w:noWrap w:val="0"/>
            <w:vAlign w:val="center"/>
          </w:tcPr>
          <w:p>
            <w:pPr>
              <w:widowControl/>
              <w:ind w:firstLine="1320" w:firstLineChars="600"/>
              <w:jc w:val="left"/>
              <w:textAlignment w:val="center"/>
              <w:rPr>
                <w:rFonts w:ascii="宋体" w:hAnsi="宋体"/>
                <w:color w:val="000000"/>
                <w:sz w:val="22"/>
                <w:szCs w:val="22"/>
              </w:rPr>
            </w:pPr>
            <w:r>
              <w:rPr>
                <w:rFonts w:hint="eastAsia" w:ascii="宋体" w:hAnsi="宋体"/>
                <w:color w:val="000000"/>
                <w:kern w:val="0"/>
                <w:sz w:val="22"/>
                <w:szCs w:val="22"/>
              </w:rPr>
              <w:t>考核内容</w:t>
            </w:r>
          </w:p>
        </w:tc>
        <w:tc>
          <w:tcPr>
            <w:tcW w:w="1134" w:type="dxa"/>
            <w:gridSpan w:val="2"/>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自评分</w:t>
            </w:r>
          </w:p>
        </w:tc>
        <w:tc>
          <w:tcPr>
            <w:tcW w:w="1134"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评定得分</w:t>
            </w:r>
          </w:p>
        </w:tc>
        <w:tc>
          <w:tcPr>
            <w:tcW w:w="709" w:type="dxa"/>
            <w:tcBorders>
              <w:top w:val="single" w:color="000000" w:sz="4" w:space="0"/>
              <w:left w:val="nil"/>
              <w:bottom w:val="single" w:color="000000" w:sz="4" w:space="0"/>
              <w:right w:val="single" w:color="000000" w:sz="4" w:space="0"/>
            </w:tcBorders>
            <w:noWrap/>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备注</w:t>
            </w:r>
          </w:p>
        </w:tc>
      </w:tr>
      <w:tr>
        <w:tblPrEx>
          <w:tblCellMar>
            <w:top w:w="0" w:type="dxa"/>
            <w:left w:w="108" w:type="dxa"/>
            <w:bottom w:w="0" w:type="dxa"/>
            <w:right w:w="108" w:type="dxa"/>
          </w:tblCellMar>
        </w:tblPrEx>
        <w:trPr>
          <w:trHeight w:val="10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3.5</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员工指标</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60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拥有企业登记入册并交纳社保的服务人员达到300人及以上的得60分；200～300人的40分；100～200人的得10分；10人以下不得分</w:t>
            </w:r>
          </w:p>
        </w:tc>
        <w:tc>
          <w:tcPr>
            <w:tcW w:w="1134" w:type="dxa"/>
            <w:gridSpan w:val="2"/>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27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运营管理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440</w:t>
            </w:r>
          </w:p>
        </w:tc>
        <w:tc>
          <w:tcPr>
            <w:tcW w:w="3827"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gridSpan w:val="2"/>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0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4.1</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岗位管理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有店长、文员、督导老师的基本岗位设置、有岗位和业务工作流程的得40分；基本岗位设置齐全但无岗位职责或无业务工作流程的得20分；其他不得分</w:t>
            </w:r>
          </w:p>
        </w:tc>
        <w:tc>
          <w:tcPr>
            <w:tcW w:w="1134" w:type="dxa"/>
            <w:gridSpan w:val="2"/>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4.2</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服务规范</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有完善的接待客户和员工、员工派遣、员工服务、客户服务回访等全过程服务规范的得40分；其他每缺一项扣10分，扣完为止</w:t>
            </w:r>
          </w:p>
        </w:tc>
        <w:tc>
          <w:tcPr>
            <w:tcW w:w="1134" w:type="dxa"/>
            <w:gridSpan w:val="2"/>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4.3</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合同管理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有机构、客户、服务员三方管理规范并按照要求签订三方合同的得40分；没有管理规范但签订三方合同的得20分；其他不得分</w:t>
            </w:r>
          </w:p>
        </w:tc>
        <w:tc>
          <w:tcPr>
            <w:tcW w:w="1134" w:type="dxa"/>
            <w:gridSpan w:val="2"/>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4.4</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信息化建设</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有业务信息化管理，有服务客户、服务人员数据动态统计管理，并应用于服务人员派单上岗的得30分；其他不得分</w:t>
            </w:r>
          </w:p>
        </w:tc>
        <w:tc>
          <w:tcPr>
            <w:tcW w:w="1134" w:type="dxa"/>
            <w:gridSpan w:val="2"/>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4.5</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服务客户</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50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年服务客户400个以上的得50分；300个以上的40分；200个以上的20分；50个以上的10分；50个以下不得分</w:t>
            </w:r>
          </w:p>
        </w:tc>
        <w:tc>
          <w:tcPr>
            <w:tcW w:w="1134" w:type="dxa"/>
            <w:gridSpan w:val="2"/>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35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Times New Roman"/>
                <w:color w:val="000000"/>
                <w:kern w:val="0"/>
                <w:sz w:val="22"/>
                <w:szCs w:val="22"/>
              </w:rPr>
            </w:pPr>
            <w:r>
              <w:rPr>
                <w:rFonts w:hint="eastAsia" w:ascii="宋体" w:hAnsi="宋体" w:eastAsia="宋体" w:cs="Times New Roman"/>
                <w:color w:val="000000"/>
                <w:kern w:val="0"/>
                <w:sz w:val="22"/>
                <w:szCs w:val="22"/>
              </w:rPr>
              <w:t>4.6</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hint="eastAsia" w:ascii="宋体" w:hAnsi="宋体" w:eastAsia="宋体" w:cs="Times New Roman"/>
                <w:color w:val="000000"/>
                <w:kern w:val="0"/>
                <w:sz w:val="22"/>
                <w:szCs w:val="22"/>
              </w:rPr>
            </w:pPr>
            <w:r>
              <w:rPr>
                <w:rFonts w:hint="eastAsia" w:ascii="宋体" w:hAnsi="宋体" w:eastAsia="宋体" w:cs="Times New Roman"/>
                <w:color w:val="000000"/>
                <w:kern w:val="0"/>
                <w:sz w:val="22"/>
                <w:szCs w:val="22"/>
              </w:rPr>
              <w:t>培训结果评估机制</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hint="eastAsia" w:ascii="宋体" w:hAnsi="宋体" w:eastAsia="宋体" w:cs="Times New Roman"/>
                <w:color w:val="000000"/>
                <w:kern w:val="0"/>
                <w:sz w:val="22"/>
                <w:szCs w:val="22"/>
              </w:rPr>
            </w:pPr>
            <w:r>
              <w:rPr>
                <w:rFonts w:hint="eastAsia" w:ascii="宋体" w:hAnsi="宋体" w:eastAsia="宋体" w:cs="Times New Roman"/>
                <w:color w:val="000000"/>
                <w:kern w:val="0"/>
                <w:sz w:val="22"/>
                <w:szCs w:val="22"/>
              </w:rPr>
              <w:t>40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4F81BD"/>
                <w:sz w:val="22"/>
                <w:szCs w:val="22"/>
              </w:rPr>
            </w:pPr>
            <w:r>
              <w:rPr>
                <w:rFonts w:hint="eastAsia" w:ascii="宋体" w:hAnsi="宋体" w:eastAsia="宋体" w:cs="Times New Roman"/>
                <w:color w:val="000000"/>
                <w:kern w:val="0"/>
                <w:sz w:val="22"/>
                <w:szCs w:val="22"/>
              </w:rPr>
              <w:t>有详细的机构对婴幼儿的定期评估表格、家长对婴幼儿定期评估表格并确实执行的得40分；有表格执行不定期的得30分；有机构对婴幼儿的定期评估但没有家长的得20分；其他不得分</w:t>
            </w:r>
          </w:p>
        </w:tc>
        <w:tc>
          <w:tcPr>
            <w:tcW w:w="1134" w:type="dxa"/>
            <w:gridSpan w:val="2"/>
            <w:tcBorders>
              <w:top w:val="single" w:color="000000" w:sz="4" w:space="0"/>
              <w:left w:val="nil"/>
              <w:bottom w:val="single" w:color="000000" w:sz="4" w:space="0"/>
              <w:right w:val="single" w:color="000000" w:sz="4" w:space="0"/>
            </w:tcBorders>
            <w:noWrap w:val="0"/>
            <w:vAlign w:val="center"/>
          </w:tcPr>
          <w:p>
            <w:pPr>
              <w:rPr>
                <w:rFonts w:ascii="宋体" w:hAnsi="宋体"/>
                <w:color w:val="4F81BD"/>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4.7</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学术研究</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20</w:t>
            </w:r>
          </w:p>
        </w:tc>
        <w:tc>
          <w:tcPr>
            <w:tcW w:w="3827"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有结合本机构</w:t>
            </w:r>
            <w:r>
              <w:rPr>
                <w:rFonts w:hint="eastAsia" w:ascii="宋体" w:hAnsi="宋体"/>
                <w:color w:val="000000"/>
                <w:kern w:val="0"/>
                <w:sz w:val="22"/>
                <w:szCs w:val="22"/>
                <w:lang w:val="en-US" w:eastAsia="zh-CN"/>
              </w:rPr>
              <w:t>办</w:t>
            </w:r>
            <w:r>
              <w:rPr>
                <w:rFonts w:hint="eastAsia" w:ascii="宋体" w:hAnsi="宋体"/>
                <w:color w:val="000000"/>
                <w:kern w:val="0"/>
                <w:sz w:val="22"/>
                <w:szCs w:val="22"/>
              </w:rPr>
              <w:t>园理念进行专题或课题研发，有可行性报告和研发计划书并按实执行、有课题验收结论的得20分，其他不得分</w:t>
            </w:r>
          </w:p>
        </w:tc>
        <w:tc>
          <w:tcPr>
            <w:tcW w:w="1134" w:type="dxa"/>
            <w:gridSpan w:val="2"/>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4.8</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活动与培训计划执行文案</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969" w:type="dxa"/>
            <w:gridSpan w:val="2"/>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机构有培训活动详细内容与具体执行计划的得30分；其他不得分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4.9</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员工培训</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20</w:t>
            </w:r>
          </w:p>
        </w:tc>
        <w:tc>
          <w:tcPr>
            <w:tcW w:w="3969" w:type="dxa"/>
            <w:gridSpan w:val="2"/>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机构有详细的员工培训计划（含内部培训和外部委托培训）及执行情况统计表的得20分；其他不得分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bl>
    <w:p>
      <w:pPr>
        <w:jc w:val="cente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t>表A.1等级评定指标（续3）</w:t>
      </w:r>
    </w:p>
    <w:tbl>
      <w:tblPr>
        <w:tblStyle w:val="16"/>
        <w:tblW w:w="9640" w:type="dxa"/>
        <w:tblInd w:w="-34" w:type="dxa"/>
        <w:tblLayout w:type="fixed"/>
        <w:tblCellMar>
          <w:top w:w="0" w:type="dxa"/>
          <w:left w:w="108" w:type="dxa"/>
          <w:bottom w:w="0" w:type="dxa"/>
          <w:right w:w="108" w:type="dxa"/>
        </w:tblCellMar>
      </w:tblPr>
      <w:tblGrid>
        <w:gridCol w:w="709"/>
        <w:gridCol w:w="1218"/>
        <w:gridCol w:w="909"/>
        <w:gridCol w:w="3969"/>
        <w:gridCol w:w="992"/>
        <w:gridCol w:w="1134"/>
        <w:gridCol w:w="709"/>
      </w:tblGrid>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序号</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评定项目</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标准分</w:t>
            </w:r>
          </w:p>
        </w:tc>
        <w:tc>
          <w:tcPr>
            <w:tcW w:w="3969" w:type="dxa"/>
            <w:tcBorders>
              <w:top w:val="single" w:color="000000" w:sz="4" w:space="0"/>
              <w:left w:val="nil"/>
              <w:bottom w:val="single" w:color="000000" w:sz="4" w:space="0"/>
              <w:right w:val="single" w:color="000000" w:sz="4" w:space="0"/>
            </w:tcBorders>
            <w:noWrap w:val="0"/>
            <w:vAlign w:val="center"/>
          </w:tcPr>
          <w:p>
            <w:pPr>
              <w:widowControl/>
              <w:ind w:firstLine="1320" w:firstLineChars="600"/>
              <w:jc w:val="left"/>
              <w:textAlignment w:val="center"/>
              <w:rPr>
                <w:rFonts w:ascii="宋体" w:hAnsi="宋体"/>
                <w:color w:val="000000"/>
                <w:sz w:val="22"/>
                <w:szCs w:val="22"/>
              </w:rPr>
            </w:pPr>
            <w:r>
              <w:rPr>
                <w:rFonts w:hint="eastAsia" w:ascii="宋体" w:hAnsi="宋体"/>
                <w:color w:val="000000"/>
                <w:kern w:val="0"/>
                <w:sz w:val="22"/>
                <w:szCs w:val="22"/>
              </w:rPr>
              <w:t>考核内容</w:t>
            </w:r>
          </w:p>
        </w:tc>
        <w:tc>
          <w:tcPr>
            <w:tcW w:w="992"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自评分</w:t>
            </w:r>
          </w:p>
        </w:tc>
        <w:tc>
          <w:tcPr>
            <w:tcW w:w="1134"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评定得分</w:t>
            </w:r>
          </w:p>
        </w:tc>
        <w:tc>
          <w:tcPr>
            <w:tcW w:w="709" w:type="dxa"/>
            <w:tcBorders>
              <w:top w:val="single" w:color="000000" w:sz="4" w:space="0"/>
              <w:left w:val="nil"/>
              <w:bottom w:val="single" w:color="000000" w:sz="4" w:space="0"/>
              <w:right w:val="single" w:color="000000" w:sz="4" w:space="0"/>
            </w:tcBorders>
            <w:noWrap/>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备注</w:t>
            </w:r>
          </w:p>
        </w:tc>
      </w:tr>
      <w:tr>
        <w:tblPrEx>
          <w:tblCellMar>
            <w:top w:w="0" w:type="dxa"/>
            <w:left w:w="108" w:type="dxa"/>
            <w:bottom w:w="0" w:type="dxa"/>
            <w:right w:w="108" w:type="dxa"/>
          </w:tblCellMar>
        </w:tblPrEx>
        <w:trPr>
          <w:trHeight w:val="5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4.10</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特色培训</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有结合本机构实际情况提出特色培训方案并记录执行情况的得20分；其他不得分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hint="eastAsia" w:ascii="宋体" w:hAnsi="宋体" w:eastAsia="宋体" w:cs="Times New Roman"/>
                <w:color w:val="000000"/>
                <w:kern w:val="0"/>
                <w:sz w:val="22"/>
                <w:szCs w:val="22"/>
              </w:rPr>
            </w:pPr>
            <w:r>
              <w:rPr>
                <w:rFonts w:hint="eastAsia" w:ascii="宋体" w:hAnsi="宋体" w:eastAsia="宋体" w:cs="Times New Roman"/>
                <w:color w:val="000000"/>
                <w:kern w:val="0"/>
                <w:sz w:val="22"/>
                <w:szCs w:val="22"/>
              </w:rPr>
              <w:t>4.11</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hint="eastAsia" w:ascii="宋体" w:hAnsi="宋体" w:eastAsia="宋体" w:cs="Times New Roman"/>
                <w:color w:val="000000"/>
                <w:kern w:val="0"/>
                <w:sz w:val="22"/>
                <w:szCs w:val="22"/>
              </w:rPr>
            </w:pPr>
            <w:r>
              <w:rPr>
                <w:rFonts w:hint="eastAsia" w:ascii="宋体" w:hAnsi="宋体" w:eastAsia="宋体" w:cs="Times New Roman"/>
                <w:color w:val="000000"/>
                <w:kern w:val="0"/>
                <w:sz w:val="22"/>
                <w:szCs w:val="22"/>
              </w:rPr>
              <w:t>婴幼儿培训效果评估</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4F81BD"/>
                <w:sz w:val="22"/>
                <w:szCs w:val="22"/>
              </w:rPr>
            </w:pPr>
            <w:r>
              <w:rPr>
                <w:rFonts w:hint="eastAsia" w:ascii="宋体" w:hAnsi="宋体" w:eastAsia="宋体" w:cs="Times New Roman"/>
                <w:color w:val="000000"/>
                <w:kern w:val="0"/>
                <w:sz w:val="22"/>
                <w:szCs w:val="22"/>
              </w:rPr>
              <w:t>30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4F81BD"/>
                <w:sz w:val="22"/>
                <w:szCs w:val="22"/>
              </w:rPr>
            </w:pPr>
            <w:r>
              <w:rPr>
                <w:rFonts w:hint="eastAsia" w:ascii="宋体" w:hAnsi="宋体" w:eastAsia="宋体" w:cs="Times New Roman"/>
                <w:color w:val="000000"/>
                <w:kern w:val="0"/>
                <w:sz w:val="22"/>
                <w:szCs w:val="22"/>
              </w:rPr>
              <w:t>有婴幼儿培训效果定期评估表并执行的得30分；其他不得分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hint="default" w:ascii="宋体" w:hAnsi="宋体" w:eastAsia="宋体"/>
                <w:color w:val="000000"/>
                <w:sz w:val="22"/>
                <w:szCs w:val="22"/>
                <w:lang w:val="en-US" w:eastAsia="zh-CN"/>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5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4.12</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家园互动机制</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机构有家访、家长来访、家长互动群、并定期记录家园互动情况的得20分；其他不得分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0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4.13</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健康及预防</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机构有定期园区消毒计划及执行记录、婴幼儿常见传染病预防培训、婴幼儿传染病发病记录、通知家长记录及按规定需要上报的记录的得40分；其他缺一项扣10分，扣完为止</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0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4.14</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餐饮膳食</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有严格的食堂管理制度、明确符合婴幼儿膳食标准的每周、每日餐饮计划、陪餐制度，并由详细的可追溯的执行情况记录表的得20分；其他不得分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5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5</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员工管理与培训</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200</w:t>
            </w:r>
          </w:p>
        </w:tc>
        <w:tc>
          <w:tcPr>
            <w:tcW w:w="3969"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35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5.1</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持证上岗管理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员工上岗持身份证、健康证、职业资格证，持证上岗率达到100%的得40分；持身份证、健康证，但暂时无职业资格证（参加过岗前培训，职业资格证待发）的得20分；有三证其齐全的人员上岗服务情况得0分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0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5.2</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技能等级管理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按服务人员服务技能（等级鉴定）、服务素养、工作经验实施等级管理的得40分；只按服务素养、工作经验等级管理的得20分；无技能等级管理的不得分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5.3</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诚信服务管理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将员工录入商务部的“家政信用查”网络平台达80%以上的得40分；达到50%以上的得20分；其他不得分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5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5.4</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岗前技能培训</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所有服务人员上岗前培训率达到100%的得40分；其他不得分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5.5</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技能提升培训</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服务人员年度培训人数达到80%以上的得40分；50%以上的得30分；30%以上的20分；10--30%的10分，其他不得分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bl>
    <w:p>
      <w:pPr>
        <w:rPr>
          <w:rFonts w:hint="default" w:ascii="Times New Roman" w:cs="Times New Roman" w:hAnsiTheme="minorEastAsia" w:eastAsiaTheme="minorEastAsia"/>
          <w:szCs w:val="21"/>
          <w:lang w:val="en-US" w:eastAsia="zh-CN"/>
        </w:rPr>
      </w:pPr>
      <w:r>
        <w:rPr>
          <w:rFonts w:hint="default" w:ascii="Times New Roman" w:cs="Times New Roman" w:hAnsiTheme="minorEastAsia" w:eastAsiaTheme="minorEastAsia"/>
          <w:szCs w:val="21"/>
          <w:lang w:val="en-US" w:eastAsia="zh-CN"/>
        </w:rPr>
        <w:br w:type="page"/>
      </w:r>
    </w:p>
    <w:p>
      <w:pPr>
        <w:jc w:val="cente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t>表A.1等级评定指标（完）</w:t>
      </w:r>
    </w:p>
    <w:tbl>
      <w:tblPr>
        <w:tblStyle w:val="16"/>
        <w:tblW w:w="9640" w:type="dxa"/>
        <w:tblInd w:w="-34" w:type="dxa"/>
        <w:tblLayout w:type="fixed"/>
        <w:tblCellMar>
          <w:top w:w="0" w:type="dxa"/>
          <w:left w:w="108" w:type="dxa"/>
          <w:bottom w:w="0" w:type="dxa"/>
          <w:right w:w="108" w:type="dxa"/>
        </w:tblCellMar>
      </w:tblPr>
      <w:tblGrid>
        <w:gridCol w:w="709"/>
        <w:gridCol w:w="1218"/>
        <w:gridCol w:w="909"/>
        <w:gridCol w:w="3969"/>
        <w:gridCol w:w="992"/>
        <w:gridCol w:w="1134"/>
        <w:gridCol w:w="709"/>
      </w:tblGrid>
      <w:tr>
        <w:tblPrEx>
          <w:tblCellMar>
            <w:top w:w="0" w:type="dxa"/>
            <w:left w:w="108" w:type="dxa"/>
            <w:bottom w:w="0" w:type="dxa"/>
            <w:right w:w="108" w:type="dxa"/>
          </w:tblCellMar>
        </w:tblPrEx>
        <w:trPr>
          <w:trHeight w:val="5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序号</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评定项目</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标准分</w:t>
            </w:r>
          </w:p>
        </w:tc>
        <w:tc>
          <w:tcPr>
            <w:tcW w:w="3969" w:type="dxa"/>
            <w:tcBorders>
              <w:top w:val="single" w:color="000000" w:sz="4" w:space="0"/>
              <w:left w:val="nil"/>
              <w:bottom w:val="single" w:color="000000" w:sz="4" w:space="0"/>
              <w:right w:val="single" w:color="000000" w:sz="4" w:space="0"/>
            </w:tcBorders>
            <w:noWrap w:val="0"/>
            <w:vAlign w:val="center"/>
          </w:tcPr>
          <w:p>
            <w:pPr>
              <w:widowControl/>
              <w:ind w:firstLine="1320" w:firstLineChars="600"/>
              <w:jc w:val="left"/>
              <w:textAlignment w:val="center"/>
              <w:rPr>
                <w:rFonts w:ascii="宋体" w:hAnsi="宋体"/>
                <w:color w:val="000000"/>
                <w:sz w:val="22"/>
                <w:szCs w:val="22"/>
              </w:rPr>
            </w:pPr>
            <w:r>
              <w:rPr>
                <w:rFonts w:hint="eastAsia" w:ascii="宋体" w:hAnsi="宋体"/>
                <w:color w:val="000000"/>
                <w:kern w:val="0"/>
                <w:sz w:val="22"/>
                <w:szCs w:val="22"/>
              </w:rPr>
              <w:t>考核内容</w:t>
            </w:r>
          </w:p>
        </w:tc>
        <w:tc>
          <w:tcPr>
            <w:tcW w:w="992"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自评分</w:t>
            </w:r>
          </w:p>
        </w:tc>
        <w:tc>
          <w:tcPr>
            <w:tcW w:w="1134"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评定得分</w:t>
            </w:r>
          </w:p>
        </w:tc>
        <w:tc>
          <w:tcPr>
            <w:tcW w:w="709" w:type="dxa"/>
            <w:tcBorders>
              <w:top w:val="single" w:color="000000" w:sz="4" w:space="0"/>
              <w:left w:val="nil"/>
              <w:bottom w:val="single" w:color="000000" w:sz="4" w:space="0"/>
              <w:right w:val="single" w:color="000000" w:sz="4" w:space="0"/>
            </w:tcBorders>
            <w:noWrap/>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备注</w:t>
            </w:r>
          </w:p>
        </w:tc>
      </w:tr>
      <w:tr>
        <w:tblPrEx>
          <w:tblCellMar>
            <w:top w:w="0" w:type="dxa"/>
            <w:left w:w="108" w:type="dxa"/>
            <w:bottom w:w="0" w:type="dxa"/>
            <w:right w:w="108" w:type="dxa"/>
          </w:tblCellMar>
        </w:tblPrEx>
        <w:trPr>
          <w:trHeight w:val="27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6</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服务质量</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100</w:t>
            </w:r>
          </w:p>
        </w:tc>
        <w:tc>
          <w:tcPr>
            <w:tcW w:w="3969"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0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6.1</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客户回访</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30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建立完善的客户回访制度、回访工作流程和回访记录，电话回访和上门回访均达到100%的得30分；达到90%的得20分；达到80%的10分；其他不得分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5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6.2</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客户满意度</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40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客户满意度达到100%的得40分；90%以上的20分；80%以上的10分；其他不得分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6.3</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纠纷与投诉处理</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建立完善的纠纷与投诉处理制度，能按规定时间处理且客户满意，的20分；有处理但不及时的10分；其他不得分。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6.4</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持续改进</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10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对工作中发现问题采取有效整改措施，问题的得到解决且有相关记录的得10分，无有效措施整改故的分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27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7</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加分项</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200</w:t>
            </w:r>
          </w:p>
        </w:tc>
        <w:tc>
          <w:tcPr>
            <w:tcW w:w="3969"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81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7.1</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荣誉称号</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50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获得国家级荣誉称号的得50分；获得省级荣誉称号的得30分；获得市级荣誉称号的得10分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6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7.2</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行业贡献</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50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参加制修订国家、行业、地方、团体标准，行业标准化建设，职业培训教程编制、创建适应新业态市场先进的营运体系的得50分；参与完成上述三项的，得40分；参与完成2项的得30分，参与完成上述一项的20分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35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7.3</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技能大赛</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50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获得当年度国家级技能大赛一等奖的50分，获得当年度国家级技能大赛二等奖或省级技能大赛一等奖的，得30分；获得当年度省级技能大赛二等奖或市级技能大赛一等奖的得10分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r>
        <w:tblPrEx>
          <w:tblCellMar>
            <w:top w:w="0" w:type="dxa"/>
            <w:left w:w="108" w:type="dxa"/>
            <w:bottom w:w="0" w:type="dxa"/>
            <w:right w:w="108" w:type="dxa"/>
          </w:tblCellMar>
        </w:tblPrEx>
        <w:trPr>
          <w:trHeight w:val="16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olor w:val="000000"/>
                <w:sz w:val="22"/>
                <w:szCs w:val="22"/>
              </w:rPr>
            </w:pPr>
            <w:r>
              <w:rPr>
                <w:rFonts w:hint="eastAsia" w:ascii="宋体" w:hAnsi="宋体"/>
                <w:color w:val="000000"/>
                <w:kern w:val="0"/>
                <w:sz w:val="22"/>
                <w:szCs w:val="22"/>
              </w:rPr>
              <w:t>7.4</w:t>
            </w:r>
          </w:p>
        </w:tc>
        <w:tc>
          <w:tcPr>
            <w:tcW w:w="1218"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品牌建设</w:t>
            </w:r>
          </w:p>
        </w:tc>
        <w:tc>
          <w:tcPr>
            <w:tcW w:w="909" w:type="dxa"/>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宋体" w:hAnsi="宋体"/>
                <w:color w:val="000000"/>
                <w:sz w:val="22"/>
                <w:szCs w:val="22"/>
              </w:rPr>
            </w:pPr>
            <w:r>
              <w:rPr>
                <w:rFonts w:hint="eastAsia" w:ascii="宋体" w:hAnsi="宋体"/>
                <w:color w:val="000000"/>
                <w:kern w:val="0"/>
                <w:sz w:val="22"/>
                <w:szCs w:val="22"/>
              </w:rPr>
              <w:t>50</w:t>
            </w:r>
          </w:p>
        </w:tc>
        <w:tc>
          <w:tcPr>
            <w:tcW w:w="3969" w:type="dxa"/>
            <w:tcBorders>
              <w:top w:val="single" w:color="000000" w:sz="4" w:space="0"/>
              <w:left w:val="nil"/>
              <w:bottom w:val="single" w:color="000000" w:sz="4" w:space="0"/>
              <w:right w:val="single" w:color="000000" w:sz="4" w:space="0"/>
            </w:tcBorders>
            <w:noWrap w:val="0"/>
            <w:vAlign w:val="center"/>
          </w:tcPr>
          <w:p>
            <w:pPr>
              <w:widowControl/>
              <w:jc w:val="left"/>
              <w:textAlignment w:val="center"/>
              <w:rPr>
                <w:rFonts w:ascii="宋体" w:hAnsi="宋体"/>
                <w:color w:val="000000"/>
                <w:sz w:val="22"/>
                <w:szCs w:val="22"/>
              </w:rPr>
            </w:pPr>
            <w:r>
              <w:rPr>
                <w:rFonts w:hint="eastAsia" w:ascii="宋体" w:hAnsi="宋体"/>
                <w:color w:val="000000"/>
                <w:kern w:val="0"/>
                <w:sz w:val="22"/>
                <w:szCs w:val="22"/>
              </w:rPr>
              <w:t>有注册商标，被中央媒体宣传报导，在全国同行业具有较大影响的得50分；有注册商标，被省级媒体宣传报道，在全省同行业具有较大影响的得30分；有注册商标，被市级媒体宣传报导的，在全市同行业具有较大影响的得10分</w:t>
            </w:r>
          </w:p>
        </w:tc>
        <w:tc>
          <w:tcPr>
            <w:tcW w:w="992"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1134" w:type="dxa"/>
            <w:tcBorders>
              <w:top w:val="single" w:color="000000" w:sz="4" w:space="0"/>
              <w:left w:val="nil"/>
              <w:bottom w:val="single" w:color="000000" w:sz="4" w:space="0"/>
              <w:right w:val="single" w:color="000000" w:sz="4" w:space="0"/>
            </w:tcBorders>
            <w:noWrap w:val="0"/>
            <w:vAlign w:val="center"/>
          </w:tcPr>
          <w:p>
            <w:pPr>
              <w:rPr>
                <w:rFonts w:ascii="宋体" w:hAnsi="宋体"/>
                <w:color w:val="000000"/>
                <w:sz w:val="22"/>
                <w:szCs w:val="22"/>
              </w:rPr>
            </w:pPr>
          </w:p>
        </w:tc>
        <w:tc>
          <w:tcPr>
            <w:tcW w:w="709" w:type="dxa"/>
            <w:tcBorders>
              <w:top w:val="single" w:color="000000" w:sz="4" w:space="0"/>
              <w:left w:val="nil"/>
              <w:bottom w:val="single" w:color="000000" w:sz="4" w:space="0"/>
              <w:right w:val="single" w:color="000000" w:sz="4" w:space="0"/>
            </w:tcBorders>
            <w:noWrap/>
            <w:vAlign w:val="center"/>
          </w:tcPr>
          <w:p>
            <w:pPr>
              <w:rPr>
                <w:rFonts w:ascii="宋体" w:hAnsi="宋体"/>
                <w:color w:val="000000"/>
                <w:sz w:val="22"/>
                <w:szCs w:val="22"/>
              </w:rPr>
            </w:pPr>
          </w:p>
        </w:tc>
      </w:tr>
    </w:tbl>
    <w:p>
      <w:pPr>
        <w:jc w:val="center"/>
        <w:rPr>
          <w:rFonts w:hint="default" w:ascii="Times New Roman" w:cs="Times New Roman" w:hAnsiTheme="minorEastAsia" w:eastAsiaTheme="minorEastAsia"/>
          <w:szCs w:val="21"/>
          <w:lang w:val="en-US" w:eastAsia="zh-CN"/>
        </w:rPr>
      </w:pPr>
    </w:p>
    <w:sectPr>
      <w:footerReference r:id="rId12" w:type="default"/>
      <w:footerReference r:id="rId13" w:type="even"/>
      <w:pgSz w:w="11907" w:h="16839"/>
      <w:pgMar w:top="1418" w:right="1134" w:bottom="1134"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rPr>
        <w:rStyle w:val="19"/>
      </w:rPr>
    </w:pPr>
    <w:r>
      <w:fldChar w:fldCharType="begin"/>
    </w:r>
    <w:r>
      <w:rPr>
        <w:rStyle w:val="19"/>
      </w:rPr>
      <w:instrText xml:space="preserve">PAGE  </w:instrText>
    </w:r>
    <w:r>
      <w:fldChar w:fldCharType="separate"/>
    </w:r>
    <w:r>
      <w:rPr>
        <w:rStyle w:val="19"/>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rPr>
        <w:rStyle w:val="19"/>
      </w:rPr>
    </w:pPr>
    <w:r>
      <w:fldChar w:fldCharType="begin"/>
    </w:r>
    <w:r>
      <w:rPr>
        <w:rStyle w:val="19"/>
      </w:rPr>
      <w:instrText xml:space="preserve">PAGE  </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Style w:val="19"/>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firstLine="9180" w:firstLineChars="5100"/>
      <w:rPr>
        <w:rStyle w:val="19"/>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rPr>
        <w:rStyle w:val="19"/>
      </w:rPr>
    </w:pPr>
    <w:r>
      <w:fldChar w:fldCharType="begin"/>
    </w:r>
    <w:r>
      <w:rPr>
        <w:rStyle w:val="19"/>
      </w:rPr>
      <w:instrText xml:space="preserve">PAGE  </w:instrText>
    </w:r>
    <w:r>
      <w:fldChar w:fldCharType="separate"/>
    </w:r>
    <w:r>
      <w:rPr>
        <w:rStyle w:val="19"/>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firstLine="9000" w:firstLineChars="5000"/>
      <w:rPr>
        <w:rStyle w:val="19"/>
      </w:rPr>
    </w:pPr>
    <w:r>
      <w:fldChar w:fldCharType="begin"/>
    </w:r>
    <w:r>
      <w:rPr>
        <w:rStyle w:val="19"/>
      </w:rPr>
      <w:instrText xml:space="preserve">PAGE  </w:instrText>
    </w:r>
    <w:r>
      <w:fldChar w:fldCharType="separate"/>
    </w:r>
    <w:r>
      <w:rPr>
        <w:rStyle w:val="19"/>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pPr>
    <w:r>
      <w:t>DB32/T ××××—2002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DB32/T ××××—2002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rPr>
        <w:rFonts w:hint="eastAsia" w:ascii="黑体" w:eastAsia="宋体"/>
        <w:lang w:eastAsia="zh-CN"/>
      </w:rPr>
    </w:pPr>
    <w:r>
      <w:rPr>
        <w:rFonts w:ascii="黑体"/>
      </w:rPr>
      <w:t>DB</w:t>
    </w:r>
    <w:r>
      <w:rPr>
        <w:rFonts w:hint="eastAsia" w:ascii="黑体"/>
      </w:rPr>
      <w:t>XX</w:t>
    </w:r>
    <w:r>
      <w:rPr>
        <w:rFonts w:ascii="黑体"/>
      </w:rPr>
      <w:t>/</w:t>
    </w:r>
    <w:r>
      <w:rPr>
        <w:rFonts w:hint="eastAsia" w:ascii="黑体"/>
      </w:rPr>
      <w:t>XXX</w:t>
    </w:r>
    <w:r>
      <w:rPr>
        <w:rFonts w:ascii="黑体"/>
      </w:rPr>
      <w:t>—20</w:t>
    </w:r>
    <w:r>
      <w:rPr>
        <w:rFonts w:hint="eastAsia" w:ascii="黑体"/>
      </w:rPr>
      <w:t>2</w:t>
    </w:r>
    <w:r>
      <w:rPr>
        <w:rFonts w:hint="eastAsia" w:ascii="黑体"/>
        <w:lang w:val="en-US" w:eastAsia="zh-CN"/>
      </w:rP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ind w:firstLine="7770" w:firstLineChars="3700"/>
      <w:rPr>
        <w:rFonts w:ascii="黑体"/>
      </w:rPr>
    </w:pPr>
    <w:r>
      <w:rPr>
        <w:rFonts w:ascii="黑体"/>
      </w:rPr>
      <w:t>DB32/769—200</w:t>
    </w:r>
    <w:r>
      <w:rPr>
        <w:rFonts w:hint="eastAsia" w:ascii="黑体"/>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5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
    <w:nsid w:val="2C5917C3"/>
    <w:multiLevelType w:val="multilevel"/>
    <w:tmpl w:val="2C5917C3"/>
    <w:lvl w:ilvl="0" w:tentative="0">
      <w:start w:val="1"/>
      <w:numFmt w:val="none"/>
      <w:pStyle w:val="62"/>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5214012E"/>
    <w:multiLevelType w:val="multilevel"/>
    <w:tmpl w:val="5214012E"/>
    <w:lvl w:ilvl="0" w:tentative="0">
      <w:start w:val="1"/>
      <w:numFmt w:val="lowerLetter"/>
      <w:pStyle w:val="61"/>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57D3FBC"/>
    <w:multiLevelType w:val="multilevel"/>
    <w:tmpl w:val="657D3FBC"/>
    <w:lvl w:ilvl="0" w:tentative="0">
      <w:start w:val="1"/>
      <w:numFmt w:val="upperLetter"/>
      <w:pStyle w:val="6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CEA2025"/>
    <w:multiLevelType w:val="multilevel"/>
    <w:tmpl w:val="6CEA2025"/>
    <w:lvl w:ilvl="0" w:tentative="0">
      <w:start w:val="1"/>
      <w:numFmt w:val="none"/>
      <w:pStyle w:val="39"/>
      <w:suff w:val="nothing"/>
      <w:lvlText w:val="%1"/>
      <w:lvlJc w:val="left"/>
      <w:pPr>
        <w:ind w:left="0" w:firstLine="0"/>
      </w:pPr>
      <w:rPr>
        <w:rFonts w:hint="default" w:ascii="Times New Roman" w:hAnsi="Times New Roman"/>
        <w:b/>
        <w:i w:val="0"/>
        <w:sz w:val="21"/>
      </w:rPr>
    </w:lvl>
    <w:lvl w:ilvl="1" w:tentative="0">
      <w:start w:val="1"/>
      <w:numFmt w:val="decimal"/>
      <w:pStyle w:val="34"/>
      <w:suff w:val="nothing"/>
      <w:lvlText w:val="%1%2　"/>
      <w:lvlJc w:val="left"/>
      <w:pPr>
        <w:ind w:left="0" w:firstLine="0"/>
      </w:pPr>
      <w:rPr>
        <w:rFonts w:hint="eastAsia" w:ascii="黑体" w:hAnsi="Times New Roman" w:eastAsia="黑体"/>
        <w:b w:val="0"/>
        <w:i w:val="0"/>
        <w:sz w:val="21"/>
      </w:rPr>
    </w:lvl>
    <w:lvl w:ilvl="2" w:tentative="0">
      <w:start w:val="1"/>
      <w:numFmt w:val="decimal"/>
      <w:pStyle w:val="33"/>
      <w:suff w:val="nothing"/>
      <w:lvlText w:val="%1%2.%3　"/>
      <w:lvlJc w:val="left"/>
      <w:pPr>
        <w:ind w:left="180" w:firstLine="0"/>
      </w:pPr>
      <w:rPr>
        <w:rFonts w:hint="eastAsia" w:ascii="黑体" w:hAnsi="Times New Roman" w:eastAsia="黑体"/>
        <w:b w:val="0"/>
        <w:i w:val="0"/>
        <w:sz w:val="21"/>
      </w:rPr>
    </w:lvl>
    <w:lvl w:ilvl="3" w:tentative="0">
      <w:start w:val="1"/>
      <w:numFmt w:val="decimal"/>
      <w:pStyle w:val="32"/>
      <w:suff w:val="nothing"/>
      <w:lvlText w:val="%1%2.%3.%4　"/>
      <w:lvlJc w:val="left"/>
      <w:pPr>
        <w:ind w:left="0" w:firstLine="0"/>
      </w:pPr>
      <w:rPr>
        <w:rFonts w:hint="eastAsia" w:ascii="黑体" w:hAnsi="Times New Roman" w:eastAsia="黑体"/>
        <w:b w:val="0"/>
        <w:i w:val="0"/>
        <w:sz w:val="21"/>
      </w:rPr>
    </w:lvl>
    <w:lvl w:ilvl="4" w:tentative="0">
      <w:start w:val="1"/>
      <w:numFmt w:val="decimal"/>
      <w:pStyle w:val="31"/>
      <w:suff w:val="nothing"/>
      <w:lvlText w:val="%1%2.%3.%4.%5　"/>
      <w:lvlJc w:val="left"/>
      <w:pPr>
        <w:ind w:left="0" w:firstLine="0"/>
      </w:pPr>
      <w:rPr>
        <w:rFonts w:hint="eastAsia" w:ascii="黑体" w:hAnsi="Times New Roman" w:eastAsia="黑体"/>
        <w:b w:val="0"/>
        <w:i w:val="0"/>
        <w:sz w:val="21"/>
      </w:rPr>
    </w:lvl>
    <w:lvl w:ilvl="5" w:tentative="0">
      <w:start w:val="1"/>
      <w:numFmt w:val="decimal"/>
      <w:pStyle w:val="30"/>
      <w:suff w:val="nothing"/>
      <w:lvlText w:val="%1%2.%3.%4.%5.%6　"/>
      <w:lvlJc w:val="left"/>
      <w:pPr>
        <w:ind w:left="0" w:firstLine="0"/>
      </w:pPr>
      <w:rPr>
        <w:rFonts w:hint="eastAsia" w:ascii="黑体" w:hAnsi="Times New Roman" w:eastAsia="黑体"/>
        <w:b w:val="0"/>
        <w:i w:val="0"/>
        <w:sz w:val="21"/>
      </w:rPr>
    </w:lvl>
    <w:lvl w:ilvl="6" w:tentative="0">
      <w:start w:val="1"/>
      <w:numFmt w:val="decimal"/>
      <w:pStyle w:val="4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jMWM0MzJlZThiYjAzZWYwOGY1ZmVlMjU0Yjc0YzUifQ=="/>
  </w:docVars>
  <w:rsids>
    <w:rsidRoot w:val="00172A27"/>
    <w:rsid w:val="000011B3"/>
    <w:rsid w:val="00003AED"/>
    <w:rsid w:val="00006F60"/>
    <w:rsid w:val="000100C5"/>
    <w:rsid w:val="0001037C"/>
    <w:rsid w:val="00012D82"/>
    <w:rsid w:val="0003373B"/>
    <w:rsid w:val="000373E8"/>
    <w:rsid w:val="00045AFC"/>
    <w:rsid w:val="00045CB8"/>
    <w:rsid w:val="00051499"/>
    <w:rsid w:val="000517FB"/>
    <w:rsid w:val="00052033"/>
    <w:rsid w:val="00067CC2"/>
    <w:rsid w:val="00070303"/>
    <w:rsid w:val="00070B01"/>
    <w:rsid w:val="00070B12"/>
    <w:rsid w:val="000723C5"/>
    <w:rsid w:val="00072EA2"/>
    <w:rsid w:val="00082EF6"/>
    <w:rsid w:val="00083241"/>
    <w:rsid w:val="000832FC"/>
    <w:rsid w:val="0009301A"/>
    <w:rsid w:val="00095202"/>
    <w:rsid w:val="000A033F"/>
    <w:rsid w:val="000A19B4"/>
    <w:rsid w:val="000A60F2"/>
    <w:rsid w:val="000A7210"/>
    <w:rsid w:val="000B0C03"/>
    <w:rsid w:val="000B2C4F"/>
    <w:rsid w:val="000B44CB"/>
    <w:rsid w:val="000C0CB6"/>
    <w:rsid w:val="000C38A3"/>
    <w:rsid w:val="000C46E5"/>
    <w:rsid w:val="000D7469"/>
    <w:rsid w:val="000D74EE"/>
    <w:rsid w:val="000E2BB0"/>
    <w:rsid w:val="000E63A4"/>
    <w:rsid w:val="000E6D03"/>
    <w:rsid w:val="000E716C"/>
    <w:rsid w:val="00101660"/>
    <w:rsid w:val="001018C7"/>
    <w:rsid w:val="00102393"/>
    <w:rsid w:val="00103D97"/>
    <w:rsid w:val="0010516D"/>
    <w:rsid w:val="00111429"/>
    <w:rsid w:val="00111B02"/>
    <w:rsid w:val="00112073"/>
    <w:rsid w:val="001121A3"/>
    <w:rsid w:val="001358C9"/>
    <w:rsid w:val="001369B9"/>
    <w:rsid w:val="00137B8F"/>
    <w:rsid w:val="00140CFE"/>
    <w:rsid w:val="00144B81"/>
    <w:rsid w:val="00145376"/>
    <w:rsid w:val="0015276E"/>
    <w:rsid w:val="00154009"/>
    <w:rsid w:val="00154AB8"/>
    <w:rsid w:val="00154DE1"/>
    <w:rsid w:val="0015622A"/>
    <w:rsid w:val="00166021"/>
    <w:rsid w:val="00166DCF"/>
    <w:rsid w:val="001675AF"/>
    <w:rsid w:val="00171714"/>
    <w:rsid w:val="00174819"/>
    <w:rsid w:val="00177807"/>
    <w:rsid w:val="00181B3D"/>
    <w:rsid w:val="001849B8"/>
    <w:rsid w:val="00187CEC"/>
    <w:rsid w:val="001948FB"/>
    <w:rsid w:val="00195695"/>
    <w:rsid w:val="0019711E"/>
    <w:rsid w:val="001A1417"/>
    <w:rsid w:val="001A1676"/>
    <w:rsid w:val="001A6BD4"/>
    <w:rsid w:val="001B090C"/>
    <w:rsid w:val="001B4FE1"/>
    <w:rsid w:val="001B6577"/>
    <w:rsid w:val="001B7BD9"/>
    <w:rsid w:val="001C2146"/>
    <w:rsid w:val="001D1C97"/>
    <w:rsid w:val="001D6136"/>
    <w:rsid w:val="001E79F8"/>
    <w:rsid w:val="001F32E8"/>
    <w:rsid w:val="001F5BC0"/>
    <w:rsid w:val="001F7A5A"/>
    <w:rsid w:val="00201096"/>
    <w:rsid w:val="00204ADB"/>
    <w:rsid w:val="0020561E"/>
    <w:rsid w:val="00213A78"/>
    <w:rsid w:val="00214AEE"/>
    <w:rsid w:val="002163AB"/>
    <w:rsid w:val="0021643B"/>
    <w:rsid w:val="00226ADB"/>
    <w:rsid w:val="00237E71"/>
    <w:rsid w:val="00244252"/>
    <w:rsid w:val="0024511B"/>
    <w:rsid w:val="00251D7E"/>
    <w:rsid w:val="0025697D"/>
    <w:rsid w:val="002601EB"/>
    <w:rsid w:val="0027087E"/>
    <w:rsid w:val="002749D3"/>
    <w:rsid w:val="002757D4"/>
    <w:rsid w:val="00275B25"/>
    <w:rsid w:val="00280870"/>
    <w:rsid w:val="0028585F"/>
    <w:rsid w:val="00286542"/>
    <w:rsid w:val="00293A96"/>
    <w:rsid w:val="00296309"/>
    <w:rsid w:val="002A26FF"/>
    <w:rsid w:val="002A4553"/>
    <w:rsid w:val="002A78EF"/>
    <w:rsid w:val="002B11EE"/>
    <w:rsid w:val="002B304F"/>
    <w:rsid w:val="002C06FB"/>
    <w:rsid w:val="002C6D1C"/>
    <w:rsid w:val="002C7985"/>
    <w:rsid w:val="002D3A0C"/>
    <w:rsid w:val="002D7AC2"/>
    <w:rsid w:val="002E2090"/>
    <w:rsid w:val="002E363F"/>
    <w:rsid w:val="002F1BB9"/>
    <w:rsid w:val="002F280E"/>
    <w:rsid w:val="002F3A13"/>
    <w:rsid w:val="00310968"/>
    <w:rsid w:val="0031379F"/>
    <w:rsid w:val="00313FD6"/>
    <w:rsid w:val="00316427"/>
    <w:rsid w:val="00316B79"/>
    <w:rsid w:val="0031762C"/>
    <w:rsid w:val="00320507"/>
    <w:rsid w:val="00330DC4"/>
    <w:rsid w:val="003310C1"/>
    <w:rsid w:val="00333803"/>
    <w:rsid w:val="00336202"/>
    <w:rsid w:val="003428C5"/>
    <w:rsid w:val="00344D91"/>
    <w:rsid w:val="00346C4D"/>
    <w:rsid w:val="0035114D"/>
    <w:rsid w:val="0035421D"/>
    <w:rsid w:val="003546CC"/>
    <w:rsid w:val="0036693F"/>
    <w:rsid w:val="00370797"/>
    <w:rsid w:val="00373CF7"/>
    <w:rsid w:val="00380FC5"/>
    <w:rsid w:val="0038383A"/>
    <w:rsid w:val="0038599A"/>
    <w:rsid w:val="00386D75"/>
    <w:rsid w:val="003961FC"/>
    <w:rsid w:val="0039680B"/>
    <w:rsid w:val="0039749E"/>
    <w:rsid w:val="0039772F"/>
    <w:rsid w:val="003A109E"/>
    <w:rsid w:val="003B3500"/>
    <w:rsid w:val="003B60AF"/>
    <w:rsid w:val="003B785B"/>
    <w:rsid w:val="003B79E2"/>
    <w:rsid w:val="003C31CC"/>
    <w:rsid w:val="003C3B61"/>
    <w:rsid w:val="003E1F4D"/>
    <w:rsid w:val="003E3A3A"/>
    <w:rsid w:val="003E3A8F"/>
    <w:rsid w:val="003F380F"/>
    <w:rsid w:val="003F3DB4"/>
    <w:rsid w:val="003F66E1"/>
    <w:rsid w:val="004016C9"/>
    <w:rsid w:val="0040260A"/>
    <w:rsid w:val="004027CA"/>
    <w:rsid w:val="00404B5C"/>
    <w:rsid w:val="004117EB"/>
    <w:rsid w:val="00411C13"/>
    <w:rsid w:val="00412379"/>
    <w:rsid w:val="00414D85"/>
    <w:rsid w:val="0041726B"/>
    <w:rsid w:val="00420CFF"/>
    <w:rsid w:val="00434714"/>
    <w:rsid w:val="004347FA"/>
    <w:rsid w:val="0043510B"/>
    <w:rsid w:val="00436F2C"/>
    <w:rsid w:val="00437E47"/>
    <w:rsid w:val="004409A1"/>
    <w:rsid w:val="00442FF4"/>
    <w:rsid w:val="00443AB5"/>
    <w:rsid w:val="00444D2D"/>
    <w:rsid w:val="00450955"/>
    <w:rsid w:val="0045306B"/>
    <w:rsid w:val="004532E5"/>
    <w:rsid w:val="0045579C"/>
    <w:rsid w:val="004610A9"/>
    <w:rsid w:val="00462210"/>
    <w:rsid w:val="00462326"/>
    <w:rsid w:val="004623D5"/>
    <w:rsid w:val="00464822"/>
    <w:rsid w:val="00470B2B"/>
    <w:rsid w:val="00474A23"/>
    <w:rsid w:val="004776E5"/>
    <w:rsid w:val="00477FB1"/>
    <w:rsid w:val="00482421"/>
    <w:rsid w:val="004838B7"/>
    <w:rsid w:val="00484BDA"/>
    <w:rsid w:val="00486F10"/>
    <w:rsid w:val="00492F34"/>
    <w:rsid w:val="00493720"/>
    <w:rsid w:val="004944B5"/>
    <w:rsid w:val="00494A37"/>
    <w:rsid w:val="00497816"/>
    <w:rsid w:val="004A0D71"/>
    <w:rsid w:val="004A260C"/>
    <w:rsid w:val="004A416A"/>
    <w:rsid w:val="004A5801"/>
    <w:rsid w:val="004B05A5"/>
    <w:rsid w:val="004D37C7"/>
    <w:rsid w:val="004D4ED0"/>
    <w:rsid w:val="004D7AB8"/>
    <w:rsid w:val="004E1722"/>
    <w:rsid w:val="004E61B1"/>
    <w:rsid w:val="004F547B"/>
    <w:rsid w:val="004F570D"/>
    <w:rsid w:val="004F6C28"/>
    <w:rsid w:val="005005E6"/>
    <w:rsid w:val="00505C0A"/>
    <w:rsid w:val="005063C8"/>
    <w:rsid w:val="0050797B"/>
    <w:rsid w:val="0051367C"/>
    <w:rsid w:val="00520651"/>
    <w:rsid w:val="00521171"/>
    <w:rsid w:val="00530DA8"/>
    <w:rsid w:val="005321C8"/>
    <w:rsid w:val="00537DA6"/>
    <w:rsid w:val="00540774"/>
    <w:rsid w:val="005421C5"/>
    <w:rsid w:val="0054618D"/>
    <w:rsid w:val="00552B15"/>
    <w:rsid w:val="00553E75"/>
    <w:rsid w:val="005545C1"/>
    <w:rsid w:val="005607FB"/>
    <w:rsid w:val="00564229"/>
    <w:rsid w:val="0057476E"/>
    <w:rsid w:val="00574AA1"/>
    <w:rsid w:val="005953DC"/>
    <w:rsid w:val="005B37AD"/>
    <w:rsid w:val="005B45FD"/>
    <w:rsid w:val="005B63BF"/>
    <w:rsid w:val="005B6AE3"/>
    <w:rsid w:val="005B7B19"/>
    <w:rsid w:val="005C0E4F"/>
    <w:rsid w:val="005C3DBC"/>
    <w:rsid w:val="005C5795"/>
    <w:rsid w:val="005D096D"/>
    <w:rsid w:val="005D5DF8"/>
    <w:rsid w:val="005D6037"/>
    <w:rsid w:val="005D7CA6"/>
    <w:rsid w:val="005E14BF"/>
    <w:rsid w:val="005E1A81"/>
    <w:rsid w:val="005E464B"/>
    <w:rsid w:val="005F392A"/>
    <w:rsid w:val="005F70E9"/>
    <w:rsid w:val="00600D6F"/>
    <w:rsid w:val="0060361F"/>
    <w:rsid w:val="00605B1E"/>
    <w:rsid w:val="006120AB"/>
    <w:rsid w:val="00612466"/>
    <w:rsid w:val="006149F4"/>
    <w:rsid w:val="00614B69"/>
    <w:rsid w:val="0061593C"/>
    <w:rsid w:val="00621DF6"/>
    <w:rsid w:val="00624595"/>
    <w:rsid w:val="00626BEE"/>
    <w:rsid w:val="00631892"/>
    <w:rsid w:val="00631C75"/>
    <w:rsid w:val="00634CCF"/>
    <w:rsid w:val="006374A9"/>
    <w:rsid w:val="006400BD"/>
    <w:rsid w:val="00640AC1"/>
    <w:rsid w:val="00640F97"/>
    <w:rsid w:val="006430A1"/>
    <w:rsid w:val="0064416B"/>
    <w:rsid w:val="00644E7E"/>
    <w:rsid w:val="0064702C"/>
    <w:rsid w:val="006472C4"/>
    <w:rsid w:val="00650F92"/>
    <w:rsid w:val="00653634"/>
    <w:rsid w:val="00654032"/>
    <w:rsid w:val="00654F46"/>
    <w:rsid w:val="00671AEF"/>
    <w:rsid w:val="00677EDD"/>
    <w:rsid w:val="00682CB5"/>
    <w:rsid w:val="006908CA"/>
    <w:rsid w:val="00693429"/>
    <w:rsid w:val="00695F94"/>
    <w:rsid w:val="006966D4"/>
    <w:rsid w:val="006A4EF2"/>
    <w:rsid w:val="006B51DA"/>
    <w:rsid w:val="006B6536"/>
    <w:rsid w:val="006C0846"/>
    <w:rsid w:val="006D07F0"/>
    <w:rsid w:val="006D3E57"/>
    <w:rsid w:val="006D3F1C"/>
    <w:rsid w:val="006D6B31"/>
    <w:rsid w:val="006D6D0F"/>
    <w:rsid w:val="006E0B4A"/>
    <w:rsid w:val="006E0DD2"/>
    <w:rsid w:val="006E286E"/>
    <w:rsid w:val="006E2A81"/>
    <w:rsid w:val="006E3D90"/>
    <w:rsid w:val="006F7C31"/>
    <w:rsid w:val="00700A55"/>
    <w:rsid w:val="007023E1"/>
    <w:rsid w:val="00702607"/>
    <w:rsid w:val="00703DD9"/>
    <w:rsid w:val="00715505"/>
    <w:rsid w:val="00717919"/>
    <w:rsid w:val="007254D1"/>
    <w:rsid w:val="007258B2"/>
    <w:rsid w:val="00732DE7"/>
    <w:rsid w:val="00735FF6"/>
    <w:rsid w:val="007463F0"/>
    <w:rsid w:val="0075453B"/>
    <w:rsid w:val="00755EB7"/>
    <w:rsid w:val="00770FF4"/>
    <w:rsid w:val="00776E07"/>
    <w:rsid w:val="007804C7"/>
    <w:rsid w:val="0078171C"/>
    <w:rsid w:val="00783FB6"/>
    <w:rsid w:val="007A31F9"/>
    <w:rsid w:val="007A58E2"/>
    <w:rsid w:val="007A5B4B"/>
    <w:rsid w:val="007B0A86"/>
    <w:rsid w:val="007B3BB7"/>
    <w:rsid w:val="007B7D41"/>
    <w:rsid w:val="007B7E2F"/>
    <w:rsid w:val="007C0C68"/>
    <w:rsid w:val="007C2BF6"/>
    <w:rsid w:val="007C6C1C"/>
    <w:rsid w:val="007C73A1"/>
    <w:rsid w:val="007D1133"/>
    <w:rsid w:val="007D43EF"/>
    <w:rsid w:val="007D495D"/>
    <w:rsid w:val="007D4D46"/>
    <w:rsid w:val="007E7125"/>
    <w:rsid w:val="007F428D"/>
    <w:rsid w:val="007F5930"/>
    <w:rsid w:val="00801B90"/>
    <w:rsid w:val="00803A45"/>
    <w:rsid w:val="00813244"/>
    <w:rsid w:val="00821D34"/>
    <w:rsid w:val="008226D3"/>
    <w:rsid w:val="00831D8C"/>
    <w:rsid w:val="0083405F"/>
    <w:rsid w:val="00835CC4"/>
    <w:rsid w:val="00842F4E"/>
    <w:rsid w:val="00844886"/>
    <w:rsid w:val="008462AD"/>
    <w:rsid w:val="0085264D"/>
    <w:rsid w:val="00856221"/>
    <w:rsid w:val="0085774C"/>
    <w:rsid w:val="00857F3C"/>
    <w:rsid w:val="00862108"/>
    <w:rsid w:val="008667C2"/>
    <w:rsid w:val="00866C0F"/>
    <w:rsid w:val="0087016E"/>
    <w:rsid w:val="00870B40"/>
    <w:rsid w:val="0087221C"/>
    <w:rsid w:val="0087478E"/>
    <w:rsid w:val="008759AA"/>
    <w:rsid w:val="0088059B"/>
    <w:rsid w:val="008810A5"/>
    <w:rsid w:val="008815AF"/>
    <w:rsid w:val="00883E6F"/>
    <w:rsid w:val="00886106"/>
    <w:rsid w:val="00886E50"/>
    <w:rsid w:val="008877CC"/>
    <w:rsid w:val="008A26DC"/>
    <w:rsid w:val="008A35E8"/>
    <w:rsid w:val="008A7649"/>
    <w:rsid w:val="008A7BE5"/>
    <w:rsid w:val="008A7CFC"/>
    <w:rsid w:val="008B51CD"/>
    <w:rsid w:val="008C0187"/>
    <w:rsid w:val="008C048C"/>
    <w:rsid w:val="008C7466"/>
    <w:rsid w:val="008D3995"/>
    <w:rsid w:val="008D585F"/>
    <w:rsid w:val="008D5E33"/>
    <w:rsid w:val="008D75C9"/>
    <w:rsid w:val="008E2479"/>
    <w:rsid w:val="008E384F"/>
    <w:rsid w:val="008E7BE3"/>
    <w:rsid w:val="008F1002"/>
    <w:rsid w:val="008F5E72"/>
    <w:rsid w:val="008F6F49"/>
    <w:rsid w:val="0090236C"/>
    <w:rsid w:val="009045D3"/>
    <w:rsid w:val="00911B89"/>
    <w:rsid w:val="00912684"/>
    <w:rsid w:val="00913DFB"/>
    <w:rsid w:val="00920F57"/>
    <w:rsid w:val="00921611"/>
    <w:rsid w:val="00925F99"/>
    <w:rsid w:val="00930D61"/>
    <w:rsid w:val="00941B74"/>
    <w:rsid w:val="00946706"/>
    <w:rsid w:val="009473F2"/>
    <w:rsid w:val="00950C04"/>
    <w:rsid w:val="00950E99"/>
    <w:rsid w:val="00951CEA"/>
    <w:rsid w:val="0095378F"/>
    <w:rsid w:val="00955DB1"/>
    <w:rsid w:val="00956162"/>
    <w:rsid w:val="00963D9E"/>
    <w:rsid w:val="00965BC8"/>
    <w:rsid w:val="00983504"/>
    <w:rsid w:val="00984631"/>
    <w:rsid w:val="009878D5"/>
    <w:rsid w:val="0099274A"/>
    <w:rsid w:val="00992F77"/>
    <w:rsid w:val="00993C2E"/>
    <w:rsid w:val="00995648"/>
    <w:rsid w:val="009A159D"/>
    <w:rsid w:val="009A4830"/>
    <w:rsid w:val="009B0481"/>
    <w:rsid w:val="009B505A"/>
    <w:rsid w:val="009B5FD1"/>
    <w:rsid w:val="009B7FCA"/>
    <w:rsid w:val="009C1045"/>
    <w:rsid w:val="009C10DB"/>
    <w:rsid w:val="009C30AC"/>
    <w:rsid w:val="009C5FFC"/>
    <w:rsid w:val="009C753F"/>
    <w:rsid w:val="009D04CE"/>
    <w:rsid w:val="009D1BF5"/>
    <w:rsid w:val="009E2824"/>
    <w:rsid w:val="00A00285"/>
    <w:rsid w:val="00A05CCD"/>
    <w:rsid w:val="00A0681F"/>
    <w:rsid w:val="00A113D0"/>
    <w:rsid w:val="00A12C87"/>
    <w:rsid w:val="00A1651A"/>
    <w:rsid w:val="00A27603"/>
    <w:rsid w:val="00A34011"/>
    <w:rsid w:val="00A42996"/>
    <w:rsid w:val="00A448A1"/>
    <w:rsid w:val="00A46478"/>
    <w:rsid w:val="00A46554"/>
    <w:rsid w:val="00A50A5A"/>
    <w:rsid w:val="00A60CF3"/>
    <w:rsid w:val="00A63A63"/>
    <w:rsid w:val="00A70EF4"/>
    <w:rsid w:val="00A72CC2"/>
    <w:rsid w:val="00A73123"/>
    <w:rsid w:val="00A736F9"/>
    <w:rsid w:val="00A80258"/>
    <w:rsid w:val="00A83CE3"/>
    <w:rsid w:val="00A900B4"/>
    <w:rsid w:val="00A94252"/>
    <w:rsid w:val="00A954D4"/>
    <w:rsid w:val="00A96FAD"/>
    <w:rsid w:val="00A97EE5"/>
    <w:rsid w:val="00AA1480"/>
    <w:rsid w:val="00AA2D9F"/>
    <w:rsid w:val="00AA785D"/>
    <w:rsid w:val="00AB1A41"/>
    <w:rsid w:val="00AB4619"/>
    <w:rsid w:val="00AB7AA1"/>
    <w:rsid w:val="00AC1993"/>
    <w:rsid w:val="00AC1C3A"/>
    <w:rsid w:val="00AD3328"/>
    <w:rsid w:val="00AE66FF"/>
    <w:rsid w:val="00AF3913"/>
    <w:rsid w:val="00AF5D8C"/>
    <w:rsid w:val="00B07711"/>
    <w:rsid w:val="00B35331"/>
    <w:rsid w:val="00B465C4"/>
    <w:rsid w:val="00B515E9"/>
    <w:rsid w:val="00B5616F"/>
    <w:rsid w:val="00B568F3"/>
    <w:rsid w:val="00B57586"/>
    <w:rsid w:val="00B576C5"/>
    <w:rsid w:val="00B602E5"/>
    <w:rsid w:val="00B603DB"/>
    <w:rsid w:val="00B63B61"/>
    <w:rsid w:val="00B75A40"/>
    <w:rsid w:val="00B84950"/>
    <w:rsid w:val="00B84AE8"/>
    <w:rsid w:val="00B946FA"/>
    <w:rsid w:val="00BA5CBA"/>
    <w:rsid w:val="00BA6247"/>
    <w:rsid w:val="00BB59CF"/>
    <w:rsid w:val="00BC0397"/>
    <w:rsid w:val="00BC143F"/>
    <w:rsid w:val="00BC40F8"/>
    <w:rsid w:val="00BC6566"/>
    <w:rsid w:val="00BD464D"/>
    <w:rsid w:val="00BD54FB"/>
    <w:rsid w:val="00BE00B1"/>
    <w:rsid w:val="00BE0891"/>
    <w:rsid w:val="00BE216E"/>
    <w:rsid w:val="00BE436F"/>
    <w:rsid w:val="00BE43B6"/>
    <w:rsid w:val="00BE7FFA"/>
    <w:rsid w:val="00BF1D0C"/>
    <w:rsid w:val="00BF375C"/>
    <w:rsid w:val="00C0525A"/>
    <w:rsid w:val="00C05FCE"/>
    <w:rsid w:val="00C109CC"/>
    <w:rsid w:val="00C12C52"/>
    <w:rsid w:val="00C1325E"/>
    <w:rsid w:val="00C14F43"/>
    <w:rsid w:val="00C15B8E"/>
    <w:rsid w:val="00C16797"/>
    <w:rsid w:val="00C17266"/>
    <w:rsid w:val="00C27165"/>
    <w:rsid w:val="00C2748F"/>
    <w:rsid w:val="00C319D3"/>
    <w:rsid w:val="00C41FBB"/>
    <w:rsid w:val="00C42E9B"/>
    <w:rsid w:val="00C44F91"/>
    <w:rsid w:val="00C529A7"/>
    <w:rsid w:val="00C65085"/>
    <w:rsid w:val="00C67131"/>
    <w:rsid w:val="00C73BB4"/>
    <w:rsid w:val="00C74D64"/>
    <w:rsid w:val="00C77348"/>
    <w:rsid w:val="00C84BF0"/>
    <w:rsid w:val="00C84D08"/>
    <w:rsid w:val="00C85897"/>
    <w:rsid w:val="00C86AC3"/>
    <w:rsid w:val="00C86FCA"/>
    <w:rsid w:val="00C91660"/>
    <w:rsid w:val="00C9409E"/>
    <w:rsid w:val="00C974BB"/>
    <w:rsid w:val="00CA514A"/>
    <w:rsid w:val="00CA5EED"/>
    <w:rsid w:val="00CC0D3E"/>
    <w:rsid w:val="00CC5FCF"/>
    <w:rsid w:val="00CD0C61"/>
    <w:rsid w:val="00CD6392"/>
    <w:rsid w:val="00CD6A22"/>
    <w:rsid w:val="00CE0AE8"/>
    <w:rsid w:val="00CE26CF"/>
    <w:rsid w:val="00CE49AF"/>
    <w:rsid w:val="00CE75EB"/>
    <w:rsid w:val="00CF475C"/>
    <w:rsid w:val="00CF5524"/>
    <w:rsid w:val="00D0372E"/>
    <w:rsid w:val="00D07A57"/>
    <w:rsid w:val="00D10840"/>
    <w:rsid w:val="00D10D12"/>
    <w:rsid w:val="00D17BA0"/>
    <w:rsid w:val="00D2022E"/>
    <w:rsid w:val="00D210AF"/>
    <w:rsid w:val="00D246A1"/>
    <w:rsid w:val="00D2563E"/>
    <w:rsid w:val="00D26069"/>
    <w:rsid w:val="00D30A5B"/>
    <w:rsid w:val="00D357BB"/>
    <w:rsid w:val="00D3640F"/>
    <w:rsid w:val="00D37DB7"/>
    <w:rsid w:val="00D40463"/>
    <w:rsid w:val="00D459B9"/>
    <w:rsid w:val="00D52D67"/>
    <w:rsid w:val="00D53A33"/>
    <w:rsid w:val="00D57F3F"/>
    <w:rsid w:val="00D66B27"/>
    <w:rsid w:val="00D72C32"/>
    <w:rsid w:val="00D740CE"/>
    <w:rsid w:val="00D82F21"/>
    <w:rsid w:val="00D85E94"/>
    <w:rsid w:val="00D9020A"/>
    <w:rsid w:val="00D910AD"/>
    <w:rsid w:val="00D91C3B"/>
    <w:rsid w:val="00D92FEE"/>
    <w:rsid w:val="00D962EC"/>
    <w:rsid w:val="00DA0A24"/>
    <w:rsid w:val="00DA0D52"/>
    <w:rsid w:val="00DA5359"/>
    <w:rsid w:val="00DA7D7A"/>
    <w:rsid w:val="00DC0817"/>
    <w:rsid w:val="00DC48F5"/>
    <w:rsid w:val="00DC4AE0"/>
    <w:rsid w:val="00DC6834"/>
    <w:rsid w:val="00DD0ACB"/>
    <w:rsid w:val="00DD2E21"/>
    <w:rsid w:val="00DD301B"/>
    <w:rsid w:val="00DD3C38"/>
    <w:rsid w:val="00DE0A24"/>
    <w:rsid w:val="00DE1BBA"/>
    <w:rsid w:val="00DE35DE"/>
    <w:rsid w:val="00DE730E"/>
    <w:rsid w:val="00DF0D8B"/>
    <w:rsid w:val="00DF134D"/>
    <w:rsid w:val="00DF272A"/>
    <w:rsid w:val="00DF492C"/>
    <w:rsid w:val="00E01598"/>
    <w:rsid w:val="00E064D3"/>
    <w:rsid w:val="00E1209B"/>
    <w:rsid w:val="00E13163"/>
    <w:rsid w:val="00E1710E"/>
    <w:rsid w:val="00E17D5F"/>
    <w:rsid w:val="00E25B65"/>
    <w:rsid w:val="00E30438"/>
    <w:rsid w:val="00E328BA"/>
    <w:rsid w:val="00E33E79"/>
    <w:rsid w:val="00E3400A"/>
    <w:rsid w:val="00E40C36"/>
    <w:rsid w:val="00E416D9"/>
    <w:rsid w:val="00E451D8"/>
    <w:rsid w:val="00E46642"/>
    <w:rsid w:val="00E5175A"/>
    <w:rsid w:val="00E546DB"/>
    <w:rsid w:val="00E60602"/>
    <w:rsid w:val="00E65301"/>
    <w:rsid w:val="00E675DD"/>
    <w:rsid w:val="00E67C09"/>
    <w:rsid w:val="00E70320"/>
    <w:rsid w:val="00E737B7"/>
    <w:rsid w:val="00E77A0E"/>
    <w:rsid w:val="00E805F9"/>
    <w:rsid w:val="00E905D5"/>
    <w:rsid w:val="00E918C7"/>
    <w:rsid w:val="00E928F9"/>
    <w:rsid w:val="00E93220"/>
    <w:rsid w:val="00E9481C"/>
    <w:rsid w:val="00E96800"/>
    <w:rsid w:val="00EA0DCB"/>
    <w:rsid w:val="00EA1212"/>
    <w:rsid w:val="00EA488E"/>
    <w:rsid w:val="00EA4CFF"/>
    <w:rsid w:val="00EA5C93"/>
    <w:rsid w:val="00EB0369"/>
    <w:rsid w:val="00EB6EA8"/>
    <w:rsid w:val="00EC2DBF"/>
    <w:rsid w:val="00EC3118"/>
    <w:rsid w:val="00EC4DD9"/>
    <w:rsid w:val="00ED0797"/>
    <w:rsid w:val="00ED12DA"/>
    <w:rsid w:val="00ED2B58"/>
    <w:rsid w:val="00ED42B0"/>
    <w:rsid w:val="00ED48A7"/>
    <w:rsid w:val="00ED6F44"/>
    <w:rsid w:val="00EE4A02"/>
    <w:rsid w:val="00EE511D"/>
    <w:rsid w:val="00EF10FF"/>
    <w:rsid w:val="00EF136B"/>
    <w:rsid w:val="00F03F53"/>
    <w:rsid w:val="00F120B4"/>
    <w:rsid w:val="00F20486"/>
    <w:rsid w:val="00F2442A"/>
    <w:rsid w:val="00F2734B"/>
    <w:rsid w:val="00F33836"/>
    <w:rsid w:val="00F41CF0"/>
    <w:rsid w:val="00F45ABC"/>
    <w:rsid w:val="00F46324"/>
    <w:rsid w:val="00F54856"/>
    <w:rsid w:val="00F56003"/>
    <w:rsid w:val="00F5663A"/>
    <w:rsid w:val="00F56B59"/>
    <w:rsid w:val="00F6532D"/>
    <w:rsid w:val="00F65588"/>
    <w:rsid w:val="00F65B0C"/>
    <w:rsid w:val="00F700AC"/>
    <w:rsid w:val="00F735A2"/>
    <w:rsid w:val="00F81397"/>
    <w:rsid w:val="00F84675"/>
    <w:rsid w:val="00F846EF"/>
    <w:rsid w:val="00F84AFF"/>
    <w:rsid w:val="00F945FD"/>
    <w:rsid w:val="00F94A85"/>
    <w:rsid w:val="00F959F0"/>
    <w:rsid w:val="00F9771D"/>
    <w:rsid w:val="00FA1BF0"/>
    <w:rsid w:val="00FA2940"/>
    <w:rsid w:val="00FA721B"/>
    <w:rsid w:val="00FA78E7"/>
    <w:rsid w:val="00FB531C"/>
    <w:rsid w:val="00FB613B"/>
    <w:rsid w:val="00FB7490"/>
    <w:rsid w:val="00FC1FD6"/>
    <w:rsid w:val="00FC229A"/>
    <w:rsid w:val="00FC5A6A"/>
    <w:rsid w:val="00FC6C3D"/>
    <w:rsid w:val="00FC6CC6"/>
    <w:rsid w:val="00FC74FB"/>
    <w:rsid w:val="00FD2748"/>
    <w:rsid w:val="00FD2E1D"/>
    <w:rsid w:val="00FD330D"/>
    <w:rsid w:val="00FD381D"/>
    <w:rsid w:val="00FE14E7"/>
    <w:rsid w:val="00FE3B62"/>
    <w:rsid w:val="00FE4D20"/>
    <w:rsid w:val="00FE50C5"/>
    <w:rsid w:val="00FE6F07"/>
    <w:rsid w:val="00FE73A1"/>
    <w:rsid w:val="013F4F52"/>
    <w:rsid w:val="10F91726"/>
    <w:rsid w:val="16597536"/>
    <w:rsid w:val="2B8F395A"/>
    <w:rsid w:val="2E1F2E0A"/>
    <w:rsid w:val="33587690"/>
    <w:rsid w:val="3E6162BE"/>
    <w:rsid w:val="4C5967B2"/>
    <w:rsid w:val="5F5E01E1"/>
    <w:rsid w:val="611E1FFD"/>
    <w:rsid w:val="653A1C66"/>
    <w:rsid w:val="66430929"/>
    <w:rsid w:val="667031E0"/>
    <w:rsid w:val="668512A3"/>
    <w:rsid w:val="68796B66"/>
    <w:rsid w:val="6E2039C3"/>
    <w:rsid w:val="709B7E84"/>
    <w:rsid w:val="70B06C96"/>
    <w:rsid w:val="71D64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name="toc 2"/>
    <w:lsdException w:qFormat="1" w:unhideWhenUsed="0"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spacing w:beforeLines="50" w:afterLines="50"/>
      <w:outlineLvl w:val="0"/>
    </w:pPr>
    <w:rPr>
      <w:rFonts w:eastAsia="黑体"/>
      <w:bCs/>
      <w:kern w:val="44"/>
      <w:szCs w:val="4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7"/>
    <w:qFormat/>
    <w:uiPriority w:val="0"/>
    <w:rPr>
      <w:rFonts w:ascii="宋体"/>
      <w:sz w:val="18"/>
      <w:szCs w:val="18"/>
    </w:rPr>
  </w:style>
  <w:style w:type="paragraph" w:styleId="4">
    <w:name w:val="annotation text"/>
    <w:basedOn w:val="1"/>
    <w:link w:val="28"/>
    <w:qFormat/>
    <w:uiPriority w:val="0"/>
    <w:pPr>
      <w:jc w:val="left"/>
    </w:pPr>
  </w:style>
  <w:style w:type="paragraph" w:styleId="5">
    <w:name w:val="Body Text Indent"/>
    <w:basedOn w:val="1"/>
    <w:qFormat/>
    <w:uiPriority w:val="0"/>
    <w:pPr>
      <w:ind w:firstLine="420" w:firstLineChars="200"/>
    </w:pPr>
    <w:rPr>
      <w:rFonts w:ascii="宋体" w:hAnsi="宋体"/>
      <w:szCs w:val="21"/>
    </w:rPr>
  </w:style>
  <w:style w:type="paragraph" w:styleId="6">
    <w:name w:val="toc 3"/>
    <w:basedOn w:val="1"/>
    <w:next w:val="1"/>
    <w:semiHidden/>
    <w:qFormat/>
    <w:uiPriority w:val="39"/>
    <w:pPr>
      <w:tabs>
        <w:tab w:val="right" w:leader="dot" w:pos="9241"/>
      </w:tabs>
      <w:ind w:firstLine="102" w:firstLineChars="100"/>
      <w:jc w:val="left"/>
    </w:pPr>
    <w:rPr>
      <w:rFonts w:ascii="宋体"/>
      <w:szCs w:val="21"/>
    </w:rPr>
  </w:style>
  <w:style w:type="paragraph" w:styleId="7">
    <w:name w:val="Date"/>
    <w:basedOn w:val="1"/>
    <w:next w:val="1"/>
    <w:link w:val="23"/>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tabs>
        <w:tab w:val="right" w:leader="dot" w:pos="9241"/>
      </w:tabs>
      <w:spacing w:beforeLines="25" w:afterLines="25"/>
      <w:jc w:val="left"/>
    </w:pPr>
    <w:rPr>
      <w:rFonts w:ascii="宋体"/>
      <w:szCs w:val="21"/>
    </w:rPr>
  </w:style>
  <w:style w:type="paragraph" w:styleId="12">
    <w:name w:val="toc 2"/>
    <w:basedOn w:val="1"/>
    <w:next w:val="1"/>
    <w:semiHidden/>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3">
    <w:name w:val="Normal (Web)"/>
    <w:basedOn w:val="1"/>
    <w:qFormat/>
    <w:uiPriority w:val="0"/>
    <w:pPr>
      <w:widowControl/>
      <w:spacing w:before="100" w:beforeAutospacing="1" w:after="100" w:afterAutospacing="1" w:line="336" w:lineRule="auto"/>
      <w:jc w:val="left"/>
    </w:pPr>
    <w:rPr>
      <w:rFonts w:ascii="ˎ̥" w:hAnsi="ˎ̥" w:cs="宋体"/>
      <w:kern w:val="0"/>
      <w:sz w:val="20"/>
      <w:szCs w:val="20"/>
    </w:rPr>
  </w:style>
  <w:style w:type="paragraph" w:styleId="14">
    <w:name w:val="Title"/>
    <w:basedOn w:val="1"/>
    <w:next w:val="1"/>
    <w:link w:val="58"/>
    <w:qFormat/>
    <w:uiPriority w:val="0"/>
    <w:pPr>
      <w:spacing w:beforeLines="50" w:afterLines="50"/>
      <w:jc w:val="left"/>
      <w:outlineLvl w:val="0"/>
    </w:pPr>
    <w:rPr>
      <w:rFonts w:eastAsia="黑体" w:asciiTheme="majorHAnsi" w:hAnsiTheme="majorHAnsi" w:cstheme="majorBidi"/>
      <w:bCs/>
      <w:szCs w:val="32"/>
    </w:rPr>
  </w:style>
  <w:style w:type="paragraph" w:styleId="15">
    <w:name w:val="annotation subject"/>
    <w:basedOn w:val="4"/>
    <w:next w:val="4"/>
    <w:link w:val="22"/>
    <w:qFormat/>
    <w:uiPriority w:val="0"/>
    <w:rPr>
      <w:b/>
      <w:bCs/>
    </w:rPr>
  </w:style>
  <w:style w:type="table" w:styleId="17">
    <w:name w:val="Table Grid"/>
    <w:basedOn w:val="1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qFormat/>
    <w:uiPriority w:val="0"/>
    <w:rPr>
      <w:rFonts w:ascii="Times New Roman" w:hAnsi="Times New Roman" w:eastAsia="宋体"/>
      <w:sz w:val="18"/>
    </w:rPr>
  </w:style>
  <w:style w:type="character" w:styleId="20">
    <w:name w:val="Hyperlink"/>
    <w:basedOn w:val="18"/>
    <w:qFormat/>
    <w:uiPriority w:val="99"/>
    <w:rPr>
      <w:color w:val="0000FF"/>
      <w:spacing w:val="0"/>
      <w:w w:val="100"/>
      <w:szCs w:val="21"/>
      <w:u w:val="single"/>
      <w:lang w:val="en-US" w:eastAsia="zh-CN"/>
    </w:rPr>
  </w:style>
  <w:style w:type="character" w:styleId="21">
    <w:name w:val="annotation reference"/>
    <w:qFormat/>
    <w:uiPriority w:val="0"/>
    <w:rPr>
      <w:sz w:val="21"/>
      <w:szCs w:val="21"/>
    </w:rPr>
  </w:style>
  <w:style w:type="character" w:customStyle="1" w:styleId="22">
    <w:name w:val="批注主题 Char"/>
    <w:link w:val="15"/>
    <w:qFormat/>
    <w:uiPriority w:val="0"/>
    <w:rPr>
      <w:b/>
      <w:bCs/>
      <w:kern w:val="2"/>
      <w:sz w:val="21"/>
      <w:szCs w:val="24"/>
    </w:rPr>
  </w:style>
  <w:style w:type="character" w:customStyle="1" w:styleId="23">
    <w:name w:val="日期 Char"/>
    <w:link w:val="7"/>
    <w:qFormat/>
    <w:uiPriority w:val="0"/>
    <w:rPr>
      <w:kern w:val="2"/>
      <w:sz w:val="21"/>
      <w:szCs w:val="24"/>
    </w:rPr>
  </w:style>
  <w:style w:type="character" w:customStyle="1" w:styleId="24">
    <w:name w:val="页眉 Char"/>
    <w:link w:val="10"/>
    <w:qFormat/>
    <w:uiPriority w:val="0"/>
    <w:rPr>
      <w:kern w:val="2"/>
      <w:sz w:val="18"/>
      <w:szCs w:val="18"/>
    </w:rPr>
  </w:style>
  <w:style w:type="character" w:customStyle="1" w:styleId="25">
    <w:name w:val="段 Char"/>
    <w:link w:val="26"/>
    <w:qFormat/>
    <w:uiPriority w:val="0"/>
    <w:rPr>
      <w:rFonts w:ascii="宋体"/>
      <w:sz w:val="21"/>
      <w:lang w:val="en-US" w:eastAsia="zh-CN" w:bidi="ar-SA"/>
    </w:rPr>
  </w:style>
  <w:style w:type="paragraph" w:customStyle="1" w:styleId="26">
    <w:name w:val="段"/>
    <w:link w:val="2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7">
    <w:name w:val="文档结构图 Char"/>
    <w:link w:val="3"/>
    <w:qFormat/>
    <w:uiPriority w:val="0"/>
    <w:rPr>
      <w:rFonts w:ascii="宋体"/>
      <w:kern w:val="2"/>
      <w:sz w:val="18"/>
      <w:szCs w:val="18"/>
    </w:rPr>
  </w:style>
  <w:style w:type="character" w:customStyle="1" w:styleId="28">
    <w:name w:val="批注文字 Char"/>
    <w:link w:val="4"/>
    <w:qFormat/>
    <w:uiPriority w:val="0"/>
    <w:rPr>
      <w:kern w:val="2"/>
      <w:sz w:val="21"/>
      <w:szCs w:val="24"/>
    </w:rPr>
  </w:style>
  <w:style w:type="character" w:customStyle="1" w:styleId="29">
    <w:name w:val="发布"/>
    <w:qFormat/>
    <w:uiPriority w:val="0"/>
    <w:rPr>
      <w:rFonts w:ascii="黑体" w:eastAsia="黑体"/>
      <w:spacing w:val="22"/>
      <w:w w:val="100"/>
      <w:position w:val="3"/>
      <w:sz w:val="28"/>
    </w:rPr>
  </w:style>
  <w:style w:type="paragraph" w:customStyle="1" w:styleId="30">
    <w:name w:val="四级条标题"/>
    <w:basedOn w:val="31"/>
    <w:next w:val="26"/>
    <w:qFormat/>
    <w:uiPriority w:val="0"/>
    <w:pPr>
      <w:numPr>
        <w:ilvl w:val="5"/>
      </w:numPr>
      <w:outlineLvl w:val="5"/>
    </w:pPr>
  </w:style>
  <w:style w:type="paragraph" w:customStyle="1" w:styleId="31">
    <w:name w:val="三级条标题"/>
    <w:basedOn w:val="32"/>
    <w:next w:val="26"/>
    <w:qFormat/>
    <w:uiPriority w:val="0"/>
    <w:pPr>
      <w:numPr>
        <w:ilvl w:val="4"/>
      </w:numPr>
      <w:outlineLvl w:val="4"/>
    </w:pPr>
  </w:style>
  <w:style w:type="paragraph" w:customStyle="1" w:styleId="32">
    <w:name w:val="二级条标题"/>
    <w:basedOn w:val="33"/>
    <w:next w:val="26"/>
    <w:qFormat/>
    <w:uiPriority w:val="0"/>
    <w:pPr>
      <w:numPr>
        <w:ilvl w:val="3"/>
      </w:numPr>
      <w:spacing w:beforeLines="50" w:afterLines="50"/>
      <w:outlineLvl w:val="3"/>
    </w:pPr>
  </w:style>
  <w:style w:type="paragraph" w:customStyle="1" w:styleId="33">
    <w:name w:val="一级条标题"/>
    <w:basedOn w:val="34"/>
    <w:next w:val="26"/>
    <w:qFormat/>
    <w:uiPriority w:val="0"/>
    <w:pPr>
      <w:numPr>
        <w:ilvl w:val="2"/>
      </w:numPr>
      <w:spacing w:beforeLines="0" w:afterLines="0"/>
      <w:outlineLvl w:val="2"/>
    </w:pPr>
  </w:style>
  <w:style w:type="paragraph" w:customStyle="1" w:styleId="34">
    <w:name w:val="章标题"/>
    <w:next w:val="26"/>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3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7">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38">
    <w:name w:val="目次、标准名称标题"/>
    <w:basedOn w:val="39"/>
    <w:next w:val="26"/>
    <w:qFormat/>
    <w:uiPriority w:val="0"/>
    <w:pPr>
      <w:numPr>
        <w:numId w:val="0"/>
      </w:numPr>
      <w:spacing w:line="460" w:lineRule="exact"/>
    </w:pPr>
  </w:style>
  <w:style w:type="paragraph" w:customStyle="1" w:styleId="39">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0">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41">
    <w:name w:val="五级条标题"/>
    <w:basedOn w:val="30"/>
    <w:next w:val="26"/>
    <w:qFormat/>
    <w:uiPriority w:val="0"/>
    <w:pPr>
      <w:numPr>
        <w:ilvl w:val="6"/>
      </w:numPr>
      <w:outlineLvl w:val="6"/>
    </w:pPr>
  </w:style>
  <w:style w:type="paragraph" w:customStyle="1" w:styleId="42">
    <w:name w:val="实施日期"/>
    <w:basedOn w:val="43"/>
    <w:qFormat/>
    <w:uiPriority w:val="0"/>
    <w:pPr>
      <w:framePr w:hSpace="0" w:wrap="around" w:xAlign="right"/>
      <w:jc w:val="right"/>
    </w:pPr>
  </w:style>
  <w:style w:type="paragraph" w:customStyle="1" w:styleId="4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6">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7">
    <w:name w:val="默认段落字体 Para Char Char Char Char Char Char Char"/>
    <w:basedOn w:val="1"/>
    <w:next w:val="1"/>
    <w:qFormat/>
    <w:uiPriority w:val="0"/>
    <w:pPr>
      <w:shd w:val="clear" w:color="auto" w:fill="000080"/>
      <w:adjustRightInd w:val="0"/>
      <w:spacing w:line="436" w:lineRule="exact"/>
      <w:ind w:left="357"/>
      <w:jc w:val="left"/>
      <w:outlineLvl w:val="3"/>
    </w:pPr>
    <w:rPr>
      <w:rFonts w:ascii="Tahoma" w:hAnsi="Tahoma"/>
      <w:b/>
      <w:sz w:val="24"/>
    </w:rPr>
  </w:style>
  <w:style w:type="paragraph" w:customStyle="1" w:styleId="4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9">
    <w:name w:val="标准书眉一"/>
    <w:qFormat/>
    <w:uiPriority w:val="0"/>
    <w:pPr>
      <w:jc w:val="both"/>
    </w:pPr>
    <w:rPr>
      <w:rFonts w:ascii="Times New Roman" w:hAnsi="Times New Roman" w:eastAsia="宋体" w:cs="Times New Roman"/>
      <w:lang w:val="en-US" w:eastAsia="zh-CN" w:bidi="ar-SA"/>
    </w:rPr>
  </w:style>
  <w:style w:type="paragraph" w:customStyle="1" w:styleId="5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2">
    <w:name w:val="标准书眉_偶数页"/>
    <w:basedOn w:val="50"/>
    <w:next w:val="1"/>
    <w:qFormat/>
    <w:uiPriority w:val="0"/>
    <w:pPr>
      <w:jc w:val="left"/>
    </w:pPr>
  </w:style>
  <w:style w:type="paragraph" w:customStyle="1" w:styleId="5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4">
    <w:name w:val="示例"/>
    <w:next w:val="1"/>
    <w:qFormat/>
    <w:uiPriority w:val="0"/>
    <w:pPr>
      <w:widowControl w:val="0"/>
      <w:numPr>
        <w:ilvl w:val="0"/>
        <w:numId w:val="2"/>
      </w:numPr>
      <w:jc w:val="both"/>
    </w:pPr>
    <w:rPr>
      <w:rFonts w:ascii="宋体" w:hAnsi="Times New Roman" w:eastAsia="宋体" w:cs="Times New Roman"/>
      <w:sz w:val="18"/>
      <w:szCs w:val="18"/>
      <w:lang w:val="en-US" w:eastAsia="zh-CN" w:bidi="ar-SA"/>
    </w:rPr>
  </w:style>
  <w:style w:type="paragraph" w:customStyle="1" w:styleId="55">
    <w:name w:val="封面正文"/>
    <w:qFormat/>
    <w:uiPriority w:val="0"/>
    <w:pPr>
      <w:jc w:val="both"/>
    </w:pPr>
    <w:rPr>
      <w:rFonts w:ascii="Times New Roman" w:hAnsi="Times New Roman" w:eastAsia="宋体" w:cs="Times New Roman"/>
      <w:lang w:val="en-US" w:eastAsia="zh-CN" w:bidi="ar-SA"/>
    </w:rPr>
  </w:style>
  <w:style w:type="character" w:customStyle="1" w:styleId="56">
    <w:name w:val="标题 1 Char"/>
    <w:basedOn w:val="18"/>
    <w:link w:val="2"/>
    <w:qFormat/>
    <w:uiPriority w:val="0"/>
    <w:rPr>
      <w:rFonts w:eastAsia="黑体"/>
      <w:bCs/>
      <w:kern w:val="44"/>
      <w:sz w:val="21"/>
      <w:szCs w:val="44"/>
    </w:rPr>
  </w:style>
  <w:style w:type="paragraph" w:customStyle="1" w:styleId="57">
    <w:name w:val="TOC Heading"/>
    <w:basedOn w:val="2"/>
    <w:next w:val="1"/>
    <w:semiHidden/>
    <w:unhideWhenUsed/>
    <w:qFormat/>
    <w:uiPriority w:val="39"/>
    <w:pPr>
      <w:widowControl/>
      <w:spacing w:beforeLines="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8">
    <w:name w:val="标题 Char"/>
    <w:basedOn w:val="18"/>
    <w:link w:val="14"/>
    <w:qFormat/>
    <w:uiPriority w:val="0"/>
    <w:rPr>
      <w:rFonts w:eastAsia="黑体" w:asciiTheme="majorHAnsi" w:hAnsiTheme="majorHAnsi" w:cstheme="majorBidi"/>
      <w:bCs/>
      <w:kern w:val="2"/>
      <w:sz w:val="21"/>
      <w:szCs w:val="32"/>
    </w:rPr>
  </w:style>
  <w:style w:type="paragraph" w:customStyle="1" w:styleId="59">
    <w:name w:val="一级无"/>
    <w:basedOn w:val="33"/>
    <w:qFormat/>
    <w:uiPriority w:val="0"/>
    <w:pPr>
      <w:spacing w:before="0" w:beforeLines="0" w:after="0" w:afterLines="0"/>
    </w:pPr>
    <w:rPr>
      <w:rFonts w:eastAsia="宋体"/>
    </w:rPr>
  </w:style>
  <w:style w:type="paragraph" w:customStyle="1" w:styleId="60">
    <w:name w:val="二级无"/>
    <w:basedOn w:val="32"/>
    <w:qFormat/>
    <w:uiPriority w:val="0"/>
    <w:pPr>
      <w:spacing w:before="0" w:beforeLines="0" w:after="0" w:afterLines="0"/>
    </w:pPr>
    <w:rPr>
      <w:rFonts w:ascii="宋体" w:eastAsia="宋体"/>
    </w:rPr>
  </w:style>
  <w:style w:type="paragraph" w:customStyle="1" w:styleId="61">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62">
    <w:name w:val="列项——（一级）"/>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63">
    <w:name w:val="三级无"/>
    <w:basedOn w:val="31"/>
    <w:qFormat/>
    <w:uiPriority w:val="0"/>
    <w:pPr>
      <w:spacing w:before="0" w:beforeLines="0" w:after="0" w:afterLines="0"/>
    </w:pPr>
    <w:rPr>
      <w:rFonts w:eastAsia="宋体"/>
    </w:rPr>
  </w:style>
  <w:style w:type="paragraph" w:customStyle="1" w:styleId="64">
    <w:name w:val="附录标识"/>
    <w:basedOn w:val="1"/>
    <w:next w:val="26"/>
    <w:qFormat/>
    <w:uiPriority w:val="0"/>
    <w:pPr>
      <w:keepNext/>
      <w:widowControl/>
      <w:numPr>
        <w:ilvl w:val="0"/>
        <w:numId w:val="5"/>
      </w:numPr>
      <w:shd w:val="clear" w:color="FFFFFF" w:fill="FFFFFF"/>
      <w:tabs>
        <w:tab w:val="left" w:pos="360"/>
        <w:tab w:val="left" w:pos="6405"/>
      </w:tabs>
      <w:spacing w:before="640" w:after="280"/>
      <w:jc w:val="center"/>
      <w:outlineLvl w:val="0"/>
    </w:pPr>
    <w:rPr>
      <w:rFonts w:ascii="黑体" w:eastAsia="黑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6FB485-2DF9-43F8-9885-947E7E06E793}">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6</Pages>
  <Words>1654</Words>
  <Characters>1795</Characters>
  <Lines>1</Lines>
  <Paragraphs>1</Paragraphs>
  <TotalTime>2</TotalTime>
  <ScaleCrop>false</ScaleCrop>
  <LinksUpToDate>false</LinksUpToDate>
  <CharactersWithSpaces>2560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2021-09-01T06:40:00Z</dcterms:created>
  <dc:creator>雨林木风</dc:creator>
  <cp:lastModifiedBy>妞妞1405518897</cp:lastModifiedBy>
  <cp:lastPrinted>2010-04-12T03:22:00Z</cp:lastPrinted>
  <dcterms:modified xsi:type="dcterms:W3CDTF">2022-09-29T18:44:37Z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7DBC15F911A54DB1B3755D0654B56002</vt:lpwstr>
  </property>
</Properties>
</file>