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0"/>
      <w:bookmarkStart w:id="1" w:name="_Toc24886882"/>
      <w:bookmarkStart w:id="2" w:name="SectionMark2"/>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1401445</wp:posOffset>
                </wp:positionV>
                <wp:extent cx="5802630" cy="860425"/>
                <wp:effectExtent l="0" t="0" r="1270" b="3175"/>
                <wp:wrapNone/>
                <wp:docPr id="11"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51"/>
                              <w:rPr>
                                <w:rFonts w:hint="eastAsia" w:ascii="黑体" w:eastAsia="宋体"/>
                                <w:lang w:val="en-US"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wps:txbx>
                      <wps:bodyPr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745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UBpPvYAAAACAEAAA8AAAAAAAAAAQAgAAAAIgAAAGRycy9kb3ducmV2LnhtbFBL&#10;AQIUABQAAAAIAIdO4kAX26ttvQEAAJkDAAAOAAAAAAAAAAEAIAAAACcBAABkcnMvZTJvRG9jLnht&#10;bFBLBQYAAAAABgAGAFkBAABWBQAAAAA=&#10;">
                <v:fill on="t" focussize="0,0"/>
                <v:stroke on="f"/>
                <v:imagedata o:title=""/>
                <o:lock v:ext="edit" aspectratio="f"/>
                <v:textbox inset="0mm,0mm,0mm,0mm">
                  <w:txbxContent>
                    <w:p>
                      <w:pPr>
                        <w:pStyle w:val="51"/>
                        <w:rPr>
                          <w:rFonts w:hint="eastAsia" w:ascii="黑体" w:eastAsia="宋体"/>
                          <w:lang w:val="en-US"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10" name="直线 25"/>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5" o:spid="_x0000_s1026" o:spt="20" style="position:absolute;left:0pt;margin-left:0pt;margin-top:700pt;height:0pt;width:482pt;z-index:25166643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sS+VjSAAAA&#10;CgEAAA8AAAAAAAAAAQAgAAAAIgAAAGRycy9kb3ducmV2LnhtbFBLAQIUABQAAAAIAIdO4kB5oPdi&#10;6gEAAN4DAAAOAAAAAAAAAAEAIAAAACEBAABkcnMvZTJvRG9jLnhtbFBLBQYAAAAABgAGAFkBAAB9&#1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9" name="直线 2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4" o:spid="_x0000_s1026" o:spt="20" style="position:absolute;left:0pt;margin-left:0pt;margin-top:179pt;height:0pt;width:482pt;z-index:251665408;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8SivtQA&#10;AAAIAQAADwAAAAAAAAABACAAAAAiAAAAZHJzL2Rvd25yZXYueG1sUEsBAhQAFAAAAAgAh07iQLsi&#10;KtTqAQAA3QMAAA4AAAAAAAAAAQAgAAAAIwEAAGRycy9lMm9Eb2MueG1sUEsFBgAAAAAGAAYAWQEA&#10;AH8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9108440</wp:posOffset>
                </wp:positionV>
                <wp:extent cx="6120130" cy="363220"/>
                <wp:effectExtent l="0" t="0" r="1270" b="50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37"/>
                            </w:pPr>
                            <w:r>
                              <w:rPr>
                                <w:rFonts w:hint="eastAsia"/>
                              </w:rPr>
                              <w:t>湖南省市场监督管理局</w:t>
                            </w:r>
                            <w:r>
                              <w:rPr>
                                <w:rStyle w:val="29"/>
                                <w:rFonts w:hint="eastAsia"/>
                              </w:rPr>
                              <w:t xml:space="preserve"> </w:t>
                            </w:r>
                            <w:r>
                              <w:rPr>
                                <w:rStyle w:val="29"/>
                                <w:rFonts w:hint="eastAsia"/>
                                <w:szCs w:val="28"/>
                              </w:rPr>
                              <w:t>发布</w:t>
                            </w:r>
                          </w:p>
                        </w:txbxContent>
                      </wps:txbx>
                      <wps:bodyPr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4384;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JVgbr2AAAAAoBAAAPAAAAAAAAAAEAIAAAACIAAABkcnMvZG93bnJldi54bWxQ&#10;SwECFAAUAAAACACHTuJAnVehdr4BAACYAwAADgAAAAAAAAABACAAAAAnAQAAZHJzL2Uyb0RvYy54&#10;bWxQSwUGAAAAAAYABgBZAQAAVwUAAAAA&#10;">
                <v:fill on="t" focussize="0,0"/>
                <v:stroke on="f"/>
                <v:imagedata o:title=""/>
                <o:lock v:ext="edit" aspectratio="f"/>
                <v:textbox inset="0mm,0mm,0mm,0mm">
                  <w:txbxContent>
                    <w:p>
                      <w:pPr>
                        <w:pStyle w:val="37"/>
                      </w:pPr>
                      <w:r>
                        <w:rPr>
                          <w:rFonts w:hint="eastAsia"/>
                        </w:rPr>
                        <w:t>湖南省市场监督管理局</w:t>
                      </w:r>
                      <w:r>
                        <w:rPr>
                          <w:rStyle w:val="29"/>
                          <w:rFonts w:hint="eastAsia"/>
                        </w:rPr>
                        <w:t xml:space="preserve"> </w:t>
                      </w:r>
                      <w:r>
                        <w:rPr>
                          <w:rStyle w:val="29"/>
                          <w:rFonts w:hint="eastAsia"/>
                          <w:szCs w:val="28"/>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0" b="5080"/>
                <wp:wrapNone/>
                <wp:docPr id="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42"/>
                              <w:rPr>
                                <w:rFonts w:ascii="黑体"/>
                              </w:rPr>
                            </w:pPr>
                            <w:r>
                              <w:rPr>
                                <w:rFonts w:hint="eastAsia" w:ascii="黑体"/>
                              </w:rPr>
                              <w:t>202</w:t>
                            </w:r>
                            <w:r>
                              <w:rPr>
                                <w:rFonts w:hint="eastAsia" w:ascii="黑体"/>
                                <w:lang w:val="en-US" w:eastAsia="zh-CN"/>
                              </w:rPr>
                              <w:t>2</w:t>
                            </w:r>
                            <w:r>
                              <w:rPr>
                                <w:rFonts w:hint="eastAsia" w:ascii="黑体"/>
                              </w:rPr>
                              <w:t>-XX--XX实施</w:t>
                            </w:r>
                          </w:p>
                        </w:txbxContent>
                      </wps:txbx>
                      <wps:bodyPr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L9qtfaAAAADQEAAA8AAAAAAAAAAQAgAAAAIgAAAGRycy9kb3ducmV2Lnht&#10;bFBLAQIUABQAAAAIAIdO4kAvMCN4vgEAAJgDAAAOAAAAAAAAAAEAIAAAACkBAABkcnMvZTJvRG9j&#10;LnhtbFBLBQYAAAAABgAGAFkBAABZBQAAAAA=&#10;">
                <v:fill on="t" focussize="0,0"/>
                <v:stroke on="f"/>
                <v:imagedata o:title=""/>
                <o:lock v:ext="edit" aspectratio="f"/>
                <v:textbox inset="0mm,0mm,0mm,0mm">
                  <w:txbxContent>
                    <w:p>
                      <w:pPr>
                        <w:pStyle w:val="42"/>
                        <w:rPr>
                          <w:rFonts w:ascii="黑体"/>
                        </w:rPr>
                      </w:pPr>
                      <w:r>
                        <w:rPr>
                          <w:rFonts w:hint="eastAsia" w:ascii="黑体"/>
                        </w:rPr>
                        <w:t>202</w:t>
                      </w:r>
                      <w:r>
                        <w:rPr>
                          <w:rFonts w:hint="eastAsia" w:ascii="黑体"/>
                          <w:lang w:val="en-US" w:eastAsia="zh-CN"/>
                        </w:rPr>
                        <w:t>2</w:t>
                      </w:r>
                      <w:r>
                        <w:rPr>
                          <w:rFonts w:hint="eastAsia" w:ascii="黑体"/>
                        </w:rPr>
                        <w:t>-XX--XX实施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7"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43"/>
                              <w:rPr>
                                <w:rFonts w:ascii="黑体"/>
                              </w:rPr>
                            </w:pPr>
                            <w:r>
                              <w:rPr>
                                <w:rFonts w:hint="eastAsia" w:ascii="黑体"/>
                              </w:rPr>
                              <w:t>202</w:t>
                            </w:r>
                            <w:r>
                              <w:rPr>
                                <w:rFonts w:hint="eastAsia" w:ascii="黑体"/>
                                <w:lang w:val="en-US" w:eastAsia="zh-CN"/>
                              </w:rPr>
                              <w:t>2</w:t>
                            </w:r>
                            <w:r>
                              <w:rPr>
                                <w:rFonts w:hint="eastAsia" w:ascii="黑体"/>
                              </w:rPr>
                              <w:t>--XX--XX发布</w:t>
                            </w:r>
                          </w:p>
                        </w:txbxContent>
                      </wps:txbx>
                      <wps:bodyPr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NsqI2AAAAAoBAAAPAAAAAAAAAAEAIAAAACIAAABkcnMvZG93bnJldi54bWxQ&#10;SwECFAAUAAAACACHTuJAhutoZb4BAACYAwAADgAAAAAAAAABACAAAAAnAQAAZHJzL2Uyb0RvYy54&#10;bWxQSwUGAAAAAAYABgBZAQAAVwUAAAAA&#10;">
                <v:fill on="t" focussize="0,0"/>
                <v:stroke on="f"/>
                <v:imagedata o:title=""/>
                <o:lock v:ext="edit" aspectratio="f"/>
                <v:textbox inset="0mm,0mm,0mm,0mm">
                  <w:txbxContent>
                    <w:p>
                      <w:pPr>
                        <w:pStyle w:val="43"/>
                        <w:rPr>
                          <w:rFonts w:ascii="黑体"/>
                        </w:rPr>
                      </w:pPr>
                      <w:r>
                        <w:rPr>
                          <w:rFonts w:hint="eastAsia" w:ascii="黑体"/>
                        </w:rPr>
                        <w:t>202</w:t>
                      </w:r>
                      <w:r>
                        <w:rPr>
                          <w:rFonts w:hint="eastAsia" w:ascii="黑体"/>
                          <w:lang w:val="en-US" w:eastAsia="zh-CN"/>
                        </w:rPr>
                        <w:t>2</w:t>
                      </w:r>
                      <w:r>
                        <w:rPr>
                          <w:rFonts w:hint="eastAsia" w:ascii="黑体"/>
                        </w:rPr>
                        <w:t>--XX--XX发布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53"/>
                              <w:rPr>
                                <w:rFonts w:ascii="黑体" w:eastAsia="黑体"/>
                                <w:sz w:val="52"/>
                              </w:rPr>
                            </w:pPr>
                            <w:r>
                              <w:rPr>
                                <w:rFonts w:hint="eastAsia" w:ascii="黑体" w:eastAsia="黑体"/>
                                <w:sz w:val="52"/>
                              </w:rPr>
                              <w:t>托育机构服务规范</w:t>
                            </w:r>
                          </w:p>
                          <w:p>
                            <w:pPr>
                              <w:pStyle w:val="53"/>
                              <w:rPr>
                                <w:rFonts w:ascii="黑体"/>
                              </w:rPr>
                            </w:pPr>
                            <w:r>
                              <w:rPr>
                                <w:rFonts w:hint="eastAsia" w:ascii="黑体"/>
                              </w:rPr>
                              <w:t>Standards on Child Care Agency Service</w:t>
                            </w:r>
                          </w:p>
                          <w:p>
                            <w:pPr>
                              <w:pStyle w:val="53"/>
                              <w:tabs>
                                <w:tab w:val="left" w:pos="2160"/>
                                <w:tab w:val="left" w:pos="2340"/>
                              </w:tabs>
                              <w:rPr>
                                <w:rFonts w:ascii="黑体"/>
                              </w:rPr>
                            </w:pPr>
                          </w:p>
                          <w:p>
                            <w:pPr>
                              <w:pStyle w:val="53"/>
                              <w:rPr>
                                <w:rFonts w:ascii="黑体"/>
                              </w:rPr>
                            </w:pPr>
                            <w:r>
                              <w:rPr>
                                <w:rFonts w:hint="eastAsia" w:ascii="黑体"/>
                              </w:rPr>
                              <w:t>（征求意见稿）</w:t>
                            </w:r>
                          </w:p>
                        </w:txbxContent>
                      </wps:txbx>
                      <wps:bodyPr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Bhd5fAwAEAAJkDAAAOAAAAAAAAAAEAIAAAACcBAABkcnMvZTJvRG9j&#10;LnhtbFBLBQYAAAAABgAGAFkBAABZBQAAAAA=&#10;">
                <v:fill on="t" focussize="0,0"/>
                <v:stroke on="f"/>
                <v:imagedata o:title=""/>
                <o:lock v:ext="edit" aspectratio="f"/>
                <v:textbox inset="0mm,0mm,0mm,0mm">
                  <w:txbxContent>
                    <w:p>
                      <w:pPr>
                        <w:pStyle w:val="53"/>
                        <w:rPr>
                          <w:rFonts w:ascii="黑体" w:eastAsia="黑体"/>
                          <w:sz w:val="52"/>
                        </w:rPr>
                      </w:pPr>
                      <w:r>
                        <w:rPr>
                          <w:rFonts w:hint="eastAsia" w:ascii="黑体" w:eastAsia="黑体"/>
                          <w:sz w:val="52"/>
                        </w:rPr>
                        <w:t>托育机构服务规范</w:t>
                      </w:r>
                    </w:p>
                    <w:p>
                      <w:pPr>
                        <w:pStyle w:val="53"/>
                        <w:rPr>
                          <w:rFonts w:ascii="黑体"/>
                        </w:rPr>
                      </w:pPr>
                      <w:r>
                        <w:rPr>
                          <w:rFonts w:hint="eastAsia" w:ascii="黑体"/>
                        </w:rPr>
                        <w:t>Standards on Child Care Agency Service</w:t>
                      </w:r>
                    </w:p>
                    <w:p>
                      <w:pPr>
                        <w:pStyle w:val="53"/>
                        <w:tabs>
                          <w:tab w:val="left" w:pos="2160"/>
                          <w:tab w:val="left" w:pos="2340"/>
                        </w:tabs>
                        <w:rPr>
                          <w:rFonts w:ascii="黑体"/>
                        </w:rPr>
                      </w:pPr>
                    </w:p>
                    <w:p>
                      <w:pPr>
                        <w:pStyle w:val="53"/>
                        <w:rPr>
                          <w:rFonts w:ascii="黑体"/>
                        </w:rPr>
                      </w:pPr>
                      <w:r>
                        <w:rPr>
                          <w:rFonts w:hint="eastAsia" w:ascii="黑体"/>
                        </w:rPr>
                        <w:t>（征求意见稿）</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0" b="3810"/>
                <wp:wrapNone/>
                <wp:docPr id="4"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36"/>
                            </w:pPr>
                            <w:r>
                              <w:t>DB</w:t>
                            </w:r>
                          </w:p>
                        </w:txbxContent>
                      </wps:txbx>
                      <wps:bodyPr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Vk7PNgAAAAKAQAADwAAAAAAAAABACAAAAAiAAAAZHJzL2Rvd25yZXYueG1s&#10;UEsBAhQAFAAAAAgAh07iQIzpnQm/AQAAmAMAAA4AAAAAAAAAAQAgAAAAJwEAAGRycy9lMm9Eb2Mu&#10;eG1sUEsFBgAAAAAGAAYAWQEAAFgFAAAAAA==&#10;">
                <v:fill on="t" focussize="0,0"/>
                <v:stroke on="f"/>
                <v:imagedata o:title=""/>
                <o:lock v:ext="edit" aspectratio="f"/>
                <v:textbox inset="0mm,0mm,0mm,0mm">
                  <w:txbxContent>
                    <w:p>
                      <w:pPr>
                        <w:pStyle w:val="36"/>
                      </w:pPr>
                      <w:r>
                        <w:t>DB</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270" b="2540"/>
                <wp:wrapNone/>
                <wp:docPr id="3"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35"/>
                            </w:pPr>
                            <w:r>
                              <w:rPr>
                                <w:rFonts w:hint="eastAsia"/>
                              </w:rPr>
                              <w:t>湖南省地方标准</w:t>
                            </w:r>
                          </w:p>
                        </w:txbxContent>
                      </wps:txbx>
                      <wps:bodyPr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YORwXXAAAACAEAAA8AAAAAAAAAAQAgAAAAIgAAAGRycy9kb3ducmV2LnhtbFBL&#10;AQIUABQAAAAIAIdO4kByC57OvgEAAJgDAAAOAAAAAAAAAAEAIAAAACYBAABkcnMvZTJvRG9jLnht&#10;bFBLBQYAAAAABgAGAFkBAABWBQAAAAA=&#10;">
                <v:fill on="t" focussize="0,0"/>
                <v:stroke on="f"/>
                <v:imagedata o:title=""/>
                <o:lock v:ext="edit" aspectratio="f"/>
                <v:textbox inset="0mm,0mm,0mm,0mm">
                  <w:txbxContent>
                    <w:p>
                      <w:pPr>
                        <w:pStyle w:val="35"/>
                      </w:pPr>
                      <w:r>
                        <w:rPr>
                          <w:rFonts w:hint="eastAsia"/>
                        </w:rPr>
                        <w:t>湖南省地方标准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2540"/>
                <wp:wrapNone/>
                <wp:docPr id="2"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pPr>
                              <w:pStyle w:val="48"/>
                              <w:rPr>
                                <w:rFonts w:ascii="黑体"/>
                              </w:rPr>
                            </w:pPr>
                            <w:r>
                              <w:rPr>
                                <w:rFonts w:ascii="黑体"/>
                              </w:rPr>
                              <w:t xml:space="preserve">ICS </w:t>
                            </w:r>
                            <w:r>
                              <w:rPr>
                                <w:rFonts w:hint="eastAsia" w:ascii="黑体"/>
                              </w:rPr>
                              <w:t>XXXXXXX</w:t>
                            </w:r>
                          </w:p>
                          <w:p>
                            <w:pPr>
                              <w:pStyle w:val="48"/>
                              <w:rPr>
                                <w:rFonts w:ascii="黑体"/>
                              </w:rPr>
                            </w:pPr>
                            <w:r>
                              <w:rPr>
                                <w:rFonts w:hint="eastAsia" w:ascii="黑体"/>
                              </w:rPr>
                              <w:t>X</w:t>
                            </w:r>
                            <w:r>
                              <w:rPr>
                                <w:rFonts w:ascii="黑体"/>
                              </w:rPr>
                              <w:t xml:space="preserve"> </w:t>
                            </w:r>
                            <w:r>
                              <w:rPr>
                                <w:rFonts w:hint="eastAsia" w:ascii="黑体"/>
                              </w:rPr>
                              <w:t>XX</w:t>
                            </w:r>
                          </w:p>
                          <w:p>
                            <w:pPr>
                              <w:pStyle w:val="48"/>
                              <w:rPr>
                                <w:rFonts w:ascii="黑体"/>
                              </w:rPr>
                            </w:pPr>
                            <w:r>
                              <w:rPr>
                                <w:rFonts w:hint="eastAsia" w:ascii="黑体"/>
                              </w:rPr>
                              <w:t>备案号：XXXX-XXXX</w:t>
                            </w:r>
                          </w:p>
                          <w:p/>
                        </w:txbxContent>
                      </wps:txbx>
                      <wps:bodyPr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Xsy+DTAAAABQEAAA8AAAAAAAAAAQAgAAAAIgAAAGRycy9kb3ducmV2LnhtbFBLAQIU&#10;ABQAAAAIAIdO4kCMOkQVvwEAAJgDAAAOAAAAAAAAAAEAIAAAACIBAABkcnMvZTJvRG9jLnhtbFBL&#10;BQYAAAAABgAGAFkBAABTBQAAAAA=&#10;">
                <v:fill on="t" focussize="0,0"/>
                <v:stroke on="f"/>
                <v:imagedata o:title=""/>
                <o:lock v:ext="edit" aspectratio="f"/>
                <v:textbox inset="0mm,0mm,0mm,0mm">
                  <w:txbxContent>
                    <w:p>
                      <w:pPr>
                        <w:pStyle w:val="48"/>
                        <w:rPr>
                          <w:rFonts w:ascii="黑体"/>
                        </w:rPr>
                      </w:pPr>
                      <w:r>
                        <w:rPr>
                          <w:rFonts w:ascii="黑体"/>
                        </w:rPr>
                        <w:t xml:space="preserve">ICS </w:t>
                      </w:r>
                      <w:r>
                        <w:rPr>
                          <w:rFonts w:hint="eastAsia" w:ascii="黑体"/>
                        </w:rPr>
                        <w:t>XXXXXXX</w:t>
                      </w:r>
                    </w:p>
                    <w:p>
                      <w:pPr>
                        <w:pStyle w:val="48"/>
                        <w:rPr>
                          <w:rFonts w:ascii="黑体"/>
                        </w:rPr>
                      </w:pPr>
                      <w:r>
                        <w:rPr>
                          <w:rFonts w:hint="eastAsia" w:ascii="黑体"/>
                        </w:rPr>
                        <w:t>X</w:t>
                      </w:r>
                      <w:r>
                        <w:rPr>
                          <w:rFonts w:ascii="黑体"/>
                        </w:rPr>
                        <w:t xml:space="preserve"> </w:t>
                      </w:r>
                      <w:r>
                        <w:rPr>
                          <w:rFonts w:hint="eastAsia" w:ascii="黑体"/>
                        </w:rPr>
                        <w:t>XX</w:t>
                      </w:r>
                    </w:p>
                    <w:p>
                      <w:pPr>
                        <w:pStyle w:val="48"/>
                        <w:rPr>
                          <w:rFonts w:ascii="黑体"/>
                        </w:rPr>
                      </w:pPr>
                      <w:r>
                        <w:rPr>
                          <w:rFonts w:hint="eastAsia" w:ascii="黑体"/>
                        </w:rPr>
                        <w:t>备案号：XXXX-XXXX</w:t>
                      </w:r>
                    </w:p>
                    <w:p/>
                  </w:txbxContent>
                </v:textbox>
                <w10:anchorlock/>
              </v:shape>
            </w:pict>
          </mc:Fallback>
        </mc:AlternateContent>
      </w:r>
      <w:r>
        <w:rPr>
          <w:rFonts w:hint="eastAsia"/>
        </w:rPr>
        <w:t xml:space="preserve"> </w:t>
      </w:r>
      <w:bookmarkStart w:id="101" w:name="_GoBack"/>
      <w:bookmarkEnd w:id="101"/>
    </w:p>
    <w:bookmarkEnd w:id="0"/>
    <w:p>
      <w:pPr>
        <w:pStyle w:val="38"/>
      </w:pPr>
      <w:bookmarkStart w:id="3" w:name="_Toc96958538"/>
      <w:r>
        <w:rPr>
          <w:rFonts w:hint="eastAsia"/>
        </w:rPr>
        <w:t>目</w:t>
      </w:r>
      <w:r>
        <w:t>  </w:t>
      </w:r>
      <w:r>
        <w:rPr>
          <w:rFonts w:hint="eastAsia"/>
        </w:rPr>
        <w:t>次</w:t>
      </w:r>
      <w:bookmarkEnd w:id="3"/>
    </w:p>
    <w:p>
      <w:pPr>
        <w:pStyle w:val="11"/>
        <w:spacing w:before="78" w:after="78"/>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"_Toc96958538" </w:instrText>
      </w:r>
      <w:r>
        <w:fldChar w:fldCharType="separate"/>
      </w:r>
      <w:r>
        <w:rPr>
          <w:rStyle w:val="20"/>
          <w:rFonts w:hint="eastAsia"/>
        </w:rPr>
        <w:t>目</w:t>
      </w:r>
      <w:r>
        <w:rPr>
          <w:rStyle w:val="20"/>
        </w:rPr>
        <w:t>  </w:t>
      </w:r>
      <w:r>
        <w:rPr>
          <w:rStyle w:val="20"/>
          <w:rFonts w:hint="eastAsia"/>
        </w:rPr>
        <w:t>次</w:t>
      </w:r>
      <w:r>
        <w:tab/>
      </w:r>
      <w:r>
        <w:fldChar w:fldCharType="begin"/>
      </w:r>
      <w:r>
        <w:instrText xml:space="preserve"> PAGEREF _Toc96958538 \h </w:instrText>
      </w:r>
      <w:r>
        <w:fldChar w:fldCharType="separate"/>
      </w:r>
      <w:r>
        <w:t>II</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"_Toc96958539" </w:instrText>
      </w:r>
      <w:r>
        <w:fldChar w:fldCharType="separate"/>
      </w:r>
      <w:r>
        <w:rPr>
          <w:rStyle w:val="20"/>
          <w:rFonts w:hint="eastAsia"/>
        </w:rPr>
        <w:t>前</w:t>
      </w:r>
      <w:r>
        <w:rPr>
          <w:rStyle w:val="20"/>
        </w:rPr>
        <w:t xml:space="preserve">    </w:t>
      </w:r>
      <w:r>
        <w:rPr>
          <w:rStyle w:val="20"/>
          <w:rFonts w:hint="eastAsia"/>
        </w:rPr>
        <w:t>言</w:t>
      </w:r>
      <w:r>
        <w:tab/>
      </w:r>
      <w:r>
        <w:fldChar w:fldCharType="begin"/>
      </w:r>
      <w:r>
        <w:instrText xml:space="preserve"> PAGEREF _Toc96958539 \h </w:instrText>
      </w:r>
      <w:r>
        <w:fldChar w:fldCharType="separate"/>
      </w:r>
      <w:r>
        <w:t>III</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"_Toc96958540" </w:instrText>
      </w:r>
      <w:r>
        <w:fldChar w:fldCharType="separate"/>
      </w:r>
      <w:r>
        <w:rPr>
          <w:rStyle w:val="20"/>
        </w:rPr>
        <w:t>1</w:t>
      </w:r>
      <w:r>
        <w:rPr>
          <w:rStyle w:val="20"/>
          <w:rFonts w:hint="eastAsia"/>
        </w:rPr>
        <w:t>范围</w:t>
      </w:r>
      <w:r>
        <w:tab/>
      </w:r>
      <w:r>
        <w:fldChar w:fldCharType="begin"/>
      </w:r>
      <w:r>
        <w:instrText xml:space="preserve"> PAGEREF _Toc96958540 \h </w:instrText>
      </w:r>
      <w:r>
        <w:fldChar w:fldCharType="separate"/>
      </w:r>
      <w:r>
        <w:t>1</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"_Toc96958541" </w:instrText>
      </w:r>
      <w:r>
        <w:fldChar w:fldCharType="separate"/>
      </w:r>
      <w:r>
        <w:rPr>
          <w:rStyle w:val="20"/>
        </w:rPr>
        <w:t>2</w:t>
      </w:r>
      <w:r>
        <w:rPr>
          <w:rStyle w:val="20"/>
          <w:rFonts w:hint="eastAsia"/>
        </w:rPr>
        <w:t>规范性引用文件</w:t>
      </w:r>
      <w:r>
        <w:tab/>
      </w:r>
      <w:r>
        <w:fldChar w:fldCharType="begin"/>
      </w:r>
      <w:r>
        <w:instrText xml:space="preserve"> PAGEREF _Toc96958541 \h </w:instrText>
      </w:r>
      <w:r>
        <w:fldChar w:fldCharType="separate"/>
      </w:r>
      <w:r>
        <w:t>1</w:t>
      </w:r>
      <w:r>
        <w:fldChar w:fldCharType="end"/>
      </w:r>
      <w:r>
        <w:fldChar w:fldCharType="end"/>
      </w:r>
    </w:p>
    <w:p>
      <w:pPr>
        <w:pStyle w:val="11"/>
        <w:spacing w:before="78" w:after="78"/>
        <w:rPr>
          <w:rFonts w:hint="default" w:eastAsia="宋体"/>
          <w:lang w:val="en-US" w:eastAsia="zh-CN"/>
        </w:rPr>
      </w:pPr>
      <w:r>
        <w:fldChar w:fldCharType="begin"/>
      </w:r>
      <w:r>
        <w:instrText xml:space="preserve"> HYPERLINK \l "_Toc96958542" </w:instrText>
      </w:r>
      <w:r>
        <w:fldChar w:fldCharType="separate"/>
      </w:r>
      <w:r>
        <w:rPr>
          <w:rStyle w:val="20"/>
        </w:rPr>
        <w:t>3</w:t>
      </w:r>
      <w:r>
        <w:rPr>
          <w:rFonts w:hint="eastAsia"/>
        </w:rPr>
        <w:t>术语和定义</w:t>
      </w:r>
      <w:r>
        <w:tab/>
      </w:r>
      <w:r>
        <w:fldChar w:fldCharType="begin"/>
      </w:r>
      <w:r>
        <w:instrText xml:space="preserve"> PAGEREF _Toc96958542 \h </w:instrText>
      </w:r>
      <w:r>
        <w:fldChar w:fldCharType="separate"/>
      </w:r>
      <w:r>
        <w:t>1</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"_Toc96958543" </w:instrText>
      </w:r>
      <w:r>
        <w:fldChar w:fldCharType="separate"/>
      </w:r>
      <w:r>
        <w:rPr>
          <w:rStyle w:val="20"/>
        </w:rPr>
        <w:t>4</w:t>
      </w:r>
      <w:r>
        <w:rPr>
          <w:rFonts w:hint="eastAsia"/>
        </w:rPr>
        <w:t>托育机构基本要求</w:t>
      </w:r>
      <w:r>
        <w:tab/>
      </w:r>
      <w:r>
        <w:rPr>
          <w:rFonts w:hint="eastAsia"/>
          <w:lang w:val="en-US" w:eastAsia="zh-CN"/>
        </w:rPr>
        <w:t>2</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"_Toc96958552" </w:instrText>
      </w:r>
      <w:r>
        <w:fldChar w:fldCharType="separate"/>
      </w:r>
      <w:r>
        <w:rPr>
          <w:rStyle w:val="20"/>
        </w:rPr>
        <w:t>5</w:t>
      </w:r>
      <w:r>
        <w:rPr>
          <w:rFonts w:hint="eastAsia"/>
        </w:rPr>
        <w:t>托育机构场地要求</w:t>
      </w:r>
      <w:r>
        <w:tab/>
      </w:r>
      <w:r>
        <w:fldChar w:fldCharType="begin"/>
      </w:r>
      <w:r>
        <w:instrText xml:space="preserve"> PAGEREF _Toc96958552 \h </w:instrText>
      </w:r>
      <w:r>
        <w:fldChar w:fldCharType="separate"/>
      </w:r>
      <w:r>
        <w:t>2</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"_Toc96958559" </w:instrText>
      </w:r>
      <w:r>
        <w:fldChar w:fldCharType="separate"/>
      </w:r>
      <w:r>
        <w:rPr>
          <w:rStyle w:val="20"/>
        </w:rPr>
        <w:t>6</w:t>
      </w:r>
      <w:r>
        <w:rPr>
          <w:rFonts w:hint="eastAsia"/>
        </w:rPr>
        <w:t>托育机构设施要求</w:t>
      </w:r>
      <w:r>
        <w:tab/>
      </w:r>
      <w:r>
        <w:rPr>
          <w:rFonts w:hint="eastAsia"/>
          <w:lang w:val="en-US" w:eastAsia="zh-CN"/>
        </w:rPr>
        <w:t>4</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"_Toc96958560" </w:instrText>
      </w:r>
      <w:r>
        <w:fldChar w:fldCharType="separate"/>
      </w:r>
      <w:r>
        <w:rPr>
          <w:rStyle w:val="20"/>
        </w:rPr>
        <w:t>6.1</w:t>
      </w:r>
      <w:r>
        <w:rPr>
          <w:rFonts w:hint="eastAsia"/>
        </w:rPr>
        <w:t>教养设施设备</w:t>
      </w:r>
      <w:r>
        <w:tab/>
      </w:r>
      <w:r>
        <w:rPr>
          <w:rFonts w:hint="eastAsia"/>
          <w:lang w:val="en-US" w:eastAsia="zh-CN"/>
        </w:rPr>
        <w:t>4</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"_Toc96958561" </w:instrText>
      </w:r>
      <w:r>
        <w:fldChar w:fldCharType="separate"/>
      </w:r>
      <w:r>
        <w:rPr>
          <w:rStyle w:val="20"/>
        </w:rPr>
        <w:t>6.2</w:t>
      </w:r>
      <w:r>
        <w:rPr>
          <w:rFonts w:hint="eastAsia"/>
        </w:rPr>
        <w:t>避难逃生设施</w:t>
      </w:r>
      <w:r>
        <w:tab/>
      </w:r>
      <w:r>
        <w:fldChar w:fldCharType="begin"/>
      </w:r>
      <w:r>
        <w:instrText xml:space="preserve"> PAGEREF _Toc96958561 \h </w:instrText>
      </w:r>
      <w:r>
        <w:fldChar w:fldCharType="separate"/>
      </w:r>
      <w:r>
        <w:t>4</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"_Toc96958562" </w:instrText>
      </w:r>
      <w:r>
        <w:fldChar w:fldCharType="separate"/>
      </w:r>
      <w:r>
        <w:rPr>
          <w:rStyle w:val="20"/>
        </w:rPr>
        <w:t>7</w:t>
      </w:r>
      <w:r>
        <w:rPr>
          <w:rStyle w:val="20"/>
          <w:rFonts w:hint="eastAsia"/>
        </w:rPr>
        <w:t>托育服务人员岗位要求及岗位职责</w:t>
      </w:r>
      <w:r>
        <w:tab/>
      </w:r>
      <w:r>
        <w:rPr>
          <w:rFonts w:hint="eastAsia"/>
          <w:lang w:val="en-US" w:eastAsia="zh-CN"/>
        </w:rPr>
        <w:t>4</w:t>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"_Toc96958563" </w:instrText>
      </w:r>
      <w:r>
        <w:fldChar w:fldCharType="separate"/>
      </w:r>
      <w:r>
        <w:rPr>
          <w:rStyle w:val="20"/>
          <w:rFonts w:hint="eastAsia"/>
          <w:lang w:val="en-US"/>
        </w:rPr>
        <w:t>8</w:t>
      </w:r>
      <w:r>
        <w:rPr>
          <w:rFonts w:hint="eastAsia"/>
        </w:rPr>
        <w:t>托育机构规模、班数及人数要求</w:t>
      </w:r>
      <w:r>
        <w:tab/>
      </w:r>
      <w:r>
        <w:fldChar w:fldCharType="begin"/>
      </w:r>
      <w:r>
        <w:instrText xml:space="preserve"> PAGEREF _Toc96958563 \h </w:instrText>
      </w:r>
      <w:r>
        <w:fldChar w:fldCharType="separate"/>
      </w:r>
      <w:r>
        <w:t>5</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"_Toc96958564" </w:instrText>
      </w:r>
      <w:r>
        <w:fldChar w:fldCharType="separate"/>
      </w:r>
      <w:r>
        <w:rPr>
          <w:rFonts w:hint="eastAsia"/>
          <w:lang w:val="en-US" w:eastAsia="zh-CN"/>
        </w:rPr>
        <w:t>8</w:t>
      </w:r>
      <w:r>
        <w:rPr>
          <w:rStyle w:val="20"/>
        </w:rPr>
        <w:t>.</w:t>
      </w:r>
      <w:r>
        <w:rPr>
          <w:rStyle w:val="20"/>
          <w:rFonts w:hint="eastAsia"/>
          <w:lang w:val="en-US"/>
        </w:rPr>
        <w:t>1</w:t>
      </w:r>
      <w:r>
        <w:rPr>
          <w:rFonts w:hint="eastAsia"/>
        </w:rPr>
        <w:t>托育机构的规模</w:t>
      </w:r>
      <w:r>
        <w:tab/>
      </w:r>
      <w:r>
        <w:fldChar w:fldCharType="begin"/>
      </w:r>
      <w:r>
        <w:instrText xml:space="preserve"> PAGEREF _Toc96958564 \h </w:instrText>
      </w:r>
      <w:r>
        <w:fldChar w:fldCharType="separate"/>
      </w:r>
      <w:r>
        <w:t>5</w:t>
      </w:r>
      <w:r>
        <w:fldChar w:fldCharType="end"/>
      </w:r>
      <w:r>
        <w:fldChar w:fldCharType="end"/>
      </w:r>
    </w:p>
    <w:p>
      <w:pPr>
        <w:pStyle w:val="11"/>
        <w:spacing w:before="78" w:after="78"/>
        <w:rPr>
          <w:rFonts w:asciiTheme="minorHAnsi" w:hAnsiTheme="minorHAnsi" w:eastAsiaTheme="minorEastAsia" w:cstheme="minorBidi"/>
          <w:szCs w:val="22"/>
        </w:rPr>
      </w:pPr>
      <w:r>
        <w:fldChar w:fldCharType="begin"/>
      </w:r>
      <w:r>
        <w:instrText xml:space="preserve"> HYPERLINK \l "_Toc96958565" </w:instrText>
      </w:r>
      <w:r>
        <w:fldChar w:fldCharType="separate"/>
      </w:r>
      <w:r>
        <w:rPr>
          <w:rFonts w:hint="eastAsia"/>
          <w:lang w:val="en-US" w:eastAsia="zh-CN"/>
        </w:rPr>
        <w:t>8</w:t>
      </w:r>
      <w:r>
        <w:rPr>
          <w:rStyle w:val="20"/>
        </w:rPr>
        <w:t>.</w:t>
      </w:r>
      <w:r>
        <w:rPr>
          <w:rStyle w:val="20"/>
          <w:rFonts w:hint="eastAsia"/>
          <w:lang w:val="en-US"/>
        </w:rPr>
        <w:t>2</w:t>
      </w:r>
      <w:r>
        <w:rPr>
          <w:rFonts w:hint="eastAsia" w:ascii="Times New Roman" w:hAnsi="Times New Roman" w:cs="Times New Roman"/>
          <w:lang w:val="en-US" w:eastAsia="zh-CN"/>
        </w:rPr>
        <w:t>托育机构的每班人数及保育人员与婴幼儿的比例</w:t>
      </w:r>
      <w:r>
        <w:tab/>
      </w:r>
      <w:r>
        <w:rPr>
          <w:rFonts w:hint="eastAsia"/>
          <w:lang w:val="en-US" w:eastAsia="zh-CN"/>
        </w:rPr>
        <w:t>6</w:t>
      </w:r>
      <w:r>
        <w:fldChar w:fldCharType="end"/>
      </w:r>
    </w:p>
    <w:p>
      <w:pPr>
        <w:pStyle w:val="11"/>
        <w:spacing w:before="78" w:after="78"/>
      </w:pPr>
      <w:r>
        <w:fldChar w:fldCharType="begin"/>
      </w:r>
      <w:r>
        <w:instrText xml:space="preserve"> HYPERLINK \l "_Toc96958566" </w:instrText>
      </w:r>
      <w:r>
        <w:fldChar w:fldCharType="separate"/>
      </w:r>
      <w:r>
        <w:rPr>
          <w:rFonts w:hint="eastAsia"/>
          <w:lang w:val="en-US" w:eastAsia="zh-CN"/>
        </w:rPr>
        <w:t>9安全管理要求</w:t>
      </w:r>
      <w:r>
        <w:tab/>
      </w:r>
      <w:r>
        <w:rPr>
          <w:rFonts w:hint="eastAsia"/>
          <w:lang w:val="en-US" w:eastAsia="zh-CN"/>
        </w:rPr>
        <w:t>6</w:t>
      </w:r>
      <w:r>
        <w:fldChar w:fldCharType="end"/>
      </w:r>
    </w:p>
    <w:p>
      <w:pPr>
        <w:pStyle w:val="11"/>
        <w:spacing w:before="78" w:after="78"/>
        <w:rPr>
          <w:rFonts w:hint="eastAsia"/>
          <w:lang w:val="en-US" w:eastAsia="zh-CN"/>
        </w:rPr>
      </w:pPr>
      <w:r>
        <w:rPr>
          <w:rFonts w:hint="eastAsia" w:ascii="宋体" w:hAnsi="Times New Roman" w:eastAsia="宋体" w:cs="Times New Roman"/>
          <w:lang w:val="en-US" w:eastAsia="zh-CN"/>
        </w:rPr>
        <w:t>9.1安全防范措施</w:t>
      </w:r>
      <w:r>
        <w:tab/>
      </w:r>
      <w:r>
        <w:rPr>
          <w:rFonts w:hint="eastAsia"/>
          <w:lang w:val="en-US" w:eastAsia="zh-CN"/>
        </w:rPr>
        <w:t>6</w:t>
      </w:r>
    </w:p>
    <w:p>
      <w:pPr>
        <w:pStyle w:val="11"/>
        <w:spacing w:before="78" w:after="78"/>
        <w:rPr>
          <w:rFonts w:hint="eastAsia"/>
          <w:lang w:val="en-US" w:eastAsia="zh-CN"/>
        </w:rPr>
      </w:pPr>
      <w:r>
        <w:rPr>
          <w:rFonts w:hint="eastAsia" w:ascii="宋体" w:hAnsi="Times New Roman" w:eastAsia="宋体" w:cs="Times New Roman"/>
          <w:lang w:val="en-US" w:eastAsia="zh-CN"/>
        </w:rPr>
        <w:t>9.2建立健全安全制度</w:t>
      </w:r>
      <w:r>
        <w:tab/>
      </w:r>
      <w:r>
        <w:rPr>
          <w:rFonts w:hint="eastAsia"/>
          <w:lang w:val="en-US" w:eastAsia="zh-CN"/>
        </w:rPr>
        <w:t>6</w:t>
      </w:r>
    </w:p>
    <w:p>
      <w:pPr>
        <w:pStyle w:val="11"/>
        <w:spacing w:before="78" w:after="78"/>
        <w:rPr>
          <w:rFonts w:hint="eastAsia"/>
          <w:lang w:val="en-US" w:eastAsia="zh-CN"/>
        </w:rPr>
      </w:pPr>
      <w:r>
        <w:rPr>
          <w:rFonts w:hint="eastAsia" w:ascii="宋体" w:hAnsi="Times New Roman" w:eastAsia="宋体" w:cs="Times New Roman"/>
          <w:lang w:val="en-US" w:eastAsia="zh-CN"/>
        </w:rPr>
        <w:t>10卫生保健要求</w:t>
      </w:r>
      <w:r>
        <w:tab/>
      </w:r>
      <w:r>
        <w:rPr>
          <w:rFonts w:hint="eastAsia"/>
          <w:lang w:val="en-US" w:eastAsia="zh-CN"/>
        </w:rPr>
        <w:t>7</w:t>
      </w:r>
    </w:p>
    <w:p>
      <w:pPr>
        <w:pStyle w:val="11"/>
        <w:spacing w:before="78" w:after="78"/>
        <w:rPr>
          <w:rFonts w:hint="eastAsia"/>
          <w:lang w:val="en-US" w:eastAsia="zh-CN"/>
        </w:rPr>
      </w:pPr>
      <w:r>
        <w:rPr>
          <w:rFonts w:hint="eastAsia" w:ascii="宋体" w:hAnsi="Times New Roman" w:eastAsia="宋体" w:cs="Times New Roman"/>
          <w:lang w:val="en-US" w:eastAsia="zh-CN"/>
        </w:rPr>
        <w:t>11</w:t>
      </w:r>
      <w:r>
        <w:rPr>
          <w:rFonts w:hint="eastAsia"/>
          <w:lang w:val="en-US" w:eastAsia="zh-CN"/>
        </w:rPr>
        <w:t>服务提供</w:t>
      </w:r>
      <w:r>
        <w:tab/>
      </w:r>
      <w:r>
        <w:rPr>
          <w:rFonts w:hint="eastAsia"/>
          <w:lang w:val="en-US" w:eastAsia="zh-CN"/>
        </w:rPr>
        <w:t>8</w:t>
      </w:r>
    </w:p>
    <w:p>
      <w:pPr>
        <w:pStyle w:val="11"/>
        <w:spacing w:before="78" w:after="78"/>
        <w:rPr>
          <w:rFonts w:hint="eastAsia" w:eastAsia="宋体"/>
          <w:lang w:val="en-US" w:eastAsia="zh-CN"/>
        </w:rPr>
      </w:pPr>
      <w:r>
        <w:rPr>
          <w:rFonts w:hint="eastAsia" w:ascii="宋体" w:hAnsi="Times New Roman" w:eastAsia="宋体" w:cs="Times New Roman"/>
          <w:lang w:val="en-US" w:eastAsia="zh-CN"/>
        </w:rPr>
        <w:t>11.1</w:t>
      </w:r>
      <w:r>
        <w:rPr>
          <w:rFonts w:hint="eastAsia" w:ascii="Times New Roman" w:hAnsi="Times New Roman" w:cs="Times New Roman"/>
          <w:lang w:val="en-US" w:eastAsia="zh-CN"/>
        </w:rPr>
        <w:t>基本服务流程</w:t>
      </w:r>
      <w:r>
        <w:tab/>
      </w:r>
      <w:r>
        <w:rPr>
          <w:rFonts w:hint="eastAsia"/>
          <w:lang w:val="en-US" w:eastAsia="zh-CN"/>
        </w:rPr>
        <w:t>9</w:t>
      </w:r>
    </w:p>
    <w:p>
      <w:pPr>
        <w:pStyle w:val="11"/>
        <w:spacing w:before="78" w:after="78"/>
        <w:rPr>
          <w:rFonts w:hint="eastAsia"/>
          <w:lang w:val="en-US" w:eastAsia="zh-CN"/>
        </w:rPr>
      </w:pPr>
      <w:r>
        <w:rPr>
          <w:rFonts w:hint="eastAsia" w:ascii="宋体" w:hAnsi="Times New Roman" w:eastAsia="宋体" w:cs="Times New Roman"/>
          <w:lang w:val="en-US" w:eastAsia="zh-CN"/>
        </w:rPr>
        <w:t>11.2</w:t>
      </w:r>
      <w:r>
        <w:rPr>
          <w:rFonts w:hint="eastAsia"/>
        </w:rPr>
        <w:t>入托</w:t>
      </w:r>
      <w:r>
        <w:tab/>
      </w:r>
      <w:r>
        <w:rPr>
          <w:rFonts w:hint="eastAsia"/>
          <w:lang w:val="en-US" w:eastAsia="zh-CN"/>
        </w:rPr>
        <w:t>9</w:t>
      </w:r>
    </w:p>
    <w:p>
      <w:pPr>
        <w:pStyle w:val="11"/>
        <w:spacing w:before="78" w:after="78"/>
        <w:rPr>
          <w:rFonts w:hint="eastAsia"/>
          <w:lang w:val="en-US" w:eastAsia="zh-CN"/>
        </w:rPr>
      </w:pPr>
      <w:r>
        <w:rPr>
          <w:rFonts w:hint="eastAsia" w:ascii="宋体" w:hAnsi="Times New Roman" w:eastAsia="宋体" w:cs="Times New Roman"/>
          <w:lang w:val="en-US" w:eastAsia="zh-CN"/>
        </w:rPr>
        <w:t>11.3</w:t>
      </w:r>
      <w:r>
        <w:rPr>
          <w:rFonts w:hint="eastAsia" w:ascii="宋体" w:hAnsi="宋体"/>
        </w:rPr>
        <w:t>进餐</w:t>
      </w:r>
      <w:r>
        <w:tab/>
      </w:r>
      <w:r>
        <w:rPr>
          <w:rFonts w:hint="eastAsia"/>
          <w:lang w:val="en-US" w:eastAsia="zh-CN"/>
        </w:rPr>
        <w:t>9</w:t>
      </w:r>
    </w:p>
    <w:p>
      <w:pPr>
        <w:pStyle w:val="11"/>
        <w:spacing w:before="78" w:after="78"/>
        <w:rPr>
          <w:rFonts w:hint="eastAsia"/>
          <w:lang w:val="en-US" w:eastAsia="zh-CN"/>
        </w:rPr>
      </w:pPr>
      <w:r>
        <w:rPr>
          <w:rFonts w:hint="eastAsia" w:ascii="宋体" w:hAnsi="Times New Roman" w:eastAsia="宋体" w:cs="Times New Roman"/>
          <w:lang w:val="en-US" w:eastAsia="zh-CN"/>
        </w:rPr>
        <w:t>11.4</w:t>
      </w:r>
      <w:r>
        <w:rPr>
          <w:rFonts w:hint="eastAsia"/>
        </w:rPr>
        <w:t>如厕/更换尿片</w:t>
      </w:r>
      <w:r>
        <w:tab/>
      </w:r>
      <w:r>
        <w:rPr>
          <w:rFonts w:hint="eastAsia"/>
          <w:lang w:val="en-US" w:eastAsia="zh-CN"/>
        </w:rPr>
        <w:t>9</w:t>
      </w:r>
    </w:p>
    <w:p>
      <w:pPr>
        <w:pStyle w:val="11"/>
        <w:spacing w:before="78" w:after="78"/>
        <w:rPr>
          <w:rFonts w:hint="eastAsia"/>
          <w:lang w:val="en-US" w:eastAsia="zh-CN"/>
        </w:rPr>
      </w:pPr>
      <w:r>
        <w:rPr>
          <w:rFonts w:hint="eastAsia" w:ascii="宋体" w:hAnsi="Times New Roman" w:eastAsia="宋体" w:cs="Times New Roman"/>
          <w:lang w:val="en-US" w:eastAsia="zh-CN"/>
        </w:rPr>
        <w:t>11.5</w:t>
      </w:r>
      <w:r>
        <w:rPr>
          <w:rFonts w:hint="eastAsia" w:ascii="宋体" w:hAnsi="宋体"/>
        </w:rPr>
        <w:t>盥洗</w:t>
      </w:r>
      <w:r>
        <w:tab/>
      </w:r>
      <w:r>
        <w:rPr>
          <w:rFonts w:hint="eastAsia"/>
          <w:lang w:val="en-US" w:eastAsia="zh-CN"/>
        </w:rPr>
        <w:t>10</w:t>
      </w:r>
    </w:p>
    <w:p>
      <w:pPr>
        <w:pStyle w:val="11"/>
        <w:spacing w:before="78" w:after="78"/>
        <w:rPr>
          <w:rFonts w:hint="eastAsia"/>
          <w:lang w:val="en-US" w:eastAsia="zh-CN"/>
        </w:rPr>
      </w:pPr>
      <w:r>
        <w:rPr>
          <w:rFonts w:hint="eastAsia" w:ascii="宋体" w:hAnsi="Times New Roman" w:eastAsia="宋体" w:cs="Times New Roman"/>
          <w:lang w:val="en-US" w:eastAsia="zh-CN"/>
        </w:rPr>
        <w:t>11.6</w:t>
      </w:r>
      <w:r>
        <w:rPr>
          <w:rStyle w:val="20"/>
          <w:rFonts w:hint="eastAsia" w:hAnsi="宋体"/>
        </w:rPr>
        <w:t>睡眠</w:t>
      </w:r>
      <w:r>
        <w:tab/>
      </w:r>
      <w:r>
        <w:rPr>
          <w:rFonts w:hint="eastAsia"/>
          <w:lang w:val="en-US" w:eastAsia="zh-CN"/>
        </w:rPr>
        <w:t>10</w:t>
      </w:r>
    </w:p>
    <w:p>
      <w:pPr>
        <w:pStyle w:val="11"/>
        <w:spacing w:before="78" w:after="78"/>
        <w:rPr>
          <w:rFonts w:hint="eastAsia"/>
          <w:lang w:val="en-US" w:eastAsia="zh-CN"/>
        </w:rPr>
      </w:pPr>
      <w:r>
        <w:rPr>
          <w:rFonts w:hint="eastAsia" w:ascii="宋体" w:hAnsi="Times New Roman" w:eastAsia="宋体" w:cs="Times New Roman"/>
          <w:lang w:val="en-US" w:eastAsia="zh-CN"/>
        </w:rPr>
        <w:t>11.7</w:t>
      </w:r>
      <w:r>
        <w:rPr>
          <w:rStyle w:val="20"/>
          <w:rFonts w:hint="eastAsia" w:hAnsi="宋体"/>
        </w:rPr>
        <w:t>保教活动</w:t>
      </w:r>
      <w:r>
        <w:tab/>
      </w:r>
      <w:r>
        <w:rPr>
          <w:rFonts w:hint="eastAsia"/>
          <w:lang w:val="en-US" w:eastAsia="zh-CN"/>
        </w:rPr>
        <w:t>10</w:t>
      </w:r>
    </w:p>
    <w:p>
      <w:pPr>
        <w:pStyle w:val="11"/>
        <w:spacing w:before="78" w:after="78"/>
        <w:rPr>
          <w:rFonts w:hint="eastAsia"/>
          <w:lang w:val="en-US" w:eastAsia="zh-CN"/>
        </w:rPr>
      </w:pPr>
      <w:r>
        <w:rPr>
          <w:rFonts w:hint="eastAsia" w:ascii="宋体" w:hAnsi="Times New Roman" w:eastAsia="宋体" w:cs="Times New Roman"/>
          <w:lang w:val="en-US" w:eastAsia="zh-CN"/>
        </w:rPr>
        <w:t>11.8</w:t>
      </w:r>
      <w:r>
        <w:rPr>
          <w:rStyle w:val="20"/>
          <w:rFonts w:hint="eastAsia"/>
        </w:rPr>
        <w:t>家园协作</w:t>
      </w:r>
      <w:r>
        <w:tab/>
      </w:r>
      <w:r>
        <w:rPr>
          <w:rFonts w:hint="eastAsia"/>
          <w:lang w:val="en-US" w:eastAsia="zh-CN"/>
        </w:rPr>
        <w:t>10</w:t>
      </w:r>
    </w:p>
    <w:p>
      <w:pPr>
        <w:pStyle w:val="11"/>
        <w:spacing w:before="78" w:after="78"/>
        <w:rPr>
          <w:rFonts w:hint="eastAsia"/>
          <w:lang w:val="en-US" w:eastAsia="zh-CN"/>
        </w:rPr>
      </w:pPr>
      <w:r>
        <w:rPr>
          <w:rFonts w:hint="eastAsia" w:ascii="宋体" w:hAnsi="Times New Roman" w:eastAsia="宋体" w:cs="Times New Roman"/>
          <w:lang w:val="en-US" w:eastAsia="zh-CN"/>
        </w:rPr>
        <w:t>12</w:t>
      </w:r>
      <w:r>
        <w:rPr>
          <w:rStyle w:val="20"/>
          <w:rFonts w:hint="eastAsia"/>
        </w:rPr>
        <w:t>投诉处理</w:t>
      </w:r>
      <w:r>
        <w:tab/>
      </w:r>
      <w:r>
        <w:rPr>
          <w:rFonts w:hint="eastAsia"/>
          <w:lang w:val="en-US" w:eastAsia="zh-CN"/>
        </w:rPr>
        <w:t>11</w:t>
      </w:r>
    </w:p>
    <w:p>
      <w:pPr>
        <w:pStyle w:val="14"/>
        <w:spacing w:before="156" w:after="156"/>
        <w:jc w:val="center"/>
        <w:rPr>
          <w:sz w:val="32"/>
        </w:rPr>
      </w:pPr>
      <w:r>
        <w:rPr>
          <w:szCs w:val="21"/>
        </w:rPr>
        <w:fldChar w:fldCharType="end"/>
      </w:r>
      <w:r>
        <w:rPr>
          <w:rFonts w:hint="eastAsia" w:ascii="宋体" w:hAnsi="Times New Roman" w:eastAsia="宋体" w:cs="Times New Roman"/>
          <w:bCs w:val="0"/>
          <w:kern w:val="2"/>
          <w:sz w:val="21"/>
          <w:szCs w:val="21"/>
          <w:lang w:val="en-US" w:eastAsia="zh-CN" w:bidi="ar-SA"/>
        </w:rPr>
        <w:br w:type="page"/>
      </w:r>
      <w:bookmarkStart w:id="4" w:name="_Toc96958539"/>
      <w:r>
        <w:rPr>
          <w:rFonts w:hint="eastAsia"/>
          <w:sz w:val="32"/>
        </w:rPr>
        <w:t>前    言</w:t>
      </w:r>
      <w:bookmarkEnd w:id="1"/>
      <w:bookmarkEnd w:id="4"/>
    </w:p>
    <w:p>
      <w:pPr>
        <w:ind w:firstLine="435"/>
        <w:rPr>
          <w:rFonts w:hint="eastAsia"/>
        </w:rPr>
      </w:pPr>
      <w:r>
        <w:rPr>
          <w:rFonts w:hint="eastAsia"/>
        </w:rPr>
        <w:t>本标准按照GB/T 1.1-2020《标准化工作导则 第1部分：标准化文件的结构和起草规则》的规定起草。</w:t>
      </w:r>
    </w:p>
    <w:p>
      <w:pPr>
        <w:ind w:firstLine="435"/>
        <w:rPr>
          <w:rFonts w:hint="eastAsia"/>
        </w:rPr>
      </w:pPr>
      <w:r>
        <w:rPr>
          <w:rFonts w:hint="eastAsia"/>
        </w:rPr>
        <w:t>本文件由湖南省市场监督管理局提出并归口。</w:t>
      </w:r>
    </w:p>
    <w:p>
      <w:pPr>
        <w:ind w:firstLine="435"/>
        <w:rPr>
          <w:rFonts w:hint="eastAsia"/>
        </w:rPr>
      </w:pPr>
      <w:r>
        <w:rPr>
          <w:rFonts w:hint="eastAsia"/>
        </w:rPr>
        <w:t>本标准起草单位：湖南金职伟业母婴护理有限公司。</w:t>
      </w:r>
    </w:p>
    <w:p>
      <w:pPr>
        <w:ind w:firstLine="435"/>
        <w:rPr>
          <w:rFonts w:hint="eastAsia"/>
        </w:rPr>
      </w:pPr>
      <w:r>
        <w:rPr>
          <w:rFonts w:hint="eastAsia"/>
        </w:rPr>
        <w:t>本标准主要起草人：潘建明、彭英、陈万方、雷响、李偲婧、汪慧。</w:t>
      </w:r>
    </w:p>
    <w:p>
      <w:pPr>
        <w:ind w:firstLine="435"/>
        <w:rPr>
          <w:rFonts w:hint="eastAsia"/>
        </w:rPr>
        <w:sectPr>
          <w:headerReference r:id="rId8" w:type="default"/>
          <w:footerReference r:id="rId10" w:type="default"/>
          <w:headerReference r:id="rId9" w:type="even"/>
          <w:footerReference r:id="rId11" w:type="even"/>
          <w:pgSz w:w="11907" w:h="16839"/>
          <w:pgMar w:top="1418" w:right="1134" w:bottom="1134" w:left="1418" w:header="1418" w:footer="851" w:gutter="0"/>
          <w:pgNumType w:fmt="upperRoman"/>
          <w:cols w:space="720" w:num="1"/>
          <w:docGrid w:type="lines" w:linePitch="312" w:charSpace="0"/>
        </w:sectPr>
      </w:pPr>
      <w:r>
        <w:rPr>
          <w:rFonts w:hint="eastAsia"/>
        </w:rPr>
        <w:t>本文件为首次发布。</w:t>
      </w:r>
    </w:p>
    <w:bookmarkEnd w:id="2"/>
    <w:p>
      <w:pPr>
        <w:pStyle w:val="44"/>
        <w:widowControl w:val="0"/>
        <w:autoSpaceDE w:val="0"/>
        <w:autoSpaceDN w:val="0"/>
        <w:adjustRightInd w:val="0"/>
        <w:spacing w:before="0" w:line="240" w:lineRule="auto"/>
        <w:jc w:val="both"/>
      </w:pPr>
    </w:p>
    <w:p>
      <w:pPr>
        <w:jc w:val="center"/>
        <w:rPr>
          <w:rFonts w:ascii="黑体" w:hAnsi="黑体" w:eastAsia="黑体"/>
          <w:sz w:val="32"/>
          <w:szCs w:val="32"/>
        </w:rPr>
      </w:pPr>
      <w:r>
        <w:rPr>
          <w:rFonts w:hint="eastAsia" w:ascii="黑体" w:hAnsi="黑体" w:eastAsia="黑体"/>
          <w:sz w:val="32"/>
          <w:szCs w:val="32"/>
        </w:rPr>
        <w:t>托育机构服务技术规范</w:t>
      </w:r>
    </w:p>
    <w:p>
      <w:pPr>
        <w:pStyle w:val="14"/>
        <w:spacing w:before="156" w:after="156"/>
      </w:pPr>
      <w:bookmarkStart w:id="5" w:name="_Toc96958540"/>
      <w:r>
        <w:t>1范围</w:t>
      </w:r>
      <w:bookmarkEnd w:id="5"/>
    </w:p>
    <w:p>
      <w:pPr>
        <w:ind w:firstLine="420" w:firstLineChars="200"/>
        <w:rPr>
          <w:rFonts w:hint="eastAsia" w:hAnsiTheme="minorEastAsia" w:eastAsiaTheme="minorEastAsia"/>
          <w:szCs w:val="21"/>
        </w:rPr>
      </w:pPr>
      <w:r>
        <w:rPr>
          <w:rFonts w:hint="eastAsia" w:hAnsiTheme="minorEastAsia" w:eastAsiaTheme="minorEastAsia"/>
          <w:szCs w:val="21"/>
        </w:rPr>
        <w:t>本标准规定了托育机构服务的基本要求、场地要求、设施要求、人员岗位要求及岗位职责、规模、班数及人员要求、安全管理要求、卫生保健要求、服务提供和投诉处理。</w:t>
      </w:r>
    </w:p>
    <w:p>
      <w:pPr>
        <w:ind w:firstLine="420" w:firstLineChars="200"/>
        <w:rPr>
          <w:rFonts w:hAnsiTheme="minorEastAsia" w:eastAsiaTheme="minorEastAsia"/>
          <w:szCs w:val="21"/>
        </w:rPr>
      </w:pPr>
      <w:r>
        <w:rPr>
          <w:rFonts w:hint="eastAsia" w:hAnsiTheme="minorEastAsia" w:eastAsiaTheme="minorEastAsia"/>
          <w:szCs w:val="21"/>
        </w:rPr>
        <w:t>本标准适用于湖南省内托育机构提供服务的技术规范。</w:t>
      </w:r>
    </w:p>
    <w:p>
      <w:pPr>
        <w:pStyle w:val="14"/>
        <w:spacing w:before="156" w:after="156"/>
        <w:rPr>
          <w:szCs w:val="21"/>
        </w:rPr>
      </w:pPr>
      <w:bookmarkStart w:id="6" w:name="_Toc96958541"/>
      <w:r>
        <w:rPr>
          <w:szCs w:val="21"/>
        </w:rPr>
        <w:t>2规范性引用文件</w:t>
      </w:r>
      <w:bookmarkEnd w:id="6"/>
    </w:p>
    <w:p>
      <w:pPr>
        <w:ind w:firstLine="420" w:firstLineChars="200"/>
        <w:rPr>
          <w:rFonts w:eastAsiaTheme="minorEastAsia"/>
          <w:szCs w:val="21"/>
        </w:rPr>
      </w:pPr>
      <w:r>
        <w:rPr>
          <w:rFonts w:hAnsiTheme="minorEastAsia" w:eastAsiaTheme="minorEastAsia"/>
          <w:szCs w:val="21"/>
        </w:rPr>
        <w:t>下列文件</w:t>
      </w:r>
      <w:r>
        <w:rPr>
          <w:rFonts w:hint="eastAsia" w:hAnsiTheme="minorEastAsia" w:eastAsiaTheme="minorEastAsia"/>
          <w:szCs w:val="21"/>
        </w:rPr>
        <w:t>中的内容通过稳重的规范性引用而构成本文件必不可少的条款</w:t>
      </w:r>
      <w:r>
        <w:rPr>
          <w:rFonts w:hAnsiTheme="minorEastAsia" w:eastAsiaTheme="minorEastAsia"/>
          <w:szCs w:val="21"/>
        </w:rPr>
        <w:t>。</w:t>
      </w:r>
      <w:r>
        <w:rPr>
          <w:rFonts w:hint="eastAsia" w:hAnsiTheme="minorEastAsia" w:eastAsiaTheme="minorEastAsia"/>
          <w:szCs w:val="21"/>
        </w:rPr>
        <w:t>其中，注日期的引用文件，仅该日期对应的版本适用于本文件；不注日期的引用文件，其最新版本（包括所有的修改单）适用于本文件。</w:t>
      </w:r>
    </w:p>
    <w:p>
      <w:pPr>
        <w:ind w:firstLine="420" w:firstLineChars="200"/>
        <w:rPr>
          <w:rFonts w:hint="eastAsia" w:eastAsiaTheme="minorEastAsia"/>
          <w:szCs w:val="21"/>
        </w:rPr>
      </w:pPr>
      <w:r>
        <w:rPr>
          <w:rFonts w:hint="eastAsia" w:eastAsiaTheme="minorEastAsia"/>
          <w:szCs w:val="21"/>
        </w:rPr>
        <w:t>GB/T 18883-2020 室内空气质量标准</w:t>
      </w:r>
    </w:p>
    <w:p>
      <w:pPr>
        <w:ind w:firstLine="420" w:firstLineChars="200"/>
        <w:rPr>
          <w:rFonts w:hint="eastAsia" w:eastAsiaTheme="minorEastAsia"/>
          <w:szCs w:val="21"/>
        </w:rPr>
      </w:pPr>
      <w:r>
        <w:rPr>
          <w:rFonts w:hint="eastAsia" w:eastAsiaTheme="minorEastAsia"/>
          <w:szCs w:val="21"/>
        </w:rPr>
        <w:t>GB 28007-2011 儿童家具通用技术条件</w:t>
      </w:r>
    </w:p>
    <w:p>
      <w:pPr>
        <w:ind w:firstLine="420" w:firstLineChars="200"/>
        <w:rPr>
          <w:rFonts w:hint="eastAsia" w:eastAsiaTheme="minorEastAsia"/>
          <w:szCs w:val="21"/>
        </w:rPr>
      </w:pPr>
      <w:r>
        <w:rPr>
          <w:rFonts w:hint="eastAsia" w:eastAsiaTheme="minorEastAsia"/>
          <w:szCs w:val="21"/>
        </w:rPr>
        <w:t>JGJ39-2016  托育机构、幼儿园建筑设计标准</w:t>
      </w:r>
    </w:p>
    <w:p>
      <w:pPr>
        <w:ind w:firstLine="420" w:firstLineChars="200"/>
        <w:rPr>
          <w:rFonts w:hint="eastAsia" w:eastAsiaTheme="minorEastAsia"/>
          <w:szCs w:val="21"/>
        </w:rPr>
      </w:pPr>
      <w:r>
        <w:rPr>
          <w:rFonts w:hint="eastAsia" w:eastAsiaTheme="minorEastAsia"/>
          <w:szCs w:val="21"/>
        </w:rPr>
        <w:t>GB/T 17242-1998 投诉处理指南</w:t>
      </w:r>
    </w:p>
    <w:p>
      <w:pPr>
        <w:pStyle w:val="14"/>
        <w:spacing w:before="156" w:after="156"/>
        <w:rPr>
          <w:szCs w:val="21"/>
        </w:rPr>
      </w:pPr>
      <w:bookmarkStart w:id="7" w:name="_Toc96958542"/>
      <w:r>
        <w:rPr>
          <w:rFonts w:hint="eastAsia"/>
          <w:szCs w:val="21"/>
        </w:rPr>
        <w:t>3</w:t>
      </w:r>
      <w:bookmarkEnd w:id="7"/>
      <w:bookmarkStart w:id="8" w:name="_Toc105276566"/>
      <w:bookmarkStart w:id="9" w:name="_Toc105277016"/>
      <w:bookmarkStart w:id="10" w:name="_Toc105276799"/>
      <w:r>
        <w:rPr>
          <w:rFonts w:hint="eastAsia"/>
          <w:szCs w:val="21"/>
        </w:rPr>
        <w:t>术语和定义</w:t>
      </w:r>
      <w:bookmarkEnd w:id="8"/>
      <w:bookmarkEnd w:id="9"/>
      <w:bookmarkEnd w:id="10"/>
    </w:p>
    <w:p>
      <w:pPr>
        <w:ind w:firstLine="420" w:firstLineChars="200"/>
        <w:rPr>
          <w:rFonts w:hAnsiTheme="minorEastAsia" w:eastAsiaTheme="minorEastAsia"/>
          <w:szCs w:val="21"/>
        </w:rPr>
      </w:pPr>
      <w:r>
        <w:rPr>
          <w:rFonts w:hint="eastAsia"/>
        </w:rPr>
        <w:t>下列术语和定义适用于本文件</w:t>
      </w:r>
      <w:r>
        <w:rPr>
          <w:rFonts w:hAnsiTheme="minorEastAsia" w:eastAsiaTheme="minorEastAsia"/>
          <w:szCs w:val="21"/>
        </w:rPr>
        <w:t>。</w:t>
      </w:r>
    </w:p>
    <w:p>
      <w:pPr>
        <w:pStyle w:val="2"/>
        <w:spacing w:before="156" w:after="156"/>
        <w:rPr>
          <w:rFonts w:hint="eastAsia"/>
          <w:lang w:val="en-US" w:eastAsia="zh-CN"/>
        </w:rPr>
      </w:pPr>
      <w:r>
        <w:rPr>
          <w:rFonts w:hint="eastAsia"/>
          <w:lang w:val="en-US" w:eastAsia="zh-CN"/>
        </w:rPr>
        <w:t>3.1 托育机构 Nursery institution</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用于哺育和培育3周岁以下婴幼儿使用的场所。</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3.2 生活用房 Living room</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供婴幼儿班级生活和多功能活动的空间。包括婴幼儿班活动单元、多功能活动室和为婴幼儿特殊活动的其他空间。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3.3 生活单元 Unit of living room</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供婴幼儿班级独立生活的空间。生活单元是婴幼儿生活用房中供一个班级婴幼儿生活的空间。包括乳儿班、托小班、托大班生活单元。</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3.4 活动室 Play chamber</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幼儿生活单元中供幼儿进行各种室内日常活动的空间。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3.5 寝室 Bedroom</w:t>
      </w:r>
    </w:p>
    <w:p>
      <w:pPr>
        <w:ind w:firstLine="420" w:firstLineChars="200"/>
        <w:rPr>
          <w:rFonts w:hint="eastAsia" w:ascii="Times New Roman" w:hAnsi="Times New Roman" w:eastAsia="宋体" w:cs="Times New Roman"/>
        </w:rPr>
      </w:pPr>
      <w:r>
        <w:rPr>
          <w:rFonts w:hint="eastAsia" w:ascii="Times New Roman" w:hAnsi="Times New Roman" w:eastAsia="宋体" w:cs="Times New Roman"/>
        </w:rPr>
        <w:t>幼儿生活单元中供幼儿睡眠的空间。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3.6 多功能活动室 Multi-functional room</w:t>
      </w:r>
    </w:p>
    <w:p>
      <w:pPr>
        <w:pStyle w:val="26"/>
        <w:tabs>
          <w:tab w:val="center" w:pos="4201"/>
          <w:tab w:val="right" w:leader="dot" w:pos="9298"/>
        </w:tabs>
        <w:rPr>
          <w:rFonts w:hint="eastAsia" w:ascii="Times New Roman" w:hAnsi="Times New Roman" w:eastAsia="宋体" w:cs="Times New Roman"/>
        </w:rPr>
      </w:pPr>
      <w:r>
        <w:rPr>
          <w:rFonts w:hint="eastAsia"/>
        </w:rPr>
        <w:t>供全园婴幼儿共同进行文艺、体育、家长集会等多功能活动的空间。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3.7 母婴室 Nursing room</w:t>
      </w:r>
    </w:p>
    <w:p>
      <w:pPr>
        <w:pStyle w:val="26"/>
        <w:tabs>
          <w:tab w:val="center" w:pos="4201"/>
          <w:tab w:val="right" w:leader="dot" w:pos="9298"/>
        </w:tabs>
        <w:rPr>
          <w:rFonts w:hint="eastAsia" w:ascii="宋体" w:hAnsi="Times New Roman" w:eastAsia="宋体" w:cs="Times New Roman"/>
          <w:lang w:val="en-US" w:eastAsia="zh-CN"/>
        </w:rPr>
      </w:pPr>
      <w:r>
        <w:rPr>
          <w:rFonts w:hint="eastAsia" w:ascii="宋体" w:hAnsi="Times New Roman" w:eastAsia="宋体" w:cs="Times New Roman"/>
        </w:rPr>
        <w:t>供母亲直接哺乳的空间。</w:t>
      </w:r>
    </w:p>
    <w:p>
      <w:pPr>
        <w:pStyle w:val="2"/>
        <w:spacing w:before="156" w:after="156"/>
        <w:rPr>
          <w:rFonts w:hint="eastAsia" w:ascii="Times New Roman" w:hAnsi="Times New Roman" w:cs="Times New Roman"/>
          <w:lang w:val="en-US" w:eastAsia="zh-CN"/>
        </w:rPr>
      </w:pPr>
      <w:bookmarkStart w:id="11" w:name="_Toc105277026"/>
      <w:bookmarkStart w:id="12" w:name="_Toc105276809"/>
      <w:bookmarkStart w:id="13" w:name="_Toc105276576"/>
      <w:r>
        <w:rPr>
          <w:rFonts w:hint="eastAsia" w:ascii="Times New Roman" w:hAnsi="Times New Roman" w:cs="Times New Roman"/>
          <w:lang w:val="en-US" w:eastAsia="zh-CN"/>
        </w:rPr>
        <w:t>3.8 晨检室(厅) Morning inspection room</w:t>
      </w:r>
      <w:bookmarkEnd w:id="11"/>
      <w:bookmarkEnd w:id="12"/>
      <w:bookmarkEnd w:id="13"/>
    </w:p>
    <w:p>
      <w:pPr>
        <w:pStyle w:val="26"/>
        <w:tabs>
          <w:tab w:val="center" w:pos="4201"/>
          <w:tab w:val="right" w:leader="dot" w:pos="9298"/>
        </w:tabs>
        <w:rPr>
          <w:rFonts w:hint="eastAsia" w:ascii="宋体" w:hAnsi="Times New Roman" w:eastAsia="宋体" w:cs="Times New Roman"/>
        </w:rPr>
      </w:pPr>
      <w:r>
        <w:rPr>
          <w:rFonts w:hint="eastAsia" w:ascii="宋体" w:hAnsi="Times New Roman" w:eastAsia="宋体" w:cs="Times New Roman"/>
        </w:rPr>
        <w:t>供婴幼儿入园时进行健康检查的空间。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 xml:space="preserve">3.9 </w:t>
      </w:r>
      <w:bookmarkStart w:id="14" w:name="_Toc105276811"/>
      <w:bookmarkStart w:id="15" w:name="_Toc105277028"/>
      <w:bookmarkStart w:id="16" w:name="_Toc105276578"/>
      <w:r>
        <w:rPr>
          <w:rFonts w:hint="eastAsia" w:ascii="Times New Roman" w:hAnsi="Times New Roman" w:cs="Times New Roman"/>
          <w:lang w:val="en-US" w:eastAsia="zh-CN"/>
        </w:rPr>
        <w:t>保健观察室 Health-care and observation room</w:t>
      </w:r>
      <w:bookmarkEnd w:id="14"/>
      <w:bookmarkEnd w:id="15"/>
      <w:bookmarkEnd w:id="16"/>
    </w:p>
    <w:p>
      <w:pPr>
        <w:pStyle w:val="26"/>
        <w:tabs>
          <w:tab w:val="center" w:pos="4201"/>
          <w:tab w:val="right" w:leader="dot" w:pos="9298"/>
        </w:tabs>
        <w:rPr>
          <w:rFonts w:hint="eastAsia" w:ascii="宋体" w:hAnsi="Times New Roman" w:eastAsia="宋体" w:cs="Times New Roman"/>
        </w:rPr>
      </w:pPr>
      <w:r>
        <w:rPr>
          <w:rFonts w:hint="eastAsia" w:ascii="宋体" w:hAnsi="Times New Roman" w:eastAsia="宋体" w:cs="Times New Roman"/>
        </w:rPr>
        <w:t>供病儿进行临时隔离、观察、治疗的空间。</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 xml:space="preserve">3.10 </w:t>
      </w:r>
      <w:bookmarkStart w:id="17" w:name="_Toc105276580"/>
      <w:bookmarkStart w:id="18" w:name="_Toc105277030"/>
      <w:bookmarkStart w:id="19" w:name="_Toc105276813"/>
      <w:r>
        <w:rPr>
          <w:rFonts w:hint="eastAsia" w:ascii="Times New Roman" w:hAnsi="Times New Roman" w:cs="Times New Roman"/>
          <w:lang w:val="en-US" w:eastAsia="zh-CN"/>
        </w:rPr>
        <w:t>服务管理用房 Service room</w:t>
      </w:r>
      <w:bookmarkEnd w:id="17"/>
      <w:bookmarkEnd w:id="18"/>
      <w:bookmarkEnd w:id="19"/>
    </w:p>
    <w:p>
      <w:pPr>
        <w:pStyle w:val="26"/>
        <w:tabs>
          <w:tab w:val="center" w:pos="4201"/>
          <w:tab w:val="right" w:leader="dot" w:pos="9298"/>
        </w:tabs>
        <w:rPr>
          <w:rFonts w:hint="eastAsia" w:ascii="宋体" w:hAnsi="Times New Roman" w:eastAsia="宋体" w:cs="Times New Roman"/>
        </w:rPr>
      </w:pPr>
      <w:r>
        <w:rPr>
          <w:rFonts w:hint="eastAsia" w:ascii="宋体" w:hAnsi="Times New Roman" w:eastAsia="宋体" w:cs="Times New Roman"/>
        </w:rPr>
        <w:t>供对外联系，对内为幼儿保健和教育服务管理的空间。包括警卫室、收发室、晨检室(厅)、保健观察室、财务室、办公室、会议室、医务室、储藏室等。</w:t>
      </w:r>
    </w:p>
    <w:p>
      <w:pPr>
        <w:pStyle w:val="2"/>
        <w:spacing w:before="156" w:after="156"/>
        <w:rPr>
          <w:rFonts w:hint="eastAsia" w:ascii="Times New Roman" w:hAnsi="Times New Roman" w:cs="Times New Roman"/>
          <w:lang w:val="en-US" w:eastAsia="zh-CN"/>
        </w:rPr>
      </w:pPr>
      <w:r>
        <w:rPr>
          <w:rFonts w:hint="eastAsia" w:ascii="Times New Roman" w:hAnsi="Times New Roman" w:cs="Times New Roman"/>
          <w:lang w:val="en-US" w:eastAsia="zh-CN"/>
        </w:rPr>
        <w:t xml:space="preserve">3.11 </w:t>
      </w:r>
      <w:bookmarkStart w:id="20" w:name="_Toc105276582"/>
      <w:bookmarkStart w:id="21" w:name="_Toc105277032"/>
      <w:bookmarkStart w:id="22" w:name="_Toc105276815"/>
      <w:r>
        <w:rPr>
          <w:rFonts w:hint="eastAsia" w:ascii="Times New Roman" w:hAnsi="Times New Roman" w:cs="Times New Roman"/>
          <w:lang w:val="en-US" w:eastAsia="zh-CN"/>
        </w:rPr>
        <w:t>供应用房 Supply room</w:t>
      </w:r>
      <w:bookmarkEnd w:id="20"/>
      <w:bookmarkEnd w:id="21"/>
      <w:bookmarkEnd w:id="22"/>
    </w:p>
    <w:p>
      <w:pPr>
        <w:pStyle w:val="26"/>
        <w:tabs>
          <w:tab w:val="center" w:pos="4201"/>
          <w:tab w:val="right" w:leader="dot" w:pos="9298"/>
        </w:tabs>
        <w:rPr>
          <w:rFonts w:hint="eastAsia" w:ascii="Times New Roman" w:hAnsi="Times New Roman" w:eastAsia="宋体" w:cs="Times New Roman"/>
        </w:rPr>
      </w:pPr>
      <w:r>
        <w:rPr>
          <w:rFonts w:hint="eastAsia" w:ascii="宋体" w:hAnsi="Times New Roman" w:eastAsia="宋体" w:cs="Times New Roman"/>
        </w:rPr>
        <w:t>供托育机构人员饮食、饮水、洗衣等后勤服务使用的空间。包括厨房、淋浴室、开水间、消毒间、洗衣房、配电室、锅炉房等，可根据实际需要进行设置。</w:t>
      </w:r>
    </w:p>
    <w:p>
      <w:pPr>
        <w:pStyle w:val="14"/>
        <w:spacing w:before="156" w:after="156"/>
        <w:rPr>
          <w:rFonts w:hint="eastAsia"/>
        </w:rPr>
      </w:pPr>
      <w:bookmarkStart w:id="23" w:name="_Toc96958543"/>
      <w:r>
        <w:rPr>
          <w:rFonts w:hint="eastAsia"/>
        </w:rPr>
        <w:t>4</w:t>
      </w:r>
      <w:bookmarkEnd w:id="23"/>
      <w:bookmarkStart w:id="24" w:name="_Toc105276816"/>
      <w:bookmarkStart w:id="25" w:name="_Toc105276583"/>
      <w:bookmarkStart w:id="26" w:name="_Toc105277033"/>
      <w:r>
        <w:rPr>
          <w:rFonts w:hint="eastAsia"/>
        </w:rPr>
        <w:t>托育机构基本要求</w:t>
      </w:r>
      <w:bookmarkEnd w:id="24"/>
      <w:bookmarkEnd w:id="25"/>
      <w:bookmarkEnd w:id="26"/>
    </w:p>
    <w:p>
      <w:pPr>
        <w:rPr>
          <w:rFonts w:hint="eastAsia" w:eastAsiaTheme="minorEastAsia"/>
          <w:szCs w:val="21"/>
        </w:rPr>
      </w:pPr>
      <w:bookmarkStart w:id="27" w:name="_Toc96958544"/>
      <w:r>
        <w:rPr>
          <w:rFonts w:hint="eastAsia" w:eastAsiaTheme="minorEastAsia"/>
          <w:szCs w:val="21"/>
        </w:rPr>
        <w:t>4</w:t>
      </w:r>
      <w:r>
        <w:rPr>
          <w:rFonts w:eastAsiaTheme="minorEastAsia"/>
          <w:szCs w:val="21"/>
        </w:rPr>
        <w:t>.1</w:t>
      </w:r>
      <w:bookmarkEnd w:id="27"/>
      <w:r>
        <w:rPr>
          <w:rFonts w:hint="eastAsia" w:eastAsiaTheme="minorEastAsia"/>
          <w:szCs w:val="21"/>
        </w:rPr>
        <w:t>应当具有为婴幼儿提供托育服务的合法资质，并在经营场所醒目位置明示相关证照。提供餐饮服务的，应有《食品经营许可证》。</w:t>
      </w:r>
    </w:p>
    <w:p>
      <w:pPr>
        <w:rPr>
          <w:rFonts w:hint="eastAsia" w:eastAsiaTheme="minorEastAsia"/>
          <w:szCs w:val="21"/>
        </w:rPr>
      </w:pPr>
      <w:r>
        <w:rPr>
          <w:rFonts w:hint="eastAsia" w:eastAsiaTheme="minorEastAsia"/>
          <w:szCs w:val="21"/>
        </w:rPr>
        <w:t>4.</w:t>
      </w:r>
      <w:r>
        <w:rPr>
          <w:rFonts w:hint="eastAsia" w:eastAsiaTheme="minorEastAsia"/>
          <w:szCs w:val="21"/>
          <w:lang w:val="en-US" w:eastAsia="zh-CN"/>
        </w:rPr>
        <w:t>2</w:t>
      </w:r>
      <w:r>
        <w:rPr>
          <w:rFonts w:hint="eastAsia" w:eastAsiaTheme="minorEastAsia"/>
          <w:szCs w:val="21"/>
        </w:rPr>
        <w:t>应当具备与业务范围、服务规模相适应的固定经营场所、相应设施设备和符合相关规定的环境要求。</w:t>
      </w:r>
    </w:p>
    <w:p>
      <w:pPr>
        <w:rPr>
          <w:rFonts w:hint="eastAsia" w:eastAsiaTheme="minorEastAsia"/>
          <w:szCs w:val="21"/>
        </w:rPr>
      </w:pPr>
      <w:r>
        <w:rPr>
          <w:rFonts w:hint="eastAsia" w:eastAsiaTheme="minorEastAsia"/>
          <w:szCs w:val="21"/>
          <w:lang w:val="en-US" w:eastAsia="zh-CN"/>
        </w:rPr>
        <w:t>4.3</w:t>
      </w:r>
      <w:r>
        <w:rPr>
          <w:rFonts w:hint="eastAsia" w:eastAsiaTheme="minorEastAsia"/>
          <w:szCs w:val="21"/>
        </w:rPr>
        <w:t>应配置与服务规模相适应数量的托育机构负责人、保育人员，合理配置保健人员、炊事人员、保安人员。</w:t>
      </w:r>
    </w:p>
    <w:p>
      <w:pPr>
        <w:rPr>
          <w:rFonts w:hint="eastAsia" w:eastAsiaTheme="minorEastAsia"/>
          <w:szCs w:val="21"/>
        </w:rPr>
      </w:pPr>
      <w:r>
        <w:rPr>
          <w:rFonts w:hint="eastAsia" w:eastAsiaTheme="minorEastAsia"/>
          <w:szCs w:val="21"/>
          <w:lang w:val="en-US" w:eastAsia="zh-CN"/>
        </w:rPr>
        <w:t>4.4</w:t>
      </w:r>
      <w:r>
        <w:rPr>
          <w:rFonts w:hint="eastAsia" w:eastAsiaTheme="minorEastAsia"/>
          <w:szCs w:val="21"/>
        </w:rPr>
        <w:t>应诚信经营，实施公开承诺服务，服务项目明码实价，设立投诉监督电话，切实保护顾客合法权益。</w:t>
      </w:r>
    </w:p>
    <w:p>
      <w:pPr>
        <w:rPr>
          <w:rFonts w:hint="eastAsia" w:eastAsiaTheme="minorEastAsia"/>
          <w:szCs w:val="21"/>
        </w:rPr>
      </w:pPr>
      <w:r>
        <w:rPr>
          <w:rFonts w:hint="eastAsia" w:eastAsiaTheme="minorEastAsia"/>
          <w:szCs w:val="21"/>
          <w:lang w:val="en-US" w:eastAsia="zh-CN"/>
        </w:rPr>
        <w:t>4.5</w:t>
      </w:r>
      <w:r>
        <w:rPr>
          <w:rFonts w:hint="eastAsia" w:eastAsiaTheme="minorEastAsia"/>
          <w:szCs w:val="21"/>
        </w:rPr>
        <w:t>应建立业务接待平台，如热线电话、网络、接待厅等，及时接受客户的咨询。</w:t>
      </w:r>
    </w:p>
    <w:p>
      <w:pPr>
        <w:rPr>
          <w:rFonts w:hint="eastAsia" w:eastAsiaTheme="minorEastAsia"/>
          <w:szCs w:val="21"/>
        </w:rPr>
      </w:pPr>
      <w:r>
        <w:rPr>
          <w:rFonts w:hint="eastAsia" w:eastAsiaTheme="minorEastAsia"/>
          <w:szCs w:val="21"/>
          <w:lang w:val="en-US" w:eastAsia="zh-CN"/>
        </w:rPr>
        <w:t>4.6</w:t>
      </w:r>
      <w:r>
        <w:rPr>
          <w:rFonts w:hint="eastAsia" w:eastAsiaTheme="minorEastAsia"/>
          <w:szCs w:val="21"/>
        </w:rPr>
        <w:t>应有服务质量、投诉处理、环境保护、安全卫生、安全救护、安全管理等制度</w:t>
      </w:r>
      <w:r>
        <w:rPr>
          <w:rFonts w:hint="eastAsia" w:eastAsiaTheme="minorEastAsia"/>
          <w:szCs w:val="21"/>
          <w:lang w:eastAsia="zh-CN"/>
        </w:rPr>
        <w:t>，</w:t>
      </w:r>
      <w:r>
        <w:rPr>
          <w:rFonts w:hint="eastAsia" w:eastAsiaTheme="minorEastAsia"/>
          <w:szCs w:val="21"/>
          <w:lang w:val="en-US" w:eastAsia="zh-CN"/>
        </w:rPr>
        <w:t>并有</w:t>
      </w:r>
      <w:r>
        <w:rPr>
          <w:rFonts w:hint="eastAsia" w:eastAsiaTheme="minorEastAsia"/>
          <w:szCs w:val="21"/>
        </w:rPr>
        <w:t>完善的岗位责任制和操作标准。</w:t>
      </w:r>
    </w:p>
    <w:p>
      <w:pPr>
        <w:rPr>
          <w:rFonts w:hint="eastAsia" w:eastAsiaTheme="minorEastAsia"/>
          <w:szCs w:val="21"/>
        </w:rPr>
      </w:pPr>
      <w:r>
        <w:rPr>
          <w:rFonts w:hint="eastAsia" w:eastAsiaTheme="minorEastAsia"/>
          <w:szCs w:val="21"/>
          <w:lang w:val="en-US" w:eastAsia="zh-CN"/>
        </w:rPr>
        <w:t>4.7</w:t>
      </w:r>
      <w:r>
        <w:rPr>
          <w:rFonts w:hint="eastAsia" w:eastAsiaTheme="minorEastAsia"/>
          <w:szCs w:val="21"/>
        </w:rPr>
        <w:t>应符合国家有关卫生、防疫、消防、公共安全等法律法规的要求。</w:t>
      </w:r>
    </w:p>
    <w:p>
      <w:pPr>
        <w:rPr>
          <w:rFonts w:hint="eastAsia" w:eastAsiaTheme="minorEastAsia"/>
          <w:szCs w:val="21"/>
        </w:rPr>
      </w:pPr>
      <w:r>
        <w:rPr>
          <w:rFonts w:hint="eastAsia" w:eastAsiaTheme="minorEastAsia"/>
          <w:szCs w:val="21"/>
          <w:lang w:val="en-US" w:eastAsia="zh-CN"/>
        </w:rPr>
        <w:t>4.8</w:t>
      </w:r>
      <w:r>
        <w:rPr>
          <w:rFonts w:hint="eastAsia" w:eastAsiaTheme="minorEastAsia"/>
          <w:szCs w:val="21"/>
        </w:rPr>
        <w:t>应</w:t>
      </w:r>
      <w:r>
        <w:rPr>
          <w:rFonts w:hint="eastAsia" w:eastAsiaTheme="minorEastAsia"/>
          <w:szCs w:val="21"/>
          <w:lang w:val="en-US" w:eastAsia="zh-CN"/>
        </w:rPr>
        <w:t>有</w:t>
      </w:r>
      <w:r>
        <w:rPr>
          <w:rFonts w:hint="eastAsia" w:eastAsiaTheme="minorEastAsia"/>
          <w:szCs w:val="21"/>
        </w:rPr>
        <w:t>服务人员填写完整的备案登记表，附上本人近期免冠照片、身份证、健康证明、职业资格证书复印件。</w:t>
      </w:r>
    </w:p>
    <w:p>
      <w:pPr>
        <w:rPr>
          <w:rFonts w:hint="eastAsia" w:eastAsiaTheme="minorEastAsia"/>
          <w:szCs w:val="21"/>
        </w:rPr>
      </w:pPr>
      <w:r>
        <w:rPr>
          <w:rFonts w:hint="eastAsia" w:eastAsiaTheme="minorEastAsia"/>
          <w:szCs w:val="21"/>
          <w:lang w:val="en-US" w:eastAsia="zh-CN"/>
        </w:rPr>
        <w:t>4.9</w:t>
      </w:r>
      <w:r>
        <w:rPr>
          <w:rFonts w:hint="eastAsia" w:eastAsiaTheme="minorEastAsia"/>
          <w:szCs w:val="21"/>
        </w:rPr>
        <w:t>应当与服务人员签订劳动合同或劳务派遣合同、依法管理员工。</w:t>
      </w:r>
    </w:p>
    <w:p>
      <w:pPr>
        <w:rPr>
          <w:rFonts w:hint="eastAsia" w:eastAsiaTheme="minorEastAsia"/>
          <w:szCs w:val="21"/>
        </w:rPr>
      </w:pPr>
      <w:r>
        <w:rPr>
          <w:rFonts w:hint="eastAsia" w:eastAsiaTheme="minorEastAsia"/>
          <w:szCs w:val="21"/>
          <w:lang w:val="en-US" w:eastAsia="zh-CN"/>
        </w:rPr>
        <w:t>4.10</w:t>
      </w:r>
      <w:r>
        <w:rPr>
          <w:rFonts w:hint="eastAsia" w:eastAsiaTheme="minorEastAsia"/>
          <w:szCs w:val="21"/>
        </w:rPr>
        <w:t>应当配置统一的工作服、工作鞋，工作服上印制服务机构统一的标识。</w:t>
      </w:r>
    </w:p>
    <w:p>
      <w:pPr>
        <w:rPr>
          <w:rFonts w:hint="eastAsia" w:eastAsiaTheme="minorEastAsia"/>
          <w:szCs w:val="21"/>
        </w:rPr>
      </w:pPr>
      <w:r>
        <w:rPr>
          <w:rFonts w:hint="eastAsia" w:eastAsiaTheme="minorEastAsia"/>
          <w:szCs w:val="21"/>
          <w:lang w:val="en-US" w:eastAsia="zh-CN"/>
        </w:rPr>
        <w:t>4.11</w:t>
      </w:r>
      <w:r>
        <w:rPr>
          <w:rFonts w:hint="eastAsia" w:eastAsiaTheme="minorEastAsia"/>
          <w:szCs w:val="21"/>
        </w:rPr>
        <w:t>应当定期评估自身的经营管理水平和服务能力并不断改进提高。</w:t>
      </w:r>
    </w:p>
    <w:p>
      <w:pPr>
        <w:rPr>
          <w:rFonts w:eastAsiaTheme="minorEastAsia"/>
          <w:szCs w:val="21"/>
        </w:rPr>
      </w:pPr>
      <w:r>
        <w:rPr>
          <w:rFonts w:hint="eastAsia" w:eastAsiaTheme="minorEastAsia"/>
          <w:szCs w:val="21"/>
          <w:lang w:val="en-US" w:eastAsia="zh-CN"/>
        </w:rPr>
        <w:t>4.12</w:t>
      </w:r>
      <w:r>
        <w:rPr>
          <w:rFonts w:hint="eastAsia" w:eastAsiaTheme="minorEastAsia"/>
          <w:szCs w:val="21"/>
        </w:rPr>
        <w:t>应当投保意外保险，降低运营风险。</w:t>
      </w:r>
    </w:p>
    <w:p>
      <w:pPr>
        <w:pStyle w:val="14"/>
        <w:spacing w:before="156" w:after="156"/>
        <w:rPr>
          <w:rFonts w:hint="eastAsia"/>
        </w:rPr>
      </w:pPr>
      <w:bookmarkStart w:id="28" w:name="_Toc96958552"/>
      <w:r>
        <w:rPr>
          <w:rFonts w:hint="eastAsia"/>
        </w:rPr>
        <w:t>5</w:t>
      </w:r>
      <w:bookmarkEnd w:id="28"/>
      <w:r>
        <w:rPr>
          <w:rFonts w:hint="eastAsia"/>
        </w:rPr>
        <w:t>托育机构场地要求</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5.1托育机构应当有与规模相适应的自有场地或租赁期不少于3年的场地。</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5.2托育机构的场地应位于地上，且满足二层及二层以下，应设独立的疏散楼梯和安全出口。</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5.3应当选择自然条件良好、交通便利、符合卫生和环保要求的建设用地，远离对婴幼儿成长有危害的建筑、设施及污染源，满足抗震、防火、疏散等要求。</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5.4托育机构的建筑应当符合有关工程建设国家标准、行业标准。</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5.5托育机构应当设有室外活动场地，配备适宜的游戏设施，且有相应的安全防护设施。室外活动场地人均面积不应小于3m²，城市人口密集地区改、扩建的托育机构，设置室外活动场地有困难时，室外活动场地人均面积不应小于2m²；四个班及以上的托育机构应独立设置。三个班及以下时，在保障安全的前提下，可利用附近的公共场地和设施。</w:t>
      </w:r>
    </w:p>
    <w:p>
      <w:pPr>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5.6设置符合标准要求的生活用房，根据需要设置服务管理用房和供应用房。</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5.7托育机构的生活用房活动室、寝室及具有相同功能的区域，应布置在当地最好朝向，冬至日底层满窗日照不应小于3h。</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5.8托育机构生活用房应布置在首层。当布置在首层确有困难时，可将托大班布置在二层，其人数不应超过60人。</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5.9托育机构的外廊、室内回廊、内天井、阳台、平台、看台及室外楼梯等临空处应设置防护栏杆，栏杆应以坚固、耐久的材料制作。防护栏杆的高度应从可踏部位顶面起算，且净高不应小于1.30m。防护栏杆应采用防止幼儿攀登和穿过的构造，当采用垂直杆件做栏杆时，其杆件净距离不应大于0.09m。</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5.10应当配备婴幼儿活动室、睡眠室、盥洗室、多功能运动室等，室内应当日照充足、采购良好，婴幼儿活动室人均活动面积不低于4㎡。</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5.11乳儿班应包括睡眠区、活动区、配餐区、清洁区、储藏区等，各区最小使用面积见表。</w:t>
      </w:r>
    </w:p>
    <w:p>
      <w:pPr>
        <w:jc w:val="center"/>
        <w:rPr>
          <w:rFonts w:hint="eastAsia" w:hAnsiTheme="minorEastAsia" w:eastAsiaTheme="minorEastAsia"/>
          <w:szCs w:val="21"/>
          <w:lang w:val="en-US" w:eastAsia="zh-CN"/>
        </w:rPr>
      </w:pPr>
      <w:r>
        <w:rPr>
          <w:rFonts w:hint="eastAsia" w:hAnsiTheme="minorEastAsia" w:eastAsiaTheme="minorEastAsia"/>
          <w:szCs w:val="21"/>
          <w:lang w:val="en-US" w:eastAsia="zh-CN"/>
        </w:rPr>
        <w:t>表1 乳儿班各区最小使用面积</w:t>
      </w:r>
    </w:p>
    <w:tbl>
      <w:tblPr>
        <w:tblStyle w:val="16"/>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78"/>
        <w:gridCol w:w="53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各区名称</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最小使用面积（</w:t>
            </w:r>
            <w:r>
              <w:rPr>
                <w:rFonts w:hint="eastAsia" w:eastAsiaTheme="minorEastAsia"/>
                <w:szCs w:val="21"/>
                <w:lang w:val="en-US" w:eastAsia="zh-CN"/>
              </w:rPr>
              <w:t>㎡</w:t>
            </w:r>
            <w:r>
              <w:rPr>
                <w:rFonts w:ascii="Times New Roman" w:cs="Times New Roman" w:hAnsiTheme="minorEastAsia" w:eastAsiaTheme="minor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睡眠区</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活动区</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配餐区</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清洁区</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15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储藏区</w:t>
            </w:r>
          </w:p>
        </w:tc>
        <w:tc>
          <w:tcPr>
            <w:tcW w:w="5203" w:type="dxa"/>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jc w:val="center"/>
              <w:rPr>
                <w:rFonts w:ascii="Times New Roman" w:cs="Times New Roman" w:hAnsiTheme="minorEastAsia" w:eastAsiaTheme="minorEastAsia"/>
                <w:szCs w:val="21"/>
              </w:rPr>
            </w:pPr>
            <w:r>
              <w:rPr>
                <w:rFonts w:ascii="Times New Roman" w:cs="Times New Roman" w:hAnsiTheme="minorEastAsia" w:eastAsiaTheme="minorEastAsia"/>
                <w:szCs w:val="21"/>
              </w:rPr>
              <w:t>4</w:t>
            </w:r>
          </w:p>
        </w:tc>
      </w:tr>
    </w:tbl>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5.12托小班应包括睡眠区、活动区、配餐区、清洁区、卫生间、储藏区等，各区最小使用面积见表。</w:t>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表2 托小班各区最小使用面积</w:t>
      </w:r>
    </w:p>
    <w:tbl>
      <w:tblPr>
        <w:tblStyle w:val="16"/>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402"/>
        <w:gridCol w:w="52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Calibri" w:hAnsi="Calibri"/>
                <w:szCs w:val="21"/>
              </w:rPr>
            </w:pPr>
            <w:r>
              <w:rPr>
                <w:rFonts w:ascii="宋体" w:hAnsi="宋体" w:eastAsia="宋体" w:cs="Times New Roman"/>
              </w:rPr>
              <w:t>各区名称</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最小使用面积（m2）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睡眠区</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活动区</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配餐区</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清洁区</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卫生间</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1"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储藏区</w:t>
            </w:r>
          </w:p>
        </w:tc>
        <w:tc>
          <w:tcPr>
            <w:tcW w:w="5068"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4</w:t>
            </w:r>
          </w:p>
        </w:tc>
      </w:tr>
    </w:tbl>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5.13托儿所应设门厅，门厅内应设置晨检室和收发室，宜设置展示区、婴幼儿和成年人使用的洗手池、婴幼儿车存储等空间。</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5.14托育机构应在大厅处设母婴室，包含尿布台、洗手池、成人厕所、沙发、冰箱等。使用面积不宜小于10㎡。</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5.15托育机构的厨房使用面积宜人均面积0.4㎡，且不应小于12㎡。</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5.16托育机构的消防水池、各种供水机房、各种换热机房及变配电房间等不得与婴幼儿生活单元贴邻设置。</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5.17托育机构灯光设置应合理，应符合JGJ39-2016的规定。</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5.18托育机构的房屋装修、设施设备、装饰材料等，应当符合国家相关安全质量标准和环保标准，并定期进行检查维护。</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5.19托育机构应设置安全技术防范系统，符合JGJ39-2016的规定。</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5.20室内电器插座要安在1.8m以上，电线应用暗线，经常检查电器电线是否漏电。</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5.21托育机构需要进餐则需配备厨房，厨房应取得《食品经营许可证》，建立健全各项食品安全管理制度。没有厨房的托育机构应在具有《食品经营许可证》或《食品流通许可证》的单位采购。</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5.22室内活动室地面应当铺设不易滑倒且易于清洁的材料，墙面有安全防护，各活动室隔音情况良好；户外活动、游戏场地应当由塑胶软地或草地。</w:t>
      </w:r>
    </w:p>
    <w:p>
      <w:pPr>
        <w:pStyle w:val="14"/>
        <w:spacing w:before="156" w:after="156"/>
        <w:rPr>
          <w:rFonts w:hint="eastAsia"/>
        </w:rPr>
      </w:pPr>
      <w:bookmarkStart w:id="29" w:name="_Toc96958559"/>
      <w:r>
        <w:rPr>
          <w:rFonts w:hint="eastAsia"/>
        </w:rPr>
        <w:t>6</w:t>
      </w:r>
      <w:bookmarkEnd w:id="29"/>
      <w:bookmarkStart w:id="30" w:name="_Toc105276818"/>
      <w:bookmarkStart w:id="31" w:name="_Toc105277035"/>
      <w:bookmarkStart w:id="32" w:name="_Toc105276585"/>
      <w:r>
        <w:rPr>
          <w:rFonts w:hint="eastAsia"/>
        </w:rPr>
        <w:t>托育机构设施要求</w:t>
      </w:r>
      <w:bookmarkEnd w:id="30"/>
      <w:bookmarkEnd w:id="31"/>
      <w:bookmarkEnd w:id="32"/>
    </w:p>
    <w:p>
      <w:pPr>
        <w:pStyle w:val="2"/>
        <w:spacing w:before="156" w:after="156"/>
      </w:pPr>
      <w:bookmarkStart w:id="33" w:name="_Toc96958560"/>
      <w:r>
        <w:rPr>
          <w:rFonts w:hint="eastAsia"/>
        </w:rPr>
        <w:t>6</w:t>
      </w:r>
      <w:r>
        <w:t>.1</w:t>
      </w:r>
      <w:bookmarkEnd w:id="33"/>
      <w:bookmarkStart w:id="34" w:name="_Toc105276819"/>
      <w:bookmarkStart w:id="35" w:name="_Toc105277036"/>
      <w:bookmarkStart w:id="36" w:name="_Toc105276586"/>
      <w:r>
        <w:rPr>
          <w:rFonts w:hint="eastAsia"/>
        </w:rPr>
        <w:t>教养设施设备</w:t>
      </w:r>
      <w:bookmarkEnd w:id="34"/>
      <w:bookmarkEnd w:id="35"/>
      <w:bookmarkEnd w:id="36"/>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6.1.1托育机构内的设备设施应满足相关产品要求，且需要重点满足婴幼儿尺寸要求。应满足GB 28007的要求，对部分设备设施没有相关产品要求的，需要自行对设备设施的安全性相关指标进行分析，确保对婴幼儿不会造成物理、化学和生物等危害。</w:t>
      </w:r>
    </w:p>
    <w:p>
      <w:pPr>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6.1.2应根据婴幼儿的年龄特点配备符合安全和卫生要求的婴幼儿床、桌子、婴儿护理台、坐便器、盥洗用具、餐饮用具、玩具柜和玩具等.</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6.1.3地面应经过软化处理，平整、防滑、无尖锐突出物，墙面要有安全防护。婴幼儿盥洗室应设有流水洗手设备和防滑设备。服务设施应定期维护、及时更新。</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6.1.4应当配有符合国家安全标准、与婴幼儿身高相适应的桌、椅、床，椅子有靠背、高度应是婴幼儿可以舒适的双脚接触地面，睡眠时做到一人一床一被。</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6.1.5应有敞开式玩具柜、书架，有充足、安全、能满足多种感知需要的玩具及图书，有必要的教具和设备。</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6.1.6应有符合卫生条件的盥洗设备、饮水设备、蹲式水冲式儿童厕所（蹲坑要有安全扶手）、有活动的毛巾架、茶杯箱，做到每人两巾（洗脸毛巾、餐巾）一杯（饮水杯）。</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6.1.7应有符合婴幼儿生活需要的卫生消毒设施（消毒柜、紫外线消毒灯等）、防暑保暖设备和符合规范的报警监控设备。</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6.1.8应有适合婴幼儿的中小型户外玩具，有足够数量的童车、皮球、塑料圈等小玩具。</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6.1.9应配备与服务规模相适应的发电机，确保停电状态下正常运行。</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6.1.10应在公共区域、涉及婴幼儿安全的关键区域安装监控设施</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6.1.11应在专用厨房配置相应的炊具、用具、食品分类存放设备，燃气泄漏报警装置和水电气控制设备、废物桶、洗手池、消毒和防蝇设备等</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6.1.12应在教室、睡眠室配置恒温、空气消毒设施，使用时室温当应保持在22℃～26℃、相对湿度在40%～60%,并适时开窗通风、保持空气清新、符合GB/T 18883要求。</w:t>
      </w:r>
    </w:p>
    <w:p>
      <w:pPr>
        <w:pStyle w:val="2"/>
        <w:spacing w:before="156" w:after="156"/>
      </w:pPr>
      <w:bookmarkStart w:id="37" w:name="_Toc96958561"/>
      <w:r>
        <w:rPr>
          <w:rFonts w:hint="eastAsia"/>
        </w:rPr>
        <w:t>6</w:t>
      </w:r>
      <w:r>
        <w:t>.</w:t>
      </w:r>
      <w:r>
        <w:rPr>
          <w:rFonts w:hint="eastAsia"/>
        </w:rPr>
        <w:t>2</w:t>
      </w:r>
      <w:bookmarkEnd w:id="37"/>
      <w:bookmarkStart w:id="38" w:name="_Toc105276820"/>
      <w:bookmarkStart w:id="39" w:name="_Toc105277037"/>
      <w:bookmarkStart w:id="40" w:name="_Toc105276587"/>
      <w:r>
        <w:rPr>
          <w:rFonts w:hint="eastAsia"/>
        </w:rPr>
        <w:t>避难逃生设施</w:t>
      </w:r>
      <w:bookmarkEnd w:id="38"/>
      <w:bookmarkEnd w:id="39"/>
      <w:bookmarkEnd w:id="40"/>
    </w:p>
    <w:p>
      <w:pPr>
        <w:rPr>
          <w:rFonts w:hint="eastAsia" w:ascii="Times New Roman" w:hAnsi="Times New Roman" w:cs="Times New Roman" w:eastAsiaTheme="minorEastAsia"/>
          <w:szCs w:val="21"/>
          <w:lang w:val="en-US" w:eastAsia="zh-CN"/>
        </w:rPr>
      </w:pPr>
      <w:bookmarkStart w:id="41" w:name="_Toc96958562"/>
      <w:r>
        <w:rPr>
          <w:rFonts w:hint="eastAsia" w:ascii="Times New Roman" w:hAnsi="Times New Roman" w:cs="Times New Roman" w:eastAsiaTheme="minorEastAsia"/>
          <w:szCs w:val="21"/>
          <w:lang w:val="en-US" w:eastAsia="zh-CN"/>
        </w:rPr>
        <w:t>6.2.1应在公共区域显著位置设有消防疏散图。</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6.2.2应具备无障碍逃生通道。</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6.2.3应配备消防设备。</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6.2.4应保持楼梯间、走道及应急出口周围畅通无障碍物。</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6.2.5应配备等待救援的临时避难空间及相应的避难设施。</w:t>
      </w:r>
    </w:p>
    <w:p>
      <w:pPr>
        <w:pStyle w:val="14"/>
        <w:spacing w:before="156" w:after="156"/>
      </w:pPr>
      <w:r>
        <w:rPr>
          <w:rFonts w:hint="eastAsia"/>
        </w:rPr>
        <w:t>7</w:t>
      </w:r>
      <w:bookmarkEnd w:id="41"/>
      <w:bookmarkStart w:id="42" w:name="_Toc105276821"/>
      <w:bookmarkStart w:id="43" w:name="_Toc105276588"/>
      <w:bookmarkStart w:id="44" w:name="_Toc105277038"/>
      <w:r>
        <w:rPr>
          <w:rFonts w:hint="eastAsia"/>
        </w:rPr>
        <w:t>托育服务人员岗位要求及岗位职责</w:t>
      </w:r>
      <w:bookmarkEnd w:id="42"/>
      <w:bookmarkEnd w:id="43"/>
      <w:bookmarkEnd w:id="44"/>
    </w:p>
    <w:p>
      <w:pPr>
        <w:rPr>
          <w:rFonts w:hint="eastAsia" w:ascii="Times New Roman" w:hAnsi="Times New Roman" w:cs="Times New Roman" w:eastAsiaTheme="minorEastAsia"/>
          <w:szCs w:val="21"/>
          <w:lang w:val="en-US" w:eastAsia="zh-CN"/>
        </w:rPr>
      </w:pPr>
      <w:bookmarkStart w:id="45" w:name="_Toc96958563"/>
      <w:r>
        <w:rPr>
          <w:rFonts w:hint="eastAsia" w:ascii="Times New Roman" w:hAnsi="Times New Roman" w:cs="Times New Roman" w:eastAsiaTheme="minorEastAsia"/>
          <w:szCs w:val="21"/>
          <w:lang w:val="en-US" w:eastAsia="zh-CN"/>
        </w:rPr>
        <w:t>7.1</w:t>
      </w:r>
      <w:bookmarkEnd w:id="45"/>
      <w:bookmarkStart w:id="46" w:name="_Toc105276822"/>
      <w:bookmarkStart w:id="47" w:name="_Toc105276589"/>
      <w:r>
        <w:rPr>
          <w:rFonts w:hint="eastAsia" w:ascii="Times New Roman" w:hAnsi="Times New Roman" w:cs="Times New Roman" w:eastAsiaTheme="minorEastAsia"/>
          <w:szCs w:val="21"/>
          <w:lang w:val="en-US" w:eastAsia="zh-CN"/>
        </w:rPr>
        <w:t>从业人员基本条件</w:t>
      </w:r>
      <w:bookmarkEnd w:id="46"/>
      <w:bookmarkEnd w:id="47"/>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7.1.1从业人员应满足以下条件：</w:t>
      </w:r>
    </w:p>
    <w:p>
      <w:pPr>
        <w:ind w:firstLine="420" w:firstLineChars="200"/>
        <w:rPr>
          <w:rFonts w:hint="eastAsia" w:ascii="Times New Roman" w:hAnsi="Times New Roman" w:cs="Times New Roman" w:eastAsiaTheme="minorEastAsia"/>
          <w:szCs w:val="21"/>
          <w:lang w:val="en-US" w:eastAsia="zh-CN"/>
        </w:rPr>
      </w:pPr>
      <w:r>
        <w:rPr>
          <w:rFonts w:eastAsiaTheme="minorEastAsia"/>
          <w:szCs w:val="21"/>
        </w:rPr>
        <w:t>a</w:t>
      </w:r>
      <w:r>
        <w:rPr>
          <w:rFonts w:hAnsiTheme="minorEastAsia" w:eastAsiaTheme="minorEastAsia"/>
          <w:szCs w:val="21"/>
        </w:rPr>
        <w:t>）</w:t>
      </w:r>
      <w:r>
        <w:rPr>
          <w:rFonts w:hint="eastAsia" w:ascii="Times New Roman" w:hAnsi="Times New Roman" w:cs="Times New Roman" w:eastAsiaTheme="minorEastAsia"/>
          <w:szCs w:val="21"/>
          <w:lang w:val="en-US" w:eastAsia="zh-CN"/>
        </w:rPr>
        <w:t>应遵纪守法、爱岗敬业、恪守职业道德；</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b</w:t>
      </w:r>
      <w:r>
        <w:rPr>
          <w:rFonts w:hAnsiTheme="minorEastAsia" w:eastAsiaTheme="minorEastAsia"/>
          <w:szCs w:val="21"/>
        </w:rPr>
        <w:t>）</w:t>
      </w:r>
      <w:r>
        <w:rPr>
          <w:rFonts w:hint="eastAsia" w:ascii="Times New Roman" w:hAnsi="Times New Roman" w:cs="Times New Roman" w:eastAsiaTheme="minorEastAsia"/>
          <w:szCs w:val="21"/>
          <w:lang w:val="en-US" w:eastAsia="zh-CN"/>
        </w:rPr>
        <w:t>应仪容仪表整洁，爱护婴儿，文明礼貌，微笑服务；</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c</w:t>
      </w:r>
      <w:r>
        <w:rPr>
          <w:rFonts w:hAnsiTheme="minorEastAsia" w:eastAsiaTheme="minorEastAsia"/>
          <w:szCs w:val="21"/>
        </w:rPr>
        <w:t>）</w:t>
      </w:r>
      <w:r>
        <w:rPr>
          <w:rFonts w:hint="eastAsia" w:ascii="Times New Roman" w:hAnsi="Times New Roman" w:cs="Times New Roman" w:eastAsiaTheme="minorEastAsia"/>
          <w:szCs w:val="21"/>
          <w:lang w:val="en-US" w:eastAsia="zh-CN"/>
        </w:rPr>
        <w:t>应身体和口腔无异味，不留长指甲；</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d</w:t>
      </w:r>
      <w:r>
        <w:rPr>
          <w:rFonts w:hAnsiTheme="minorEastAsia" w:eastAsiaTheme="minorEastAsia"/>
          <w:szCs w:val="21"/>
        </w:rPr>
        <w:t>）</w:t>
      </w:r>
      <w:r>
        <w:rPr>
          <w:rFonts w:hint="eastAsia" w:ascii="Times New Roman" w:hAnsi="Times New Roman" w:cs="Times New Roman" w:eastAsiaTheme="minorEastAsia"/>
          <w:szCs w:val="21"/>
          <w:lang w:val="en-US" w:eastAsia="zh-CN"/>
        </w:rPr>
        <w:t>应使用普通话沟通交流，语言表达清楚；</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e</w:t>
      </w:r>
      <w:r>
        <w:rPr>
          <w:rFonts w:hAnsiTheme="minorEastAsia" w:eastAsiaTheme="minorEastAsia"/>
          <w:szCs w:val="21"/>
        </w:rPr>
        <w:t>）</w:t>
      </w:r>
      <w:r>
        <w:rPr>
          <w:rFonts w:hint="eastAsia" w:ascii="Times New Roman" w:hAnsi="Times New Roman" w:cs="Times New Roman" w:eastAsiaTheme="minorEastAsia"/>
          <w:szCs w:val="21"/>
          <w:lang w:val="en-US" w:eastAsia="zh-CN"/>
        </w:rPr>
        <w:t>应由县级以上卫生行政部门制定的医疗卫生机构进行体检的健康证明，体检周期为一年</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f</w:t>
      </w:r>
      <w:r>
        <w:rPr>
          <w:rFonts w:hAnsiTheme="minorEastAsia" w:eastAsiaTheme="minorEastAsia"/>
          <w:szCs w:val="21"/>
        </w:rPr>
        <w:t>）</w:t>
      </w:r>
      <w:r>
        <w:rPr>
          <w:rFonts w:hint="eastAsia" w:ascii="Times New Roman" w:hAnsi="Times New Roman" w:cs="Times New Roman" w:eastAsiaTheme="minorEastAsia"/>
          <w:szCs w:val="21"/>
          <w:lang w:val="en-US" w:eastAsia="zh-CN"/>
        </w:rPr>
        <w:t>应当符合法定从业年龄；</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g</w:t>
      </w:r>
      <w:r>
        <w:rPr>
          <w:rFonts w:hAnsiTheme="minorEastAsia" w:eastAsiaTheme="minorEastAsia"/>
          <w:szCs w:val="21"/>
        </w:rPr>
        <w:t>）</w:t>
      </w:r>
      <w:r>
        <w:rPr>
          <w:rFonts w:hint="eastAsia" w:ascii="Times New Roman" w:hAnsi="Times New Roman" w:cs="Times New Roman" w:eastAsiaTheme="minorEastAsia"/>
          <w:szCs w:val="21"/>
          <w:lang w:val="en-US" w:eastAsia="zh-CN"/>
        </w:rPr>
        <w:t>应当通过0～3岁婴幼儿托育相关知识、实际操作技能和本文件等培训。</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7.1.2下列人员不得从事婴幼儿托育工作：</w:t>
      </w:r>
    </w:p>
    <w:p>
      <w:pPr>
        <w:ind w:firstLine="420" w:firstLineChars="200"/>
        <w:rPr>
          <w:rFonts w:hint="eastAsia" w:ascii="Times New Roman" w:cs="Times New Roman" w:hAnsiTheme="minorEastAsia" w:eastAsiaTheme="minorEastAsia"/>
          <w:szCs w:val="21"/>
          <w:lang w:val="en-US" w:eastAsia="zh-CN"/>
        </w:rPr>
      </w:pPr>
      <w:r>
        <w:rPr>
          <w:rFonts w:eastAsiaTheme="minorEastAsia"/>
          <w:szCs w:val="21"/>
        </w:rPr>
        <w:t>a</w:t>
      </w:r>
      <w:r>
        <w:rPr>
          <w:rFonts w:hAnsiTheme="minorEastAsia" w:eastAsiaTheme="minorEastAsia"/>
          <w:szCs w:val="21"/>
        </w:rPr>
        <w:t>）</w:t>
      </w:r>
      <w:r>
        <w:rPr>
          <w:rFonts w:hint="eastAsia" w:ascii="Times New Roman" w:cs="Times New Roman" w:hAnsiTheme="minorEastAsia" w:eastAsiaTheme="minorEastAsia"/>
          <w:szCs w:val="21"/>
          <w:lang w:val="en-US" w:eastAsia="zh-CN"/>
        </w:rPr>
        <w:t>急性传染病患者，或出现发热、腹泻、皮疹等急性传染性疾病症状，经医院诊断不能排除传染性病患者；</w:t>
      </w:r>
    </w:p>
    <w:p>
      <w:pPr>
        <w:ind w:firstLine="420" w:firstLineChars="200"/>
        <w:rPr>
          <w:rFonts w:hint="eastAsia" w:ascii="Times New Roman" w:cs="Times New Roman" w:hAnsiTheme="minorEastAsia" w:eastAsiaTheme="minorEastAsia"/>
          <w:szCs w:val="21"/>
          <w:lang w:val="en-US" w:eastAsia="zh-CN"/>
        </w:rPr>
      </w:pPr>
      <w:r>
        <w:rPr>
          <w:rFonts w:hint="eastAsia" w:hAnsiTheme="minorEastAsia" w:eastAsiaTheme="minorEastAsia"/>
          <w:szCs w:val="21"/>
          <w:lang w:val="en-US" w:eastAsia="zh-CN"/>
        </w:rPr>
        <w:t>b</w:t>
      </w:r>
      <w:r>
        <w:rPr>
          <w:rFonts w:hAnsiTheme="minorEastAsia" w:eastAsiaTheme="minorEastAsia"/>
          <w:szCs w:val="21"/>
        </w:rPr>
        <w:t>）</w:t>
      </w:r>
      <w:r>
        <w:rPr>
          <w:rFonts w:hint="eastAsia" w:ascii="Times New Roman" w:cs="Times New Roman" w:hAnsiTheme="minorEastAsia" w:eastAsiaTheme="minorEastAsia"/>
          <w:szCs w:val="21"/>
          <w:lang w:val="en-US" w:eastAsia="zh-CN"/>
        </w:rPr>
        <w:t>患有活动性肺结核、麻风病等慢性传染病，并仍处于传染期者；</w:t>
      </w:r>
    </w:p>
    <w:p>
      <w:pPr>
        <w:ind w:firstLine="420" w:firstLineChars="200"/>
        <w:rPr>
          <w:rFonts w:hint="eastAsia" w:ascii="Times New Roman" w:cs="Times New Roman" w:hAnsiTheme="minorEastAsia" w:eastAsiaTheme="minorEastAsia"/>
          <w:szCs w:val="21"/>
          <w:lang w:val="en-US" w:eastAsia="zh-CN"/>
        </w:rPr>
      </w:pPr>
      <w:r>
        <w:rPr>
          <w:rFonts w:hint="eastAsia" w:hAnsiTheme="minorEastAsia" w:eastAsiaTheme="minorEastAsia"/>
          <w:szCs w:val="21"/>
          <w:lang w:val="en-US" w:eastAsia="zh-CN"/>
        </w:rPr>
        <w:t>c</w:t>
      </w:r>
      <w:r>
        <w:rPr>
          <w:rFonts w:hAnsiTheme="minorEastAsia" w:eastAsiaTheme="minorEastAsia"/>
          <w:szCs w:val="21"/>
        </w:rPr>
        <w:t>）</w:t>
      </w:r>
      <w:r>
        <w:rPr>
          <w:rFonts w:hint="eastAsia" w:ascii="Times New Roman" w:cs="Times New Roman" w:hAnsiTheme="minorEastAsia" w:eastAsiaTheme="minorEastAsia"/>
          <w:szCs w:val="21"/>
          <w:lang w:val="en-US" w:eastAsia="zh-CN"/>
        </w:rPr>
        <w:t>患有精神疾病者；</w:t>
      </w:r>
    </w:p>
    <w:p>
      <w:pPr>
        <w:ind w:firstLine="420" w:firstLineChars="200"/>
        <w:rPr>
          <w:rFonts w:eastAsiaTheme="minorEastAsia"/>
          <w:szCs w:val="21"/>
        </w:rPr>
      </w:pPr>
      <w:r>
        <w:rPr>
          <w:rFonts w:hint="eastAsia" w:hAnsiTheme="minorEastAsia" w:eastAsiaTheme="minorEastAsia"/>
          <w:szCs w:val="21"/>
          <w:lang w:val="en-US" w:eastAsia="zh-CN"/>
        </w:rPr>
        <w:t>d</w:t>
      </w:r>
      <w:r>
        <w:rPr>
          <w:rFonts w:hAnsiTheme="minorEastAsia" w:eastAsiaTheme="minorEastAsia"/>
          <w:szCs w:val="21"/>
        </w:rPr>
        <w:t>）</w:t>
      </w:r>
      <w:r>
        <w:rPr>
          <w:rFonts w:hint="eastAsia" w:ascii="Times New Roman" w:cs="Times New Roman" w:hAnsiTheme="minorEastAsia" w:eastAsiaTheme="minorEastAsia"/>
          <w:szCs w:val="21"/>
          <w:lang w:val="en-US" w:eastAsia="zh-CN"/>
        </w:rPr>
        <w:t>其他不适宜接触婴幼儿的疾病患者。</w:t>
      </w:r>
    </w:p>
    <w:p>
      <w:pPr>
        <w:rPr>
          <w:rFonts w:hint="eastAsia" w:ascii="Times New Roman" w:hAnsi="Times New Roman" w:cs="Times New Roman" w:eastAsiaTheme="minorEastAsia"/>
          <w:szCs w:val="21"/>
          <w:lang w:val="en-US" w:eastAsia="zh-CN"/>
        </w:rPr>
      </w:pPr>
      <w:bookmarkStart w:id="48" w:name="_Toc96958564"/>
      <w:r>
        <w:rPr>
          <w:rFonts w:hint="eastAsia" w:ascii="Times New Roman" w:hAnsi="Times New Roman" w:cs="Times New Roman" w:eastAsiaTheme="minorEastAsia"/>
          <w:szCs w:val="21"/>
          <w:lang w:val="en-US" w:eastAsia="zh-CN"/>
        </w:rPr>
        <w:t>7.2</w:t>
      </w:r>
      <w:bookmarkEnd w:id="48"/>
      <w:r>
        <w:rPr>
          <w:rFonts w:hint="eastAsia" w:ascii="Times New Roman" w:hAnsi="Times New Roman" w:cs="Times New Roman" w:eastAsiaTheme="minorEastAsia"/>
          <w:szCs w:val="21"/>
          <w:lang w:val="en-US" w:eastAsia="zh-CN"/>
        </w:rPr>
        <w:t>托育机构应配备相应数量托育负责人、保育人员、保健人员、炊事人员、保安人员。</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7.3托育机构工作人员应当具有完全民事行为能力和良好的职业道德，热爱婴幼儿，身心健康，无虐待儿童记录，无犯罪记录。</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7.4托育机构应当建立工作人员岗前培训和定期培训制度，通过集中培训、在线学习等方式，不断提高工作人员的专业能力、职业道德和心理健康水平。</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7.5托育机构应当加强工作人员法治教育，增强法治意识。对虐童等行为实行零容忍，一经发现，严格按照有关法律法规和规定，追究有关负责人和责任人的责任。</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7.6托育机构工作人员每年参加一次机构组织的健康检查。有传染性疾病立即离岗治疗，持病历和健康合格证明返岗。</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7.7托育机构负责人负责全面工作，应当具有大专以上学历、有从事儿童保育教育、卫生健康等相关管理工作3年以上的经历，且经托育机构负责人岗位培训合格。</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7.8保育人员主要负责婴幼儿日常生活照料，安排游戏活动，促进婴幼儿身心健康，养成良好行为习惯。保育人员应当具有婴幼儿照护经验或相关专业背景，受过婴幼儿保育相关培训和心理健康知识培训，持有下列岗位证书之一：</w:t>
      </w:r>
    </w:p>
    <w:p>
      <w:pPr>
        <w:ind w:firstLine="420" w:firstLineChars="200"/>
        <w:rPr>
          <w:rFonts w:hint="eastAsia" w:ascii="Times New Roman" w:hAnsi="Times New Roman" w:cs="Times New Roman" w:eastAsiaTheme="minorEastAsia"/>
          <w:szCs w:val="21"/>
          <w:lang w:val="en-US" w:eastAsia="zh-CN"/>
        </w:rPr>
      </w:pPr>
      <w:r>
        <w:rPr>
          <w:rFonts w:eastAsiaTheme="minorEastAsia"/>
          <w:szCs w:val="21"/>
        </w:rPr>
        <w:t>a</w:t>
      </w:r>
      <w:r>
        <w:rPr>
          <w:rFonts w:hAnsiTheme="minorEastAsia" w:eastAsiaTheme="minorEastAsia"/>
          <w:szCs w:val="21"/>
        </w:rPr>
        <w:t>）</w:t>
      </w:r>
      <w:r>
        <w:rPr>
          <w:rFonts w:hint="eastAsia" w:ascii="Times New Roman" w:hAnsi="Times New Roman" w:cs="Times New Roman" w:eastAsiaTheme="minorEastAsia"/>
          <w:szCs w:val="21"/>
          <w:lang w:val="en-US" w:eastAsia="zh-CN"/>
        </w:rPr>
        <w:t>幼教、婴幼儿照护相关专业大中专毕业证书；</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b</w:t>
      </w:r>
      <w:r>
        <w:rPr>
          <w:rFonts w:hAnsiTheme="minorEastAsia" w:eastAsiaTheme="minorEastAsia"/>
          <w:szCs w:val="21"/>
        </w:rPr>
        <w:t>）</w:t>
      </w:r>
      <w:r>
        <w:rPr>
          <w:rFonts w:hint="eastAsia" w:ascii="Times New Roman" w:hAnsi="Times New Roman" w:cs="Times New Roman" w:eastAsiaTheme="minorEastAsia"/>
          <w:szCs w:val="21"/>
          <w:lang w:val="en-US" w:eastAsia="zh-CN"/>
        </w:rPr>
        <w:t>人社部门认证发放的保育员、育婴员职业技能等级证书；</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c</w:t>
      </w:r>
      <w:r>
        <w:rPr>
          <w:rFonts w:hAnsiTheme="minorEastAsia" w:eastAsiaTheme="minorEastAsia"/>
          <w:szCs w:val="21"/>
        </w:rPr>
        <w:t>）</w:t>
      </w:r>
      <w:r>
        <w:rPr>
          <w:rFonts w:hint="eastAsia" w:ascii="Times New Roman" w:hAnsi="Times New Roman" w:cs="Times New Roman" w:eastAsiaTheme="minorEastAsia"/>
          <w:szCs w:val="21"/>
          <w:lang w:val="en-US" w:eastAsia="zh-CN"/>
        </w:rPr>
        <w:t>教育部门发放的幼师资格证；</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d</w:t>
      </w:r>
      <w:r>
        <w:rPr>
          <w:rFonts w:hAnsiTheme="minorEastAsia" w:eastAsiaTheme="minorEastAsia"/>
          <w:szCs w:val="21"/>
        </w:rPr>
        <w:t>）</w:t>
      </w:r>
      <w:r>
        <w:rPr>
          <w:rFonts w:hint="eastAsia" w:ascii="Times New Roman" w:hAnsi="Times New Roman" w:cs="Times New Roman" w:eastAsiaTheme="minorEastAsia"/>
          <w:szCs w:val="21"/>
          <w:lang w:val="en-US" w:eastAsia="zh-CN"/>
        </w:rPr>
        <w:t>1+X幼儿照护证书。</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7.9保健人员应当经过妇幼保健机构组织的卫生保健专业知识培训合格。</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7.10保安人员应当取得公安机关颁发的《保安员证》，并由获得公安机关《保安服务许可证》的保安公司派驻。</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7.11炊事人员应具有餐饮行业从业资格证并适合从事餐饮工作。</w:t>
      </w:r>
    </w:p>
    <w:p>
      <w:pPr>
        <w:pStyle w:val="14"/>
        <w:spacing w:before="156" w:after="156"/>
        <w:rPr>
          <w:rFonts w:hint="eastAsia"/>
        </w:rPr>
      </w:pPr>
      <w:bookmarkStart w:id="49" w:name="_Toc105277039"/>
      <w:bookmarkStart w:id="50" w:name="_Toc105276590"/>
      <w:bookmarkStart w:id="51" w:name="_Toc105276823"/>
      <w:r>
        <w:rPr>
          <w:rFonts w:hint="eastAsia"/>
          <w:lang w:val="en-US" w:eastAsia="zh-CN"/>
        </w:rPr>
        <w:t>8</w:t>
      </w:r>
      <w:r>
        <w:rPr>
          <w:rFonts w:hint="eastAsia"/>
        </w:rPr>
        <w:t>托育机构规模、班数及人数要求</w:t>
      </w:r>
      <w:bookmarkEnd w:id="49"/>
      <w:bookmarkEnd w:id="50"/>
      <w:bookmarkEnd w:id="51"/>
    </w:p>
    <w:p>
      <w:pPr>
        <w:pStyle w:val="2"/>
        <w:spacing w:before="156" w:after="156"/>
      </w:pPr>
      <w:bookmarkStart w:id="52" w:name="_Toc96958566"/>
      <w:r>
        <w:rPr>
          <w:rFonts w:hint="eastAsia"/>
          <w:lang w:val="en-US" w:eastAsia="zh-CN"/>
        </w:rPr>
        <w:t>8</w:t>
      </w:r>
      <w:r>
        <w:t>.</w:t>
      </w:r>
      <w:bookmarkEnd w:id="52"/>
      <w:bookmarkStart w:id="53" w:name="_Toc105277040"/>
      <w:bookmarkStart w:id="54" w:name="_Toc105276824"/>
      <w:bookmarkStart w:id="55" w:name="_Toc105276591"/>
      <w:r>
        <w:rPr>
          <w:rFonts w:hint="eastAsia"/>
          <w:lang w:val="en-US" w:eastAsia="zh-CN"/>
        </w:rPr>
        <w:t>1</w:t>
      </w:r>
      <w:r>
        <w:rPr>
          <w:rFonts w:hint="eastAsia"/>
        </w:rPr>
        <w:t>托育机构的规模</w:t>
      </w:r>
      <w:bookmarkEnd w:id="53"/>
      <w:bookmarkEnd w:id="54"/>
      <w:bookmarkEnd w:id="55"/>
    </w:p>
    <w:p>
      <w:pPr>
        <w:ind w:firstLine="420" w:firstLineChars="200"/>
        <w:rPr>
          <w:rFonts w:eastAsiaTheme="minorEastAsia"/>
          <w:szCs w:val="21"/>
        </w:rPr>
      </w:pPr>
      <w:r>
        <w:rPr>
          <w:rFonts w:hint="eastAsia"/>
        </w:rPr>
        <w:t>托育机构的规模见表</w:t>
      </w:r>
      <w:r>
        <w:rPr>
          <w:rFonts w:hAnsiTheme="minorEastAsia" w:eastAsiaTheme="minorEastAsia"/>
          <w:szCs w:val="21"/>
        </w:rPr>
        <w:t>。</w:t>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表3 托育机构规模</w:t>
      </w:r>
    </w:p>
    <w:tbl>
      <w:tblPr>
        <w:tblStyle w:val="16"/>
        <w:tblW w:w="5000" w:type="pct"/>
        <w:jc w:val="center"/>
        <w:tblLayout w:type="fixed"/>
        <w:tblCellMar>
          <w:top w:w="0" w:type="dxa"/>
          <w:left w:w="108" w:type="dxa"/>
          <w:bottom w:w="0" w:type="dxa"/>
          <w:right w:w="108" w:type="dxa"/>
        </w:tblCellMar>
      </w:tblPr>
      <w:tblGrid>
        <w:gridCol w:w="4914"/>
        <w:gridCol w:w="4657"/>
      </w:tblGrid>
      <w:tr>
        <w:tblPrEx>
          <w:tblCellMar>
            <w:top w:w="0" w:type="dxa"/>
            <w:left w:w="108" w:type="dxa"/>
            <w:bottom w:w="0" w:type="dxa"/>
            <w:right w:w="108" w:type="dxa"/>
          </w:tblCellMar>
        </w:tblPrEx>
        <w:trPr>
          <w:trHeight w:val="270" w:hRule="atLeast"/>
          <w:jc w:val="center"/>
        </w:trPr>
        <w:tc>
          <w:tcPr>
            <w:tcW w:w="4914" w:type="dxa"/>
            <w:tcBorders>
              <w:top w:val="single" w:color="000000" w:sz="4" w:space="0"/>
              <w:left w:val="single" w:color="000000" w:sz="4" w:space="0"/>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规模</w:t>
            </w:r>
          </w:p>
        </w:tc>
        <w:tc>
          <w:tcPr>
            <w:tcW w:w="4657" w:type="dxa"/>
            <w:tcBorders>
              <w:top w:val="single" w:color="000000" w:sz="4" w:space="0"/>
              <w:left w:val="nil"/>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托育班数量（个）</w:t>
            </w:r>
          </w:p>
        </w:tc>
      </w:tr>
      <w:tr>
        <w:tblPrEx>
          <w:tblCellMar>
            <w:top w:w="0" w:type="dxa"/>
            <w:left w:w="108" w:type="dxa"/>
            <w:bottom w:w="0" w:type="dxa"/>
            <w:right w:w="108" w:type="dxa"/>
          </w:tblCellMar>
        </w:tblPrEx>
        <w:trPr>
          <w:trHeight w:val="270" w:hRule="atLeast"/>
          <w:jc w:val="center"/>
        </w:trPr>
        <w:tc>
          <w:tcPr>
            <w:tcW w:w="4914" w:type="dxa"/>
            <w:tcBorders>
              <w:top w:val="single" w:color="000000" w:sz="4" w:space="0"/>
              <w:left w:val="single" w:color="000000" w:sz="4" w:space="0"/>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小型</w:t>
            </w:r>
          </w:p>
        </w:tc>
        <w:tc>
          <w:tcPr>
            <w:tcW w:w="4657" w:type="dxa"/>
            <w:tcBorders>
              <w:top w:val="single" w:color="000000" w:sz="4" w:space="0"/>
              <w:left w:val="nil"/>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1～3</w:t>
            </w:r>
          </w:p>
        </w:tc>
      </w:tr>
      <w:tr>
        <w:tblPrEx>
          <w:tblCellMar>
            <w:top w:w="0" w:type="dxa"/>
            <w:left w:w="108" w:type="dxa"/>
            <w:bottom w:w="0" w:type="dxa"/>
            <w:right w:w="108" w:type="dxa"/>
          </w:tblCellMar>
        </w:tblPrEx>
        <w:trPr>
          <w:trHeight w:val="270" w:hRule="atLeast"/>
          <w:jc w:val="center"/>
        </w:trPr>
        <w:tc>
          <w:tcPr>
            <w:tcW w:w="4914" w:type="dxa"/>
            <w:tcBorders>
              <w:top w:val="single" w:color="000000" w:sz="4" w:space="0"/>
              <w:left w:val="single" w:color="000000" w:sz="4" w:space="0"/>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中型</w:t>
            </w:r>
          </w:p>
        </w:tc>
        <w:tc>
          <w:tcPr>
            <w:tcW w:w="4657" w:type="dxa"/>
            <w:tcBorders>
              <w:top w:val="single" w:color="000000" w:sz="4" w:space="0"/>
              <w:left w:val="nil"/>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4～7</w:t>
            </w:r>
          </w:p>
        </w:tc>
      </w:tr>
      <w:tr>
        <w:tblPrEx>
          <w:tblCellMar>
            <w:top w:w="0" w:type="dxa"/>
            <w:left w:w="108" w:type="dxa"/>
            <w:bottom w:w="0" w:type="dxa"/>
            <w:right w:w="108" w:type="dxa"/>
          </w:tblCellMar>
        </w:tblPrEx>
        <w:trPr>
          <w:trHeight w:val="285" w:hRule="atLeast"/>
          <w:jc w:val="center"/>
        </w:trPr>
        <w:tc>
          <w:tcPr>
            <w:tcW w:w="4914" w:type="dxa"/>
            <w:tcBorders>
              <w:top w:val="single" w:color="000000" w:sz="4" w:space="0"/>
              <w:left w:val="single" w:color="000000" w:sz="4" w:space="0"/>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hint="eastAsia" w:ascii="宋体" w:hAnsi="宋体" w:eastAsia="宋体" w:cs="Times New Roman"/>
              </w:rPr>
              <w:t>大型</w:t>
            </w:r>
          </w:p>
        </w:tc>
        <w:tc>
          <w:tcPr>
            <w:tcW w:w="4657" w:type="dxa"/>
            <w:tcBorders>
              <w:top w:val="single" w:color="000000" w:sz="4" w:space="0"/>
              <w:left w:val="nil"/>
              <w:bottom w:val="single" w:color="000000" w:sz="4" w:space="0"/>
              <w:right w:val="single" w:color="000000" w:sz="4" w:space="0"/>
            </w:tcBorders>
            <w:noWrap/>
            <w:vAlign w:val="center"/>
          </w:tcPr>
          <w:p>
            <w:pPr>
              <w:tabs>
                <w:tab w:val="center" w:pos="4201"/>
                <w:tab w:val="right" w:leader="dot" w:pos="9298"/>
              </w:tabs>
              <w:autoSpaceDE w:val="0"/>
              <w:autoSpaceDN w:val="0"/>
              <w:spacing w:line="360" w:lineRule="auto"/>
              <w:jc w:val="center"/>
              <w:rPr>
                <w:rFonts w:ascii="宋体" w:hAnsi="宋体" w:eastAsia="宋体" w:cs="Times New Roman"/>
              </w:rPr>
            </w:pPr>
            <w:r>
              <w:rPr>
                <w:rFonts w:ascii="宋体" w:hAnsi="宋体" w:eastAsia="宋体" w:cs="Times New Roman"/>
              </w:rPr>
              <w:t>≥</w:t>
            </w:r>
            <w:r>
              <w:rPr>
                <w:rFonts w:hint="default" w:ascii="宋体" w:hAnsi="宋体" w:eastAsia="宋体" w:cs="Times New Roman"/>
              </w:rPr>
              <w:t>8</w:t>
            </w:r>
          </w:p>
        </w:tc>
      </w:tr>
    </w:tbl>
    <w:p>
      <w:pPr>
        <w:pStyle w:val="2"/>
        <w:spacing w:before="156" w:after="156"/>
        <w:rPr>
          <w:rFonts w:hint="eastAsia" w:ascii="Times New Roman" w:hAnsi="Times New Roman" w:cs="Times New Roman"/>
          <w:lang w:val="en-US" w:eastAsia="zh-CN"/>
        </w:rPr>
      </w:pPr>
      <w:bookmarkStart w:id="56" w:name="_Toc105276592"/>
      <w:bookmarkStart w:id="57" w:name="_Toc105276825"/>
      <w:bookmarkStart w:id="58" w:name="_Toc105277041"/>
      <w:r>
        <w:rPr>
          <w:rFonts w:hint="eastAsia" w:ascii="Times New Roman" w:hAnsi="Times New Roman" w:cs="Times New Roman"/>
          <w:lang w:val="en-US" w:eastAsia="zh-CN"/>
        </w:rPr>
        <w:t>8.2托育机构的每班人数及保育人员与婴幼儿的比例</w:t>
      </w:r>
      <w:bookmarkEnd w:id="56"/>
      <w:bookmarkEnd w:id="57"/>
      <w:bookmarkEnd w:id="58"/>
    </w:p>
    <w:p>
      <w:pPr>
        <w:ind w:firstLine="420" w:firstLineChars="200"/>
        <w:rPr>
          <w:rFonts w:hAnsiTheme="minorEastAsia" w:eastAsiaTheme="minorEastAsia"/>
          <w:szCs w:val="21"/>
        </w:rPr>
      </w:pPr>
      <w:r>
        <w:rPr>
          <w:rFonts w:hint="eastAsia" w:ascii="Times New Roman" w:hAnsi="Times New Roman" w:eastAsia="宋体" w:cs="Times New Roman"/>
        </w:rPr>
        <w:t>托育机构的每班人数及保育人员与婴幼儿的比例见表</w:t>
      </w:r>
      <w:r>
        <w:rPr>
          <w:rFonts w:hAnsiTheme="minorEastAsia" w:eastAsiaTheme="minorEastAsia"/>
          <w:szCs w:val="21"/>
        </w:rPr>
        <w:t>。</w:t>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表4 托育机构的每班人数及保育人员与婴幼儿的比例</w:t>
      </w:r>
    </w:p>
    <w:tbl>
      <w:tblPr>
        <w:tblStyle w:val="1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6"/>
        <w:gridCol w:w="3094"/>
        <w:gridCol w:w="38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班别</w:t>
            </w:r>
          </w:p>
        </w:tc>
        <w:tc>
          <w:tcPr>
            <w:tcW w:w="2841"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人数</w:t>
            </w:r>
          </w:p>
        </w:tc>
        <w:tc>
          <w:tcPr>
            <w:tcW w:w="3499"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保育人员与婴幼儿的比例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托大班（24～36个月）</w:t>
            </w:r>
          </w:p>
        </w:tc>
        <w:tc>
          <w:tcPr>
            <w:tcW w:w="2841"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20人以下</w:t>
            </w:r>
          </w:p>
        </w:tc>
        <w:tc>
          <w:tcPr>
            <w:tcW w:w="3499"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1 : 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托小班（12～24个月）</w:t>
            </w:r>
          </w:p>
        </w:tc>
        <w:tc>
          <w:tcPr>
            <w:tcW w:w="2841"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15人以下</w:t>
            </w:r>
          </w:p>
        </w:tc>
        <w:tc>
          <w:tcPr>
            <w:tcW w:w="3499"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1 :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乳儿班（6～12个月）</w:t>
            </w:r>
          </w:p>
        </w:tc>
        <w:tc>
          <w:tcPr>
            <w:tcW w:w="2841"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10人以下</w:t>
            </w:r>
          </w:p>
        </w:tc>
        <w:tc>
          <w:tcPr>
            <w:tcW w:w="3499"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1 :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混合编班 （18个月以上）</w:t>
            </w:r>
          </w:p>
        </w:tc>
        <w:tc>
          <w:tcPr>
            <w:tcW w:w="2841"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不超过18人</w:t>
            </w:r>
          </w:p>
        </w:tc>
        <w:tc>
          <w:tcPr>
            <w:tcW w:w="3499"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hint="default" w:ascii="宋体" w:hAnsi="宋体" w:eastAsia="宋体" w:cs="Times New Roman"/>
                <w:lang w:val="en-US" w:eastAsia="zh-CN"/>
              </w:rPr>
            </w:pPr>
            <w:r>
              <w:rPr>
                <w:rFonts w:hint="eastAsia" w:ascii="宋体" w:hAnsi="宋体" w:eastAsia="宋体" w:cs="Times New Roman"/>
                <w:lang w:val="en-US" w:eastAsia="zh-CN"/>
              </w:rPr>
              <w:t>1:7</w:t>
            </w:r>
          </w:p>
        </w:tc>
      </w:tr>
    </w:tbl>
    <w:p>
      <w:pPr>
        <w:pStyle w:val="14"/>
        <w:spacing w:before="156" w:after="156"/>
        <w:rPr>
          <w:rFonts w:hint="eastAsia"/>
          <w:lang w:val="en-US" w:eastAsia="zh-CN"/>
        </w:rPr>
      </w:pPr>
      <w:bookmarkStart w:id="59" w:name="_Toc105277042"/>
      <w:bookmarkStart w:id="60" w:name="_Toc105276593"/>
      <w:bookmarkStart w:id="61" w:name="_Toc105276826"/>
      <w:r>
        <w:rPr>
          <w:rFonts w:hint="eastAsia"/>
          <w:lang w:val="en-US" w:eastAsia="zh-CN"/>
        </w:rPr>
        <w:t>9安全管理要求</w:t>
      </w:r>
      <w:bookmarkEnd w:id="59"/>
      <w:bookmarkEnd w:id="60"/>
      <w:bookmarkEnd w:id="61"/>
    </w:p>
    <w:p>
      <w:pPr>
        <w:pStyle w:val="2"/>
        <w:spacing w:before="156" w:after="156"/>
        <w:rPr>
          <w:rFonts w:hint="eastAsia" w:ascii="Times New Roman" w:hAnsi="Times New Roman" w:cs="Times New Roman"/>
          <w:lang w:val="en-US" w:eastAsia="zh-CN"/>
        </w:rPr>
      </w:pPr>
      <w:bookmarkStart w:id="62" w:name="_Toc105277043"/>
      <w:bookmarkStart w:id="63" w:name="_Toc105276594"/>
      <w:bookmarkStart w:id="64" w:name="_Toc105276827"/>
      <w:r>
        <w:rPr>
          <w:rFonts w:hint="eastAsia" w:ascii="Times New Roman" w:hAnsi="Times New Roman" w:cs="Times New Roman"/>
          <w:lang w:val="en-US" w:eastAsia="zh-CN"/>
        </w:rPr>
        <w:t>9.1安全防范措施</w:t>
      </w:r>
      <w:bookmarkEnd w:id="62"/>
      <w:bookmarkEnd w:id="63"/>
      <w:bookmarkEnd w:id="64"/>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9.1.1人员要求</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9.1.1.1建立安全责任制。落实托育机构主要责任人的安全保卫工作第一责任人，明确安全保卫工作的具体责任人。</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9.1.1.2根据托育机构的规模大小、治安复杂程度，即根据安全保卫工作的需要设置保卫机构或者配置有专职、兼职保卫人员，大型的托育机构宜设置保卫机构，所有托育机构必须配备专职或兼职安保人员。</w:t>
      </w:r>
    </w:p>
    <w:p>
      <w:pPr>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9.1.2安防设施要求</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9.1.2.1托育机构应实行封闭管理，独立院落的围墙不低于2米或设置其他有效的实体屏障；门卫、安防控制中心、负责人办公室安装紧急报警装置，与区域报警中心联网。</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9.1.2.2出入口宜设置门卫值班室，并配备必要的防卫器械和报警通讯设备：防卫器械：防暴头盔（1顶/人）、防护盾牌（1副/人）、防刺背心（1套/人）、防割手套（1副/人）、橡胶警棍（1支/人，长棍、短棍）、强光电筒（1支/人）、自卫喷雾剂（1支/人）、安全钢叉2套(大叉小叉)。</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9.1.2.3托育机构食品存储室等重点部位安装安全防盗门，婴幼儿宿舍和活动场所窗户应安装金属防护栏等防护措施。</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9.1.2.4应按国家有关消防技术规范设置消防设施，配备消防器材，定期检测更新，保证完好有效，安全出口、疏散通道、消防通道应保持畅通。</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9.1.2.5托育机构大门外一定区域应设置电子巡查系统，巡查点布控合理，安装牢固隐蔽。</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9.1.2.6托育生活用房应安装视频监控装置，并保证全覆盖无盲区、无死角；</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9.1.2.7托育机构的食品存储室、厨房等部位应安装视频监控装置；</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9.1.2.8托育机构的视频监控图像资料保存时间不少于90天；采集及回放视频图像应能确保特别是夜间清楚辨别进出人员的体貌特征和进出车辆的车牌号；对本单位的视频图像采集、报警、电子巡查及系统信息通过管理软件实现联动管理，视频图像采集系统和报警系统应接入公安机关监控和报警平台，暂不能联网的应预留接口，并符合相关信号采集与传输标准。</w:t>
      </w:r>
    </w:p>
    <w:p>
      <w:pPr>
        <w:pStyle w:val="2"/>
        <w:spacing w:before="156" w:after="156"/>
        <w:rPr>
          <w:rFonts w:hint="eastAsia" w:ascii="Times New Roman" w:hAnsi="Times New Roman" w:cs="Times New Roman"/>
          <w:lang w:val="en-US" w:eastAsia="zh-CN"/>
        </w:rPr>
      </w:pPr>
      <w:bookmarkStart w:id="65" w:name="_Toc105277044"/>
      <w:bookmarkStart w:id="66" w:name="_Toc105276595"/>
      <w:bookmarkStart w:id="67" w:name="_Toc105276828"/>
      <w:r>
        <w:rPr>
          <w:rFonts w:hint="eastAsia" w:ascii="Times New Roman" w:hAnsi="Times New Roman" w:cs="Times New Roman"/>
          <w:lang w:val="en-US" w:eastAsia="zh-CN"/>
        </w:rPr>
        <w:t>9.2建立健全安全制度</w:t>
      </w:r>
      <w:bookmarkEnd w:id="65"/>
      <w:bookmarkEnd w:id="66"/>
      <w:bookmarkEnd w:id="67"/>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9.2.1托育机构应建立健全《安全工作管理办法》、《来访人员登记制度》、《食品安全登记制度》、《消防安全管理制度》《电视监控、报警设施等安防设施管理使用制度》、婴幼儿伤害、突发疾病、消防安全等突发事件应急处置预案等安全制度和预案。</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9.2.2托育机构应建立健全门卫、房屋、设备、消防、交通、食品、药物、婴幼儿接送交接、活动组织等安全防护和检查制度，建立安全责任制，确定专人负责，定期开展安全检查。</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9.2.3应建立重大自然灾害、食物中毒、踩踏、火灾等突发事件的应急预案，加强对工作人员的安全教育和突发事件应急处理能力的培训（每年不少于2次），并定期进行安全演练。</w:t>
      </w:r>
    </w:p>
    <w:p>
      <w:pPr>
        <w:pStyle w:val="14"/>
        <w:spacing w:before="156" w:after="156"/>
        <w:rPr>
          <w:rFonts w:hint="eastAsia"/>
          <w:lang w:val="en-US" w:eastAsia="zh-CN"/>
        </w:rPr>
      </w:pPr>
      <w:bookmarkStart w:id="68" w:name="_Toc105276829"/>
      <w:bookmarkStart w:id="69" w:name="_Toc105277045"/>
      <w:bookmarkStart w:id="70" w:name="_Toc105276596"/>
      <w:r>
        <w:rPr>
          <w:rFonts w:hint="eastAsia"/>
          <w:lang w:val="en-US" w:eastAsia="zh-CN"/>
        </w:rPr>
        <w:t>10卫生保健要求</w:t>
      </w:r>
      <w:bookmarkEnd w:id="68"/>
      <w:bookmarkEnd w:id="69"/>
      <w:bookmarkEnd w:id="70"/>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10.1贯彻以预防为主的卫生保健工作方针，严格执行有关卫生保健的法规、规章和制度，预防控制传染病，降低常见病的发病率，为婴幼儿提供良好的生活环境，满足婴幼儿生长发育的需要，切实做好婴幼儿的卫生保健工作。</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10.2应建立健康检查、卫生与消毒、传染病管理、常见病预防与管理等制度。配合卫生保健部门做好疾病防控和预防接种工作。</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10.3托育机构应配备必要的卫生消毒设备，严格进行预防性消毒，方法见表。</w:t>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表5 托育机构环境和物品物理消毒方法</w:t>
      </w:r>
    </w:p>
    <w:tbl>
      <w:tblPr>
        <w:tblStyle w:val="16"/>
        <w:tblpPr w:vertAnchor="text" w:horzAnchor="page" w:tblpXSpec="center" w:tblpY="1"/>
        <w:tblOverlap w:val="neve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08" w:type="dxa"/>
          <w:left w:w="108" w:type="dxa"/>
          <w:bottom w:w="108" w:type="dxa"/>
          <w:right w:w="108" w:type="dxa"/>
        </w:tblCellMar>
      </w:tblPr>
      <w:tblGrid>
        <w:gridCol w:w="1214"/>
        <w:gridCol w:w="2978"/>
        <w:gridCol w:w="53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消毒对象</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物理消毒方法</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空气</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开窗通风每日至少2次每次至少30分钟。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在外界温度适宜、空气质量较好、保障安全性的条件下，应采取持续开窗通风的方式。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trHeight w:val="1292" w:hRule="atLeast"/>
          <w:jc w:val="center"/>
        </w:trPr>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采用紫外线杀菌灯进行照射消毒每日1次，每次持续照射时间60分钟。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不具备开窗通风空气消毒条件时使用。</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应使用移动式紫外线杀菌灯。按照每立方米1.5瓦计算紫外线杀菌灯管需要量。</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禁止紫外线杀菌灯照射人体体表。</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采用反向式紫外线杀菌灯在室内有人环境持续照射消毒时，应使用无臭氧式紫外线杀菌灯。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餐具炊具水杯</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煮沸消毒15分钟或蒸汽消毒10分钟。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对食具必须先去残渣、清洗后再进行消毒。</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煮沸消毒时，被煮物品应全部浸没在水中；蒸汽消毒时，被蒸物品应疏松放置，水沸后开始计算时间。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餐具消毒柜、消毒碗柜消毒。按产品说明使用。</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使用符合国家标准规定的产品。</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保洁柜无消毒作用。不得用保洁柜代替消毒柜进行消毒。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毛巾类织物</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用洗涤剂清洗干净后，置阳光直接照射下曝晒干燥。</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曝晒时不得相互叠夹，时间不低于6小时。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vMerge w:val="continue"/>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煮沸消毒15分钟或蒸汽消毒10分钟。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煮沸消毒时，被煮物品应全部浸没在水中；蒸汽消毒时，被蒸物品应疏松放置。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抹布</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煮沸消毒15分钟或蒸汽消毒10分钟。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煮沸消毒时，抹布应全部浸没在水中；蒸汽消毒时，抹布应疏松放置。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玩具、图书</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每两周至少通风晾晒一次。</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适用于不能湿式擦拭、清洗的物品。曝晒时不得相互叠夹。曝晒时间不低于6小时。</w:t>
            </w:r>
          </w:p>
        </w:tc>
      </w:tr>
    </w:tbl>
    <w:p>
      <w:pP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br w:type="page"/>
      </w:r>
    </w:p>
    <w:p>
      <w:pPr>
        <w:jc w:val="center"/>
        <w:rPr>
          <w:rFonts w:hint="eastAsia" w:ascii="Times New Roman" w:cs="Times New Roman" w:hAnsiTheme="minorEastAsia" w:eastAsiaTheme="minorEastAsia"/>
          <w:szCs w:val="21"/>
          <w:lang w:val="en-US" w:eastAsia="zh-CN"/>
        </w:rPr>
      </w:pPr>
      <w:r>
        <w:rPr>
          <w:rFonts w:hint="eastAsia" w:ascii="Times New Roman" w:cs="Times New Roman" w:hAnsiTheme="minorEastAsia" w:eastAsiaTheme="minorEastAsia"/>
          <w:szCs w:val="21"/>
          <w:lang w:val="en-US" w:eastAsia="zh-CN"/>
        </w:rPr>
        <w:t>表6 托育机构环境和物品化学消毒方法</w:t>
      </w:r>
    </w:p>
    <w:tbl>
      <w:tblPr>
        <w:tblStyle w:val="16"/>
        <w:tblpPr w:vertAnchor="text" w:horzAnchor="page" w:tblpXSpec="center" w:tblpY="1"/>
        <w:tblOverlap w:val="neve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08" w:type="dxa"/>
          <w:left w:w="108" w:type="dxa"/>
          <w:bottom w:w="108" w:type="dxa"/>
          <w:right w:w="108" w:type="dxa"/>
        </w:tblCellMar>
      </w:tblPr>
      <w:tblGrid>
        <w:gridCol w:w="1214"/>
        <w:gridCol w:w="2978"/>
        <w:gridCol w:w="53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消毒对象</w:t>
            </w:r>
          </w:p>
        </w:tc>
        <w:tc>
          <w:tcPr>
            <w:tcW w:w="2680"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化学消毒方法</w:t>
            </w:r>
          </w:p>
        </w:tc>
        <w:tc>
          <w:tcPr>
            <w:tcW w:w="4840" w:type="dxa"/>
            <w:tcBorders>
              <w:top w:val="single" w:color="auto" w:sz="4" w:space="0"/>
              <w:left w:val="single" w:color="auto" w:sz="4" w:space="0"/>
              <w:bottom w:val="single" w:color="auto" w:sz="4" w:space="0"/>
              <w:right w:val="single" w:color="auto" w:sz="4" w:space="0"/>
            </w:tcBorders>
            <w:noWrap w:val="0"/>
            <w:vAlign w:val="top"/>
          </w:tcPr>
          <w:p>
            <w:pPr>
              <w:tabs>
                <w:tab w:val="center" w:pos="4201"/>
                <w:tab w:val="right" w:leader="dot" w:pos="9298"/>
              </w:tabs>
              <w:autoSpaceDE w:val="0"/>
              <w:autoSpaceDN w:val="0"/>
              <w:spacing w:line="360" w:lineRule="auto"/>
              <w:jc w:val="center"/>
              <w:rPr>
                <w:rFonts w:hint="eastAsia" w:ascii="宋体" w:hAnsi="宋体" w:eastAsia="宋体" w:cs="Times New Roman"/>
              </w:rPr>
            </w:pPr>
            <w:r>
              <w:rPr>
                <w:rFonts w:hint="eastAsia" w:ascii="宋体" w:hAnsi="宋体" w:eastAsia="宋体" w:cs="Times New Roma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毛巾类织物</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使用次氯酸钠类消毒剂消毒。使用浓度为有效氯250～400 mg/L、浸泡消毒20分钟。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消毒时将织物全部浸没在消毒液中，消毒后用生活饮用水将残留消毒剂冲净。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trHeight w:val="1292" w:hRule="atLeast"/>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抹布</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使用次氯酸钠类消毒剂消毒。使用浓度为有效氯400 mg/L、浸泡消毒20分钟。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消毒时将抹布全部浸没在消毒液中，消毒后可直接控干或晾干存放；或用生活饮用水将残留消毒剂冲净后控干或晾干存放。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餐桌床、围栏门、把手、水龙头等物体表面</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使用次氯酸钠类消毒剂消毒。使用浓度为有效氯100～250 mg/L、消毒10～30分钟。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可采用表面擦拭、冲洗消毒方式。</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餐桌消毒后要用生活饮用水将残留消毒剂擦净。</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家具等物体表面消毒后可用生活饮用水将残留消毒剂去除。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玩具、图书</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使用次氯酸钠类消毒剂消毒。使用浓度为有效氯100～250 mg/L、表面擦拭、浸泡消毒10～30分钟。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根据污染情况，每周至少消毒1次。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便盆、坐便器与皮肤接触部位、盛装吐泻物的容器</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使用次氯酸钠类消毒剂消毒。使用浓度为有效氯400～700 </w:t>
            </w:r>
            <w:r>
              <w:rPr>
                <w:rFonts w:hint="eastAsia" w:hAnsiTheme="minorEastAsia" w:eastAsiaTheme="minorEastAsia"/>
                <w:szCs w:val="21"/>
              </w:rPr>
              <w:t>mg/L</w:t>
            </w:r>
            <w:r>
              <w:rPr>
                <w:rFonts w:hint="eastAsia" w:ascii="宋体" w:hAnsi="宋体" w:eastAsia="宋体" w:cs="Times New Roman"/>
              </w:rPr>
              <w:t>、浸泡或擦拭消毒30分钟。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lang w:val="en-US" w:eastAsia="zh-CN"/>
              </w:rPr>
              <w:t>应</w:t>
            </w:r>
            <w:r>
              <w:rPr>
                <w:rFonts w:hint="eastAsia" w:ascii="宋体" w:hAnsi="宋体" w:eastAsia="宋体" w:cs="Times New Roman"/>
              </w:rPr>
              <w:t>先清洗后消毒。</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浸泡消毒时将便盆全部浸没在消毒液中。</w:t>
            </w:r>
          </w:p>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消毒后用生活饮用水将残留消毒剂冲净后控干或晾干存放。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8" w:type="dxa"/>
            <w:left w:w="108" w:type="dxa"/>
            <w:bottom w:w="108"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center"/>
              <w:rPr>
                <w:rFonts w:hint="eastAsia" w:ascii="宋体" w:hAnsi="宋体" w:eastAsia="宋体" w:cs="Times New Roman"/>
              </w:rPr>
            </w:pPr>
            <w:r>
              <w:rPr>
                <w:rFonts w:hint="eastAsia" w:ascii="宋体" w:hAnsi="宋体" w:eastAsia="宋体" w:cs="Times New Roman"/>
              </w:rPr>
              <w:t>体温计</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使用75%～80%乙醇溶液、浸泡消毒3～5分钟。</w:t>
            </w:r>
          </w:p>
        </w:tc>
        <w:tc>
          <w:tcPr>
            <w:tcW w:w="4840" w:type="dxa"/>
            <w:tcBorders>
              <w:top w:val="single" w:color="auto" w:sz="4" w:space="0"/>
              <w:left w:val="single" w:color="auto" w:sz="4" w:space="0"/>
              <w:bottom w:val="single" w:color="auto" w:sz="4" w:space="0"/>
              <w:right w:val="single" w:color="auto" w:sz="4" w:space="0"/>
            </w:tcBorders>
            <w:noWrap w:val="0"/>
            <w:vAlign w:val="center"/>
          </w:tcPr>
          <w:p>
            <w:pPr>
              <w:tabs>
                <w:tab w:val="center" w:pos="4201"/>
                <w:tab w:val="right" w:leader="dot" w:pos="9298"/>
              </w:tabs>
              <w:autoSpaceDE w:val="0"/>
              <w:autoSpaceDN w:val="0"/>
              <w:spacing w:line="240" w:lineRule="auto"/>
              <w:jc w:val="left"/>
              <w:rPr>
                <w:rFonts w:hint="eastAsia" w:ascii="宋体" w:hAnsi="宋体" w:eastAsia="宋体" w:cs="Times New Roman"/>
              </w:rPr>
            </w:pPr>
            <w:r>
              <w:rPr>
                <w:rFonts w:hint="eastAsia" w:ascii="宋体" w:hAnsi="宋体" w:eastAsia="宋体" w:cs="Times New Roman"/>
              </w:rPr>
              <w:t>使用符合《中华人民共和国药典》规定的乙醇溶液。</w:t>
            </w:r>
          </w:p>
        </w:tc>
      </w:tr>
    </w:tbl>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10.4机构应每日清扫、消毒，保持内外环境整洁。食品加工用具应生熟标识明确、分开使用、定位存放。餐饮具、熟食盛器应在食堂或清洗消毒间集中清洗消毒，消毒后保洁存放。库存食品应分类、注有标识、注明保质日期、定位储藏。</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10.5儿童入托育机构前应当经医疗卫生机构进行健康检查，合格后方可进入托育机构。</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10.6儿童离开托育机构3个月以上应当进行健康检查后方可再次入育幼机构。</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10.7加强健康教育宣传，配合卫生保健部门做好疾病防控和预防接种工作，督促家长按免疫程序和要求完成婴幼儿预防接种。</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10.8应建立晨检、午检、临检制度，发现身体、精神等异常行为时，及时通知监护人。</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10.9督促家长按免疫程序和要求完成婴幼儿预防接种。当托育机构内发现传染病、疫情和疑似病例后，应立即对患儿进行有效隔离，对环境实施必要的消毒，并立即向属地疾病预防控制机构报告。</w:t>
      </w:r>
    </w:p>
    <w:p>
      <w:pPr>
        <w:pStyle w:val="14"/>
        <w:spacing w:before="156" w:after="156"/>
        <w:rPr>
          <w:rFonts w:hint="eastAsia"/>
          <w:lang w:val="en-US" w:eastAsia="zh-CN"/>
        </w:rPr>
      </w:pPr>
      <w:bookmarkStart w:id="71" w:name="_Toc105277046"/>
      <w:bookmarkStart w:id="72" w:name="_Toc105276830"/>
      <w:bookmarkStart w:id="73" w:name="_Toc105276597"/>
      <w:r>
        <w:rPr>
          <w:rFonts w:hint="eastAsia"/>
          <w:lang w:val="en-US" w:eastAsia="zh-CN"/>
        </w:rPr>
        <w:t>11服务提供</w:t>
      </w:r>
      <w:bookmarkEnd w:id="71"/>
      <w:bookmarkEnd w:id="72"/>
      <w:bookmarkEnd w:id="73"/>
    </w:p>
    <w:p>
      <w:pPr>
        <w:pStyle w:val="2"/>
        <w:spacing w:before="156" w:after="156"/>
        <w:rPr>
          <w:rFonts w:hint="eastAsia" w:ascii="Times New Roman" w:hAnsi="Times New Roman" w:cs="Times New Roman"/>
          <w:lang w:val="en-US" w:eastAsia="zh-CN"/>
        </w:rPr>
      </w:pPr>
      <w:bookmarkStart w:id="74" w:name="_Toc105277047"/>
      <w:bookmarkStart w:id="75" w:name="_Toc105276831"/>
      <w:bookmarkStart w:id="76" w:name="_Toc105276598"/>
      <w:r>
        <w:rPr>
          <w:rFonts w:hint="eastAsia" w:ascii="Times New Roman" w:hAnsi="Times New Roman" w:cs="Times New Roman"/>
          <w:lang w:val="en-US" w:eastAsia="zh-CN"/>
        </w:rPr>
        <w:t>11.1基本服务流程</w:t>
      </w:r>
      <w:bookmarkEnd w:id="74"/>
      <w:bookmarkEnd w:id="75"/>
      <w:bookmarkEnd w:id="76"/>
    </w:p>
    <w:p>
      <w:pPr>
        <w:pStyle w:val="26"/>
        <w:tabs>
          <w:tab w:val="center" w:pos="4201"/>
          <w:tab w:val="right" w:leader="dot" w:pos="9298"/>
        </w:tabs>
        <w:rPr>
          <w:rFonts w:hint="eastAsia" w:eastAsia="宋体"/>
          <w:lang w:val="en-US" w:eastAsia="zh-CN"/>
        </w:rPr>
      </w:pPr>
      <w:r>
        <w:rPr>
          <w:rFonts w:hint="eastAsia"/>
        </w:rPr>
        <w:t>基本服务流程见图</w:t>
      </w:r>
      <w:r>
        <w:rPr>
          <w:rFonts w:hint="eastAsia"/>
          <w:lang w:val="en-US" w:eastAsia="zh-CN"/>
        </w:rPr>
        <w:t>1</w:t>
      </w:r>
      <w:r>
        <w:rPr>
          <w:rFonts w:hint="eastAsia" w:cs="Times New Roman" w:asciiTheme="minorEastAsia" w:hAnsiTheme="minorEastAsia" w:eastAsiaTheme="minorEastAsia"/>
          <w:szCs w:val="21"/>
          <w:lang w:val="en-US" w:eastAsia="zh-CN"/>
        </w:rPr>
        <w:t>。</w:t>
      </w:r>
    </w:p>
    <w:p>
      <w:pPr>
        <w:rPr>
          <w:rFonts w:hint="eastAsia" w:eastAsia="宋体"/>
          <w:lang w:eastAsia="zh-CN"/>
        </w:rPr>
      </w:pPr>
      <w:r>
        <w:rPr>
          <w:rFonts w:hint="eastAsia" w:eastAsia="宋体"/>
          <w:lang w:eastAsia="zh-CN"/>
        </w:rPr>
        <w:drawing>
          <wp:inline distT="0" distB="0" distL="114300" distR="114300">
            <wp:extent cx="5920105" cy="1014095"/>
            <wp:effectExtent l="0" t="0" r="0" b="0"/>
            <wp:docPr id="1" name="图片 3" descr="未命名文件(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未命名文件(14)"/>
                    <pic:cNvPicPr>
                      <a:picLocks noChangeAspect="1"/>
                    </pic:cNvPicPr>
                  </pic:nvPicPr>
                  <pic:blipFill>
                    <a:blip r:embed="rId15"/>
                    <a:stretch>
                      <a:fillRect/>
                    </a:stretch>
                  </pic:blipFill>
                  <pic:spPr>
                    <a:xfrm>
                      <a:off x="0" y="0"/>
                      <a:ext cx="5920105" cy="1014095"/>
                    </a:xfrm>
                    <a:prstGeom prst="rect">
                      <a:avLst/>
                    </a:prstGeom>
                    <a:noFill/>
                    <a:ln>
                      <a:noFill/>
                    </a:ln>
                  </pic:spPr>
                </pic:pic>
              </a:graphicData>
            </a:graphic>
          </wp:inline>
        </w:drawing>
      </w:r>
    </w:p>
    <w:p>
      <w:pPr>
        <w:jc w:val="center"/>
        <w:rPr>
          <w:rFonts w:hint="eastAsia" w:hAnsiTheme="minorEastAsia" w:eastAsiaTheme="minorEastAsia"/>
          <w:szCs w:val="21"/>
          <w:lang w:val="en-US" w:eastAsia="zh-CN"/>
        </w:rPr>
      </w:pPr>
      <w:r>
        <w:rPr>
          <w:rFonts w:hint="eastAsia" w:hAnsiTheme="minorEastAsia" w:eastAsiaTheme="minorEastAsia"/>
          <w:szCs w:val="21"/>
          <w:lang w:val="en-US" w:eastAsia="zh-CN"/>
        </w:rPr>
        <w:t>图1 基本服务流程</w:t>
      </w:r>
    </w:p>
    <w:p>
      <w:pPr>
        <w:pStyle w:val="2"/>
        <w:spacing w:before="156" w:after="156"/>
        <w:rPr>
          <w:rFonts w:hint="eastAsia" w:ascii="Times New Roman" w:hAnsi="Times New Roman" w:cs="Times New Roman"/>
          <w:lang w:val="en-US" w:eastAsia="zh-CN"/>
        </w:rPr>
      </w:pPr>
      <w:bookmarkStart w:id="77" w:name="_Toc105277048"/>
      <w:bookmarkStart w:id="78" w:name="_Toc105276832"/>
      <w:bookmarkStart w:id="79" w:name="_Toc105276599"/>
      <w:r>
        <w:rPr>
          <w:rFonts w:hint="eastAsia" w:ascii="Times New Roman" w:hAnsi="Times New Roman" w:cs="Times New Roman"/>
          <w:lang w:val="en-US" w:eastAsia="zh-CN"/>
        </w:rPr>
        <w:t>11.2入托</w:t>
      </w:r>
      <w:bookmarkEnd w:id="77"/>
      <w:bookmarkEnd w:id="78"/>
      <w:bookmarkEnd w:id="79"/>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11.2.1婴幼儿父母或监护人向托育机构提出入托申请，提交真实的婴幼儿及其监护人的身份证明材料。</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11.2.2托育机构与婴幼儿监护人签订托育服务协议。协议至少应当明确下列主要条款：</w:t>
      </w:r>
    </w:p>
    <w:p>
      <w:pPr>
        <w:ind w:firstLine="420" w:firstLineChars="200"/>
        <w:rPr>
          <w:rFonts w:hint="eastAsia" w:ascii="Times New Roman" w:hAnsi="Times New Roman" w:cs="Times New Roman" w:eastAsiaTheme="minorEastAsia"/>
          <w:szCs w:val="21"/>
          <w:lang w:val="en-US" w:eastAsia="zh-CN"/>
        </w:rPr>
      </w:pPr>
      <w:r>
        <w:rPr>
          <w:rFonts w:eastAsiaTheme="minorEastAsia"/>
          <w:szCs w:val="21"/>
        </w:rPr>
        <w:t>a</w:t>
      </w:r>
      <w:r>
        <w:rPr>
          <w:rFonts w:hAnsiTheme="minorEastAsia" w:eastAsiaTheme="minorEastAsia"/>
          <w:szCs w:val="21"/>
        </w:rPr>
        <w:t>）</w:t>
      </w:r>
      <w:r>
        <w:rPr>
          <w:rFonts w:hint="eastAsia" w:ascii="Times New Roman" w:hAnsi="Times New Roman" w:cs="Times New Roman" w:eastAsiaTheme="minorEastAsia"/>
          <w:szCs w:val="21"/>
          <w:lang w:val="en-US" w:eastAsia="zh-CN"/>
        </w:rPr>
        <w:t>双方的基本信息；</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b</w:t>
      </w:r>
      <w:r>
        <w:rPr>
          <w:rFonts w:hAnsiTheme="minorEastAsia" w:eastAsiaTheme="minorEastAsia"/>
          <w:szCs w:val="21"/>
        </w:rPr>
        <w:t>）</w:t>
      </w:r>
      <w:r>
        <w:rPr>
          <w:rFonts w:hint="eastAsia" w:ascii="Times New Roman" w:hAnsi="Times New Roman" w:cs="Times New Roman" w:eastAsiaTheme="minorEastAsia"/>
          <w:szCs w:val="21"/>
          <w:lang w:val="en-US" w:eastAsia="zh-CN"/>
        </w:rPr>
        <w:t>接收条件和入托程序；</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c</w:t>
      </w:r>
      <w:r>
        <w:rPr>
          <w:rFonts w:hAnsiTheme="minorEastAsia" w:eastAsiaTheme="minorEastAsia"/>
          <w:szCs w:val="21"/>
        </w:rPr>
        <w:t>）</w:t>
      </w:r>
      <w:r>
        <w:rPr>
          <w:rFonts w:hint="eastAsia" w:ascii="Times New Roman" w:hAnsi="Times New Roman" w:cs="Times New Roman" w:eastAsiaTheme="minorEastAsia"/>
          <w:szCs w:val="21"/>
          <w:lang w:val="en-US" w:eastAsia="zh-CN"/>
        </w:rPr>
        <w:t>服务地点和设施；</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d</w:t>
      </w:r>
      <w:r>
        <w:rPr>
          <w:rFonts w:hAnsiTheme="minorEastAsia" w:eastAsiaTheme="minorEastAsia"/>
          <w:szCs w:val="21"/>
        </w:rPr>
        <w:t>）</w:t>
      </w:r>
      <w:r>
        <w:rPr>
          <w:rFonts w:hint="eastAsia" w:ascii="Times New Roman" w:hAnsi="Times New Roman" w:cs="Times New Roman" w:eastAsiaTheme="minorEastAsia"/>
          <w:szCs w:val="21"/>
          <w:lang w:val="en-US" w:eastAsia="zh-CN"/>
        </w:rPr>
        <w:t>服务内容和质量标准；</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e</w:t>
      </w:r>
      <w:r>
        <w:rPr>
          <w:rFonts w:hAnsiTheme="minorEastAsia" w:eastAsiaTheme="minorEastAsia"/>
          <w:szCs w:val="21"/>
        </w:rPr>
        <w:t>）</w:t>
      </w:r>
      <w:r>
        <w:rPr>
          <w:rFonts w:hint="eastAsia" w:ascii="Times New Roman" w:hAnsi="Times New Roman" w:cs="Times New Roman" w:eastAsiaTheme="minorEastAsia"/>
          <w:szCs w:val="21"/>
          <w:lang w:val="en-US" w:eastAsia="zh-CN"/>
        </w:rPr>
        <w:t>服务收费标准和方式；</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f</w:t>
      </w:r>
      <w:r>
        <w:rPr>
          <w:rFonts w:hAnsiTheme="minorEastAsia" w:eastAsiaTheme="minorEastAsia"/>
          <w:szCs w:val="21"/>
        </w:rPr>
        <w:t>）</w:t>
      </w:r>
      <w:r>
        <w:rPr>
          <w:rFonts w:hint="eastAsia" w:ascii="Times New Roman" w:hAnsi="Times New Roman" w:cs="Times New Roman" w:eastAsiaTheme="minorEastAsia"/>
          <w:szCs w:val="21"/>
          <w:lang w:val="en-US" w:eastAsia="zh-CN"/>
        </w:rPr>
        <w:t>双方权利和义务；</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g</w:t>
      </w:r>
      <w:r>
        <w:rPr>
          <w:rFonts w:hAnsiTheme="minorEastAsia" w:eastAsiaTheme="minorEastAsia"/>
          <w:szCs w:val="21"/>
        </w:rPr>
        <w:t>）</w:t>
      </w:r>
      <w:r>
        <w:rPr>
          <w:rFonts w:hint="eastAsia" w:ascii="Times New Roman" w:hAnsi="Times New Roman" w:cs="Times New Roman" w:eastAsiaTheme="minorEastAsia"/>
          <w:szCs w:val="21"/>
          <w:lang w:val="en-US" w:eastAsia="zh-CN"/>
        </w:rPr>
        <w:t>合同变更、解除与终止条件；</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h</w:t>
      </w:r>
      <w:r>
        <w:rPr>
          <w:rFonts w:hAnsiTheme="minorEastAsia" w:eastAsiaTheme="minorEastAsia"/>
          <w:szCs w:val="21"/>
        </w:rPr>
        <w:t>）</w:t>
      </w:r>
      <w:r>
        <w:rPr>
          <w:rFonts w:hint="eastAsia" w:ascii="Times New Roman" w:hAnsi="Times New Roman" w:cs="Times New Roman" w:eastAsiaTheme="minorEastAsia"/>
          <w:szCs w:val="21"/>
          <w:lang w:val="en-US" w:eastAsia="zh-CN"/>
        </w:rPr>
        <w:t>违约责任；</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i</w:t>
      </w:r>
      <w:r>
        <w:rPr>
          <w:rFonts w:hAnsiTheme="minorEastAsia" w:eastAsiaTheme="minorEastAsia"/>
          <w:szCs w:val="21"/>
        </w:rPr>
        <w:t>）</w:t>
      </w:r>
      <w:r>
        <w:rPr>
          <w:rFonts w:hint="eastAsia" w:ascii="Times New Roman" w:hAnsi="Times New Roman" w:cs="Times New Roman" w:eastAsiaTheme="minorEastAsia"/>
          <w:szCs w:val="21"/>
          <w:lang w:val="en-US" w:eastAsia="zh-CN"/>
        </w:rPr>
        <w:t>合同期限；</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j</w:t>
      </w:r>
      <w:r>
        <w:rPr>
          <w:rFonts w:hAnsiTheme="minorEastAsia" w:eastAsiaTheme="minorEastAsia"/>
          <w:szCs w:val="21"/>
        </w:rPr>
        <w:t>）</w:t>
      </w:r>
      <w:r>
        <w:rPr>
          <w:rFonts w:hint="eastAsia" w:ascii="Times New Roman" w:hAnsi="Times New Roman" w:cs="Times New Roman" w:eastAsiaTheme="minorEastAsia"/>
          <w:szCs w:val="21"/>
          <w:lang w:val="en-US" w:eastAsia="zh-CN"/>
        </w:rPr>
        <w:t>纠纷解决方式及管辖区域；</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k</w:t>
      </w:r>
      <w:r>
        <w:rPr>
          <w:rFonts w:hAnsiTheme="minorEastAsia" w:eastAsiaTheme="minorEastAsia"/>
          <w:szCs w:val="21"/>
        </w:rPr>
        <w:t>）</w:t>
      </w:r>
      <w:r>
        <w:rPr>
          <w:rFonts w:hint="eastAsia" w:ascii="Times New Roman" w:hAnsi="Times New Roman" w:cs="Times New Roman" w:eastAsiaTheme="minorEastAsia"/>
          <w:szCs w:val="21"/>
          <w:lang w:val="en-US" w:eastAsia="zh-CN"/>
        </w:rPr>
        <w:t>其他约定事项。</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11.2.3婴幼儿入托前完成适龄的预防接种。首次入托客户应出示婴幼儿在正规医疗机构的健康检查证明，严禁活动性传染病婴幼儿入托。离开机构3个月以上，返回机构时应当重新进行健康检查。</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11.2.4托育机构建立收托婴幼儿信息管理制度，定期向备案部门报送。</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11.2.5婴幼儿入托时应由家长(或其委托的成年人)送其入托，托育机构工作人员需进行核对。在入托前需提前与家长进行沟通，告知入托的一些注意事项，包括接送安全、疾病防御、亲子分离、课程、同伴交往等相关问题。</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11.2.6卫生保健人员每日应做好婴幼儿入托时的晨检、午检和临检。若发现婴幼儿身体、精神、行为等异常应及时告知家长带回，婴幼儿患病期间应当在医院接受治疗或在家护理。</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11.2.7保育人员应热情迎接每个婴幼儿及其家长，与家长进行友好交流，安抚要幼儿的情绪，并引导其进入到生活用房中。如果婴幼儿需要家长陪伴，保育人员应给予支持。</w:t>
      </w:r>
    </w:p>
    <w:p>
      <w:pPr>
        <w:pStyle w:val="2"/>
        <w:spacing w:before="156" w:after="156"/>
        <w:rPr>
          <w:rFonts w:hint="eastAsia" w:ascii="Times New Roman" w:hAnsi="Times New Roman" w:cs="Times New Roman"/>
          <w:lang w:val="en-US" w:eastAsia="zh-CN"/>
        </w:rPr>
      </w:pPr>
      <w:bookmarkStart w:id="80" w:name="_Toc105276833"/>
      <w:bookmarkStart w:id="81" w:name="_Toc105277049"/>
      <w:bookmarkStart w:id="82" w:name="_Toc105276600"/>
      <w:r>
        <w:rPr>
          <w:rFonts w:hint="eastAsia" w:ascii="Times New Roman" w:hAnsi="Times New Roman" w:cs="Times New Roman"/>
          <w:lang w:val="en-US" w:eastAsia="zh-CN"/>
        </w:rPr>
        <w:t>11.3进餐</w:t>
      </w:r>
      <w:bookmarkEnd w:id="80"/>
      <w:bookmarkEnd w:id="81"/>
      <w:bookmarkEnd w:id="82"/>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11.3.1托育机构应根据婴幼儿生理需求，以(《中国居民膳食指南)为指导，为不同年龄段的婴幼儿制订膳食计划，编制营养合理、平衡的食谱，提供易于消化、清淡可口、安全卫生、健康的膳食。</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11.3.2托育机构应主动向家长询问婴幼儿过敏食物，并做好食物过敏婴幼儿的登记工作，提供餐点时应避免婴幼儿食物过敏。若幼儿出现过敏症状，机构应及时联系家长并送婴幼儿到医院就诊。</w:t>
      </w:r>
    </w:p>
    <w:p>
      <w:pPr>
        <w:pStyle w:val="2"/>
        <w:spacing w:before="156" w:after="156"/>
        <w:rPr>
          <w:rFonts w:hint="eastAsia" w:ascii="Times New Roman" w:hAnsi="Times New Roman" w:cs="Times New Roman"/>
          <w:lang w:val="en-US" w:eastAsia="zh-CN"/>
        </w:rPr>
      </w:pPr>
      <w:bookmarkStart w:id="83" w:name="_Toc105276834"/>
      <w:bookmarkStart w:id="84" w:name="_Toc105277050"/>
      <w:bookmarkStart w:id="85" w:name="_Toc105276601"/>
      <w:r>
        <w:rPr>
          <w:rFonts w:hint="eastAsia" w:ascii="Times New Roman" w:hAnsi="Times New Roman" w:cs="Times New Roman"/>
          <w:lang w:val="en-US" w:eastAsia="zh-CN"/>
        </w:rPr>
        <w:t>11.4如厕/更换尿片</w:t>
      </w:r>
      <w:bookmarkEnd w:id="83"/>
      <w:bookmarkEnd w:id="84"/>
      <w:bookmarkEnd w:id="85"/>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11.4.1保育人员应根据婴幼儿的年龄特点和生理需要，定时给婴幼儿更换尿片或帮助其如厕。</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11.4.2应根据婴幼儿的生活和活动状况，随时注意观察婴幼儿发出的排尿、排便信号或需要，引导其如厕。保育人员应鼓励较大幼儿自主如厕，适时培养其自理能力。</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11.4.3保教人员应耐心、动作轻柔地给婴幼儿更换尿布。婴幼儿如厕时，保育人员应在旁边进行关照。</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尿布上出现排便印迹的婴幼儿，保育人员应对其臀部进行必要的清洁和擦洗。</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11.4.4保教人员在给婴幼儿换尿布或帮助其如厕后，应洗手。</w:t>
      </w:r>
    </w:p>
    <w:p>
      <w:pPr>
        <w:pStyle w:val="2"/>
        <w:spacing w:before="156" w:after="156"/>
        <w:rPr>
          <w:rFonts w:hint="eastAsia" w:ascii="Times New Roman" w:hAnsi="Times New Roman" w:cs="Times New Roman"/>
          <w:lang w:val="en-US" w:eastAsia="zh-CN"/>
        </w:rPr>
      </w:pPr>
      <w:bookmarkStart w:id="86" w:name="_Toc105276602"/>
      <w:bookmarkStart w:id="87" w:name="_Toc105276835"/>
      <w:bookmarkStart w:id="88" w:name="_Toc105277051"/>
      <w:r>
        <w:rPr>
          <w:rFonts w:hint="eastAsia" w:ascii="Times New Roman" w:hAnsi="Times New Roman" w:cs="Times New Roman"/>
          <w:lang w:val="en-US" w:eastAsia="zh-CN"/>
        </w:rPr>
        <w:t>11.5盥洗</w:t>
      </w:r>
      <w:bookmarkEnd w:id="86"/>
      <w:bookmarkEnd w:id="87"/>
      <w:bookmarkEnd w:id="88"/>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11.5.1保育人员应根据婴幼儿的生活和活动状况，引导和帮助婴幼儿使用清洁用品，用七步洗手法正确洗手，并用干净的小毛巾擦干。</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11.5.2需要洗手的时间段：入托时、进餐前、如厕后、美工活动后、户外活动后等。</w:t>
      </w:r>
    </w:p>
    <w:p>
      <w:pPr>
        <w:pStyle w:val="2"/>
        <w:spacing w:before="156" w:after="156"/>
        <w:rPr>
          <w:rFonts w:hint="eastAsia" w:ascii="Times New Roman" w:hAnsi="Times New Roman" w:cs="Times New Roman"/>
          <w:lang w:val="en-US" w:eastAsia="zh-CN"/>
        </w:rPr>
      </w:pPr>
      <w:bookmarkStart w:id="89" w:name="_Toc105276603"/>
      <w:bookmarkStart w:id="90" w:name="_Toc105277052"/>
      <w:bookmarkStart w:id="91" w:name="_Toc105276836"/>
      <w:r>
        <w:rPr>
          <w:rFonts w:hint="eastAsia" w:ascii="Times New Roman" w:hAnsi="Times New Roman" w:cs="Times New Roman"/>
          <w:lang w:val="en-US" w:eastAsia="zh-CN"/>
        </w:rPr>
        <w:t>11.6睡眠</w:t>
      </w:r>
      <w:bookmarkEnd w:id="89"/>
      <w:bookmarkEnd w:id="90"/>
      <w:bookmarkEnd w:id="91"/>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11.6.1托育机构应为婴幼儿提供安静、舒适的睡眠室。应为每个婴幼儿提供安全、舒适的婴儿床，婴儿床应有围栏，以防摔伤。提供的被褥应干净、干爽，并经常清洗和晾晒</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11.6.2应保证要幼儿日间有充足的睡眠时间，年龄越小，睡眠时间越长，睡眠次数越多，并应根据婴幼儿的年龄和个体需要灵活安排。</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11.6.3在安排婴幼儿睡眠前，保育人员应引导婴幼儿进行如厕或帮其换尿布。</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11.6.4应根据天气及室内温度，引导和鼓励年龄较大的婴幼儿自己尝试脱衣、脱鞋。</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11.6.5应引导婴幼儿自然入睡。对于较难入睡的婴幼儿，应给子适当的安抚和陪伴。有些婴幼儿在睡眠时需要某些安慰物(如安抚奶嘴、小毛巾等)，应给子满足。</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11.6.6保育人员在婴幼儿睡眠后，应定时进行巡视和观察，照顾其安全，避免过度捂盖和蹬被受凉。</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11.6.7当婴幼儿睡醒后，保教人员应帮助或引导其穿上衣服，引导和鼓励年龄较大的婴幼儿自己尝试穿衣穿鞋。</w:t>
      </w:r>
    </w:p>
    <w:p>
      <w:pPr>
        <w:pStyle w:val="2"/>
        <w:spacing w:before="156" w:after="156"/>
        <w:rPr>
          <w:rFonts w:hint="eastAsia" w:ascii="Times New Roman" w:hAnsi="Times New Roman" w:cs="Times New Roman"/>
          <w:lang w:val="en-US" w:eastAsia="zh-CN"/>
        </w:rPr>
      </w:pPr>
      <w:bookmarkStart w:id="92" w:name="_Toc105277053"/>
      <w:bookmarkStart w:id="93" w:name="_Toc105276837"/>
      <w:bookmarkStart w:id="94" w:name="_Toc105276604"/>
      <w:r>
        <w:rPr>
          <w:rFonts w:hint="eastAsia" w:ascii="Times New Roman" w:hAnsi="Times New Roman" w:cs="Times New Roman"/>
          <w:lang w:val="en-US" w:eastAsia="zh-CN"/>
        </w:rPr>
        <w:t>11.7保教活动</w:t>
      </w:r>
      <w:bookmarkEnd w:id="92"/>
      <w:bookmarkEnd w:id="93"/>
      <w:bookmarkEnd w:id="94"/>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11.7.1应为不同年龄段的婴幼儿提供丰富、适宜的活动环境，提供适宜的玩具、运动器材。</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11.7.2鼓励婴幼儿在安全范围内按照自主意愿进行充分探索，自主学习。</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11.7.3协助与支持婴幼儿同伴间的交往与游戏，使婴幼儿在游戏和活动中充分的感受、体验和探索。</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11.7.4游戏与活动内容应科学合理，应包括音乐、美术、手工、语言交流等多样性内容，大肌内和小肌内等不同的活动，促进婴幼儿认知、语言、情绪情感、运动能力、社会性等全面发展。活动形式也不局限于自由活动、集体活动、团体活动等。</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11.7.5婴幼儿进行保教活动时，保育人员应认真工作。</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11.7.6监护安全:保育人员需要在婴幼儿身旁进行陪伴，明确分工、协作，照顾整个空间里所有婴幼儿的安全。</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11.7.7观察玩耍:记录婴幼儿玩耍情况、在婴幼儿需要的时候给与回应，但避免主导活动。</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11.7.8调整、改进:根据观察到的婴幼儿玩耍情况，增加或调整教玩具。</w:t>
      </w:r>
    </w:p>
    <w:p>
      <w:pPr>
        <w:pStyle w:val="2"/>
        <w:spacing w:before="156" w:after="156"/>
        <w:rPr>
          <w:rFonts w:hint="eastAsia" w:ascii="Times New Roman" w:hAnsi="Times New Roman" w:cs="Times New Roman"/>
          <w:lang w:val="en-US" w:eastAsia="zh-CN"/>
        </w:rPr>
      </w:pPr>
      <w:bookmarkStart w:id="95" w:name="_Toc105276838"/>
      <w:bookmarkStart w:id="96" w:name="_Toc105277054"/>
      <w:bookmarkStart w:id="97" w:name="_Toc105276605"/>
      <w:r>
        <w:rPr>
          <w:rFonts w:hint="eastAsia" w:ascii="Times New Roman" w:hAnsi="Times New Roman" w:cs="Times New Roman"/>
          <w:lang w:val="en-US" w:eastAsia="zh-CN"/>
        </w:rPr>
        <w:t>11.8家园协作</w:t>
      </w:r>
      <w:bookmarkEnd w:id="95"/>
      <w:bookmarkEnd w:id="96"/>
      <w:bookmarkEnd w:id="97"/>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11.8.1机构宜与婴幼儿家庭建立良好的关系，进行密切相互间的沟通和交流。</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11.8.2将家长纳入到机构的保育与教育中，同时积极支持和指导家长科学育儿。相互支持，密切配合，共同促进婴幼儿健康成长。</w:t>
      </w:r>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11.8.3建立与家长联系制度和长开放日制度。帮助家长了解机构的一日或半日流程安排、教育理念和实践方法、规章制度等内容，鼓励和支持家长对事关婴幼儿切身利益的事项提出意见、建议和监督。</w:t>
      </w:r>
    </w:p>
    <w:p>
      <w:pPr>
        <w:pStyle w:val="14"/>
        <w:spacing w:before="156" w:after="156"/>
        <w:rPr>
          <w:rFonts w:hint="eastAsia"/>
          <w:lang w:val="en-US" w:eastAsia="zh-CN"/>
        </w:rPr>
      </w:pPr>
      <w:bookmarkStart w:id="98" w:name="_Toc105276839"/>
      <w:bookmarkStart w:id="99" w:name="_Toc105277055"/>
      <w:bookmarkStart w:id="100" w:name="_Toc105276606"/>
      <w:r>
        <w:rPr>
          <w:rFonts w:hint="eastAsia"/>
          <w:lang w:val="en-US" w:eastAsia="zh-CN"/>
        </w:rPr>
        <w:t>12投诉处理</w:t>
      </w:r>
      <w:bookmarkEnd w:id="98"/>
      <w:bookmarkEnd w:id="99"/>
      <w:bookmarkEnd w:id="100"/>
    </w:p>
    <w:p>
      <w:pPr>
        <w:rPr>
          <w:rFonts w:hint="eastAsia"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12.1服务过程中出现投诉情况，园长应当及时到达现场处理：</w:t>
      </w:r>
    </w:p>
    <w:p>
      <w:pPr>
        <w:ind w:firstLine="420" w:firstLineChars="200"/>
        <w:rPr>
          <w:rFonts w:hint="eastAsia" w:ascii="Times New Roman" w:hAnsi="Times New Roman" w:cs="Times New Roman" w:eastAsiaTheme="minorEastAsia"/>
          <w:szCs w:val="21"/>
          <w:lang w:val="en-US" w:eastAsia="zh-CN"/>
        </w:rPr>
      </w:pPr>
      <w:r>
        <w:rPr>
          <w:rFonts w:eastAsiaTheme="minorEastAsia"/>
          <w:szCs w:val="21"/>
        </w:rPr>
        <w:t>a</w:t>
      </w:r>
      <w:r>
        <w:rPr>
          <w:rFonts w:hAnsiTheme="minorEastAsia" w:eastAsiaTheme="minorEastAsia"/>
          <w:szCs w:val="21"/>
        </w:rPr>
        <w:t>）</w:t>
      </w:r>
      <w:r>
        <w:rPr>
          <w:rFonts w:hint="eastAsia" w:ascii="Times New Roman" w:hAnsi="Times New Roman" w:cs="Times New Roman" w:eastAsiaTheme="minorEastAsia"/>
          <w:szCs w:val="21"/>
          <w:lang w:val="en-US" w:eastAsia="zh-CN"/>
        </w:rPr>
        <w:t>一般性问题，应当随时做出答复；</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b</w:t>
      </w:r>
      <w:r>
        <w:rPr>
          <w:rFonts w:hAnsiTheme="minorEastAsia" w:eastAsiaTheme="minorEastAsia"/>
          <w:szCs w:val="21"/>
        </w:rPr>
        <w:t>）</w:t>
      </w:r>
      <w:r>
        <w:rPr>
          <w:rFonts w:hint="eastAsia" w:ascii="Times New Roman" w:hAnsi="Times New Roman" w:cs="Times New Roman" w:eastAsiaTheme="minorEastAsia"/>
          <w:szCs w:val="21"/>
          <w:lang w:val="en-US" w:eastAsia="zh-CN"/>
        </w:rPr>
        <w:t>比较复杂的问题，应当在24h内答复；</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c</w:t>
      </w:r>
      <w:r>
        <w:rPr>
          <w:rFonts w:hAnsiTheme="minorEastAsia" w:eastAsiaTheme="minorEastAsia"/>
          <w:szCs w:val="21"/>
        </w:rPr>
        <w:t>）</w:t>
      </w:r>
      <w:r>
        <w:rPr>
          <w:rFonts w:hint="eastAsia" w:ascii="Times New Roman" w:hAnsi="Times New Roman" w:cs="Times New Roman" w:eastAsiaTheme="minorEastAsia"/>
          <w:szCs w:val="21"/>
          <w:lang w:val="en-US" w:eastAsia="zh-CN"/>
        </w:rPr>
        <w:t>已经证实的投诉，应当在48h内做出处理；</w:t>
      </w:r>
    </w:p>
    <w:p>
      <w:pPr>
        <w:ind w:firstLine="420" w:firstLineChars="200"/>
        <w:rPr>
          <w:rFonts w:hint="eastAsia" w:ascii="Times New Roman" w:hAnsi="Times New Roman" w:cs="Times New Roman" w:eastAsiaTheme="minorEastAsia"/>
          <w:szCs w:val="21"/>
          <w:lang w:val="en-US" w:eastAsia="zh-CN"/>
        </w:rPr>
      </w:pPr>
      <w:r>
        <w:rPr>
          <w:rFonts w:hint="eastAsia" w:hAnsiTheme="minorEastAsia" w:eastAsiaTheme="minorEastAsia"/>
          <w:szCs w:val="21"/>
          <w:lang w:val="en-US" w:eastAsia="zh-CN"/>
        </w:rPr>
        <w:t>d</w:t>
      </w:r>
      <w:r>
        <w:rPr>
          <w:rFonts w:hAnsiTheme="minorEastAsia" w:eastAsiaTheme="minorEastAsia"/>
          <w:szCs w:val="21"/>
        </w:rPr>
        <w:t>）</w:t>
      </w:r>
      <w:r>
        <w:rPr>
          <w:rFonts w:hint="eastAsia" w:ascii="Times New Roman" w:hAnsi="Times New Roman" w:cs="Times New Roman" w:eastAsiaTheme="minorEastAsia"/>
          <w:szCs w:val="21"/>
          <w:lang w:val="en-US" w:eastAsia="zh-CN"/>
        </w:rPr>
        <w:t>可采取协商、道歉、赔付等补救措施，处置因服务不规范造成的损失或伤害。</w:t>
      </w:r>
    </w:p>
    <w:p>
      <w:pPr>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12.2服务质量投诉处理程序可参照GB/T17242规定。</w:t>
      </w:r>
    </w:p>
    <w:sectPr>
      <w:footerReference r:id="rId12" w:type="default"/>
      <w:footerReference r:id="rId13" w:type="even"/>
      <w:pgSz w:w="11907" w:h="16839"/>
      <w:pgMar w:top="1418" w:right="1134" w:bottom="1134"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Style w:val="19"/>
      </w:rPr>
    </w:pPr>
    <w:r>
      <w:fldChar w:fldCharType="begin"/>
    </w:r>
    <w:r>
      <w:rPr>
        <w:rStyle w:val="19"/>
      </w:rPr>
      <w:instrText xml:space="preserve">PAGE  </w:instrText>
    </w:r>
    <w:r>
      <w:fldChar w:fldCharType="separate"/>
    </w:r>
    <w:r>
      <w:rPr>
        <w:rStyle w:val="19"/>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rPr>
        <w:rStyle w:val="19"/>
      </w:rPr>
    </w:pPr>
    <w:r>
      <w:fldChar w:fldCharType="begin"/>
    </w:r>
    <w:r>
      <w:rPr>
        <w:rStyle w:val="19"/>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Style w:val="19"/>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9180" w:firstLineChars="5100"/>
      <w:rPr>
        <w:rStyle w:val="1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Style w:val="19"/>
      </w:rPr>
    </w:pPr>
    <w:r>
      <w:fldChar w:fldCharType="begin"/>
    </w:r>
    <w:r>
      <w:rPr>
        <w:rStyle w:val="19"/>
      </w:rPr>
      <w:instrText xml:space="preserve">PAGE  </w:instrText>
    </w:r>
    <w:r>
      <w:fldChar w:fldCharType="separate"/>
    </w:r>
    <w:r>
      <w:rPr>
        <w:rStyle w:val="19"/>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9000" w:firstLineChars="5000"/>
      <w:rPr>
        <w:rStyle w:val="19"/>
      </w:rPr>
    </w:pPr>
    <w:r>
      <w:fldChar w:fldCharType="begin"/>
    </w:r>
    <w:r>
      <w:rPr>
        <w:rStyle w:val="19"/>
      </w:rPr>
      <w:instrText xml:space="preserve">PAGE  </w:instrText>
    </w:r>
    <w:r>
      <w:fldChar w:fldCharType="separate"/>
    </w:r>
    <w:r>
      <w:rPr>
        <w:rStyle w:val="19"/>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t>DB32/T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DB32/T ××××—2002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rPr>
        <w:rFonts w:hint="eastAsia" w:ascii="黑体" w:eastAsia="宋体"/>
        <w:lang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ind w:firstLine="7770" w:firstLineChars="3700"/>
      <w:rPr>
        <w:rFonts w:ascii="黑体"/>
      </w:rPr>
    </w:pPr>
    <w:r>
      <w:rPr>
        <w:rFonts w:ascii="黑体"/>
      </w:rPr>
      <w:t>DB32/769—200</w:t>
    </w:r>
    <w:r>
      <w:rPr>
        <w:rFonts w:hint="eastAsia" w:ascii="黑体"/>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5214012E"/>
    <w:multiLevelType w:val="multilevel"/>
    <w:tmpl w:val="5214012E"/>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CEA2025"/>
    <w:multiLevelType w:val="multilevel"/>
    <w:tmpl w:val="6CEA2025"/>
    <w:lvl w:ilvl="0" w:tentative="0">
      <w:start w:val="1"/>
      <w:numFmt w:val="none"/>
      <w:pStyle w:val="39"/>
      <w:suff w:val="nothing"/>
      <w:lvlText w:val="%1"/>
      <w:lvlJc w:val="left"/>
      <w:pPr>
        <w:ind w:left="0" w:firstLine="0"/>
      </w:pPr>
      <w:rPr>
        <w:rFonts w:hint="default" w:ascii="Times New Roman" w:hAnsi="Times New Roman"/>
        <w:b/>
        <w:i w:val="0"/>
        <w:sz w:val="21"/>
      </w:rPr>
    </w:lvl>
    <w:lvl w:ilvl="1" w:tentative="0">
      <w:start w:val="1"/>
      <w:numFmt w:val="decimal"/>
      <w:pStyle w:val="34"/>
      <w:suff w:val="nothing"/>
      <w:lvlText w:val="%1%2　"/>
      <w:lvlJc w:val="left"/>
      <w:pPr>
        <w:ind w:left="0" w:firstLine="0"/>
      </w:pPr>
      <w:rPr>
        <w:rFonts w:hint="eastAsia" w:ascii="黑体" w:hAnsi="Times New Roman" w:eastAsia="黑体"/>
        <w:b w:val="0"/>
        <w:i w:val="0"/>
        <w:sz w:val="21"/>
      </w:rPr>
    </w:lvl>
    <w:lvl w:ilvl="2" w:tentative="0">
      <w:start w:val="1"/>
      <w:numFmt w:val="decimal"/>
      <w:pStyle w:val="33"/>
      <w:suff w:val="nothing"/>
      <w:lvlText w:val="%1%2.%3　"/>
      <w:lvlJc w:val="left"/>
      <w:pPr>
        <w:ind w:left="180" w:firstLine="0"/>
      </w:pPr>
      <w:rPr>
        <w:rFonts w:hint="eastAsia" w:ascii="黑体" w:hAnsi="Times New Roman" w:eastAsia="黑体"/>
        <w:b w:val="0"/>
        <w:i w:val="0"/>
        <w:sz w:val="21"/>
      </w:rPr>
    </w:lvl>
    <w:lvl w:ilvl="3" w:tentative="0">
      <w:start w:val="1"/>
      <w:numFmt w:val="decimal"/>
      <w:pStyle w:val="32"/>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pStyle w:val="30"/>
      <w:suff w:val="nothing"/>
      <w:lvlText w:val="%1%2.%3.%4.%5.%6　"/>
      <w:lvlJc w:val="left"/>
      <w:pPr>
        <w:ind w:left="0" w:firstLine="0"/>
      </w:pPr>
      <w:rPr>
        <w:rFonts w:hint="eastAsia" w:ascii="黑体" w:hAnsi="Times New Roman" w:eastAsia="黑体"/>
        <w:b w:val="0"/>
        <w:i w:val="0"/>
        <w:sz w:val="21"/>
      </w:rPr>
    </w:lvl>
    <w:lvl w:ilvl="6" w:tentative="0">
      <w:start w:val="1"/>
      <w:numFmt w:val="decimal"/>
      <w:pStyle w:val="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MjAzOGI1ZWM1NjI3YTE0MjIzZDIwNTMwM2NhZjEifQ=="/>
  </w:docVars>
  <w:rsids>
    <w:rsidRoot w:val="00172A27"/>
    <w:rsid w:val="000011B3"/>
    <w:rsid w:val="00003AED"/>
    <w:rsid w:val="00006F60"/>
    <w:rsid w:val="000100C5"/>
    <w:rsid w:val="0001037C"/>
    <w:rsid w:val="00012D82"/>
    <w:rsid w:val="0003373B"/>
    <w:rsid w:val="000373E8"/>
    <w:rsid w:val="00045AFC"/>
    <w:rsid w:val="00045CB8"/>
    <w:rsid w:val="00051499"/>
    <w:rsid w:val="000517FB"/>
    <w:rsid w:val="00052033"/>
    <w:rsid w:val="00067CC2"/>
    <w:rsid w:val="00070303"/>
    <w:rsid w:val="00070B01"/>
    <w:rsid w:val="00070B12"/>
    <w:rsid w:val="000723C5"/>
    <w:rsid w:val="00072EA2"/>
    <w:rsid w:val="00082EF6"/>
    <w:rsid w:val="00083241"/>
    <w:rsid w:val="000832FC"/>
    <w:rsid w:val="0009301A"/>
    <w:rsid w:val="00095202"/>
    <w:rsid w:val="000A033F"/>
    <w:rsid w:val="000A19B4"/>
    <w:rsid w:val="000A60F2"/>
    <w:rsid w:val="000A7210"/>
    <w:rsid w:val="000B0C03"/>
    <w:rsid w:val="000B2C4F"/>
    <w:rsid w:val="000B44CB"/>
    <w:rsid w:val="000C0CB6"/>
    <w:rsid w:val="000C38A3"/>
    <w:rsid w:val="000C46E5"/>
    <w:rsid w:val="000D7469"/>
    <w:rsid w:val="000D74EE"/>
    <w:rsid w:val="000E2BB0"/>
    <w:rsid w:val="000E63A4"/>
    <w:rsid w:val="000E6D03"/>
    <w:rsid w:val="000E716C"/>
    <w:rsid w:val="00101660"/>
    <w:rsid w:val="001018C7"/>
    <w:rsid w:val="00102393"/>
    <w:rsid w:val="00103D97"/>
    <w:rsid w:val="0010516D"/>
    <w:rsid w:val="00111429"/>
    <w:rsid w:val="00111B02"/>
    <w:rsid w:val="00112073"/>
    <w:rsid w:val="001121A3"/>
    <w:rsid w:val="001358C9"/>
    <w:rsid w:val="001369B9"/>
    <w:rsid w:val="00137B8F"/>
    <w:rsid w:val="00140CFE"/>
    <w:rsid w:val="00144B81"/>
    <w:rsid w:val="00145376"/>
    <w:rsid w:val="0015276E"/>
    <w:rsid w:val="00154009"/>
    <w:rsid w:val="00154AB8"/>
    <w:rsid w:val="00154DE1"/>
    <w:rsid w:val="0015622A"/>
    <w:rsid w:val="00166021"/>
    <w:rsid w:val="00166DCF"/>
    <w:rsid w:val="001675AF"/>
    <w:rsid w:val="00171714"/>
    <w:rsid w:val="00174819"/>
    <w:rsid w:val="00177807"/>
    <w:rsid w:val="00181B3D"/>
    <w:rsid w:val="001849B8"/>
    <w:rsid w:val="00187CEC"/>
    <w:rsid w:val="001948FB"/>
    <w:rsid w:val="00195695"/>
    <w:rsid w:val="0019711E"/>
    <w:rsid w:val="001A1417"/>
    <w:rsid w:val="001A1676"/>
    <w:rsid w:val="001A6BD4"/>
    <w:rsid w:val="001B090C"/>
    <w:rsid w:val="001B4FE1"/>
    <w:rsid w:val="001B6577"/>
    <w:rsid w:val="001B7BD9"/>
    <w:rsid w:val="001C2146"/>
    <w:rsid w:val="001D1C97"/>
    <w:rsid w:val="001D6136"/>
    <w:rsid w:val="001E79F8"/>
    <w:rsid w:val="001F32E8"/>
    <w:rsid w:val="001F5BC0"/>
    <w:rsid w:val="001F7A5A"/>
    <w:rsid w:val="00201096"/>
    <w:rsid w:val="00204ADB"/>
    <w:rsid w:val="0020561E"/>
    <w:rsid w:val="00213A78"/>
    <w:rsid w:val="00214AEE"/>
    <w:rsid w:val="002163AB"/>
    <w:rsid w:val="0021643B"/>
    <w:rsid w:val="00226ADB"/>
    <w:rsid w:val="00237E71"/>
    <w:rsid w:val="00244252"/>
    <w:rsid w:val="0024511B"/>
    <w:rsid w:val="00251D7E"/>
    <w:rsid w:val="0025697D"/>
    <w:rsid w:val="002601EB"/>
    <w:rsid w:val="0027087E"/>
    <w:rsid w:val="002749D3"/>
    <w:rsid w:val="002757D4"/>
    <w:rsid w:val="00275B25"/>
    <w:rsid w:val="00280870"/>
    <w:rsid w:val="0028585F"/>
    <w:rsid w:val="00286542"/>
    <w:rsid w:val="00293A96"/>
    <w:rsid w:val="00296309"/>
    <w:rsid w:val="002A26FF"/>
    <w:rsid w:val="002A4553"/>
    <w:rsid w:val="002A78EF"/>
    <w:rsid w:val="002B11EE"/>
    <w:rsid w:val="002B304F"/>
    <w:rsid w:val="002C06FB"/>
    <w:rsid w:val="002C6D1C"/>
    <w:rsid w:val="002C7985"/>
    <w:rsid w:val="002D3A0C"/>
    <w:rsid w:val="002D7AC2"/>
    <w:rsid w:val="002E2090"/>
    <w:rsid w:val="002E363F"/>
    <w:rsid w:val="002F1BB9"/>
    <w:rsid w:val="002F280E"/>
    <w:rsid w:val="002F3A13"/>
    <w:rsid w:val="00310968"/>
    <w:rsid w:val="0031379F"/>
    <w:rsid w:val="00313FD6"/>
    <w:rsid w:val="00316427"/>
    <w:rsid w:val="00316B79"/>
    <w:rsid w:val="0031762C"/>
    <w:rsid w:val="00320507"/>
    <w:rsid w:val="00330DC4"/>
    <w:rsid w:val="003310C1"/>
    <w:rsid w:val="00333803"/>
    <w:rsid w:val="00336202"/>
    <w:rsid w:val="003428C5"/>
    <w:rsid w:val="00344D91"/>
    <w:rsid w:val="00346C4D"/>
    <w:rsid w:val="0035114D"/>
    <w:rsid w:val="0035421D"/>
    <w:rsid w:val="003546CC"/>
    <w:rsid w:val="0036693F"/>
    <w:rsid w:val="00370797"/>
    <w:rsid w:val="00373CF7"/>
    <w:rsid w:val="00380FC5"/>
    <w:rsid w:val="0038383A"/>
    <w:rsid w:val="0038599A"/>
    <w:rsid w:val="00386D75"/>
    <w:rsid w:val="003961FC"/>
    <w:rsid w:val="0039680B"/>
    <w:rsid w:val="0039749E"/>
    <w:rsid w:val="0039772F"/>
    <w:rsid w:val="003A109E"/>
    <w:rsid w:val="003B3500"/>
    <w:rsid w:val="003B60AF"/>
    <w:rsid w:val="003B785B"/>
    <w:rsid w:val="003B79E2"/>
    <w:rsid w:val="003C31CC"/>
    <w:rsid w:val="003C3B61"/>
    <w:rsid w:val="003E1F4D"/>
    <w:rsid w:val="003E3A3A"/>
    <w:rsid w:val="003E3A8F"/>
    <w:rsid w:val="003F380F"/>
    <w:rsid w:val="003F3DB4"/>
    <w:rsid w:val="003F66E1"/>
    <w:rsid w:val="004016C9"/>
    <w:rsid w:val="0040260A"/>
    <w:rsid w:val="004027CA"/>
    <w:rsid w:val="00404B5C"/>
    <w:rsid w:val="004117EB"/>
    <w:rsid w:val="00411C13"/>
    <w:rsid w:val="00412379"/>
    <w:rsid w:val="00414D85"/>
    <w:rsid w:val="0041726B"/>
    <w:rsid w:val="00420CFF"/>
    <w:rsid w:val="00434714"/>
    <w:rsid w:val="004347FA"/>
    <w:rsid w:val="0043510B"/>
    <w:rsid w:val="00436F2C"/>
    <w:rsid w:val="00437E47"/>
    <w:rsid w:val="004409A1"/>
    <w:rsid w:val="00442FF4"/>
    <w:rsid w:val="00443AB5"/>
    <w:rsid w:val="00444D2D"/>
    <w:rsid w:val="00450955"/>
    <w:rsid w:val="0045306B"/>
    <w:rsid w:val="004532E5"/>
    <w:rsid w:val="0045579C"/>
    <w:rsid w:val="004610A9"/>
    <w:rsid w:val="00462210"/>
    <w:rsid w:val="00462326"/>
    <w:rsid w:val="004623D5"/>
    <w:rsid w:val="00464822"/>
    <w:rsid w:val="00470B2B"/>
    <w:rsid w:val="00474A23"/>
    <w:rsid w:val="004776E5"/>
    <w:rsid w:val="00477FB1"/>
    <w:rsid w:val="00482421"/>
    <w:rsid w:val="004838B7"/>
    <w:rsid w:val="00484BDA"/>
    <w:rsid w:val="00486F10"/>
    <w:rsid w:val="00492F34"/>
    <w:rsid w:val="00493720"/>
    <w:rsid w:val="004944B5"/>
    <w:rsid w:val="00494A37"/>
    <w:rsid w:val="00497816"/>
    <w:rsid w:val="004A0D71"/>
    <w:rsid w:val="004A260C"/>
    <w:rsid w:val="004A416A"/>
    <w:rsid w:val="004A5801"/>
    <w:rsid w:val="004B05A5"/>
    <w:rsid w:val="004D37C7"/>
    <w:rsid w:val="004D4ED0"/>
    <w:rsid w:val="004D7AB8"/>
    <w:rsid w:val="004E1722"/>
    <w:rsid w:val="004E61B1"/>
    <w:rsid w:val="004F547B"/>
    <w:rsid w:val="004F570D"/>
    <w:rsid w:val="004F6C28"/>
    <w:rsid w:val="005005E6"/>
    <w:rsid w:val="00505C0A"/>
    <w:rsid w:val="005063C8"/>
    <w:rsid w:val="0050797B"/>
    <w:rsid w:val="0051367C"/>
    <w:rsid w:val="00520651"/>
    <w:rsid w:val="00521171"/>
    <w:rsid w:val="00530DA8"/>
    <w:rsid w:val="005321C8"/>
    <w:rsid w:val="00537DA6"/>
    <w:rsid w:val="00540774"/>
    <w:rsid w:val="005421C5"/>
    <w:rsid w:val="0054618D"/>
    <w:rsid w:val="00552B15"/>
    <w:rsid w:val="00553E75"/>
    <w:rsid w:val="005545C1"/>
    <w:rsid w:val="005607FB"/>
    <w:rsid w:val="00564229"/>
    <w:rsid w:val="0057476E"/>
    <w:rsid w:val="00574AA1"/>
    <w:rsid w:val="005953DC"/>
    <w:rsid w:val="005B37AD"/>
    <w:rsid w:val="005B45FD"/>
    <w:rsid w:val="005B63BF"/>
    <w:rsid w:val="005B6AE3"/>
    <w:rsid w:val="005B7B19"/>
    <w:rsid w:val="005C0E4F"/>
    <w:rsid w:val="005C3DBC"/>
    <w:rsid w:val="005C5795"/>
    <w:rsid w:val="005D096D"/>
    <w:rsid w:val="005D5DF8"/>
    <w:rsid w:val="005D6037"/>
    <w:rsid w:val="005D7CA6"/>
    <w:rsid w:val="005E14BF"/>
    <w:rsid w:val="005E1A81"/>
    <w:rsid w:val="005E464B"/>
    <w:rsid w:val="005F392A"/>
    <w:rsid w:val="005F70E9"/>
    <w:rsid w:val="00600D6F"/>
    <w:rsid w:val="0060361F"/>
    <w:rsid w:val="00605B1E"/>
    <w:rsid w:val="006120AB"/>
    <w:rsid w:val="00612466"/>
    <w:rsid w:val="006149F4"/>
    <w:rsid w:val="00614B69"/>
    <w:rsid w:val="0061593C"/>
    <w:rsid w:val="00621DF6"/>
    <w:rsid w:val="00624595"/>
    <w:rsid w:val="00626BEE"/>
    <w:rsid w:val="00631892"/>
    <w:rsid w:val="00631C75"/>
    <w:rsid w:val="00634CCF"/>
    <w:rsid w:val="006374A9"/>
    <w:rsid w:val="006400BD"/>
    <w:rsid w:val="00640AC1"/>
    <w:rsid w:val="00640F97"/>
    <w:rsid w:val="006430A1"/>
    <w:rsid w:val="0064416B"/>
    <w:rsid w:val="00644E7E"/>
    <w:rsid w:val="0064702C"/>
    <w:rsid w:val="006472C4"/>
    <w:rsid w:val="00650F92"/>
    <w:rsid w:val="00653634"/>
    <w:rsid w:val="00654032"/>
    <w:rsid w:val="00654F46"/>
    <w:rsid w:val="00671AEF"/>
    <w:rsid w:val="00677EDD"/>
    <w:rsid w:val="00682CB5"/>
    <w:rsid w:val="006908CA"/>
    <w:rsid w:val="00693429"/>
    <w:rsid w:val="00695F94"/>
    <w:rsid w:val="006966D4"/>
    <w:rsid w:val="006A4EF2"/>
    <w:rsid w:val="006B51DA"/>
    <w:rsid w:val="006B6536"/>
    <w:rsid w:val="006C0846"/>
    <w:rsid w:val="006D07F0"/>
    <w:rsid w:val="006D3E57"/>
    <w:rsid w:val="006D3F1C"/>
    <w:rsid w:val="006D6B31"/>
    <w:rsid w:val="006D6D0F"/>
    <w:rsid w:val="006E0B4A"/>
    <w:rsid w:val="006E0DD2"/>
    <w:rsid w:val="006E286E"/>
    <w:rsid w:val="006E2A81"/>
    <w:rsid w:val="006E3D90"/>
    <w:rsid w:val="006F7C31"/>
    <w:rsid w:val="00700A55"/>
    <w:rsid w:val="007023E1"/>
    <w:rsid w:val="00702607"/>
    <w:rsid w:val="00703DD9"/>
    <w:rsid w:val="00715505"/>
    <w:rsid w:val="00717919"/>
    <w:rsid w:val="007254D1"/>
    <w:rsid w:val="007258B2"/>
    <w:rsid w:val="00732DE7"/>
    <w:rsid w:val="00735FF6"/>
    <w:rsid w:val="007463F0"/>
    <w:rsid w:val="0075453B"/>
    <w:rsid w:val="00755EB7"/>
    <w:rsid w:val="00770FF4"/>
    <w:rsid w:val="00776E07"/>
    <w:rsid w:val="007804C7"/>
    <w:rsid w:val="0078171C"/>
    <w:rsid w:val="00783FB6"/>
    <w:rsid w:val="007A31F9"/>
    <w:rsid w:val="007A58E2"/>
    <w:rsid w:val="007A5B4B"/>
    <w:rsid w:val="007B0A86"/>
    <w:rsid w:val="007B3BB7"/>
    <w:rsid w:val="007B7D41"/>
    <w:rsid w:val="007B7E2F"/>
    <w:rsid w:val="007C0C68"/>
    <w:rsid w:val="007C2BF6"/>
    <w:rsid w:val="007C6C1C"/>
    <w:rsid w:val="007C73A1"/>
    <w:rsid w:val="007D1133"/>
    <w:rsid w:val="007D43EF"/>
    <w:rsid w:val="007D495D"/>
    <w:rsid w:val="007D4D46"/>
    <w:rsid w:val="007E7125"/>
    <w:rsid w:val="007F428D"/>
    <w:rsid w:val="007F5930"/>
    <w:rsid w:val="00801B90"/>
    <w:rsid w:val="00803A45"/>
    <w:rsid w:val="00813244"/>
    <w:rsid w:val="00821D34"/>
    <w:rsid w:val="008226D3"/>
    <w:rsid w:val="00831D8C"/>
    <w:rsid w:val="0083405F"/>
    <w:rsid w:val="00835CC4"/>
    <w:rsid w:val="00842F4E"/>
    <w:rsid w:val="00844886"/>
    <w:rsid w:val="008462AD"/>
    <w:rsid w:val="0085264D"/>
    <w:rsid w:val="00856221"/>
    <w:rsid w:val="0085774C"/>
    <w:rsid w:val="00857F3C"/>
    <w:rsid w:val="00862108"/>
    <w:rsid w:val="008667C2"/>
    <w:rsid w:val="00866C0F"/>
    <w:rsid w:val="0087016E"/>
    <w:rsid w:val="00870B40"/>
    <w:rsid w:val="0087221C"/>
    <w:rsid w:val="0087478E"/>
    <w:rsid w:val="008759AA"/>
    <w:rsid w:val="0088059B"/>
    <w:rsid w:val="008810A5"/>
    <w:rsid w:val="008815AF"/>
    <w:rsid w:val="00883E6F"/>
    <w:rsid w:val="00886106"/>
    <w:rsid w:val="00886E50"/>
    <w:rsid w:val="008877CC"/>
    <w:rsid w:val="008A26DC"/>
    <w:rsid w:val="008A35E8"/>
    <w:rsid w:val="008A7649"/>
    <w:rsid w:val="008A7BE5"/>
    <w:rsid w:val="008A7CFC"/>
    <w:rsid w:val="008B51CD"/>
    <w:rsid w:val="008C0187"/>
    <w:rsid w:val="008C048C"/>
    <w:rsid w:val="008C7466"/>
    <w:rsid w:val="008D3995"/>
    <w:rsid w:val="008D585F"/>
    <w:rsid w:val="008D5E33"/>
    <w:rsid w:val="008D75C9"/>
    <w:rsid w:val="008E2479"/>
    <w:rsid w:val="008E384F"/>
    <w:rsid w:val="008E7BE3"/>
    <w:rsid w:val="008F1002"/>
    <w:rsid w:val="008F5E72"/>
    <w:rsid w:val="008F6F49"/>
    <w:rsid w:val="0090236C"/>
    <w:rsid w:val="009045D3"/>
    <w:rsid w:val="00911B89"/>
    <w:rsid w:val="00912684"/>
    <w:rsid w:val="00913DFB"/>
    <w:rsid w:val="00920F57"/>
    <w:rsid w:val="00921611"/>
    <w:rsid w:val="00925F99"/>
    <w:rsid w:val="00930D61"/>
    <w:rsid w:val="00941B74"/>
    <w:rsid w:val="00946706"/>
    <w:rsid w:val="009473F2"/>
    <w:rsid w:val="00950C04"/>
    <w:rsid w:val="00950E99"/>
    <w:rsid w:val="00951CEA"/>
    <w:rsid w:val="0095378F"/>
    <w:rsid w:val="00955DB1"/>
    <w:rsid w:val="00956162"/>
    <w:rsid w:val="00963D9E"/>
    <w:rsid w:val="00965BC8"/>
    <w:rsid w:val="00983504"/>
    <w:rsid w:val="00984631"/>
    <w:rsid w:val="009878D5"/>
    <w:rsid w:val="0099274A"/>
    <w:rsid w:val="00992F77"/>
    <w:rsid w:val="00993C2E"/>
    <w:rsid w:val="00995648"/>
    <w:rsid w:val="009A159D"/>
    <w:rsid w:val="009A4830"/>
    <w:rsid w:val="009B0481"/>
    <w:rsid w:val="009B505A"/>
    <w:rsid w:val="009B5FD1"/>
    <w:rsid w:val="009B7FCA"/>
    <w:rsid w:val="009C1045"/>
    <w:rsid w:val="009C10DB"/>
    <w:rsid w:val="009C30AC"/>
    <w:rsid w:val="009C5FFC"/>
    <w:rsid w:val="009C753F"/>
    <w:rsid w:val="009D04CE"/>
    <w:rsid w:val="009D1BF5"/>
    <w:rsid w:val="009E2824"/>
    <w:rsid w:val="00A00285"/>
    <w:rsid w:val="00A05CCD"/>
    <w:rsid w:val="00A0681F"/>
    <w:rsid w:val="00A113D0"/>
    <w:rsid w:val="00A12C87"/>
    <w:rsid w:val="00A1651A"/>
    <w:rsid w:val="00A27603"/>
    <w:rsid w:val="00A34011"/>
    <w:rsid w:val="00A42996"/>
    <w:rsid w:val="00A448A1"/>
    <w:rsid w:val="00A46478"/>
    <w:rsid w:val="00A46554"/>
    <w:rsid w:val="00A50A5A"/>
    <w:rsid w:val="00A60CF3"/>
    <w:rsid w:val="00A63A63"/>
    <w:rsid w:val="00A70EF4"/>
    <w:rsid w:val="00A72CC2"/>
    <w:rsid w:val="00A73123"/>
    <w:rsid w:val="00A736F9"/>
    <w:rsid w:val="00A80258"/>
    <w:rsid w:val="00A83CE3"/>
    <w:rsid w:val="00A900B4"/>
    <w:rsid w:val="00A94252"/>
    <w:rsid w:val="00A954D4"/>
    <w:rsid w:val="00A96FAD"/>
    <w:rsid w:val="00A97EE5"/>
    <w:rsid w:val="00AA1480"/>
    <w:rsid w:val="00AA2D9F"/>
    <w:rsid w:val="00AA785D"/>
    <w:rsid w:val="00AB1A41"/>
    <w:rsid w:val="00AB4619"/>
    <w:rsid w:val="00AB7AA1"/>
    <w:rsid w:val="00AC1993"/>
    <w:rsid w:val="00AC1C3A"/>
    <w:rsid w:val="00AD3328"/>
    <w:rsid w:val="00AE66FF"/>
    <w:rsid w:val="00AF3913"/>
    <w:rsid w:val="00AF5D8C"/>
    <w:rsid w:val="00B07711"/>
    <w:rsid w:val="00B35331"/>
    <w:rsid w:val="00B465C4"/>
    <w:rsid w:val="00B515E9"/>
    <w:rsid w:val="00B5616F"/>
    <w:rsid w:val="00B568F3"/>
    <w:rsid w:val="00B57586"/>
    <w:rsid w:val="00B576C5"/>
    <w:rsid w:val="00B602E5"/>
    <w:rsid w:val="00B603DB"/>
    <w:rsid w:val="00B63B61"/>
    <w:rsid w:val="00B75A40"/>
    <w:rsid w:val="00B84950"/>
    <w:rsid w:val="00B84AE8"/>
    <w:rsid w:val="00B946FA"/>
    <w:rsid w:val="00BA5CBA"/>
    <w:rsid w:val="00BA6247"/>
    <w:rsid w:val="00BB59CF"/>
    <w:rsid w:val="00BC0397"/>
    <w:rsid w:val="00BC143F"/>
    <w:rsid w:val="00BC40F8"/>
    <w:rsid w:val="00BC6566"/>
    <w:rsid w:val="00BD464D"/>
    <w:rsid w:val="00BD54FB"/>
    <w:rsid w:val="00BE00B1"/>
    <w:rsid w:val="00BE0891"/>
    <w:rsid w:val="00BE216E"/>
    <w:rsid w:val="00BE436F"/>
    <w:rsid w:val="00BE43B6"/>
    <w:rsid w:val="00BE7FFA"/>
    <w:rsid w:val="00BF1D0C"/>
    <w:rsid w:val="00BF375C"/>
    <w:rsid w:val="00C0525A"/>
    <w:rsid w:val="00C05FCE"/>
    <w:rsid w:val="00C109CC"/>
    <w:rsid w:val="00C12C52"/>
    <w:rsid w:val="00C1325E"/>
    <w:rsid w:val="00C14F43"/>
    <w:rsid w:val="00C15B8E"/>
    <w:rsid w:val="00C16797"/>
    <w:rsid w:val="00C17266"/>
    <w:rsid w:val="00C27165"/>
    <w:rsid w:val="00C2748F"/>
    <w:rsid w:val="00C319D3"/>
    <w:rsid w:val="00C41FBB"/>
    <w:rsid w:val="00C42E9B"/>
    <w:rsid w:val="00C44F91"/>
    <w:rsid w:val="00C529A7"/>
    <w:rsid w:val="00C65085"/>
    <w:rsid w:val="00C67131"/>
    <w:rsid w:val="00C73BB4"/>
    <w:rsid w:val="00C74D64"/>
    <w:rsid w:val="00C77348"/>
    <w:rsid w:val="00C84BF0"/>
    <w:rsid w:val="00C84D08"/>
    <w:rsid w:val="00C85897"/>
    <w:rsid w:val="00C86AC3"/>
    <w:rsid w:val="00C86FCA"/>
    <w:rsid w:val="00C91660"/>
    <w:rsid w:val="00C9409E"/>
    <w:rsid w:val="00C974BB"/>
    <w:rsid w:val="00CA514A"/>
    <w:rsid w:val="00CA5EED"/>
    <w:rsid w:val="00CC0D3E"/>
    <w:rsid w:val="00CC5FCF"/>
    <w:rsid w:val="00CD0C61"/>
    <w:rsid w:val="00CD6392"/>
    <w:rsid w:val="00CD6A22"/>
    <w:rsid w:val="00CE0AE8"/>
    <w:rsid w:val="00CE26CF"/>
    <w:rsid w:val="00CE49AF"/>
    <w:rsid w:val="00CE75EB"/>
    <w:rsid w:val="00CF475C"/>
    <w:rsid w:val="00CF5524"/>
    <w:rsid w:val="00D0372E"/>
    <w:rsid w:val="00D07A57"/>
    <w:rsid w:val="00D10840"/>
    <w:rsid w:val="00D10D12"/>
    <w:rsid w:val="00D17BA0"/>
    <w:rsid w:val="00D2022E"/>
    <w:rsid w:val="00D210AF"/>
    <w:rsid w:val="00D246A1"/>
    <w:rsid w:val="00D2563E"/>
    <w:rsid w:val="00D26069"/>
    <w:rsid w:val="00D30A5B"/>
    <w:rsid w:val="00D357BB"/>
    <w:rsid w:val="00D3640F"/>
    <w:rsid w:val="00D37DB7"/>
    <w:rsid w:val="00D40463"/>
    <w:rsid w:val="00D459B9"/>
    <w:rsid w:val="00D52D67"/>
    <w:rsid w:val="00D53A33"/>
    <w:rsid w:val="00D57F3F"/>
    <w:rsid w:val="00D66B27"/>
    <w:rsid w:val="00D72C32"/>
    <w:rsid w:val="00D740CE"/>
    <w:rsid w:val="00D82F21"/>
    <w:rsid w:val="00D85E94"/>
    <w:rsid w:val="00D9020A"/>
    <w:rsid w:val="00D910AD"/>
    <w:rsid w:val="00D91C3B"/>
    <w:rsid w:val="00D92FEE"/>
    <w:rsid w:val="00D962EC"/>
    <w:rsid w:val="00DA0A24"/>
    <w:rsid w:val="00DA0D52"/>
    <w:rsid w:val="00DA5359"/>
    <w:rsid w:val="00DA7D7A"/>
    <w:rsid w:val="00DC0817"/>
    <w:rsid w:val="00DC48F5"/>
    <w:rsid w:val="00DC4AE0"/>
    <w:rsid w:val="00DC6834"/>
    <w:rsid w:val="00DD0ACB"/>
    <w:rsid w:val="00DD2E21"/>
    <w:rsid w:val="00DD301B"/>
    <w:rsid w:val="00DD3C38"/>
    <w:rsid w:val="00DE0A24"/>
    <w:rsid w:val="00DE1BBA"/>
    <w:rsid w:val="00DE35DE"/>
    <w:rsid w:val="00DE730E"/>
    <w:rsid w:val="00DF0D8B"/>
    <w:rsid w:val="00DF134D"/>
    <w:rsid w:val="00DF272A"/>
    <w:rsid w:val="00DF492C"/>
    <w:rsid w:val="00E01598"/>
    <w:rsid w:val="00E064D3"/>
    <w:rsid w:val="00E1209B"/>
    <w:rsid w:val="00E13163"/>
    <w:rsid w:val="00E1710E"/>
    <w:rsid w:val="00E17D5F"/>
    <w:rsid w:val="00E25B65"/>
    <w:rsid w:val="00E30438"/>
    <w:rsid w:val="00E328BA"/>
    <w:rsid w:val="00E33E79"/>
    <w:rsid w:val="00E3400A"/>
    <w:rsid w:val="00E40C36"/>
    <w:rsid w:val="00E416D9"/>
    <w:rsid w:val="00E451D8"/>
    <w:rsid w:val="00E46642"/>
    <w:rsid w:val="00E5175A"/>
    <w:rsid w:val="00E546DB"/>
    <w:rsid w:val="00E60602"/>
    <w:rsid w:val="00E65301"/>
    <w:rsid w:val="00E675DD"/>
    <w:rsid w:val="00E67C09"/>
    <w:rsid w:val="00E70320"/>
    <w:rsid w:val="00E737B7"/>
    <w:rsid w:val="00E77A0E"/>
    <w:rsid w:val="00E805F9"/>
    <w:rsid w:val="00E905D5"/>
    <w:rsid w:val="00E918C7"/>
    <w:rsid w:val="00E928F9"/>
    <w:rsid w:val="00E93220"/>
    <w:rsid w:val="00E9481C"/>
    <w:rsid w:val="00E96800"/>
    <w:rsid w:val="00EA0DCB"/>
    <w:rsid w:val="00EA1212"/>
    <w:rsid w:val="00EA488E"/>
    <w:rsid w:val="00EA4CFF"/>
    <w:rsid w:val="00EA5C93"/>
    <w:rsid w:val="00EB0369"/>
    <w:rsid w:val="00EB6EA8"/>
    <w:rsid w:val="00EC2DBF"/>
    <w:rsid w:val="00EC3118"/>
    <w:rsid w:val="00EC4DD9"/>
    <w:rsid w:val="00ED0797"/>
    <w:rsid w:val="00ED12DA"/>
    <w:rsid w:val="00ED2B58"/>
    <w:rsid w:val="00ED42B0"/>
    <w:rsid w:val="00ED48A7"/>
    <w:rsid w:val="00ED6F44"/>
    <w:rsid w:val="00EE4A02"/>
    <w:rsid w:val="00EE511D"/>
    <w:rsid w:val="00EF10FF"/>
    <w:rsid w:val="00EF136B"/>
    <w:rsid w:val="00F03F53"/>
    <w:rsid w:val="00F120B4"/>
    <w:rsid w:val="00F20486"/>
    <w:rsid w:val="00F2442A"/>
    <w:rsid w:val="00F2734B"/>
    <w:rsid w:val="00F33836"/>
    <w:rsid w:val="00F41CF0"/>
    <w:rsid w:val="00F45ABC"/>
    <w:rsid w:val="00F46324"/>
    <w:rsid w:val="00F54856"/>
    <w:rsid w:val="00F56003"/>
    <w:rsid w:val="00F5663A"/>
    <w:rsid w:val="00F56B59"/>
    <w:rsid w:val="00F6532D"/>
    <w:rsid w:val="00F65588"/>
    <w:rsid w:val="00F65B0C"/>
    <w:rsid w:val="00F700AC"/>
    <w:rsid w:val="00F735A2"/>
    <w:rsid w:val="00F81397"/>
    <w:rsid w:val="00F84675"/>
    <w:rsid w:val="00F846EF"/>
    <w:rsid w:val="00F84AFF"/>
    <w:rsid w:val="00F945FD"/>
    <w:rsid w:val="00F94A85"/>
    <w:rsid w:val="00F959F0"/>
    <w:rsid w:val="00F9771D"/>
    <w:rsid w:val="00FA1BF0"/>
    <w:rsid w:val="00FA2940"/>
    <w:rsid w:val="00FA721B"/>
    <w:rsid w:val="00FA78E7"/>
    <w:rsid w:val="00FB531C"/>
    <w:rsid w:val="00FB613B"/>
    <w:rsid w:val="00FB7490"/>
    <w:rsid w:val="00FC1FD6"/>
    <w:rsid w:val="00FC229A"/>
    <w:rsid w:val="00FC5A6A"/>
    <w:rsid w:val="00FC6C3D"/>
    <w:rsid w:val="00FC6CC6"/>
    <w:rsid w:val="00FC74FB"/>
    <w:rsid w:val="00FD2748"/>
    <w:rsid w:val="00FD2E1D"/>
    <w:rsid w:val="00FD330D"/>
    <w:rsid w:val="00FD381D"/>
    <w:rsid w:val="00FE14E7"/>
    <w:rsid w:val="00FE3B62"/>
    <w:rsid w:val="00FE4D20"/>
    <w:rsid w:val="00FE50C5"/>
    <w:rsid w:val="00FE6F07"/>
    <w:rsid w:val="00FE73A1"/>
    <w:rsid w:val="013F4F52"/>
    <w:rsid w:val="10F91726"/>
    <w:rsid w:val="16597536"/>
    <w:rsid w:val="2B8F395A"/>
    <w:rsid w:val="2E1F2E0A"/>
    <w:rsid w:val="33587690"/>
    <w:rsid w:val="3E6162BE"/>
    <w:rsid w:val="4C5967B2"/>
    <w:rsid w:val="4F025B71"/>
    <w:rsid w:val="5F5E01E1"/>
    <w:rsid w:val="611E1FFD"/>
    <w:rsid w:val="66430929"/>
    <w:rsid w:val="667031E0"/>
    <w:rsid w:val="668512A3"/>
    <w:rsid w:val="709B7E84"/>
    <w:rsid w:val="70B06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name="toc 2"/>
    <w:lsdException w:qFormat="1" w:unhideWhenUsed="0"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spacing w:beforeLines="50" w:afterLines="50"/>
      <w:outlineLvl w:val="0"/>
    </w:pPr>
    <w:rPr>
      <w:rFonts w:eastAsia="黑体"/>
      <w:bCs/>
      <w:kern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7"/>
    <w:qFormat/>
    <w:uiPriority w:val="0"/>
    <w:rPr>
      <w:rFonts w:ascii="宋体"/>
      <w:sz w:val="18"/>
      <w:szCs w:val="18"/>
    </w:rPr>
  </w:style>
  <w:style w:type="paragraph" w:styleId="4">
    <w:name w:val="annotation text"/>
    <w:basedOn w:val="1"/>
    <w:link w:val="28"/>
    <w:qFormat/>
    <w:uiPriority w:val="0"/>
    <w:pPr>
      <w:jc w:val="left"/>
    </w:pPr>
  </w:style>
  <w:style w:type="paragraph" w:styleId="5">
    <w:name w:val="Body Text Indent"/>
    <w:basedOn w:val="1"/>
    <w:qFormat/>
    <w:uiPriority w:val="0"/>
    <w:pPr>
      <w:ind w:firstLine="420" w:firstLineChars="200"/>
    </w:pPr>
    <w:rPr>
      <w:rFonts w:ascii="宋体" w:hAnsi="宋体"/>
      <w:szCs w:val="21"/>
    </w:rPr>
  </w:style>
  <w:style w:type="paragraph" w:styleId="6">
    <w:name w:val="toc 3"/>
    <w:basedOn w:val="1"/>
    <w:next w:val="1"/>
    <w:semiHidden/>
    <w:qFormat/>
    <w:uiPriority w:val="39"/>
    <w:pPr>
      <w:tabs>
        <w:tab w:val="right" w:leader="dot" w:pos="9241"/>
      </w:tabs>
      <w:ind w:firstLine="102" w:firstLineChars="100"/>
      <w:jc w:val="left"/>
    </w:pPr>
    <w:rPr>
      <w:rFonts w:ascii="宋体"/>
      <w:szCs w:val="21"/>
    </w:rPr>
  </w:style>
  <w:style w:type="paragraph" w:styleId="7">
    <w:name w:val="Date"/>
    <w:basedOn w:val="1"/>
    <w:next w:val="1"/>
    <w:link w:val="23"/>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link w:val="24"/>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9241"/>
      </w:tabs>
      <w:spacing w:beforeLines="25" w:afterLines="25"/>
      <w:jc w:val="left"/>
    </w:pPr>
    <w:rPr>
      <w:rFonts w:ascii="宋体"/>
      <w:szCs w:val="21"/>
    </w:rPr>
  </w:style>
  <w:style w:type="paragraph" w:styleId="12">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3">
    <w:name w:val="Normal (Web)"/>
    <w:basedOn w:val="1"/>
    <w:qFormat/>
    <w:uiPriority w:val="0"/>
    <w:pPr>
      <w:widowControl/>
      <w:spacing w:before="100" w:beforeAutospacing="1" w:after="100" w:afterAutospacing="1" w:line="336" w:lineRule="auto"/>
      <w:jc w:val="left"/>
    </w:pPr>
    <w:rPr>
      <w:rFonts w:ascii="ˎ̥" w:hAnsi="ˎ̥" w:cs="宋体"/>
      <w:kern w:val="0"/>
      <w:sz w:val="20"/>
      <w:szCs w:val="20"/>
    </w:rPr>
  </w:style>
  <w:style w:type="paragraph" w:styleId="14">
    <w:name w:val="Title"/>
    <w:basedOn w:val="1"/>
    <w:next w:val="1"/>
    <w:link w:val="58"/>
    <w:qFormat/>
    <w:uiPriority w:val="0"/>
    <w:pPr>
      <w:spacing w:beforeLines="50" w:afterLines="50"/>
      <w:jc w:val="left"/>
      <w:outlineLvl w:val="0"/>
    </w:pPr>
    <w:rPr>
      <w:rFonts w:eastAsia="黑体" w:asciiTheme="majorHAnsi" w:hAnsiTheme="majorHAnsi" w:cstheme="majorBidi"/>
      <w:bCs/>
      <w:szCs w:val="32"/>
    </w:rPr>
  </w:style>
  <w:style w:type="paragraph" w:styleId="15">
    <w:name w:val="annotation subject"/>
    <w:basedOn w:val="4"/>
    <w:next w:val="4"/>
    <w:link w:val="22"/>
    <w:qFormat/>
    <w:uiPriority w:val="0"/>
    <w:rPr>
      <w:b/>
      <w:bCs/>
    </w:rPr>
  </w:style>
  <w:style w:type="table" w:styleId="17">
    <w:name w:val="Table Grid"/>
    <w:basedOn w:val="1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qFormat/>
    <w:uiPriority w:val="0"/>
    <w:rPr>
      <w:rFonts w:ascii="Times New Roman" w:hAnsi="Times New Roman" w:eastAsia="宋体"/>
      <w:sz w:val="18"/>
    </w:rPr>
  </w:style>
  <w:style w:type="character" w:styleId="20">
    <w:name w:val="Hyperlink"/>
    <w:basedOn w:val="18"/>
    <w:qFormat/>
    <w:uiPriority w:val="99"/>
    <w:rPr>
      <w:color w:val="0000FF"/>
      <w:spacing w:val="0"/>
      <w:w w:val="100"/>
      <w:szCs w:val="21"/>
      <w:u w:val="single"/>
      <w:lang w:val="en-US" w:eastAsia="zh-CN"/>
    </w:rPr>
  </w:style>
  <w:style w:type="character" w:styleId="21">
    <w:name w:val="annotation reference"/>
    <w:qFormat/>
    <w:uiPriority w:val="0"/>
    <w:rPr>
      <w:sz w:val="21"/>
      <w:szCs w:val="21"/>
    </w:rPr>
  </w:style>
  <w:style w:type="character" w:customStyle="1" w:styleId="22">
    <w:name w:val="批注主题 Char"/>
    <w:link w:val="15"/>
    <w:qFormat/>
    <w:uiPriority w:val="0"/>
    <w:rPr>
      <w:b/>
      <w:bCs/>
      <w:kern w:val="2"/>
      <w:sz w:val="21"/>
      <w:szCs w:val="24"/>
    </w:rPr>
  </w:style>
  <w:style w:type="character" w:customStyle="1" w:styleId="23">
    <w:name w:val="日期 Char"/>
    <w:link w:val="7"/>
    <w:uiPriority w:val="0"/>
    <w:rPr>
      <w:kern w:val="2"/>
      <w:sz w:val="21"/>
      <w:szCs w:val="24"/>
    </w:rPr>
  </w:style>
  <w:style w:type="character" w:customStyle="1" w:styleId="24">
    <w:name w:val="页眉 Char"/>
    <w:link w:val="10"/>
    <w:uiPriority w:val="0"/>
    <w:rPr>
      <w:kern w:val="2"/>
      <w:sz w:val="18"/>
      <w:szCs w:val="18"/>
    </w:rPr>
  </w:style>
  <w:style w:type="character" w:customStyle="1" w:styleId="25">
    <w:name w:val="段 Char"/>
    <w:link w:val="26"/>
    <w:qFormat/>
    <w:uiPriority w:val="0"/>
    <w:rPr>
      <w:rFonts w:ascii="宋体"/>
      <w:sz w:val="21"/>
      <w:lang w:val="en-US" w:eastAsia="zh-CN" w:bidi="ar-SA"/>
    </w:rPr>
  </w:style>
  <w:style w:type="paragraph" w:customStyle="1" w:styleId="26">
    <w:name w:val="段"/>
    <w:link w:val="2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文档结构图 Char"/>
    <w:link w:val="3"/>
    <w:qFormat/>
    <w:uiPriority w:val="0"/>
    <w:rPr>
      <w:rFonts w:ascii="宋体"/>
      <w:kern w:val="2"/>
      <w:sz w:val="18"/>
      <w:szCs w:val="18"/>
    </w:rPr>
  </w:style>
  <w:style w:type="character" w:customStyle="1" w:styleId="28">
    <w:name w:val="批注文字 Char"/>
    <w:link w:val="4"/>
    <w:uiPriority w:val="0"/>
    <w:rPr>
      <w:kern w:val="2"/>
      <w:sz w:val="21"/>
      <w:szCs w:val="24"/>
    </w:rPr>
  </w:style>
  <w:style w:type="character" w:customStyle="1" w:styleId="29">
    <w:name w:val="发布"/>
    <w:qFormat/>
    <w:uiPriority w:val="0"/>
    <w:rPr>
      <w:rFonts w:ascii="黑体" w:eastAsia="黑体"/>
      <w:spacing w:val="22"/>
      <w:w w:val="100"/>
      <w:position w:val="3"/>
      <w:sz w:val="28"/>
    </w:rPr>
  </w:style>
  <w:style w:type="paragraph" w:customStyle="1" w:styleId="30">
    <w:name w:val="四级条标题"/>
    <w:basedOn w:val="31"/>
    <w:next w:val="26"/>
    <w:uiPriority w:val="0"/>
    <w:pPr>
      <w:numPr>
        <w:ilvl w:val="5"/>
      </w:numPr>
      <w:outlineLvl w:val="5"/>
    </w:pPr>
  </w:style>
  <w:style w:type="paragraph" w:customStyle="1" w:styleId="31">
    <w:name w:val="三级条标题"/>
    <w:basedOn w:val="32"/>
    <w:next w:val="26"/>
    <w:qFormat/>
    <w:uiPriority w:val="0"/>
    <w:pPr>
      <w:numPr>
        <w:ilvl w:val="4"/>
      </w:numPr>
      <w:outlineLvl w:val="4"/>
    </w:pPr>
  </w:style>
  <w:style w:type="paragraph" w:customStyle="1" w:styleId="32">
    <w:name w:val="二级条标题"/>
    <w:basedOn w:val="33"/>
    <w:next w:val="26"/>
    <w:uiPriority w:val="0"/>
    <w:pPr>
      <w:numPr>
        <w:ilvl w:val="3"/>
      </w:numPr>
      <w:spacing w:beforeLines="50" w:afterLines="50"/>
      <w:outlineLvl w:val="3"/>
    </w:pPr>
  </w:style>
  <w:style w:type="paragraph" w:customStyle="1" w:styleId="33">
    <w:name w:val="一级条标题"/>
    <w:basedOn w:val="34"/>
    <w:next w:val="26"/>
    <w:qFormat/>
    <w:uiPriority w:val="0"/>
    <w:pPr>
      <w:numPr>
        <w:ilvl w:val="2"/>
      </w:numPr>
      <w:spacing w:beforeLines="0" w:afterLines="0"/>
      <w:outlineLvl w:val="2"/>
    </w:pPr>
  </w:style>
  <w:style w:type="paragraph" w:customStyle="1" w:styleId="34">
    <w:name w:val="章标题"/>
    <w:next w:val="26"/>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38">
    <w:name w:val="目次、标准名称标题"/>
    <w:basedOn w:val="39"/>
    <w:next w:val="26"/>
    <w:qFormat/>
    <w:uiPriority w:val="0"/>
    <w:pPr>
      <w:numPr>
        <w:numId w:val="0"/>
      </w:numPr>
      <w:spacing w:line="460" w:lineRule="exact"/>
    </w:pPr>
  </w:style>
  <w:style w:type="paragraph" w:customStyle="1" w:styleId="39">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41">
    <w:name w:val="五级条标题"/>
    <w:basedOn w:val="30"/>
    <w:next w:val="26"/>
    <w:qFormat/>
    <w:uiPriority w:val="0"/>
    <w:pPr>
      <w:numPr>
        <w:ilvl w:val="6"/>
      </w:numPr>
      <w:outlineLvl w:val="6"/>
    </w:pPr>
  </w:style>
  <w:style w:type="paragraph" w:customStyle="1" w:styleId="42">
    <w:name w:val="实施日期"/>
    <w:basedOn w:val="43"/>
    <w:qFormat/>
    <w:uiPriority w:val="0"/>
    <w:pPr>
      <w:framePr w:hSpace="0" w:wrap="around" w:xAlign="right"/>
      <w:jc w:val="right"/>
    </w:pPr>
  </w:style>
  <w:style w:type="paragraph" w:customStyle="1" w:styleId="4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7">
    <w:name w:val="默认段落字体 Para Char Char Char Char Char Char Char"/>
    <w:basedOn w:val="1"/>
    <w:next w:val="1"/>
    <w:qFormat/>
    <w:uiPriority w:val="0"/>
    <w:pPr>
      <w:shd w:val="clear" w:color="auto" w:fill="000080"/>
      <w:adjustRightInd w:val="0"/>
      <w:spacing w:line="436" w:lineRule="exact"/>
      <w:ind w:left="357"/>
      <w:jc w:val="left"/>
      <w:outlineLvl w:val="3"/>
    </w:pPr>
    <w:rPr>
      <w:rFonts w:ascii="Tahoma" w:hAnsi="Tahoma"/>
      <w:b/>
      <w:sz w:val="24"/>
    </w:rPr>
  </w:style>
  <w:style w:type="paragraph" w:customStyle="1" w:styleId="4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9">
    <w:name w:val="标准书眉一"/>
    <w:qFormat/>
    <w:uiPriority w:val="0"/>
    <w:pPr>
      <w:jc w:val="both"/>
    </w:pPr>
    <w:rPr>
      <w:rFonts w:ascii="Times New Roman" w:hAnsi="Times New Roman" w:eastAsia="宋体" w:cs="Times New Roman"/>
      <w:lang w:val="en-US" w:eastAsia="zh-CN" w:bidi="ar-SA"/>
    </w:rPr>
  </w:style>
  <w:style w:type="paragraph" w:customStyle="1" w:styleId="50">
    <w:name w:val="标准书眉_奇数页"/>
    <w:next w:val="1"/>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2">
    <w:name w:val="标准书眉_偶数页"/>
    <w:basedOn w:val="50"/>
    <w:next w:val="1"/>
    <w:qFormat/>
    <w:uiPriority w:val="0"/>
    <w:pPr>
      <w:jc w:val="left"/>
    </w:pPr>
  </w:style>
  <w:style w:type="paragraph" w:customStyle="1" w:styleId="5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4">
    <w:name w:val="示例"/>
    <w:next w:val="1"/>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55">
    <w:name w:val="封面正文"/>
    <w:qFormat/>
    <w:uiPriority w:val="0"/>
    <w:pPr>
      <w:jc w:val="both"/>
    </w:pPr>
    <w:rPr>
      <w:rFonts w:ascii="Times New Roman" w:hAnsi="Times New Roman" w:eastAsia="宋体" w:cs="Times New Roman"/>
      <w:lang w:val="en-US" w:eastAsia="zh-CN" w:bidi="ar-SA"/>
    </w:rPr>
  </w:style>
  <w:style w:type="character" w:customStyle="1" w:styleId="56">
    <w:name w:val="标题 1 Char"/>
    <w:basedOn w:val="18"/>
    <w:link w:val="2"/>
    <w:qFormat/>
    <w:uiPriority w:val="0"/>
    <w:rPr>
      <w:rFonts w:eastAsia="黑体"/>
      <w:bCs/>
      <w:kern w:val="44"/>
      <w:sz w:val="21"/>
      <w:szCs w:val="44"/>
    </w:rPr>
  </w:style>
  <w:style w:type="paragraph" w:customStyle="1" w:styleId="57">
    <w:name w:val="TOC Heading"/>
    <w:basedOn w:val="2"/>
    <w:next w:val="1"/>
    <w:semiHidden/>
    <w:unhideWhenUsed/>
    <w:qFormat/>
    <w:uiPriority w:val="39"/>
    <w:pPr>
      <w:widowControl/>
      <w:spacing w:beforeLines="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8">
    <w:name w:val="标题 Char"/>
    <w:basedOn w:val="18"/>
    <w:link w:val="14"/>
    <w:qFormat/>
    <w:uiPriority w:val="0"/>
    <w:rPr>
      <w:rFonts w:eastAsia="黑体" w:asciiTheme="majorHAnsi" w:hAnsiTheme="majorHAnsi" w:cstheme="majorBidi"/>
      <w:bCs/>
      <w:kern w:val="2"/>
      <w:sz w:val="21"/>
      <w:szCs w:val="32"/>
    </w:rPr>
  </w:style>
  <w:style w:type="paragraph" w:customStyle="1" w:styleId="59">
    <w:name w:val="一级无"/>
    <w:basedOn w:val="33"/>
    <w:qFormat/>
    <w:uiPriority w:val="0"/>
    <w:pPr>
      <w:spacing w:before="0" w:beforeLines="0" w:after="0" w:afterLines="0"/>
    </w:pPr>
    <w:rPr>
      <w:rFonts w:eastAsia="宋体"/>
    </w:rPr>
  </w:style>
  <w:style w:type="paragraph" w:customStyle="1" w:styleId="60">
    <w:name w:val="二级无"/>
    <w:basedOn w:val="32"/>
    <w:uiPriority w:val="0"/>
    <w:pPr>
      <w:spacing w:before="0" w:beforeLines="0" w:after="0" w:afterLines="0"/>
    </w:pPr>
    <w:rPr>
      <w:rFonts w:ascii="宋体" w:eastAsia="宋体"/>
    </w:rPr>
  </w:style>
  <w:style w:type="paragraph" w:customStyle="1" w:styleId="61">
    <w:name w:val="字母编号列项（一级）"/>
    <w:uiPriority w:val="0"/>
    <w:pPr>
      <w:numPr>
        <w:ilvl w:val="0"/>
        <w:numId w:val="3"/>
      </w:numPr>
      <w:jc w:val="both"/>
    </w:pPr>
    <w:rPr>
      <w:rFonts w:ascii="宋体" w:hAnsi="Times New Roman" w:eastAsia="宋体" w:cs="Times New Roman"/>
      <w:sz w:val="21"/>
      <w:lang w:val="en-US" w:eastAsia="zh-CN" w:bidi="ar-SA"/>
    </w:rPr>
  </w:style>
  <w:style w:type="paragraph" w:customStyle="1" w:styleId="62">
    <w:name w:val="列项——（一级）"/>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63">
    <w:name w:val="三级无"/>
    <w:basedOn w:val="31"/>
    <w:uiPriority w:val="0"/>
    <w:pPr>
      <w:spacing w:before="0" w:beforeLines="0" w:after="0" w:afterLines="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FB485-2DF9-43F8-9885-947E7E06E793}">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14</Pages>
  <Words>9601</Words>
  <Characters>10513</Characters>
  <Lines>1</Lines>
  <Paragraphs>1</Paragraphs>
  <TotalTime>9</TotalTime>
  <ScaleCrop>false</ScaleCrop>
  <LinksUpToDate>false</LinksUpToDate>
  <CharactersWithSpaces>14802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2021-09-01T06:40:00Z</dcterms:created>
  <dc:creator>雨林木风</dc:creator>
  <cp:lastModifiedBy>方方</cp:lastModifiedBy>
  <cp:lastPrinted>2010-04-12T03:22:00Z</cp:lastPrinted>
  <dcterms:modified xsi:type="dcterms:W3CDTF">2022-09-29T18:37:57Z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93D35591694841C4959E54E7FDD6959E</vt:lpwstr>
  </property>
</Properties>
</file>