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8C7889">
      <w:pPr>
        <w:spacing w:line="600" w:lineRule="exact"/>
        <w:ind w:left="720" w:hanging="723" w:hangingChars="200"/>
        <w:jc w:val="center"/>
        <w:rPr>
          <w:rFonts w:ascii="方正小标宋简体" w:eastAsia="方正小标宋简体" w:hAnsiTheme="majorEastAsia" w:cstheme="majorEastAsia"/>
          <w:b/>
          <w:bCs/>
          <w:sz w:val="36"/>
          <w:szCs w:val="36"/>
        </w:rPr>
      </w:pPr>
    </w:p>
    <w:p w14:paraId="068E8818">
      <w:pPr>
        <w:spacing w:line="600" w:lineRule="exact"/>
        <w:ind w:left="720" w:hanging="723" w:hangingChars="200"/>
        <w:jc w:val="center"/>
        <w:rPr>
          <w:rFonts w:ascii="方正小标宋简体" w:eastAsia="方正小标宋简体" w:hAnsiTheme="majorEastAsia" w:cstheme="majorEastAsia"/>
          <w:b/>
          <w:bCs/>
          <w:sz w:val="36"/>
          <w:szCs w:val="36"/>
        </w:rPr>
      </w:pPr>
    </w:p>
    <w:p w14:paraId="234AE6D1">
      <w:pPr>
        <w:spacing w:line="600" w:lineRule="exact"/>
        <w:ind w:left="720" w:hanging="723" w:hangingChars="200"/>
        <w:jc w:val="center"/>
        <w:rPr>
          <w:rFonts w:ascii="方正小标宋简体" w:eastAsia="方正小标宋简体" w:hAnsiTheme="majorEastAsia" w:cstheme="majorEastAsia"/>
          <w:b/>
          <w:bCs/>
          <w:sz w:val="36"/>
          <w:szCs w:val="36"/>
        </w:rPr>
      </w:pPr>
    </w:p>
    <w:p w14:paraId="48122254">
      <w:pPr>
        <w:spacing w:line="600" w:lineRule="auto"/>
        <w:ind w:left="720" w:hanging="720" w:hangingChars="200"/>
        <w:jc w:val="center"/>
        <w:rPr>
          <w:rFonts w:ascii="方正小标宋简体" w:eastAsia="方正小标宋简体" w:hAnsiTheme="majorEastAsia" w:cstheme="majorEastAsia"/>
          <w:b/>
          <w:bCs/>
          <w:sz w:val="36"/>
          <w:szCs w:val="36"/>
        </w:rPr>
      </w:pPr>
      <w:r>
        <w:rPr>
          <w:rFonts w:hint="eastAsia" w:ascii="黑体" w:hAnsi="黑体" w:eastAsia="黑体" w:cs="黑体"/>
          <w:sz w:val="36"/>
          <w:szCs w:val="36"/>
        </w:rPr>
        <w:t xml:space="preserve">《蒸汽锅炉应急处置导则》编制说明 </w:t>
      </w:r>
    </w:p>
    <w:p w14:paraId="5A269776">
      <w:pPr>
        <w:spacing w:line="600" w:lineRule="auto"/>
        <w:ind w:left="720" w:hanging="723" w:hangingChars="200"/>
        <w:jc w:val="center"/>
        <w:rPr>
          <w:rFonts w:ascii="方正小标宋简体" w:eastAsia="方正小标宋简体" w:hAnsiTheme="majorEastAsia" w:cstheme="majorEastAsia"/>
          <w:b/>
          <w:bCs/>
          <w:sz w:val="36"/>
          <w:szCs w:val="36"/>
        </w:rPr>
      </w:pPr>
    </w:p>
    <w:p w14:paraId="7EF5D89B">
      <w:pPr>
        <w:spacing w:line="600" w:lineRule="auto"/>
        <w:ind w:left="720" w:hanging="723" w:hangingChars="200"/>
        <w:jc w:val="center"/>
        <w:rPr>
          <w:rFonts w:ascii="方正小标宋简体" w:eastAsia="方正小标宋简体" w:hAnsiTheme="majorEastAsia" w:cstheme="majorEastAsia"/>
          <w:b/>
          <w:bCs/>
          <w:sz w:val="36"/>
          <w:szCs w:val="36"/>
        </w:rPr>
      </w:pPr>
    </w:p>
    <w:p w14:paraId="1FF90878">
      <w:pPr>
        <w:spacing w:line="600" w:lineRule="auto"/>
        <w:ind w:left="720" w:hanging="723" w:hangingChars="200"/>
        <w:jc w:val="center"/>
        <w:rPr>
          <w:rFonts w:ascii="方正小标宋简体" w:eastAsia="方正小标宋简体" w:hAnsiTheme="majorEastAsia" w:cstheme="majorEastAsia"/>
          <w:b/>
          <w:bCs/>
          <w:sz w:val="36"/>
          <w:szCs w:val="36"/>
        </w:rPr>
      </w:pPr>
    </w:p>
    <w:p w14:paraId="73EFF8D4">
      <w:pPr>
        <w:spacing w:line="600" w:lineRule="auto"/>
        <w:ind w:left="720" w:hanging="723" w:hangingChars="200"/>
        <w:jc w:val="center"/>
        <w:rPr>
          <w:rFonts w:ascii="方正小标宋简体" w:eastAsia="方正小标宋简体" w:hAnsiTheme="majorEastAsia" w:cstheme="majorEastAsia"/>
          <w:b/>
          <w:bCs/>
          <w:sz w:val="36"/>
          <w:szCs w:val="36"/>
        </w:rPr>
      </w:pPr>
    </w:p>
    <w:p w14:paraId="45FA9014">
      <w:pPr>
        <w:spacing w:line="600" w:lineRule="auto"/>
        <w:ind w:left="720" w:hanging="723" w:hangingChars="200"/>
        <w:jc w:val="center"/>
        <w:rPr>
          <w:rFonts w:ascii="方正小标宋简体" w:eastAsia="方正小标宋简体" w:hAnsiTheme="majorEastAsia" w:cstheme="majorEastAsia"/>
          <w:b/>
          <w:bCs/>
          <w:sz w:val="36"/>
          <w:szCs w:val="36"/>
        </w:rPr>
      </w:pPr>
    </w:p>
    <w:p w14:paraId="3A525241">
      <w:pPr>
        <w:spacing w:line="600" w:lineRule="auto"/>
        <w:ind w:left="720" w:hanging="723" w:hangingChars="200"/>
        <w:jc w:val="center"/>
        <w:rPr>
          <w:rFonts w:ascii="方正小标宋简体" w:eastAsia="方正小标宋简体" w:hAnsiTheme="majorEastAsia" w:cstheme="majorEastAsia"/>
          <w:b/>
          <w:bCs/>
          <w:sz w:val="36"/>
          <w:szCs w:val="36"/>
        </w:rPr>
      </w:pPr>
    </w:p>
    <w:p w14:paraId="524201BA">
      <w:pPr>
        <w:spacing w:line="600" w:lineRule="auto"/>
        <w:ind w:left="720" w:hanging="723" w:hangingChars="200"/>
        <w:jc w:val="center"/>
        <w:rPr>
          <w:rFonts w:ascii="方正小标宋简体" w:eastAsia="方正小标宋简体" w:hAnsiTheme="majorEastAsia" w:cstheme="majorEastAsia"/>
          <w:b/>
          <w:bCs/>
          <w:sz w:val="36"/>
          <w:szCs w:val="36"/>
        </w:rPr>
      </w:pPr>
    </w:p>
    <w:p w14:paraId="581851C7">
      <w:pPr>
        <w:spacing w:line="600" w:lineRule="auto"/>
        <w:ind w:left="720" w:hanging="723" w:hangingChars="200"/>
        <w:jc w:val="center"/>
        <w:rPr>
          <w:rFonts w:ascii="方正小标宋简体" w:eastAsia="方正小标宋简体" w:hAnsiTheme="majorEastAsia" w:cstheme="majorEastAsia"/>
          <w:b/>
          <w:bCs/>
          <w:sz w:val="36"/>
          <w:szCs w:val="36"/>
        </w:rPr>
      </w:pPr>
    </w:p>
    <w:p w14:paraId="1E6AFF07">
      <w:pPr>
        <w:spacing w:line="600" w:lineRule="auto"/>
        <w:ind w:left="720" w:hanging="723" w:hangingChars="200"/>
        <w:jc w:val="center"/>
        <w:rPr>
          <w:rFonts w:ascii="方正小标宋简体" w:eastAsia="方正小标宋简体" w:hAnsiTheme="majorEastAsia" w:cstheme="majorEastAsia"/>
          <w:b/>
          <w:bCs/>
          <w:sz w:val="36"/>
          <w:szCs w:val="36"/>
        </w:rPr>
      </w:pPr>
    </w:p>
    <w:p w14:paraId="635380E2">
      <w:pPr>
        <w:spacing w:line="600" w:lineRule="auto"/>
        <w:ind w:left="720" w:hanging="723" w:hangingChars="200"/>
        <w:jc w:val="center"/>
        <w:rPr>
          <w:rFonts w:ascii="方正小标宋简体" w:eastAsia="方正小标宋简体" w:hAnsiTheme="majorEastAsia" w:cstheme="majorEastAsia"/>
          <w:b/>
          <w:bCs/>
          <w:sz w:val="36"/>
          <w:szCs w:val="36"/>
        </w:rPr>
      </w:pPr>
    </w:p>
    <w:p w14:paraId="28D2FAB4">
      <w:pPr>
        <w:spacing w:line="600" w:lineRule="auto"/>
        <w:ind w:left="600" w:hanging="600" w:hangingChars="200"/>
        <w:jc w:val="center"/>
        <w:rPr>
          <w:rFonts w:ascii="黑体" w:hAnsi="黑体" w:eastAsia="黑体" w:cstheme="majorEastAsia"/>
          <w:sz w:val="30"/>
          <w:szCs w:val="30"/>
        </w:rPr>
      </w:pPr>
      <w:r>
        <w:rPr>
          <w:rFonts w:hint="eastAsia" w:ascii="黑体" w:hAnsi="黑体" w:eastAsia="黑体" w:cstheme="majorEastAsia"/>
          <w:sz w:val="30"/>
          <w:szCs w:val="30"/>
        </w:rPr>
        <w:t>标准起草工作组</w:t>
      </w:r>
    </w:p>
    <w:p w14:paraId="78047938">
      <w:pPr>
        <w:spacing w:line="600" w:lineRule="auto"/>
        <w:ind w:left="600" w:hanging="600" w:hangingChars="200"/>
        <w:jc w:val="center"/>
        <w:rPr>
          <w:rFonts w:ascii="黑体" w:hAnsi="黑体" w:eastAsia="黑体" w:cstheme="majorEastAsia"/>
          <w:sz w:val="30"/>
          <w:szCs w:val="30"/>
        </w:rPr>
      </w:pPr>
      <w:r>
        <w:rPr>
          <w:rFonts w:hint="eastAsia" w:ascii="黑体" w:hAnsi="黑体" w:eastAsia="黑体" w:cstheme="majorEastAsia"/>
          <w:sz w:val="30"/>
          <w:szCs w:val="30"/>
        </w:rPr>
        <w:t>2022年 8月</w:t>
      </w:r>
    </w:p>
    <w:p w14:paraId="40AEA513">
      <w:pPr>
        <w:spacing w:line="600" w:lineRule="exact"/>
        <w:sectPr>
          <w:footerReference r:id="rId3" w:type="default"/>
          <w:pgSz w:w="11906" w:h="16838"/>
          <w:pgMar w:top="1440" w:right="1800" w:bottom="1440" w:left="1800" w:header="851" w:footer="992" w:gutter="0"/>
          <w:cols w:space="425" w:num="1"/>
          <w:docGrid w:type="lines" w:linePitch="312" w:charSpace="0"/>
        </w:sectPr>
      </w:pPr>
    </w:p>
    <w:p w14:paraId="5FFBDB4B">
      <w:pPr>
        <w:spacing w:line="600" w:lineRule="exact"/>
        <w:rPr>
          <w:rFonts w:ascii="黑体" w:hAnsi="黑体" w:eastAsia="黑体" w:cs="黑体"/>
          <w:sz w:val="32"/>
          <w:szCs w:val="32"/>
        </w:rPr>
      </w:pPr>
      <w:r>
        <w:rPr>
          <w:rFonts w:hint="eastAsia" w:ascii="黑体" w:hAnsi="黑体" w:eastAsia="黑体" w:cs="黑体"/>
          <w:sz w:val="32"/>
          <w:szCs w:val="32"/>
        </w:rPr>
        <w:t>一、项目概述</w:t>
      </w:r>
    </w:p>
    <w:p w14:paraId="49F433B0">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蒸汽锅炉是以煤、生物质、油、气等为燃料，以水为传热介质，产生蒸汽的锅炉；锅炉由锅炉本体、锅炉范围内管道、安全附件和仪表和辅助设备及系统组成。</w:t>
      </w:r>
    </w:p>
    <w:p w14:paraId="76C65E17">
      <w:pPr>
        <w:spacing w:line="600" w:lineRule="exact"/>
        <w:ind w:firstLine="640" w:firstLineChars="200"/>
        <w:rPr>
          <w:rFonts w:ascii="仿宋" w:hAnsi="仿宋" w:eastAsia="仿宋" w:cs="仿宋"/>
          <w:sz w:val="32"/>
          <w:szCs w:val="32"/>
        </w:rPr>
      </w:pPr>
      <w:r>
        <w:rPr>
          <w:rFonts w:ascii="仿宋" w:hAnsi="仿宋" w:eastAsia="仿宋" w:cs="仿宋"/>
          <w:sz w:val="32"/>
          <w:szCs w:val="32"/>
        </w:rPr>
        <w:t>蒸汽锅炉</w:t>
      </w:r>
      <w:r>
        <w:rPr>
          <w:rFonts w:hint="eastAsia" w:ascii="仿宋" w:hAnsi="仿宋" w:eastAsia="仿宋" w:cs="仿宋"/>
          <w:sz w:val="32"/>
          <w:szCs w:val="32"/>
        </w:rPr>
        <w:t>一直</w:t>
      </w:r>
      <w:r>
        <w:rPr>
          <w:rFonts w:ascii="仿宋" w:hAnsi="仿宋" w:eastAsia="仿宋" w:cs="仿宋"/>
          <w:sz w:val="32"/>
          <w:szCs w:val="32"/>
        </w:rPr>
        <w:t>是应用最为广泛的一类锅炉。蒸汽锅炉在运行中容易发生</w:t>
      </w:r>
      <w:r>
        <w:rPr>
          <w:rFonts w:hint="eastAsia" w:ascii="仿宋" w:hAnsi="仿宋" w:eastAsia="仿宋" w:cs="仿宋"/>
          <w:sz w:val="32"/>
          <w:szCs w:val="32"/>
        </w:rPr>
        <w:t>缺水、</w:t>
      </w:r>
      <w:r>
        <w:rPr>
          <w:rFonts w:ascii="仿宋" w:hAnsi="仿宋" w:eastAsia="仿宋" w:cs="仿宋"/>
          <w:sz w:val="32"/>
          <w:szCs w:val="32"/>
        </w:rPr>
        <w:t>满水、汽水共腾、超压等故障，如不及时合理处置会引发</w:t>
      </w:r>
      <w:r>
        <w:rPr>
          <w:rFonts w:hint="eastAsia" w:ascii="仿宋" w:hAnsi="仿宋" w:eastAsia="仿宋" w:cs="仿宋"/>
          <w:sz w:val="32"/>
          <w:szCs w:val="32"/>
        </w:rPr>
        <w:t>爆管、泄漏、燃烧、爆炸、</w:t>
      </w:r>
      <w:r>
        <w:rPr>
          <w:rFonts w:ascii="仿宋" w:hAnsi="仿宋" w:eastAsia="仿宋" w:cs="仿宋"/>
          <w:sz w:val="32"/>
          <w:szCs w:val="32"/>
        </w:rPr>
        <w:t>火灾等事故，</w:t>
      </w:r>
      <w:r>
        <w:rPr>
          <w:rFonts w:hint="eastAsia" w:ascii="仿宋" w:hAnsi="仿宋" w:eastAsia="仿宋" w:cs="仿宋"/>
          <w:sz w:val="32"/>
          <w:szCs w:val="32"/>
        </w:rPr>
        <w:t>进而</w:t>
      </w:r>
      <w:r>
        <w:rPr>
          <w:rFonts w:ascii="仿宋" w:hAnsi="仿宋" w:eastAsia="仿宋" w:cs="仿宋"/>
          <w:sz w:val="32"/>
          <w:szCs w:val="32"/>
        </w:rPr>
        <w:t>造成人员伤亡和财产损失。因此，对蒸汽锅炉</w:t>
      </w:r>
      <w:r>
        <w:rPr>
          <w:rFonts w:hint="eastAsia" w:ascii="仿宋" w:hAnsi="仿宋" w:eastAsia="仿宋" w:cs="仿宋"/>
          <w:sz w:val="32"/>
          <w:szCs w:val="32"/>
        </w:rPr>
        <w:t>应急救援工作</w:t>
      </w:r>
      <w:r>
        <w:rPr>
          <w:rFonts w:ascii="仿宋" w:hAnsi="仿宋" w:eastAsia="仿宋" w:cs="仿宋"/>
          <w:sz w:val="32"/>
          <w:szCs w:val="32"/>
        </w:rPr>
        <w:t>必须高度重视。</w:t>
      </w:r>
      <w:bookmarkStart w:id="3" w:name="_GoBack"/>
      <w:bookmarkEnd w:id="3"/>
    </w:p>
    <w:p w14:paraId="06AF14A5">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关于蒸汽锅炉安全应急管理的主要法规标准只有《锅炉安全技术规程》。近年来，由于蒸汽锅炉运行故障，而司炉工处理不当引起的蒸汽锅炉事故时有发生，如何规范蒸汽锅炉的应急管理成为我们特检机构迫急的事情。</w:t>
      </w:r>
    </w:p>
    <w:p w14:paraId="67EB5B0E">
      <w:pPr>
        <w:spacing w:line="600" w:lineRule="exact"/>
        <w:rPr>
          <w:rFonts w:ascii="黑体" w:hAnsi="黑体" w:eastAsia="黑体" w:cs="黑体"/>
          <w:color w:val="333333"/>
          <w:sz w:val="32"/>
          <w:szCs w:val="32"/>
          <w:shd w:val="clear" w:color="auto" w:fill="FFFFFF"/>
        </w:rPr>
      </w:pPr>
      <w:r>
        <w:rPr>
          <w:rFonts w:hint="eastAsia" w:ascii="黑体" w:hAnsi="黑体" w:eastAsia="黑体" w:cs="黑体"/>
          <w:color w:val="333333"/>
          <w:sz w:val="32"/>
          <w:szCs w:val="32"/>
          <w:shd w:val="clear" w:color="auto" w:fill="FFFFFF"/>
        </w:rPr>
        <w:t>二、任务来源</w:t>
      </w:r>
    </w:p>
    <w:p w14:paraId="77129530">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2020年3月，由省局列入2020年度湖南省第一批地方标准制修订计划，并列入年度地方标准制修订项目。</w:t>
      </w:r>
    </w:p>
    <w:p w14:paraId="6CD4F11A">
      <w:pPr>
        <w:spacing w:line="600" w:lineRule="exact"/>
        <w:rPr>
          <w:rFonts w:ascii="黑体" w:hAnsi="黑体" w:eastAsia="黑体" w:cs="黑体"/>
          <w:sz w:val="32"/>
          <w:szCs w:val="32"/>
        </w:rPr>
      </w:pPr>
      <w:r>
        <w:rPr>
          <w:rFonts w:hint="eastAsia" w:ascii="黑体" w:hAnsi="黑体" w:eastAsia="黑体" w:cs="黑体"/>
          <w:sz w:val="32"/>
          <w:szCs w:val="32"/>
        </w:rPr>
        <w:t>三、标准起草工作情况</w:t>
      </w:r>
    </w:p>
    <w:p w14:paraId="1699584C">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2020年9月湖南省特种设备检验检测研究院组织锅炉检验人员共同成立了标准起草小组，并制定出标准编写方案。注重调查研究和收集分析资料；我院为考查该规范的可行性和应急管理性，派出编写人员到各地州市特检机构调研，仔细了解他们蒸汽锅炉的使用和检验情况，并与相关检验人员进行交流、沟通、讨论，取长补短，为我们标准的修订起到了巨大的作业。地方标准编制得到我院承压类技术委员会大力协助。</w:t>
      </w:r>
    </w:p>
    <w:p w14:paraId="1DC7781D">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2022年3月完成初稿，我们正在广泛征求意见，分别向有代表性制造单位、检验单位和使用单位发函征求意见，希望各单位多提建议意见，后期我们标准组将采纳合理部分的内容，对标准文本进行适当的修改和补充后形成征求意见稿。</w:t>
      </w:r>
    </w:p>
    <w:p w14:paraId="5039FA2D">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结合本省实际情况，编写《蒸汽锅炉应急处置导则》，本规范通俗易懂，结合实际，应急管理性较强，全覆盖了TSG 11锅炉安全技术规程标准提出的检验要求。难免有不当之处，敬请指正！</w:t>
      </w:r>
    </w:p>
    <w:p w14:paraId="62AF5292">
      <w:pPr>
        <w:spacing w:line="600" w:lineRule="exact"/>
        <w:rPr>
          <w:rFonts w:ascii="黑体" w:hAnsi="黑体" w:eastAsia="黑体" w:cs="黑体"/>
          <w:sz w:val="32"/>
          <w:szCs w:val="32"/>
        </w:rPr>
      </w:pPr>
      <w:r>
        <w:rPr>
          <w:rFonts w:hint="eastAsia" w:ascii="黑体" w:hAnsi="黑体" w:eastAsia="黑体" w:cs="黑体"/>
          <w:sz w:val="32"/>
          <w:szCs w:val="32"/>
        </w:rPr>
        <w:t>四、编制原则</w:t>
      </w:r>
    </w:p>
    <w:p w14:paraId="399CA03E">
      <w:pPr>
        <w:spacing w:line="60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（一）合法合规的原则</w:t>
      </w:r>
    </w:p>
    <w:p w14:paraId="196834DD">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编制标准过程中，按时党中央和国家推进“放管服”改革的相关要求，结合我省审批服务便民化工作的实际，对《关于深入推进审批服务便民化的指导意见》进行了认真研读，确保标准的合法合规性。</w:t>
      </w:r>
    </w:p>
    <w:p w14:paraId="3C78CE41">
      <w:pPr>
        <w:spacing w:line="60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（二）协调统一的原则</w:t>
      </w:r>
    </w:p>
    <w:p w14:paraId="6F82C0D0">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现有的安全法规标准如《锅炉安全技术规程》或者司炉工培训教材都未涉及或者很少涉及到此部分内容，因此导致蒸汽锅炉安全应急管理方面存在盲区。本标准在相关安全规范基础上，规定了蒸汽锅炉事故应急救援规范，为蒸汽锅炉安全应急管理方面提供了依据。</w:t>
      </w:r>
    </w:p>
    <w:p w14:paraId="54F052CE">
      <w:pPr>
        <w:spacing w:line="60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（三）适用可操作的原则</w:t>
      </w:r>
    </w:p>
    <w:p w14:paraId="032F0602">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标准编制过程中充分考虑了我省蒸汽锅炉工作的实际，对应急救援的基本原则和步骤进行了规范，注重可实施、可操作。</w:t>
      </w:r>
    </w:p>
    <w:p w14:paraId="7E1DEE4A">
      <w:pPr>
        <w:spacing w:line="600" w:lineRule="exact"/>
        <w:rPr>
          <w:rFonts w:ascii="黑体" w:hAnsi="黑体" w:eastAsia="黑体" w:cs="黑体"/>
          <w:sz w:val="32"/>
          <w:szCs w:val="32"/>
        </w:rPr>
      </w:pPr>
      <w:r>
        <w:rPr>
          <w:rFonts w:hint="eastAsia" w:ascii="黑体" w:hAnsi="黑体" w:eastAsia="黑体" w:cs="黑体"/>
          <w:sz w:val="32"/>
          <w:szCs w:val="32"/>
        </w:rPr>
        <w:t>五、标准主要条款及说明</w:t>
      </w:r>
    </w:p>
    <w:p w14:paraId="48C40BFE">
      <w:pPr>
        <w:spacing w:line="600" w:lineRule="exact"/>
        <w:ind w:firstLine="480" w:firstLineChars="150"/>
        <w:rPr>
          <w:rFonts w:ascii="仿宋" w:hAnsi="仿宋" w:eastAsia="仿宋" w:cs="仿宋"/>
          <w:sz w:val="32"/>
          <w:szCs w:val="32"/>
        </w:rPr>
      </w:pPr>
      <w:r>
        <w:rPr>
          <w:rFonts w:hint="eastAsia" w:ascii="仿宋" w:hAnsi="仿宋" w:eastAsia="仿宋" w:cs="仿宋"/>
          <w:sz w:val="32"/>
          <w:szCs w:val="32"/>
        </w:rPr>
        <w:t>（一）应急救援进行了定义。</w:t>
      </w:r>
    </w:p>
    <w:p w14:paraId="7D8E62FF">
      <w:pPr>
        <w:spacing w:line="600" w:lineRule="exact"/>
        <w:ind w:firstLine="480" w:firstLineChars="150"/>
        <w:rPr>
          <w:rFonts w:ascii="黑体" w:hAnsi="黑体" w:eastAsia="黑体" w:cs="黑体"/>
          <w:sz w:val="32"/>
          <w:szCs w:val="32"/>
        </w:rPr>
      </w:pPr>
      <w:r>
        <w:rPr>
          <w:rFonts w:hint="eastAsia" w:ascii="仿宋" w:hAnsi="仿宋" w:eastAsia="仿宋" w:cs="仿宋"/>
          <w:sz w:val="32"/>
          <w:szCs w:val="32"/>
        </w:rPr>
        <w:t>（二）对设置应急救援组织机构、预防预警、信息报告及应急处置等进行了规范。</w:t>
      </w:r>
      <w:bookmarkStart w:id="0" w:name="_Toc528396905"/>
    </w:p>
    <w:p w14:paraId="47D90E8A">
      <w:pPr>
        <w:spacing w:line="600" w:lineRule="exact"/>
        <w:rPr>
          <w:rFonts w:ascii="黑体" w:hAnsi="黑体" w:eastAsia="黑体" w:cs="黑体"/>
          <w:sz w:val="32"/>
          <w:szCs w:val="32"/>
        </w:rPr>
      </w:pPr>
      <w:r>
        <w:rPr>
          <w:rFonts w:hint="eastAsia" w:ascii="黑体" w:hAnsi="黑体" w:eastAsia="黑体" w:cs="黑体"/>
          <w:sz w:val="32"/>
          <w:szCs w:val="32"/>
        </w:rPr>
        <w:t>六、采用国际标准和国外先进标准的程度</w:t>
      </w:r>
      <w:bookmarkEnd w:id="0"/>
    </w:p>
    <w:p w14:paraId="086C7B47">
      <w:pPr>
        <w:ind w:firstLine="640" w:firstLineChars="200"/>
        <w:rPr>
          <w:rFonts w:ascii="仿宋" w:hAnsi="仿宋" w:eastAsia="仿宋"/>
          <w:sz w:val="32"/>
          <w:szCs w:val="32"/>
        </w:rPr>
      </w:pPr>
      <w:r>
        <w:rPr>
          <w:rFonts w:hint="eastAsia" w:ascii="仿宋" w:hAnsi="仿宋" w:eastAsia="仿宋"/>
          <w:sz w:val="32"/>
          <w:szCs w:val="32"/>
        </w:rPr>
        <w:t>本标准为首次制定，不涉及国际国外标准采标情况。</w:t>
      </w:r>
    </w:p>
    <w:p w14:paraId="28645163">
      <w:pPr>
        <w:spacing w:line="600" w:lineRule="exact"/>
        <w:rPr>
          <w:rFonts w:ascii="黑体" w:hAnsi="黑体" w:eastAsia="黑体" w:cs="黑体"/>
          <w:sz w:val="32"/>
          <w:szCs w:val="32"/>
        </w:rPr>
      </w:pPr>
      <w:bookmarkStart w:id="1" w:name="_Toc528396906"/>
      <w:r>
        <w:rPr>
          <w:rFonts w:hint="eastAsia" w:ascii="黑体" w:hAnsi="黑体" w:eastAsia="黑体" w:cs="黑体"/>
          <w:sz w:val="32"/>
          <w:szCs w:val="32"/>
        </w:rPr>
        <w:t>七、重大分歧意见的处理经过和依据</w:t>
      </w:r>
      <w:bookmarkEnd w:id="1"/>
    </w:p>
    <w:p w14:paraId="453FF786">
      <w:pPr>
        <w:ind w:firstLine="640" w:firstLineChars="200"/>
        <w:rPr>
          <w:rFonts w:ascii="仿宋" w:hAnsi="仿宋" w:eastAsia="仿宋"/>
          <w:sz w:val="32"/>
          <w:szCs w:val="32"/>
        </w:rPr>
      </w:pPr>
      <w:r>
        <w:rPr>
          <w:rFonts w:hint="eastAsia" w:ascii="仿宋" w:hAnsi="仿宋" w:eastAsia="仿宋"/>
          <w:sz w:val="32"/>
          <w:szCs w:val="32"/>
        </w:rPr>
        <w:t>本标准在制定过程中未出现重大分歧意见。</w:t>
      </w:r>
    </w:p>
    <w:p w14:paraId="2883CD23">
      <w:pPr>
        <w:spacing w:line="600" w:lineRule="exact"/>
        <w:rPr>
          <w:rFonts w:ascii="黑体" w:hAnsi="黑体" w:eastAsia="黑体" w:cs="黑体"/>
          <w:sz w:val="32"/>
          <w:szCs w:val="32"/>
        </w:rPr>
      </w:pPr>
      <w:bookmarkStart w:id="2" w:name="_Toc528396907"/>
      <w:r>
        <w:rPr>
          <w:rFonts w:hint="eastAsia" w:ascii="黑体" w:hAnsi="黑体" w:eastAsia="黑体" w:cs="黑体"/>
          <w:sz w:val="32"/>
          <w:szCs w:val="32"/>
        </w:rPr>
        <w:t>八、废止现行有关标准的建议</w:t>
      </w:r>
      <w:bookmarkEnd w:id="2"/>
    </w:p>
    <w:p w14:paraId="7DDA3F54">
      <w:pPr>
        <w:ind w:firstLine="640" w:firstLineChars="200"/>
        <w:rPr>
          <w:rFonts w:ascii="仿宋" w:hAnsi="仿宋" w:eastAsia="仿宋"/>
          <w:sz w:val="32"/>
          <w:szCs w:val="32"/>
        </w:rPr>
      </w:pPr>
      <w:r>
        <w:rPr>
          <w:rFonts w:hint="eastAsia" w:ascii="仿宋" w:hAnsi="仿宋" w:eastAsia="仿宋"/>
          <w:sz w:val="32"/>
          <w:szCs w:val="32"/>
        </w:rPr>
        <w:t>本标准不涉及对现行标准的废止。</w:t>
      </w:r>
    </w:p>
    <w:p w14:paraId="426D7861">
      <w:pPr>
        <w:spacing w:line="600" w:lineRule="exact"/>
        <w:rPr>
          <w:rFonts w:ascii="仿宋" w:hAnsi="仿宋" w:eastAsia="仿宋" w:cs="仿宋"/>
          <w:sz w:val="32"/>
          <w:szCs w:val="32"/>
        </w:rPr>
      </w:pPr>
    </w:p>
    <w:p w14:paraId="25E4E09F">
      <w:pPr>
        <w:spacing w:line="600" w:lineRule="exact"/>
        <w:rPr>
          <w:rFonts w:ascii="黑体" w:hAnsi="黑体" w:eastAsia="黑体" w:cs="黑体"/>
          <w:sz w:val="32"/>
          <w:szCs w:val="32"/>
        </w:rPr>
      </w:pPr>
      <w:r>
        <w:rPr>
          <w:rFonts w:hint="eastAsia" w:ascii="黑体" w:hAnsi="黑体" w:eastAsia="黑体" w:cs="黑体"/>
          <w:sz w:val="32"/>
          <w:szCs w:val="32"/>
        </w:rPr>
        <w:t>九、与现行法律、法规、标准的关系</w:t>
      </w:r>
    </w:p>
    <w:p w14:paraId="1EF93EC2">
      <w:pPr>
        <w:spacing w:line="600" w:lineRule="exact"/>
        <w:ind w:firstLine="640" w:firstLineChars="200"/>
        <w:rPr>
          <w:rFonts w:ascii="仿宋" w:hAnsi="仿宋" w:eastAsia="仿宋"/>
          <w:sz w:val="32"/>
          <w:szCs w:val="32"/>
        </w:rPr>
      </w:pPr>
      <w:r>
        <w:rPr>
          <w:rFonts w:hint="eastAsia" w:ascii="仿宋" w:hAnsi="仿宋" w:eastAsia="仿宋"/>
          <w:sz w:val="32"/>
          <w:szCs w:val="32"/>
        </w:rPr>
        <w:t>本标准的编制参考了TSG 11-2020《锅炉安全技术规程》TSG 03-2015《特种设备事故报告和调查处理导则》、GB/T 2900.48-2008《电工名词术语》、GB/T 29639-2020《生产经营单位生产安全事故应急预案编制导则》等文件和标准的要求，与现行的相关国家标准无冲突，符合中央、省委“放管服”改革的相关要求。</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0000000000000000000"/>
    <w:charset w:val="86"/>
    <w:family w:val="script"/>
    <w:pitch w:val="default"/>
    <w:sig w:usb0="00000000" w:usb1="00000000" w:usb2="00000010" w:usb3="00000000" w:csb0="00040000" w:csb1="00000000"/>
  </w:font>
  <w:font w:name="Arial Unicode MS">
    <w:altName w:val="Arial"/>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FCDD9F">
    <w:pPr>
      <w:pStyle w:val="3"/>
    </w:pPr>
    <w:r>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path/>
          <v:fill on="f" focussize="0,0"/>
          <v:stroke on="f" weight="0.5pt" joinstyle="miter"/>
          <v:imagedata o:title=""/>
          <o:lock v:ext="edit"/>
          <v:textbox inset="0mm,0mm,0mm,0mm" style="mso-fit-shape-to-text:t;">
            <w:txbxContent>
              <w:p w14:paraId="5B5BB798">
                <w:pPr>
                  <w:pStyle w:val="3"/>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BF2473"/>
    <w:rsid w:val="0001324B"/>
    <w:rsid w:val="000554AE"/>
    <w:rsid w:val="000A0145"/>
    <w:rsid w:val="000C5D17"/>
    <w:rsid w:val="00121E37"/>
    <w:rsid w:val="00137292"/>
    <w:rsid w:val="001400E0"/>
    <w:rsid w:val="0014276B"/>
    <w:rsid w:val="00157A30"/>
    <w:rsid w:val="001C6327"/>
    <w:rsid w:val="00222CA2"/>
    <w:rsid w:val="0024186E"/>
    <w:rsid w:val="00263011"/>
    <w:rsid w:val="002937E1"/>
    <w:rsid w:val="002C751A"/>
    <w:rsid w:val="00317474"/>
    <w:rsid w:val="00394A92"/>
    <w:rsid w:val="0042187D"/>
    <w:rsid w:val="004777E5"/>
    <w:rsid w:val="00481DC5"/>
    <w:rsid w:val="00495E3B"/>
    <w:rsid w:val="004A6424"/>
    <w:rsid w:val="004D31DA"/>
    <w:rsid w:val="004F36EF"/>
    <w:rsid w:val="00501392"/>
    <w:rsid w:val="00507055"/>
    <w:rsid w:val="00544A09"/>
    <w:rsid w:val="005516F8"/>
    <w:rsid w:val="00552BDF"/>
    <w:rsid w:val="0056740B"/>
    <w:rsid w:val="00572651"/>
    <w:rsid w:val="005B3FBD"/>
    <w:rsid w:val="005C5DF7"/>
    <w:rsid w:val="005E17B3"/>
    <w:rsid w:val="005E3412"/>
    <w:rsid w:val="006B36B5"/>
    <w:rsid w:val="006B667C"/>
    <w:rsid w:val="006D4CE1"/>
    <w:rsid w:val="006E6EFA"/>
    <w:rsid w:val="006F56E4"/>
    <w:rsid w:val="0070060B"/>
    <w:rsid w:val="007051F0"/>
    <w:rsid w:val="00714DBF"/>
    <w:rsid w:val="007501C1"/>
    <w:rsid w:val="007535CC"/>
    <w:rsid w:val="00782988"/>
    <w:rsid w:val="007A5D88"/>
    <w:rsid w:val="007B36E5"/>
    <w:rsid w:val="00822ACC"/>
    <w:rsid w:val="00850B96"/>
    <w:rsid w:val="00855562"/>
    <w:rsid w:val="00862BFE"/>
    <w:rsid w:val="00863FF6"/>
    <w:rsid w:val="008E497B"/>
    <w:rsid w:val="00940085"/>
    <w:rsid w:val="009902A0"/>
    <w:rsid w:val="009B63E9"/>
    <w:rsid w:val="009C5186"/>
    <w:rsid w:val="00A16B75"/>
    <w:rsid w:val="00A817B2"/>
    <w:rsid w:val="00A8761A"/>
    <w:rsid w:val="00AB6DC3"/>
    <w:rsid w:val="00B107C2"/>
    <w:rsid w:val="00B54BA4"/>
    <w:rsid w:val="00BD2C12"/>
    <w:rsid w:val="00BF2473"/>
    <w:rsid w:val="00BF30BD"/>
    <w:rsid w:val="00BF7186"/>
    <w:rsid w:val="00C85F8B"/>
    <w:rsid w:val="00C87064"/>
    <w:rsid w:val="00CC2BC6"/>
    <w:rsid w:val="00CD6CAE"/>
    <w:rsid w:val="00DC4FB7"/>
    <w:rsid w:val="00E07CBF"/>
    <w:rsid w:val="00E922AD"/>
    <w:rsid w:val="00EC7312"/>
    <w:rsid w:val="00EE701D"/>
    <w:rsid w:val="00EF633C"/>
    <w:rsid w:val="00F061A3"/>
    <w:rsid w:val="059F0638"/>
    <w:rsid w:val="0A22619D"/>
    <w:rsid w:val="0EEF1254"/>
    <w:rsid w:val="20004016"/>
    <w:rsid w:val="2224467F"/>
    <w:rsid w:val="34B33F91"/>
    <w:rsid w:val="3B1A01CE"/>
    <w:rsid w:val="570F5EFF"/>
    <w:rsid w:val="5EDE213F"/>
    <w:rsid w:val="7E0E2F2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10"/>
    <w:unhideWhenUsed/>
    <w:qFormat/>
    <w:uiPriority w:val="9"/>
    <w:pPr>
      <w:keepNext/>
      <w:keepLines/>
      <w:spacing w:before="260" w:after="260" w:line="416" w:lineRule="auto"/>
      <w:outlineLvl w:val="2"/>
    </w:pPr>
    <w:rPr>
      <w:rFonts w:ascii="Calibri" w:hAnsi="Calibri" w:eastAsia="宋体" w:cs="Times New Roman"/>
      <w:b/>
      <w:bCs/>
      <w:sz w:val="32"/>
      <w:szCs w:val="32"/>
      <w:lang w:val="zh-CN"/>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Char"/>
    <w:basedOn w:val="7"/>
    <w:link w:val="4"/>
    <w:qFormat/>
    <w:uiPriority w:val="99"/>
    <w:rPr>
      <w:rFonts w:asciiTheme="minorHAnsi" w:hAnsiTheme="minorHAnsi" w:eastAsiaTheme="minorEastAsia" w:cstheme="minorBidi"/>
      <w:kern w:val="2"/>
      <w:sz w:val="18"/>
      <w:szCs w:val="18"/>
    </w:rPr>
  </w:style>
  <w:style w:type="character" w:customStyle="1" w:styleId="9">
    <w:name w:val="标题 3 字符"/>
    <w:basedOn w:val="7"/>
    <w:semiHidden/>
    <w:qFormat/>
    <w:uiPriority w:val="9"/>
    <w:rPr>
      <w:rFonts w:asciiTheme="minorHAnsi" w:hAnsiTheme="minorHAnsi" w:eastAsiaTheme="minorEastAsia" w:cstheme="minorBidi"/>
      <w:b/>
      <w:bCs/>
      <w:kern w:val="2"/>
      <w:sz w:val="32"/>
      <w:szCs w:val="32"/>
    </w:rPr>
  </w:style>
  <w:style w:type="character" w:customStyle="1" w:styleId="10">
    <w:name w:val="标题 3 Char"/>
    <w:link w:val="2"/>
    <w:qFormat/>
    <w:uiPriority w:val="9"/>
    <w:rPr>
      <w:rFonts w:ascii="Calibri" w:hAnsi="Calibri"/>
      <w:b/>
      <w:bCs/>
      <w:kern w:val="2"/>
      <w:sz w:val="32"/>
      <w:szCs w:val="32"/>
      <w:lang w:val="zh-CN"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1332</Words>
  <Characters>1392</Characters>
  <Lines>10</Lines>
  <Paragraphs>3</Paragraphs>
  <TotalTime>1391</TotalTime>
  <ScaleCrop>false</ScaleCrop>
  <LinksUpToDate>false</LinksUpToDate>
  <CharactersWithSpaces>1399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2022-04-21T06:39:00Z</dcterms:created>
  <dc:creator>liuhong</dc:creator>
  <cp:lastModifiedBy>初吻献给棒棒糖</cp:lastModifiedBy>
  <cp:lastPrinted>2019-09-04T05:34:00Z</cp:lastPrinted>
  <dcterms:modified xsi:type="dcterms:W3CDTF">2025-10-20T02:15:09Z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eyJoZGlkIjoiNzRiODI2OTA0YTMwOTBjYmY3NTZkNTllNjIwN2U5ODUiLCJ1c2VySWQiOiI1NDEyMzkwMzUifQ==</vt:lpwstr>
  </property>
  <property fmtid="{D5CDD505-2E9C-101B-9397-08002B2CF9AE}" pid="4" name="ICV">
    <vt:lpwstr>7180843D6BD045708C6553B47B003F33_12</vt:lpwstr>
  </property>
</Properties>
</file>