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eastAsia="宋体"/>
          <w:b/>
          <w:sz w:val="24"/>
          <w:szCs w:val="24"/>
        </w:rPr>
      </w:pPr>
      <w:r>
        <w:rPr>
          <w:rFonts w:hint="eastAsia" w:ascii="宋体" w:hAnsi="宋体" w:eastAsia="宋体"/>
          <w:b/>
          <w:sz w:val="24"/>
          <w:szCs w:val="24"/>
        </w:rPr>
        <w:t>ICS</w:t>
      </w:r>
      <w:r>
        <w:rPr>
          <w:rFonts w:ascii="宋体" w:hAnsi="宋体" w:eastAsia="宋体"/>
          <w:b/>
          <w:sz w:val="24"/>
          <w:szCs w:val="24"/>
        </w:rPr>
        <w:t xml:space="preserve"> </w:t>
      </w:r>
      <w:r>
        <w:rPr>
          <w:rFonts w:hint="eastAsia" w:ascii="宋体" w:hAnsi="宋体" w:eastAsia="宋体"/>
          <w:b/>
          <w:color w:val="FF0000"/>
          <w:sz w:val="24"/>
          <w:szCs w:val="24"/>
        </w:rPr>
        <w:t>添加ICS号</w:t>
      </w:r>
    </w:p>
    <w:p>
      <w:pPr>
        <w:jc w:val="left"/>
        <w:rPr>
          <w:rFonts w:ascii="宋体" w:hAnsi="宋体" w:eastAsia="宋体"/>
          <w:b/>
          <w:sz w:val="24"/>
          <w:szCs w:val="24"/>
        </w:rPr>
      </w:pPr>
      <w:r>
        <w:rPr>
          <w:rFonts w:hint="eastAsia" w:ascii="宋体" w:hAnsi="宋体" w:eastAsia="宋体"/>
          <w:b/>
          <w:sz w:val="24"/>
          <w:szCs w:val="24"/>
        </w:rPr>
        <w:t>CCS</w:t>
      </w:r>
      <w:r>
        <w:rPr>
          <w:rFonts w:ascii="宋体" w:hAnsi="宋体" w:eastAsia="宋体"/>
          <w:b/>
          <w:sz w:val="24"/>
          <w:szCs w:val="24"/>
        </w:rPr>
        <w:t xml:space="preserve"> </w:t>
      </w:r>
      <w:r>
        <w:rPr>
          <w:rFonts w:hint="eastAsia" w:ascii="宋体" w:hAnsi="宋体" w:eastAsia="宋体"/>
          <w:b/>
          <w:color w:val="FF0000"/>
          <w:sz w:val="24"/>
          <w:szCs w:val="24"/>
        </w:rPr>
        <w:t>添加CCS号</w:t>
      </w:r>
    </w:p>
    <w:p>
      <w:pPr>
        <w:spacing w:line="360" w:lineRule="auto"/>
        <w:jc w:val="right"/>
        <w:rPr>
          <w:rFonts w:ascii="Times New Roman" w:hAnsi="Times New Roman" w:eastAsia="黑体" w:cs="Times New Roman"/>
          <w:b/>
          <w:sz w:val="144"/>
          <w:szCs w:val="144"/>
        </w:rPr>
      </w:pPr>
      <w:r>
        <w:rPr>
          <w:rFonts w:hint="eastAsia" w:ascii="Times New Roman" w:hAnsi="Times New Roman" w:eastAsia="黑体" w:cs="Times New Roman"/>
          <w:b/>
          <w:sz w:val="144"/>
          <w:szCs w:val="144"/>
        </w:rPr>
        <w:t>DB</w:t>
      </w:r>
      <w:r>
        <w:rPr>
          <w:rFonts w:hint="eastAsia" w:ascii="Times New Roman" w:hAnsi="Times New Roman" w:eastAsia="黑体" w:cs="Times New Roman"/>
          <w:b/>
          <w:color w:val="FF0000"/>
          <w:sz w:val="144"/>
          <w:szCs w:val="144"/>
        </w:rPr>
        <w:t>4</w:t>
      </w:r>
      <w:r>
        <w:rPr>
          <w:rFonts w:ascii="Times New Roman" w:hAnsi="Times New Roman" w:eastAsia="黑体" w:cs="Times New Roman"/>
          <w:b/>
          <w:color w:val="FF0000"/>
          <w:sz w:val="144"/>
          <w:szCs w:val="144"/>
        </w:rPr>
        <w:t>3</w:t>
      </w:r>
    </w:p>
    <w:p>
      <w:pPr>
        <w:spacing w:line="360" w:lineRule="auto"/>
        <w:jc w:val="center"/>
        <w:rPr>
          <w:rFonts w:ascii="黑体" w:hAnsi="黑体" w:eastAsia="黑体" w:cs="Times New Roman"/>
          <w:sz w:val="48"/>
          <w:szCs w:val="48"/>
        </w:rPr>
      </w:pPr>
      <w:r>
        <w:rPr>
          <w:rFonts w:hint="eastAsia" w:ascii="黑体" w:hAnsi="黑体" w:eastAsia="黑体" w:cs="Times New Roman"/>
          <w:sz w:val="48"/>
          <w:szCs w:val="48"/>
        </w:rPr>
        <w:t xml:space="preserve">湖 </w:t>
      </w:r>
      <w:r>
        <w:rPr>
          <w:rFonts w:ascii="黑体" w:hAnsi="黑体" w:eastAsia="黑体" w:cs="Times New Roman"/>
          <w:sz w:val="48"/>
          <w:szCs w:val="48"/>
        </w:rPr>
        <w:t xml:space="preserve"> </w:t>
      </w:r>
      <w:r>
        <w:rPr>
          <w:rFonts w:hint="eastAsia" w:ascii="黑体" w:hAnsi="黑体" w:eastAsia="黑体" w:cs="Times New Roman"/>
          <w:sz w:val="48"/>
          <w:szCs w:val="48"/>
        </w:rPr>
        <w:t xml:space="preserve">南 </w:t>
      </w:r>
      <w:r>
        <w:rPr>
          <w:rFonts w:ascii="黑体" w:hAnsi="黑体" w:eastAsia="黑体" w:cs="Times New Roman"/>
          <w:sz w:val="48"/>
          <w:szCs w:val="48"/>
        </w:rPr>
        <w:t xml:space="preserve"> </w:t>
      </w:r>
      <w:r>
        <w:rPr>
          <w:rFonts w:hint="eastAsia" w:ascii="黑体" w:hAnsi="黑体" w:eastAsia="黑体" w:cs="Times New Roman"/>
          <w:sz w:val="48"/>
          <w:szCs w:val="48"/>
        </w:rPr>
        <w:t xml:space="preserve">省 </w:t>
      </w:r>
      <w:r>
        <w:rPr>
          <w:rFonts w:ascii="黑体" w:hAnsi="黑体" w:eastAsia="黑体" w:cs="Times New Roman"/>
          <w:sz w:val="48"/>
          <w:szCs w:val="48"/>
        </w:rPr>
        <w:t xml:space="preserve"> </w:t>
      </w:r>
      <w:r>
        <w:rPr>
          <w:rFonts w:hint="eastAsia" w:ascii="黑体" w:hAnsi="黑体" w:eastAsia="黑体" w:cs="Times New Roman"/>
          <w:sz w:val="48"/>
          <w:szCs w:val="48"/>
        </w:rPr>
        <w:t xml:space="preserve">地 </w:t>
      </w:r>
      <w:r>
        <w:rPr>
          <w:rFonts w:ascii="黑体" w:hAnsi="黑体" w:eastAsia="黑体" w:cs="Times New Roman"/>
          <w:sz w:val="48"/>
          <w:szCs w:val="48"/>
        </w:rPr>
        <w:t xml:space="preserve"> </w:t>
      </w:r>
      <w:r>
        <w:rPr>
          <w:rFonts w:hint="eastAsia" w:ascii="黑体" w:hAnsi="黑体" w:eastAsia="黑体" w:cs="Times New Roman"/>
          <w:sz w:val="48"/>
          <w:szCs w:val="48"/>
        </w:rPr>
        <w:t xml:space="preserve">方 </w:t>
      </w:r>
      <w:r>
        <w:rPr>
          <w:rFonts w:ascii="黑体" w:hAnsi="黑体" w:eastAsia="黑体" w:cs="Times New Roman"/>
          <w:sz w:val="48"/>
          <w:szCs w:val="48"/>
        </w:rPr>
        <w:t xml:space="preserve"> </w:t>
      </w:r>
      <w:r>
        <w:rPr>
          <w:rFonts w:hint="eastAsia" w:ascii="黑体" w:hAnsi="黑体" w:eastAsia="黑体" w:cs="Times New Roman"/>
          <w:sz w:val="48"/>
          <w:szCs w:val="48"/>
        </w:rPr>
        <w:t xml:space="preserve">标 </w:t>
      </w:r>
      <w:r>
        <w:rPr>
          <w:rFonts w:ascii="黑体" w:hAnsi="黑体" w:eastAsia="黑体" w:cs="Times New Roman"/>
          <w:sz w:val="48"/>
          <w:szCs w:val="48"/>
        </w:rPr>
        <w:t xml:space="preserve"> </w:t>
      </w:r>
      <w:r>
        <w:rPr>
          <w:rFonts w:hint="eastAsia" w:ascii="黑体" w:hAnsi="黑体" w:eastAsia="黑体" w:cs="Times New Roman"/>
          <w:sz w:val="48"/>
          <w:szCs w:val="48"/>
        </w:rPr>
        <w:t>准</w:t>
      </w:r>
    </w:p>
    <w:p>
      <w:pPr>
        <w:spacing w:line="360" w:lineRule="auto"/>
        <w:jc w:val="right"/>
        <w:rPr>
          <w:rFonts w:ascii="黑体" w:hAnsi="黑体" w:eastAsia="黑体" w:cs="Times New Roman"/>
          <w:sz w:val="28"/>
          <w:szCs w:val="28"/>
        </w:rPr>
      </w:pPr>
      <w:r>
        <w:rPr>
          <w:rFonts w:ascii="黑体" w:hAnsi="黑体" w:eastAsia="黑体" w:cs="Times New Roman"/>
          <w:sz w:val="28"/>
          <w:szCs w:val="28"/>
        </w:rPr>
        <w:t xml:space="preserve"> </w:t>
      </w:r>
      <w:r>
        <w:rPr>
          <w:rFonts w:hint="eastAsia" w:ascii="黑体" w:hAnsi="黑体" w:eastAsia="黑体" w:cs="Times New Roman"/>
          <w:sz w:val="28"/>
          <w:szCs w:val="28"/>
        </w:rPr>
        <w:t>DB</w:t>
      </w:r>
      <w:r>
        <w:rPr>
          <w:rFonts w:ascii="黑体" w:hAnsi="黑体" w:eastAsia="黑体" w:cs="Times New Roman"/>
          <w:sz w:val="28"/>
          <w:szCs w:val="28"/>
        </w:rPr>
        <w:t xml:space="preserve"> 43</w:t>
      </w:r>
      <w:r>
        <w:rPr>
          <w:rFonts w:hint="eastAsia" w:ascii="黑体" w:hAnsi="黑体" w:eastAsia="黑体" w:cs="Times New Roman"/>
          <w:sz w:val="28"/>
          <w:szCs w:val="28"/>
        </w:rPr>
        <w:t>/T</w:t>
      </w:r>
      <w:r>
        <w:rPr>
          <w:rFonts w:ascii="黑体" w:hAnsi="黑体" w:eastAsia="黑体" w:cs="Times New Roman"/>
          <w:sz w:val="28"/>
          <w:szCs w:val="28"/>
        </w:rPr>
        <w:t xml:space="preserve"> </w:t>
      </w:r>
      <w:r>
        <w:rPr>
          <w:rFonts w:hint="eastAsia" w:ascii="黑体" w:hAnsi="黑体" w:eastAsia="黑体" w:cs="Times New Roman"/>
          <w:color w:val="FF0000"/>
          <w:sz w:val="28"/>
          <w:szCs w:val="28"/>
        </w:rPr>
        <w:t>XXXX-XXXX</w:t>
      </w:r>
    </w:p>
    <w:p>
      <w:pPr>
        <w:wordWrap w:val="0"/>
        <w:spacing w:line="360" w:lineRule="auto"/>
        <w:rPr>
          <w:rFonts w:ascii="黑体" w:hAnsi="黑体" w:eastAsia="黑体"/>
          <w:sz w:val="24"/>
          <w:szCs w:val="24"/>
          <w:u w:val="single"/>
        </w:rPr>
      </w:pPr>
      <w:r>
        <w:rPr>
          <w:rFonts w:hint="eastAsia" w:ascii="黑体" w:hAnsi="黑体" w:eastAsia="黑体"/>
          <w:sz w:val="24"/>
          <w:szCs w:val="24"/>
          <w:u w:val="single"/>
        </w:rPr>
        <w:t xml:space="preserve">                                                           </w:t>
      </w:r>
      <w:r>
        <w:rPr>
          <w:rFonts w:ascii="黑体" w:hAnsi="黑体" w:eastAsia="黑体"/>
          <w:sz w:val="24"/>
          <w:szCs w:val="24"/>
          <w:u w:val="single"/>
        </w:rPr>
        <w:t xml:space="preserve">          </w:t>
      </w:r>
    </w:p>
    <w:p>
      <w:pPr>
        <w:spacing w:line="360" w:lineRule="auto"/>
        <w:ind w:firstLine="480" w:firstLineChars="200"/>
        <w:rPr>
          <w:rFonts w:ascii="黑体" w:hAnsi="黑体" w:eastAsia="黑体"/>
          <w:sz w:val="24"/>
          <w:szCs w:val="24"/>
          <w:u w:val="single"/>
        </w:rPr>
      </w:pPr>
    </w:p>
    <w:p>
      <w:pPr>
        <w:spacing w:line="360" w:lineRule="auto"/>
        <w:jc w:val="center"/>
        <w:rPr>
          <w:rFonts w:ascii="黑体" w:hAnsi="黑体" w:eastAsia="黑体" w:cs="Times New Roman"/>
          <w:sz w:val="52"/>
          <w:szCs w:val="52"/>
        </w:rPr>
      </w:pPr>
      <w:r>
        <w:rPr>
          <w:rFonts w:hint="eastAsia" w:ascii="黑体" w:hAnsi="黑体" w:eastAsia="黑体" w:cs="Times New Roman"/>
          <w:sz w:val="52"/>
          <w:szCs w:val="52"/>
        </w:rPr>
        <w:t>林业信息化系统运维和服务规范</w:t>
      </w:r>
    </w:p>
    <w:p>
      <w:pPr>
        <w:spacing w:line="360" w:lineRule="auto"/>
        <w:jc w:val="center"/>
        <w:rPr>
          <w:rFonts w:ascii="Times New Roman" w:hAnsi="Times New Roman" w:eastAsia="宋体" w:cs="Times New Roman"/>
          <w:kern w:val="0"/>
          <w:sz w:val="28"/>
          <w:szCs w:val="28"/>
        </w:rPr>
      </w:pPr>
      <w:r>
        <w:t xml:space="preserve"> </w:t>
      </w:r>
      <w:r>
        <w:rPr>
          <w:rFonts w:ascii="Times New Roman" w:hAnsi="Times New Roman" w:eastAsia="宋体" w:cs="Times New Roman"/>
          <w:kern w:val="0"/>
          <w:sz w:val="28"/>
          <w:szCs w:val="28"/>
        </w:rPr>
        <w:t>Hunan Province forestry information system operation and peacekeeping service specification</w:t>
      </w:r>
    </w:p>
    <w:p>
      <w:pPr>
        <w:spacing w:line="360" w:lineRule="auto"/>
        <w:jc w:val="center"/>
        <w:rPr>
          <w:rFonts w:ascii="黑体" w:hAnsi="黑体" w:eastAsia="黑体" w:cs="Times New Roman"/>
          <w:sz w:val="28"/>
          <w:szCs w:val="28"/>
        </w:rPr>
      </w:pPr>
      <w:r>
        <w:rPr>
          <w:rFonts w:hint="eastAsia" w:ascii="黑体" w:hAnsi="黑体" w:eastAsia="黑体" w:cs="Times New Roman"/>
          <w:sz w:val="28"/>
          <w:szCs w:val="28"/>
        </w:rPr>
        <w:t>（征求意见稿）</w:t>
      </w:r>
    </w:p>
    <w:p>
      <w:pPr>
        <w:spacing w:line="360" w:lineRule="auto"/>
        <w:ind w:firstLine="420" w:firstLineChars="200"/>
        <w:rPr>
          <w:rFonts w:ascii="黑体" w:hAnsi="黑体" w:eastAsia="黑体" w:cs="Times New Roman"/>
          <w:szCs w:val="21"/>
        </w:rPr>
      </w:pPr>
    </w:p>
    <w:p>
      <w:pPr>
        <w:spacing w:line="360" w:lineRule="auto"/>
        <w:ind w:firstLine="420" w:firstLineChars="200"/>
        <w:rPr>
          <w:rFonts w:ascii="黑体" w:hAnsi="黑体" w:eastAsia="黑体" w:cs="Times New Roman"/>
          <w:szCs w:val="21"/>
        </w:rPr>
      </w:pPr>
    </w:p>
    <w:p>
      <w:pPr>
        <w:spacing w:line="360" w:lineRule="auto"/>
        <w:ind w:firstLine="420" w:firstLineChars="200"/>
        <w:rPr>
          <w:rFonts w:ascii="黑体" w:hAnsi="黑体" w:eastAsia="黑体" w:cs="Times New Roman"/>
          <w:szCs w:val="21"/>
        </w:rPr>
      </w:pPr>
    </w:p>
    <w:p>
      <w:pPr>
        <w:spacing w:line="360" w:lineRule="auto"/>
        <w:ind w:firstLine="420" w:firstLineChars="200"/>
        <w:rPr>
          <w:rFonts w:ascii="黑体" w:hAnsi="黑体" w:eastAsia="黑体" w:cs="Times New Roman"/>
          <w:szCs w:val="21"/>
        </w:rPr>
      </w:pPr>
    </w:p>
    <w:p>
      <w:pPr>
        <w:spacing w:line="360" w:lineRule="auto"/>
        <w:rPr>
          <w:rFonts w:ascii="黑体" w:hAnsi="黑体" w:eastAsia="黑体" w:cs="Times New Roman"/>
          <w:szCs w:val="21"/>
        </w:rPr>
      </w:pPr>
    </w:p>
    <w:p>
      <w:pPr>
        <w:spacing w:line="360" w:lineRule="auto"/>
        <w:rPr>
          <w:rFonts w:ascii="黑体" w:hAnsi="黑体" w:eastAsia="黑体" w:cs="Times New Roman"/>
          <w:szCs w:val="21"/>
        </w:rPr>
      </w:pPr>
    </w:p>
    <w:p>
      <w:pPr>
        <w:spacing w:line="360" w:lineRule="auto"/>
        <w:rPr>
          <w:rFonts w:ascii="黑体" w:hAnsi="黑体" w:eastAsia="黑体" w:cs="Times New Roman"/>
          <w:szCs w:val="21"/>
        </w:rPr>
      </w:pPr>
    </w:p>
    <w:p>
      <w:pPr>
        <w:spacing w:line="360" w:lineRule="auto"/>
        <w:ind w:firstLine="420" w:firstLineChars="200"/>
        <w:rPr>
          <w:rFonts w:ascii="黑体" w:hAnsi="黑体" w:eastAsia="黑体" w:cs="Times New Roman"/>
          <w:szCs w:val="21"/>
        </w:rPr>
      </w:pPr>
    </w:p>
    <w:p>
      <w:pPr>
        <w:ind w:firstLine="480"/>
        <w:rPr>
          <w:rFonts w:ascii="黑体" w:hAnsi="黑体" w:eastAsia="黑体"/>
          <w:sz w:val="24"/>
          <w:szCs w:val="24"/>
          <w:u w:val="single"/>
        </w:rPr>
      </w:pPr>
      <w:r>
        <w:rPr>
          <w:rFonts w:ascii="黑体" w:hAnsi="黑体" w:eastAsia="黑体"/>
          <w:sz w:val="24"/>
          <w:szCs w:val="24"/>
          <w:u w:val="single"/>
        </w:rPr>
        <w:t>20XX-XX-XX发布                                    20XX-XX-XX实施</w:t>
      </w:r>
    </w:p>
    <w:p>
      <w:pPr>
        <w:ind w:firstLine="480"/>
        <w:jc w:val="center"/>
      </w:pPr>
      <w:r>
        <w:rPr>
          <w:rFonts w:hint="eastAsia" w:ascii="黑体" w:hAnsi="黑体" w:eastAsia="黑体"/>
          <w:sz w:val="24"/>
          <w:szCs w:val="24"/>
        </w:rPr>
        <w:t>湖南省市场监督管理局</w:t>
      </w:r>
      <w:r>
        <w:rPr>
          <w:rFonts w:ascii="黑体" w:hAnsi="黑体" w:eastAsia="黑体"/>
          <w:sz w:val="24"/>
          <w:szCs w:val="24"/>
        </w:rPr>
        <w:t xml:space="preserve"> </w:t>
      </w:r>
    </w:p>
    <w:p>
      <w:pPr>
        <w:spacing w:line="360" w:lineRule="auto"/>
        <w:rPr>
          <w:rFonts w:ascii="黑体" w:hAnsi="黑体" w:eastAsia="黑体" w:cs="Times New Roman"/>
          <w:szCs w:val="21"/>
        </w:rPr>
      </w:pPr>
    </w:p>
    <w:p>
      <w:pPr>
        <w:spacing w:line="360" w:lineRule="auto"/>
        <w:rPr>
          <w:rFonts w:ascii="黑体" w:hAnsi="黑体" w:eastAsia="黑体" w:cs="Times New Roman"/>
          <w:szCs w:val="21"/>
        </w:rPr>
      </w:pPr>
    </w:p>
    <w:p>
      <w:pPr>
        <w:spacing w:line="360" w:lineRule="auto"/>
        <w:rPr>
          <w:rFonts w:ascii="Times New Roman" w:hAnsi="Times New Roman" w:eastAsia="黑体" w:cs="Times New Roman"/>
          <w:szCs w:val="21"/>
        </w:rPr>
      </w:pPr>
    </w:p>
    <w:p>
      <w:pPr>
        <w:rPr>
          <w:rFonts w:ascii="Times New Roman" w:hAnsi="Times New Roman" w:cs="Times New Roman"/>
          <w:sz w:val="32"/>
          <w:szCs w:val="32"/>
        </w:rPr>
        <w:sectPr>
          <w:headerReference r:id="rId3" w:type="default"/>
          <w:footerReference r:id="rId4" w:type="default"/>
          <w:pgSz w:w="11906" w:h="16838"/>
          <w:pgMar w:top="1440" w:right="1800" w:bottom="1440" w:left="1800" w:header="851" w:footer="992" w:gutter="0"/>
          <w:pgNumType w:fmt="upperRoman" w:start="1"/>
          <w:cols w:space="425" w:num="1"/>
          <w:docGrid w:type="lines" w:linePitch="312" w:charSpace="0"/>
        </w:sectPr>
      </w:pPr>
    </w:p>
    <w:p>
      <w:pPr>
        <w:jc w:val="center"/>
        <w:rPr>
          <w:rFonts w:ascii="Times New Roman" w:hAnsi="Times New Roman" w:eastAsia="黑体" w:cs="Times New Roman"/>
          <w:sz w:val="32"/>
          <w:szCs w:val="32"/>
        </w:rPr>
      </w:pPr>
      <w:r>
        <w:rPr>
          <w:rFonts w:ascii="Times New Roman" w:hAnsi="Times New Roman" w:eastAsia="黑体" w:cs="Times New Roman"/>
          <w:sz w:val="32"/>
          <w:szCs w:val="32"/>
        </w:rPr>
        <w:t>目  次</w:t>
      </w:r>
    </w:p>
    <w:p>
      <w:pPr>
        <w:rPr>
          <w:rFonts w:ascii="Times New Roman" w:hAnsi="Times New Roman" w:cs="Times New Roman"/>
          <w:sz w:val="24"/>
          <w:szCs w:val="24"/>
        </w:rPr>
      </w:pPr>
    </w:p>
    <w:sdt>
      <w:sdtPr>
        <w:rPr>
          <w:rFonts w:ascii="宋体" w:hAnsi="宋体" w:eastAsia="宋体"/>
        </w:rPr>
        <w:id w:val="147479900"/>
        <w:docPartObj>
          <w:docPartGallery w:val="Table of Contents"/>
          <w:docPartUnique/>
        </w:docPartObj>
      </w:sdtPr>
      <w:sdtEndPr>
        <w:rPr>
          <w:rFonts w:ascii="Times New Roman" w:hAnsi="Times New Roman" w:cs="Times New Roman" w:eastAsiaTheme="minorEastAsia"/>
          <w:szCs w:val="24"/>
        </w:rPr>
      </w:sdtEndPr>
      <w:sdtContent>
        <w:p>
          <w:pPr>
            <w:jc w:val="center"/>
          </w:pPr>
          <w:r>
            <w:rPr>
              <w:rFonts w:ascii="宋体" w:hAnsi="宋体" w:eastAsia="宋体"/>
            </w:rPr>
            <w:t>目录</w:t>
          </w:r>
        </w:p>
        <w:p>
          <w:pPr>
            <w:pStyle w:val="311"/>
            <w:tabs>
              <w:tab w:val="right" w:leader="dot" w:pos="8306"/>
            </w:tabs>
          </w:pPr>
          <w:r>
            <w:rPr>
              <w:sz w:val="24"/>
              <w:szCs w:val="24"/>
            </w:rPr>
            <w:fldChar w:fldCharType="begin"/>
          </w:r>
          <w:r>
            <w:rPr>
              <w:sz w:val="24"/>
              <w:szCs w:val="24"/>
            </w:rPr>
            <w:instrText xml:space="preserve">TOC \o "1-1" \h \u </w:instrText>
          </w:r>
          <w:r>
            <w:rPr>
              <w:sz w:val="24"/>
              <w:szCs w:val="24"/>
            </w:rPr>
            <w:fldChar w:fldCharType="separate"/>
          </w:r>
        </w:p>
        <w:p>
          <w:pPr>
            <w:pStyle w:val="311"/>
            <w:tabs>
              <w:tab w:val="right" w:leader="dot" w:pos="8306"/>
            </w:tabs>
            <w:spacing w:line="350" w:lineRule="exact"/>
            <w:rPr>
              <w:rFonts w:ascii="宋体" w:hAnsi="宋体"/>
              <w:sz w:val="21"/>
              <w:szCs w:val="21"/>
            </w:rPr>
          </w:pPr>
          <w:r>
            <w:fldChar w:fldCharType="begin"/>
          </w:r>
          <w:r>
            <w:instrText xml:space="preserve"> HYPERLINK \l "_Toc10874" </w:instrText>
          </w:r>
          <w:r>
            <w:fldChar w:fldCharType="separate"/>
          </w:r>
          <w:r>
            <w:rPr>
              <w:rFonts w:ascii="宋体" w:hAnsi="宋体"/>
              <w:sz w:val="21"/>
              <w:szCs w:val="21"/>
            </w:rPr>
            <w:t>前 言</w:t>
          </w:r>
          <w:r>
            <w:rPr>
              <w:rFonts w:ascii="宋体" w:hAnsi="宋体"/>
              <w:sz w:val="21"/>
              <w:szCs w:val="21"/>
            </w:rPr>
            <w:tab/>
          </w:r>
          <w:r>
            <w:rPr>
              <w:rFonts w:ascii="宋体" w:hAnsi="宋体"/>
              <w:sz w:val="21"/>
              <w:szCs w:val="21"/>
            </w:rPr>
            <w:fldChar w:fldCharType="begin"/>
          </w:r>
          <w:r>
            <w:rPr>
              <w:rFonts w:ascii="宋体" w:hAnsi="宋体"/>
              <w:sz w:val="21"/>
              <w:szCs w:val="21"/>
            </w:rPr>
            <w:instrText xml:space="preserve"> PAGEREF _Toc10874 \h </w:instrText>
          </w:r>
          <w:r>
            <w:rPr>
              <w:rFonts w:ascii="宋体" w:hAnsi="宋体"/>
              <w:sz w:val="21"/>
              <w:szCs w:val="21"/>
            </w:rPr>
            <w:fldChar w:fldCharType="separate"/>
          </w:r>
          <w:r>
            <w:rPr>
              <w:rFonts w:ascii="宋体" w:hAnsi="宋体"/>
              <w:sz w:val="21"/>
              <w:szCs w:val="21"/>
            </w:rPr>
            <w:t>II</w:t>
          </w:r>
          <w:r>
            <w:rPr>
              <w:rFonts w:ascii="宋体" w:hAnsi="宋体"/>
              <w:sz w:val="21"/>
              <w:szCs w:val="21"/>
            </w:rPr>
            <w:fldChar w:fldCharType="end"/>
          </w:r>
          <w:r>
            <w:rPr>
              <w:rFonts w:ascii="宋体" w:hAnsi="宋体"/>
              <w:sz w:val="21"/>
              <w:szCs w:val="21"/>
            </w:rPr>
            <w:fldChar w:fldCharType="end"/>
          </w:r>
        </w:p>
        <w:p>
          <w:pPr>
            <w:pStyle w:val="311"/>
            <w:tabs>
              <w:tab w:val="right" w:leader="dot" w:pos="8306"/>
            </w:tabs>
            <w:spacing w:line="350" w:lineRule="exact"/>
            <w:rPr>
              <w:rFonts w:ascii="宋体" w:hAnsi="宋体"/>
              <w:sz w:val="21"/>
              <w:szCs w:val="21"/>
            </w:rPr>
          </w:pPr>
          <w:r>
            <w:fldChar w:fldCharType="begin"/>
          </w:r>
          <w:r>
            <w:instrText xml:space="preserve"> HYPERLINK \l "_Toc19598" </w:instrText>
          </w:r>
          <w:r>
            <w:fldChar w:fldCharType="separate"/>
          </w:r>
          <w:r>
            <w:rPr>
              <w:rFonts w:ascii="宋体" w:hAnsi="宋体"/>
              <w:bCs/>
              <w:sz w:val="21"/>
              <w:szCs w:val="21"/>
            </w:rPr>
            <w:t>1 范围</w:t>
          </w:r>
          <w:r>
            <w:rPr>
              <w:rFonts w:ascii="宋体" w:hAnsi="宋体"/>
              <w:sz w:val="21"/>
              <w:szCs w:val="21"/>
            </w:rPr>
            <w:tab/>
          </w:r>
          <w:r>
            <w:rPr>
              <w:rFonts w:ascii="宋体" w:hAnsi="宋体"/>
              <w:sz w:val="21"/>
              <w:szCs w:val="21"/>
            </w:rPr>
            <w:fldChar w:fldCharType="begin"/>
          </w:r>
          <w:r>
            <w:rPr>
              <w:rFonts w:ascii="宋体" w:hAnsi="宋体"/>
              <w:sz w:val="21"/>
              <w:szCs w:val="21"/>
            </w:rPr>
            <w:instrText xml:space="preserve"> PAGEREF _Toc19598 \h </w:instrText>
          </w:r>
          <w:r>
            <w:rPr>
              <w:rFonts w:ascii="宋体" w:hAnsi="宋体"/>
              <w:sz w:val="21"/>
              <w:szCs w:val="21"/>
            </w:rPr>
            <w:fldChar w:fldCharType="separate"/>
          </w:r>
          <w:r>
            <w:rPr>
              <w:rFonts w:ascii="宋体" w:hAnsi="宋体"/>
              <w:sz w:val="21"/>
              <w:szCs w:val="21"/>
            </w:rPr>
            <w:t>3</w:t>
          </w:r>
          <w:r>
            <w:rPr>
              <w:rFonts w:ascii="宋体" w:hAnsi="宋体"/>
              <w:sz w:val="21"/>
              <w:szCs w:val="21"/>
            </w:rPr>
            <w:fldChar w:fldCharType="end"/>
          </w:r>
          <w:r>
            <w:rPr>
              <w:rFonts w:ascii="宋体" w:hAnsi="宋体"/>
              <w:sz w:val="21"/>
              <w:szCs w:val="21"/>
            </w:rPr>
            <w:fldChar w:fldCharType="end"/>
          </w:r>
        </w:p>
        <w:p>
          <w:pPr>
            <w:pStyle w:val="311"/>
            <w:tabs>
              <w:tab w:val="right" w:leader="dot" w:pos="8306"/>
            </w:tabs>
            <w:spacing w:line="350" w:lineRule="exact"/>
            <w:rPr>
              <w:rFonts w:ascii="宋体" w:hAnsi="宋体"/>
              <w:sz w:val="21"/>
              <w:szCs w:val="21"/>
            </w:rPr>
          </w:pPr>
          <w:r>
            <w:fldChar w:fldCharType="begin"/>
          </w:r>
          <w:r>
            <w:instrText xml:space="preserve"> HYPERLINK \l "_Toc23328" </w:instrText>
          </w:r>
          <w:r>
            <w:fldChar w:fldCharType="separate"/>
          </w:r>
          <w:r>
            <w:rPr>
              <w:rFonts w:ascii="宋体" w:hAnsi="宋体"/>
              <w:bCs/>
              <w:sz w:val="21"/>
              <w:szCs w:val="21"/>
            </w:rPr>
            <w:t>2 规范性引用文件</w:t>
          </w:r>
          <w:r>
            <w:rPr>
              <w:rFonts w:ascii="宋体" w:hAnsi="宋体"/>
              <w:sz w:val="21"/>
              <w:szCs w:val="21"/>
            </w:rPr>
            <w:tab/>
          </w:r>
          <w:r>
            <w:rPr>
              <w:rFonts w:ascii="宋体" w:hAnsi="宋体"/>
              <w:sz w:val="21"/>
              <w:szCs w:val="21"/>
            </w:rPr>
            <w:fldChar w:fldCharType="begin"/>
          </w:r>
          <w:r>
            <w:rPr>
              <w:rFonts w:ascii="宋体" w:hAnsi="宋体"/>
              <w:sz w:val="21"/>
              <w:szCs w:val="21"/>
            </w:rPr>
            <w:instrText xml:space="preserve"> PAGEREF _Toc23328 \h </w:instrText>
          </w:r>
          <w:r>
            <w:rPr>
              <w:rFonts w:ascii="宋体" w:hAnsi="宋体"/>
              <w:sz w:val="21"/>
              <w:szCs w:val="21"/>
            </w:rPr>
            <w:fldChar w:fldCharType="separate"/>
          </w:r>
          <w:r>
            <w:rPr>
              <w:rFonts w:ascii="宋体" w:hAnsi="宋体"/>
              <w:sz w:val="21"/>
              <w:szCs w:val="21"/>
            </w:rPr>
            <w:t>3</w:t>
          </w:r>
          <w:r>
            <w:rPr>
              <w:rFonts w:ascii="宋体" w:hAnsi="宋体"/>
              <w:sz w:val="21"/>
              <w:szCs w:val="21"/>
            </w:rPr>
            <w:fldChar w:fldCharType="end"/>
          </w:r>
          <w:r>
            <w:rPr>
              <w:rFonts w:ascii="宋体" w:hAnsi="宋体"/>
              <w:sz w:val="21"/>
              <w:szCs w:val="21"/>
            </w:rPr>
            <w:fldChar w:fldCharType="end"/>
          </w:r>
        </w:p>
        <w:p>
          <w:pPr>
            <w:pStyle w:val="311"/>
            <w:tabs>
              <w:tab w:val="right" w:leader="dot" w:pos="8306"/>
            </w:tabs>
            <w:spacing w:line="350" w:lineRule="exact"/>
            <w:rPr>
              <w:rFonts w:ascii="宋体" w:hAnsi="宋体"/>
              <w:sz w:val="21"/>
              <w:szCs w:val="21"/>
            </w:rPr>
          </w:pPr>
          <w:r>
            <w:fldChar w:fldCharType="begin"/>
          </w:r>
          <w:r>
            <w:instrText xml:space="preserve"> HYPERLINK \l "_Toc32748" </w:instrText>
          </w:r>
          <w:r>
            <w:fldChar w:fldCharType="separate"/>
          </w:r>
          <w:r>
            <w:rPr>
              <w:rFonts w:ascii="宋体" w:hAnsi="宋体"/>
              <w:bCs/>
              <w:sz w:val="21"/>
              <w:szCs w:val="21"/>
            </w:rPr>
            <w:t>3 术语和定义</w:t>
          </w:r>
          <w:r>
            <w:rPr>
              <w:rFonts w:ascii="宋体" w:hAnsi="宋体"/>
              <w:sz w:val="21"/>
              <w:szCs w:val="21"/>
            </w:rPr>
            <w:tab/>
          </w:r>
          <w:r>
            <w:rPr>
              <w:rFonts w:ascii="宋体" w:hAnsi="宋体"/>
              <w:sz w:val="21"/>
              <w:szCs w:val="21"/>
            </w:rPr>
            <w:fldChar w:fldCharType="begin"/>
          </w:r>
          <w:r>
            <w:rPr>
              <w:rFonts w:ascii="宋体" w:hAnsi="宋体"/>
              <w:sz w:val="21"/>
              <w:szCs w:val="21"/>
            </w:rPr>
            <w:instrText xml:space="preserve"> PAGEREF _Toc32748 \h </w:instrText>
          </w:r>
          <w:r>
            <w:rPr>
              <w:rFonts w:ascii="宋体" w:hAnsi="宋体"/>
              <w:sz w:val="21"/>
              <w:szCs w:val="21"/>
            </w:rPr>
            <w:fldChar w:fldCharType="separate"/>
          </w:r>
          <w:r>
            <w:rPr>
              <w:rFonts w:ascii="宋体" w:hAnsi="宋体"/>
              <w:sz w:val="21"/>
              <w:szCs w:val="21"/>
            </w:rPr>
            <w:t>3</w:t>
          </w:r>
          <w:r>
            <w:rPr>
              <w:rFonts w:ascii="宋体" w:hAnsi="宋体"/>
              <w:sz w:val="21"/>
              <w:szCs w:val="21"/>
            </w:rPr>
            <w:fldChar w:fldCharType="end"/>
          </w:r>
          <w:r>
            <w:rPr>
              <w:rFonts w:ascii="宋体" w:hAnsi="宋体"/>
              <w:sz w:val="21"/>
              <w:szCs w:val="21"/>
            </w:rPr>
            <w:fldChar w:fldCharType="end"/>
          </w:r>
        </w:p>
        <w:p>
          <w:pPr>
            <w:pStyle w:val="311"/>
            <w:tabs>
              <w:tab w:val="right" w:leader="dot" w:pos="8306"/>
            </w:tabs>
            <w:spacing w:line="350" w:lineRule="exact"/>
            <w:rPr>
              <w:rFonts w:ascii="宋体" w:hAnsi="宋体"/>
              <w:sz w:val="21"/>
              <w:szCs w:val="21"/>
            </w:rPr>
          </w:pPr>
          <w:r>
            <w:fldChar w:fldCharType="begin"/>
          </w:r>
          <w:r>
            <w:instrText xml:space="preserve"> HYPERLINK \l "_Toc14257" </w:instrText>
          </w:r>
          <w:r>
            <w:fldChar w:fldCharType="separate"/>
          </w:r>
          <w:r>
            <w:rPr>
              <w:rFonts w:ascii="宋体" w:hAnsi="宋体"/>
              <w:bCs/>
              <w:sz w:val="21"/>
              <w:szCs w:val="21"/>
            </w:rPr>
            <w:t>4 运维服务支撑规范</w:t>
          </w:r>
          <w:r>
            <w:rPr>
              <w:rFonts w:ascii="宋体" w:hAnsi="宋体"/>
              <w:sz w:val="21"/>
              <w:szCs w:val="21"/>
            </w:rPr>
            <w:tab/>
          </w:r>
          <w:r>
            <w:rPr>
              <w:rFonts w:ascii="宋体" w:hAnsi="宋体"/>
              <w:sz w:val="21"/>
              <w:szCs w:val="21"/>
            </w:rPr>
            <w:fldChar w:fldCharType="begin"/>
          </w:r>
          <w:r>
            <w:rPr>
              <w:rFonts w:ascii="宋体" w:hAnsi="宋体"/>
              <w:sz w:val="21"/>
              <w:szCs w:val="21"/>
            </w:rPr>
            <w:instrText xml:space="preserve"> PAGEREF _Toc14257 \h </w:instrText>
          </w:r>
          <w:r>
            <w:rPr>
              <w:rFonts w:ascii="宋体" w:hAnsi="宋体"/>
              <w:sz w:val="21"/>
              <w:szCs w:val="21"/>
            </w:rPr>
            <w:fldChar w:fldCharType="separate"/>
          </w:r>
          <w:r>
            <w:rPr>
              <w:rFonts w:ascii="宋体" w:hAnsi="宋体"/>
              <w:sz w:val="21"/>
              <w:szCs w:val="21"/>
            </w:rPr>
            <w:t>3</w:t>
          </w:r>
          <w:r>
            <w:rPr>
              <w:rFonts w:ascii="宋体" w:hAnsi="宋体"/>
              <w:sz w:val="21"/>
              <w:szCs w:val="21"/>
            </w:rPr>
            <w:fldChar w:fldCharType="end"/>
          </w:r>
          <w:r>
            <w:rPr>
              <w:rFonts w:ascii="宋体" w:hAnsi="宋体"/>
              <w:sz w:val="21"/>
              <w:szCs w:val="21"/>
            </w:rPr>
            <w:fldChar w:fldCharType="end"/>
          </w:r>
        </w:p>
        <w:p>
          <w:pPr>
            <w:pStyle w:val="311"/>
            <w:tabs>
              <w:tab w:val="right" w:leader="dot" w:pos="8306"/>
            </w:tabs>
            <w:spacing w:line="350" w:lineRule="exact"/>
            <w:rPr>
              <w:rFonts w:ascii="宋体" w:hAnsi="宋体"/>
              <w:sz w:val="21"/>
              <w:szCs w:val="21"/>
            </w:rPr>
          </w:pPr>
          <w:r>
            <w:fldChar w:fldCharType="begin"/>
          </w:r>
          <w:r>
            <w:instrText xml:space="preserve"> HYPERLINK \l "_Toc5845" </w:instrText>
          </w:r>
          <w:r>
            <w:fldChar w:fldCharType="separate"/>
          </w:r>
          <w:r>
            <w:rPr>
              <w:rFonts w:ascii="宋体" w:hAnsi="宋体"/>
              <w:bCs/>
              <w:sz w:val="21"/>
              <w:szCs w:val="21"/>
            </w:rPr>
            <w:t>5 运维服务流程规范</w:t>
          </w:r>
          <w:r>
            <w:rPr>
              <w:rFonts w:ascii="宋体" w:hAnsi="宋体"/>
              <w:sz w:val="21"/>
              <w:szCs w:val="21"/>
            </w:rPr>
            <w:tab/>
          </w:r>
          <w:r>
            <w:rPr>
              <w:rFonts w:ascii="宋体" w:hAnsi="宋体"/>
              <w:sz w:val="21"/>
              <w:szCs w:val="21"/>
            </w:rPr>
            <w:fldChar w:fldCharType="begin"/>
          </w:r>
          <w:r>
            <w:rPr>
              <w:rFonts w:ascii="宋体" w:hAnsi="宋体"/>
              <w:sz w:val="21"/>
              <w:szCs w:val="21"/>
            </w:rPr>
            <w:instrText xml:space="preserve"> PAGEREF _Toc5845 \h </w:instrText>
          </w:r>
          <w:r>
            <w:rPr>
              <w:rFonts w:ascii="宋体" w:hAnsi="宋体"/>
              <w:sz w:val="21"/>
              <w:szCs w:val="21"/>
            </w:rPr>
            <w:fldChar w:fldCharType="separate"/>
          </w:r>
          <w:r>
            <w:rPr>
              <w:rFonts w:ascii="宋体" w:hAnsi="宋体"/>
              <w:sz w:val="21"/>
              <w:szCs w:val="21"/>
            </w:rPr>
            <w:t>4</w:t>
          </w:r>
          <w:r>
            <w:rPr>
              <w:rFonts w:ascii="宋体" w:hAnsi="宋体"/>
              <w:sz w:val="21"/>
              <w:szCs w:val="21"/>
            </w:rPr>
            <w:fldChar w:fldCharType="end"/>
          </w:r>
          <w:r>
            <w:rPr>
              <w:rFonts w:ascii="宋体" w:hAnsi="宋体"/>
              <w:sz w:val="21"/>
              <w:szCs w:val="21"/>
            </w:rPr>
            <w:fldChar w:fldCharType="end"/>
          </w:r>
        </w:p>
        <w:p>
          <w:pPr>
            <w:pStyle w:val="311"/>
            <w:tabs>
              <w:tab w:val="right" w:leader="dot" w:pos="8306"/>
            </w:tabs>
            <w:spacing w:line="350" w:lineRule="exact"/>
            <w:rPr>
              <w:rFonts w:ascii="宋体" w:hAnsi="宋体"/>
              <w:sz w:val="21"/>
              <w:szCs w:val="21"/>
            </w:rPr>
          </w:pPr>
          <w:r>
            <w:fldChar w:fldCharType="begin"/>
          </w:r>
          <w:r>
            <w:instrText xml:space="preserve"> HYPERLINK \l "_Toc15166" </w:instrText>
          </w:r>
          <w:r>
            <w:fldChar w:fldCharType="separate"/>
          </w:r>
          <w:r>
            <w:rPr>
              <w:rFonts w:ascii="宋体" w:hAnsi="宋体"/>
              <w:bCs/>
              <w:sz w:val="21"/>
              <w:szCs w:val="21"/>
            </w:rPr>
            <w:t>6 机房运维管理规范</w:t>
          </w:r>
          <w:r>
            <w:rPr>
              <w:rFonts w:ascii="宋体" w:hAnsi="宋体"/>
              <w:sz w:val="21"/>
              <w:szCs w:val="21"/>
            </w:rPr>
            <w:tab/>
          </w:r>
          <w:r>
            <w:rPr>
              <w:rFonts w:ascii="宋体" w:hAnsi="宋体"/>
              <w:sz w:val="21"/>
              <w:szCs w:val="21"/>
            </w:rPr>
            <w:fldChar w:fldCharType="begin"/>
          </w:r>
          <w:r>
            <w:rPr>
              <w:rFonts w:ascii="宋体" w:hAnsi="宋体"/>
              <w:sz w:val="21"/>
              <w:szCs w:val="21"/>
            </w:rPr>
            <w:instrText xml:space="preserve"> PAGEREF _Toc15166 \h </w:instrText>
          </w:r>
          <w:r>
            <w:rPr>
              <w:rFonts w:ascii="宋体" w:hAnsi="宋体"/>
              <w:sz w:val="21"/>
              <w:szCs w:val="21"/>
            </w:rPr>
            <w:fldChar w:fldCharType="separate"/>
          </w:r>
          <w:r>
            <w:rPr>
              <w:rFonts w:ascii="宋体" w:hAnsi="宋体"/>
              <w:sz w:val="21"/>
              <w:szCs w:val="21"/>
            </w:rPr>
            <w:t>15</w:t>
          </w:r>
          <w:r>
            <w:rPr>
              <w:rFonts w:ascii="宋体" w:hAnsi="宋体"/>
              <w:sz w:val="21"/>
              <w:szCs w:val="21"/>
            </w:rPr>
            <w:fldChar w:fldCharType="end"/>
          </w:r>
          <w:r>
            <w:rPr>
              <w:rFonts w:ascii="宋体" w:hAnsi="宋体"/>
              <w:sz w:val="21"/>
              <w:szCs w:val="21"/>
            </w:rPr>
            <w:fldChar w:fldCharType="end"/>
          </w:r>
        </w:p>
        <w:p>
          <w:pPr>
            <w:pStyle w:val="311"/>
            <w:tabs>
              <w:tab w:val="right" w:leader="dot" w:pos="8306"/>
            </w:tabs>
            <w:spacing w:line="350" w:lineRule="exact"/>
            <w:rPr>
              <w:rFonts w:ascii="宋体" w:hAnsi="宋体"/>
              <w:sz w:val="21"/>
              <w:szCs w:val="21"/>
            </w:rPr>
          </w:pPr>
          <w:r>
            <w:fldChar w:fldCharType="begin"/>
          </w:r>
          <w:r>
            <w:instrText xml:space="preserve"> HYPERLINK \l "_Toc4982" </w:instrText>
          </w:r>
          <w:r>
            <w:fldChar w:fldCharType="separate"/>
          </w:r>
          <w:r>
            <w:rPr>
              <w:rFonts w:ascii="宋体" w:hAnsi="宋体"/>
              <w:bCs/>
              <w:sz w:val="21"/>
              <w:szCs w:val="21"/>
            </w:rPr>
            <w:t>附</w:t>
          </w:r>
          <w:r>
            <w:rPr>
              <w:rFonts w:hint="eastAsia" w:ascii="宋体" w:hAnsi="宋体"/>
              <w:bCs/>
              <w:sz w:val="21"/>
              <w:szCs w:val="21"/>
            </w:rPr>
            <w:t>录</w:t>
          </w:r>
          <w:r>
            <w:rPr>
              <w:rFonts w:ascii="宋体" w:hAnsi="宋体"/>
              <w:sz w:val="21"/>
              <w:szCs w:val="21"/>
            </w:rPr>
            <w:tab/>
          </w:r>
          <w:r>
            <w:rPr>
              <w:rFonts w:ascii="宋体" w:hAnsi="宋体"/>
              <w:sz w:val="21"/>
              <w:szCs w:val="21"/>
            </w:rPr>
            <w:fldChar w:fldCharType="begin"/>
          </w:r>
          <w:r>
            <w:rPr>
              <w:rFonts w:ascii="宋体" w:hAnsi="宋体"/>
              <w:sz w:val="21"/>
              <w:szCs w:val="21"/>
            </w:rPr>
            <w:instrText xml:space="preserve"> PAGEREF _Toc4982 \h </w:instrText>
          </w:r>
          <w:r>
            <w:rPr>
              <w:rFonts w:ascii="宋体" w:hAnsi="宋体"/>
              <w:sz w:val="21"/>
              <w:szCs w:val="21"/>
            </w:rPr>
            <w:fldChar w:fldCharType="separate"/>
          </w:r>
          <w:r>
            <w:rPr>
              <w:rFonts w:ascii="宋体" w:hAnsi="宋体"/>
              <w:sz w:val="21"/>
              <w:szCs w:val="21"/>
            </w:rPr>
            <w:t>18</w:t>
          </w:r>
          <w:r>
            <w:rPr>
              <w:rFonts w:ascii="宋体" w:hAnsi="宋体"/>
              <w:sz w:val="21"/>
              <w:szCs w:val="21"/>
            </w:rPr>
            <w:fldChar w:fldCharType="end"/>
          </w:r>
          <w:r>
            <w:rPr>
              <w:rFonts w:ascii="宋体" w:hAnsi="宋体"/>
              <w:sz w:val="21"/>
              <w:szCs w:val="21"/>
            </w:rPr>
            <w:fldChar w:fldCharType="end"/>
          </w:r>
        </w:p>
        <w:p>
          <w:pPr>
            <w:ind w:firstLine="420"/>
            <w:rPr>
              <w:rFonts w:ascii="Times New Roman" w:hAnsi="Times New Roman" w:cs="Times New Roman"/>
              <w:sz w:val="24"/>
              <w:szCs w:val="24"/>
            </w:rPr>
            <w:sectPr>
              <w:headerReference r:id="rId5" w:type="default"/>
              <w:footerReference r:id="rId6" w:type="default"/>
              <w:pgSz w:w="11906" w:h="16838"/>
              <w:pgMar w:top="1440" w:right="1800" w:bottom="1440" w:left="1800" w:header="851" w:footer="992" w:gutter="0"/>
              <w:pgNumType w:fmt="upperRoman" w:start="1"/>
              <w:cols w:space="425" w:num="1"/>
              <w:docGrid w:type="lines" w:linePitch="312" w:charSpace="0"/>
            </w:sectPr>
          </w:pPr>
          <w:r>
            <w:rPr>
              <w:rFonts w:ascii="Times New Roman" w:hAnsi="Times New Roman" w:cs="Times New Roman"/>
              <w:szCs w:val="24"/>
            </w:rPr>
            <w:fldChar w:fldCharType="end"/>
          </w:r>
        </w:p>
      </w:sdtContent>
    </w:sdt>
    <w:p>
      <w:pPr>
        <w:widowControl/>
        <w:shd w:val="clear" w:color="FFFFFF" w:fill="FFFFFF"/>
        <w:adjustRightInd w:val="0"/>
        <w:spacing w:before="567" w:after="680" w:line="310" w:lineRule="exact"/>
        <w:jc w:val="center"/>
        <w:outlineLvl w:val="0"/>
        <w:rPr>
          <w:rFonts w:ascii="Times New Roman" w:hAnsi="Times New Roman" w:eastAsia="黑体" w:cs="Times New Roman"/>
          <w:kern w:val="0"/>
          <w:sz w:val="32"/>
          <w:szCs w:val="20"/>
        </w:rPr>
      </w:pPr>
      <w:bookmarkStart w:id="0" w:name="_Toc18063"/>
      <w:bookmarkStart w:id="1" w:name="_Toc23933"/>
      <w:bookmarkStart w:id="2" w:name="_Toc50019482"/>
      <w:bookmarkStart w:id="3" w:name="_Toc113007579"/>
      <w:bookmarkStart w:id="4" w:name="_Toc10874"/>
      <w:bookmarkStart w:id="5" w:name="SectionMark2"/>
      <w:r>
        <w:rPr>
          <w:rFonts w:ascii="Times New Roman" w:hAnsi="Times New Roman" w:eastAsia="黑体" w:cs="Times New Roman"/>
          <w:kern w:val="0"/>
          <w:sz w:val="32"/>
          <w:szCs w:val="20"/>
        </w:rPr>
        <w:t>前 言</w:t>
      </w:r>
      <w:bookmarkEnd w:id="0"/>
      <w:bookmarkEnd w:id="1"/>
      <w:bookmarkEnd w:id="2"/>
      <w:bookmarkEnd w:id="3"/>
      <w:bookmarkEnd w:id="4"/>
    </w:p>
    <w:p>
      <w:pPr>
        <w:tabs>
          <w:tab w:val="left" w:pos="9355"/>
        </w:tabs>
        <w:adjustRightInd w:val="0"/>
        <w:spacing w:line="350" w:lineRule="exact"/>
        <w:ind w:firstLine="420" w:firstLineChars="200"/>
        <w:rPr>
          <w:rFonts w:ascii="Times New Roman" w:hAnsi="Times New Roman" w:eastAsia="宋体" w:cs="Times New Roman"/>
        </w:rPr>
      </w:pPr>
      <w:bookmarkStart w:id="6" w:name="_Toc309568415"/>
      <w:bookmarkStart w:id="7" w:name="_Toc309568531"/>
      <w:bookmarkStart w:id="8" w:name="_Toc309568438"/>
      <w:bookmarkStart w:id="9" w:name="_Toc309567896"/>
      <w:bookmarkStart w:id="10" w:name="_Toc309567958"/>
      <w:r>
        <w:rPr>
          <w:rFonts w:ascii="Times New Roman" w:hAnsi="Times New Roman" w:eastAsia="宋体" w:cs="Times New Roman"/>
        </w:rPr>
        <w:t>本标准依据《林业信息化标准化指南》，结合湖南省林业</w:t>
      </w:r>
      <w:r>
        <w:rPr>
          <w:rFonts w:hint="eastAsia" w:ascii="Times New Roman" w:hAnsi="Times New Roman" w:eastAsia="宋体" w:cs="Times New Roman"/>
        </w:rPr>
        <w:t>信息化系统运维和服务</w:t>
      </w:r>
      <w:r>
        <w:rPr>
          <w:rFonts w:ascii="Times New Roman" w:hAnsi="Times New Roman" w:eastAsia="宋体" w:cs="Times New Roman"/>
        </w:rPr>
        <w:t>实际需求制定。</w:t>
      </w:r>
    </w:p>
    <w:p>
      <w:pPr>
        <w:tabs>
          <w:tab w:val="left" w:pos="9355"/>
        </w:tabs>
        <w:adjustRightInd w:val="0"/>
        <w:spacing w:line="350" w:lineRule="exact"/>
        <w:ind w:firstLine="420" w:firstLineChars="200"/>
        <w:rPr>
          <w:rFonts w:ascii="Times New Roman" w:hAnsi="Times New Roman" w:eastAsia="宋体" w:cs="Times New Roman"/>
        </w:rPr>
      </w:pPr>
      <w:r>
        <w:rPr>
          <w:rFonts w:hint="eastAsia" w:ascii="Times New Roman" w:hAnsi="Times New Roman" w:eastAsia="宋体" w:cs="Times New Roman"/>
        </w:rPr>
        <w:t>本文件规定了湖南省林业信息化系统运维和服务流程，包括服务内容、服务一般要求、服务方式、应急管理、问题管理、变更管理、配置管理、发布管理、服务级别管理、能力和可用性管理、持续性管理、知识管理，以及运维服务支撑和运维保障的标准化内容。</w:t>
      </w:r>
    </w:p>
    <w:p>
      <w:pPr>
        <w:tabs>
          <w:tab w:val="left" w:pos="9355"/>
        </w:tabs>
        <w:adjustRightInd w:val="0"/>
        <w:spacing w:line="350" w:lineRule="exact"/>
        <w:ind w:firstLine="420" w:firstLineChars="200"/>
        <w:rPr>
          <w:rFonts w:ascii="Times New Roman" w:hAnsi="Times New Roman" w:eastAsia="宋体" w:cs="Times New Roman"/>
        </w:rPr>
      </w:pPr>
      <w:r>
        <w:rPr>
          <w:rFonts w:ascii="Times New Roman" w:hAnsi="Times New Roman" w:eastAsia="宋体" w:cs="Times New Roman"/>
        </w:rPr>
        <w:t>本标准主要适用于湖南省林业信息化系统运维和服务的规范性操作及各类组织。</w:t>
      </w:r>
    </w:p>
    <w:p>
      <w:pPr>
        <w:tabs>
          <w:tab w:val="left" w:pos="9355"/>
        </w:tabs>
        <w:adjustRightInd w:val="0"/>
        <w:spacing w:line="350" w:lineRule="exact"/>
        <w:ind w:firstLine="420" w:firstLineChars="200"/>
        <w:rPr>
          <w:rFonts w:ascii="Times New Roman" w:hAnsi="Times New Roman" w:eastAsia="宋体" w:cs="Times New Roman"/>
        </w:rPr>
      </w:pPr>
      <w:r>
        <w:rPr>
          <w:rFonts w:ascii="Times New Roman" w:hAnsi="Times New Roman" w:eastAsia="宋体" w:cs="Times New Roman"/>
        </w:rPr>
        <w:t>本标准由湖南省林业局提出。</w:t>
      </w:r>
    </w:p>
    <w:p>
      <w:pPr>
        <w:tabs>
          <w:tab w:val="left" w:pos="9355"/>
        </w:tabs>
        <w:adjustRightInd w:val="0"/>
        <w:spacing w:line="350" w:lineRule="exact"/>
        <w:ind w:firstLine="420" w:firstLineChars="200"/>
        <w:rPr>
          <w:rFonts w:ascii="Times New Roman" w:hAnsi="Times New Roman" w:eastAsia="宋体" w:cs="Times New Roman"/>
        </w:rPr>
      </w:pPr>
      <w:r>
        <w:rPr>
          <w:rFonts w:ascii="Times New Roman" w:hAnsi="Times New Roman" w:eastAsia="宋体" w:cs="Times New Roman"/>
        </w:rPr>
        <w:t>本标准由湖南省林业局归口。</w:t>
      </w:r>
    </w:p>
    <w:p>
      <w:pPr>
        <w:tabs>
          <w:tab w:val="left" w:pos="9355"/>
        </w:tabs>
        <w:adjustRightInd w:val="0"/>
        <w:spacing w:line="350" w:lineRule="exact"/>
        <w:ind w:firstLine="420" w:firstLineChars="200"/>
        <w:rPr>
          <w:rFonts w:ascii="Times New Roman" w:hAnsi="Times New Roman" w:eastAsia="宋体" w:cs="Times New Roman"/>
        </w:rPr>
      </w:pPr>
      <w:r>
        <w:rPr>
          <w:rFonts w:ascii="Times New Roman" w:hAnsi="Times New Roman" w:eastAsia="宋体" w:cs="Times New Roman"/>
        </w:rPr>
        <w:t>本标准起草单位：湖南省林业局、</w:t>
      </w:r>
      <w:r>
        <w:rPr>
          <w:rFonts w:hint="eastAsia" w:ascii="Times New Roman" w:hAnsi="Times New Roman" w:eastAsia="宋体" w:cs="Times New Roman"/>
          <w:szCs w:val="24"/>
        </w:rPr>
        <w:t>湖南省农林工业勘察设计研究总院、</w:t>
      </w:r>
      <w:r>
        <w:rPr>
          <w:rFonts w:ascii="Times New Roman" w:hAnsi="Times New Roman" w:eastAsia="宋体" w:cs="Times New Roman"/>
        </w:rPr>
        <w:t>航天宏图信息技术股份有限公司。</w:t>
      </w:r>
    </w:p>
    <w:bookmarkEnd w:id="6"/>
    <w:bookmarkEnd w:id="7"/>
    <w:bookmarkEnd w:id="8"/>
    <w:bookmarkEnd w:id="9"/>
    <w:bookmarkEnd w:id="10"/>
    <w:p>
      <w:pPr>
        <w:tabs>
          <w:tab w:val="left" w:pos="9355"/>
        </w:tabs>
        <w:adjustRightInd w:val="0"/>
        <w:spacing w:line="350" w:lineRule="exact"/>
        <w:ind w:firstLine="420" w:firstLineChars="200"/>
        <w:rPr>
          <w:rFonts w:ascii="Times New Roman" w:hAnsi="Times New Roman" w:eastAsia="宋体" w:cs="Times New Roman"/>
        </w:rPr>
      </w:pPr>
      <w:r>
        <w:rPr>
          <w:rFonts w:ascii="Times New Roman" w:hAnsi="Times New Roman" w:eastAsia="宋体" w:cs="Times New Roman"/>
        </w:rPr>
        <w:t>本标准主要起草人：</w:t>
      </w:r>
      <w:r>
        <w:rPr>
          <w:rFonts w:hint="eastAsia" w:ascii="Times New Roman" w:hAnsi="Times New Roman" w:eastAsia="宋体" w:cs="Times New Roman"/>
          <w:szCs w:val="24"/>
        </w:rPr>
        <w:t>徐海文、汪丽、谢玉成、王宇翔、范磊、李丹彤、文兆能、贾大鹏。</w:t>
      </w:r>
    </w:p>
    <w:p>
      <w:pPr>
        <w:pStyle w:val="119"/>
        <w:spacing w:line="350" w:lineRule="exact"/>
        <w:ind w:left="420" w:firstLineChars="0"/>
        <w:rPr>
          <w:rFonts w:cs="Times New Roman"/>
        </w:rPr>
        <w:sectPr>
          <w:headerReference r:id="rId7" w:type="default"/>
          <w:footerReference r:id="rId9" w:type="default"/>
          <w:headerReference r:id="rId8" w:type="even"/>
          <w:footerReference r:id="rId10" w:type="even"/>
          <w:pgSz w:w="11907" w:h="16839"/>
          <w:pgMar w:top="1418" w:right="1134" w:bottom="1134" w:left="1418" w:header="850" w:footer="992" w:gutter="0"/>
          <w:pgNumType w:fmt="upperRoman" w:start="2"/>
          <w:cols w:space="425" w:num="1"/>
          <w:docGrid w:type="lines" w:linePitch="312" w:charSpace="0"/>
        </w:sectPr>
      </w:pPr>
    </w:p>
    <w:bookmarkEnd w:id="5"/>
    <w:p>
      <w:pPr>
        <w:jc w:val="center"/>
        <w:outlineLvl w:val="0"/>
        <w:rPr>
          <w:rFonts w:ascii="Times New Roman" w:hAnsi="Times New Roman" w:cs="Times New Roman"/>
          <w:sz w:val="32"/>
          <w:szCs w:val="36"/>
        </w:rPr>
      </w:pPr>
      <w:bookmarkStart w:id="11" w:name="_Toc7454"/>
      <w:bookmarkStart w:id="12" w:name="_Toc11826"/>
      <w:r>
        <w:rPr>
          <w:rFonts w:ascii="Times New Roman" w:hAnsi="Times New Roman" w:cs="Times New Roman"/>
          <w:sz w:val="32"/>
          <w:szCs w:val="36"/>
        </w:rPr>
        <w:t>林业信息化系统运维和服务规范</w:t>
      </w:r>
      <w:bookmarkEnd w:id="11"/>
      <w:bookmarkEnd w:id="12"/>
    </w:p>
    <w:p>
      <w:pPr>
        <w:pStyle w:val="306"/>
        <w:numPr>
          <w:ilvl w:val="1"/>
          <w:numId w:val="26"/>
        </w:numPr>
        <w:adjustRightInd w:val="0"/>
        <w:snapToGrid w:val="0"/>
        <w:spacing w:before="240" w:beforeLines="100" w:after="240" w:afterLines="100" w:line="350" w:lineRule="exact"/>
        <w:ind w:left="0" w:right="0" w:rightChars="0"/>
        <w:outlineLvl w:val="0"/>
        <w:rPr>
          <w:rFonts w:ascii="Times New Roman"/>
          <w:b/>
          <w:bCs/>
          <w:szCs w:val="24"/>
        </w:rPr>
      </w:pPr>
      <w:bookmarkStart w:id="13" w:name="_Toc19598"/>
      <w:bookmarkStart w:id="14" w:name="_Toc25467"/>
      <w:r>
        <w:rPr>
          <w:rFonts w:ascii="Times New Roman"/>
          <w:b/>
          <w:bCs/>
          <w:szCs w:val="24"/>
        </w:rPr>
        <w:t>范围</w:t>
      </w:r>
      <w:bookmarkEnd w:id="13"/>
      <w:bookmarkEnd w:id="14"/>
    </w:p>
    <w:p>
      <w:pPr>
        <w:tabs>
          <w:tab w:val="left" w:pos="9355"/>
        </w:tabs>
        <w:adjustRightInd w:val="0"/>
        <w:spacing w:line="350" w:lineRule="exact"/>
        <w:ind w:firstLine="420" w:firstLineChars="200"/>
        <w:rPr>
          <w:rFonts w:ascii="Times New Roman" w:hAnsi="Times New Roman" w:eastAsia="宋体" w:cs="Times New Roman"/>
        </w:rPr>
      </w:pPr>
      <w:r>
        <w:rPr>
          <w:rFonts w:hint="eastAsia" w:ascii="Times New Roman" w:hAnsi="Times New Roman" w:eastAsia="宋体" w:cs="Times New Roman"/>
        </w:rPr>
        <w:t>本文件规定了湖南省林业信息化系统运维和服务流程，包括服务内容、服务一般要求、服务方式、应急管理、问题管理、变更管理、配置管理、发布管理、服务级别管理、能力和可用性管理、持续性管理、知识管理，以及运维服务支撑和运维保障的标准化内容。</w:t>
      </w:r>
    </w:p>
    <w:p>
      <w:pPr>
        <w:tabs>
          <w:tab w:val="left" w:pos="9355"/>
        </w:tabs>
        <w:adjustRightInd w:val="0"/>
        <w:spacing w:line="350" w:lineRule="exact"/>
        <w:ind w:firstLine="420" w:firstLineChars="200"/>
        <w:rPr>
          <w:rFonts w:ascii="Times New Roman" w:hAnsi="Times New Roman" w:eastAsia="宋体" w:cs="Times New Roman"/>
        </w:rPr>
      </w:pPr>
      <w:r>
        <w:rPr>
          <w:rFonts w:ascii="Times New Roman" w:hAnsi="Times New Roman" w:eastAsia="宋体" w:cs="Times New Roman"/>
        </w:rPr>
        <w:t>本文件适用于湖南省林业信息化系统运维和服务的规范性操作及各类组织。</w:t>
      </w:r>
    </w:p>
    <w:p>
      <w:pPr>
        <w:pStyle w:val="306"/>
        <w:numPr>
          <w:ilvl w:val="1"/>
          <w:numId w:val="26"/>
        </w:numPr>
        <w:adjustRightInd w:val="0"/>
        <w:snapToGrid w:val="0"/>
        <w:spacing w:before="240" w:beforeLines="100" w:after="240" w:afterLines="100" w:line="350" w:lineRule="exact"/>
        <w:ind w:left="0" w:right="0" w:rightChars="0"/>
        <w:outlineLvl w:val="0"/>
        <w:rPr>
          <w:rFonts w:ascii="Times New Roman"/>
          <w:b/>
          <w:bCs/>
          <w:szCs w:val="24"/>
        </w:rPr>
      </w:pPr>
      <w:bookmarkStart w:id="15" w:name="_Toc128276458"/>
      <w:bookmarkStart w:id="16" w:name="_Toc243663197"/>
      <w:bookmarkStart w:id="17" w:name="_Toc243662654"/>
      <w:bookmarkStart w:id="18" w:name="_Toc8985"/>
      <w:bookmarkStart w:id="19" w:name="_Toc278634746"/>
      <w:bookmarkStart w:id="20" w:name="_Toc278637094"/>
      <w:bookmarkStart w:id="21" w:name="_Toc246864957"/>
      <w:bookmarkStart w:id="22" w:name="_Toc247468070"/>
      <w:bookmarkStart w:id="23" w:name="_Toc246951920"/>
      <w:bookmarkStart w:id="24" w:name="_Toc23328"/>
      <w:bookmarkStart w:id="25" w:name="_Toc278633575"/>
      <w:r>
        <w:rPr>
          <w:rFonts w:ascii="Times New Roman"/>
          <w:b/>
          <w:bCs/>
          <w:szCs w:val="24"/>
        </w:rPr>
        <w:t>规范性引用文件</w:t>
      </w:r>
      <w:bookmarkEnd w:id="15"/>
      <w:bookmarkEnd w:id="16"/>
      <w:bookmarkEnd w:id="17"/>
      <w:bookmarkEnd w:id="18"/>
      <w:bookmarkEnd w:id="19"/>
      <w:bookmarkEnd w:id="20"/>
      <w:bookmarkEnd w:id="21"/>
      <w:bookmarkEnd w:id="22"/>
      <w:bookmarkEnd w:id="23"/>
      <w:bookmarkEnd w:id="24"/>
      <w:bookmarkEnd w:id="25"/>
    </w:p>
    <w:p>
      <w:pPr>
        <w:pStyle w:val="119"/>
        <w:spacing w:line="350" w:lineRule="exact"/>
        <w:rPr>
          <w:rFonts w:cs="Times New Roman"/>
        </w:rPr>
      </w:pPr>
      <w:r>
        <w:rPr>
          <w:rFonts w:cs="Times New Roman"/>
        </w:rPr>
        <w:t>下列文件对于本文件的应用是必不可少的。凡是注日期的引用文件，仅注日期的版本适用于本文件。凡是不注日期的引用文件，其最新版本（包括所有的修改单）适用于本文件。</w:t>
      </w:r>
    </w:p>
    <w:p>
      <w:pPr>
        <w:pStyle w:val="119"/>
        <w:spacing w:line="350" w:lineRule="exact"/>
        <w:rPr>
          <w:rFonts w:cs="Times New Roman"/>
        </w:rPr>
      </w:pPr>
      <w:bookmarkStart w:id="26" w:name="_Toc246951921"/>
      <w:bookmarkStart w:id="27" w:name="_Toc246864958"/>
      <w:bookmarkStart w:id="28" w:name="_Toc247468071"/>
      <w:bookmarkStart w:id="29" w:name="_Toc243662655"/>
      <w:bookmarkStart w:id="30" w:name="_Toc278637095"/>
      <w:bookmarkStart w:id="31" w:name="_Toc243663198"/>
      <w:r>
        <w:rPr>
          <w:rFonts w:cs="Times New Roman"/>
        </w:rPr>
        <w:t>GB/T24405.1—2009 信息技术服务管理 第1部分：规范</w:t>
      </w:r>
    </w:p>
    <w:p>
      <w:pPr>
        <w:pStyle w:val="119"/>
        <w:spacing w:line="350" w:lineRule="exact"/>
        <w:rPr>
          <w:rFonts w:cs="Times New Roman"/>
        </w:rPr>
      </w:pPr>
      <w:r>
        <w:rPr>
          <w:rFonts w:cs="Times New Roman"/>
        </w:rPr>
        <w:t>GB/T 28827.3—2012 信息技术服务 运行维护</w:t>
      </w:r>
    </w:p>
    <w:p>
      <w:pPr>
        <w:pStyle w:val="119"/>
        <w:spacing w:line="350" w:lineRule="exact"/>
        <w:rPr>
          <w:rFonts w:cs="Times New Roman"/>
        </w:rPr>
      </w:pPr>
      <w:r>
        <w:rPr>
          <w:rFonts w:cs="Times New Roman"/>
        </w:rPr>
        <w:t>GB17859 计算机信息系统安全保护等级划分准</w:t>
      </w:r>
    </w:p>
    <w:p>
      <w:pPr>
        <w:pStyle w:val="306"/>
        <w:numPr>
          <w:ilvl w:val="1"/>
          <w:numId w:val="26"/>
        </w:numPr>
        <w:adjustRightInd w:val="0"/>
        <w:snapToGrid w:val="0"/>
        <w:spacing w:before="240" w:beforeLines="100" w:after="240" w:afterLines="100" w:line="350" w:lineRule="exact"/>
        <w:ind w:left="0" w:right="0" w:rightChars="0"/>
        <w:outlineLvl w:val="0"/>
        <w:rPr>
          <w:rFonts w:ascii="Times New Roman"/>
          <w:b/>
          <w:bCs/>
          <w:szCs w:val="24"/>
        </w:rPr>
      </w:pPr>
      <w:bookmarkStart w:id="32" w:name="_Toc15181"/>
      <w:bookmarkStart w:id="33" w:name="_Toc32748"/>
      <w:r>
        <w:rPr>
          <w:rFonts w:ascii="Times New Roman"/>
          <w:b/>
          <w:bCs/>
          <w:szCs w:val="24"/>
        </w:rPr>
        <w:t>术语和定义</w:t>
      </w:r>
      <w:bookmarkEnd w:id="26"/>
      <w:bookmarkEnd w:id="27"/>
      <w:bookmarkEnd w:id="28"/>
      <w:bookmarkEnd w:id="29"/>
      <w:bookmarkEnd w:id="30"/>
      <w:bookmarkEnd w:id="31"/>
      <w:bookmarkEnd w:id="32"/>
      <w:bookmarkEnd w:id="33"/>
    </w:p>
    <w:p>
      <w:pPr>
        <w:pStyle w:val="309"/>
        <w:spacing w:line="350" w:lineRule="exact"/>
        <w:ind w:right="-105"/>
        <w:rPr>
          <w:rFonts w:ascii="Times New Roman"/>
        </w:rPr>
      </w:pPr>
      <w:r>
        <w:rPr>
          <w:rFonts w:ascii="Times New Roman"/>
        </w:rPr>
        <w:t>运维服务</w:t>
      </w:r>
    </w:p>
    <w:p>
      <w:pPr>
        <w:pStyle w:val="119"/>
        <w:spacing w:line="350" w:lineRule="exact"/>
        <w:rPr>
          <w:rFonts w:cs="Times New Roman"/>
        </w:rPr>
      </w:pPr>
      <w:r>
        <w:rPr>
          <w:rFonts w:cs="Times New Roman"/>
        </w:rPr>
        <w:t>采用信息技术手段及方法，根据需方（指湖南林业信息化管理部门）提出的服务级别要求，对其所使用的信息系统运行环境、业务系统等提供的综合服务。</w:t>
      </w:r>
    </w:p>
    <w:p>
      <w:pPr>
        <w:pStyle w:val="309"/>
        <w:spacing w:line="350" w:lineRule="exact"/>
        <w:ind w:right="-105"/>
        <w:rPr>
          <w:rFonts w:ascii="Times New Roman"/>
        </w:rPr>
      </w:pPr>
      <w:r>
        <w:rPr>
          <w:rFonts w:ascii="Times New Roman"/>
        </w:rPr>
        <w:t>应急响应</w:t>
      </w:r>
    </w:p>
    <w:p>
      <w:pPr>
        <w:pStyle w:val="119"/>
        <w:spacing w:line="350" w:lineRule="exact"/>
        <w:rPr>
          <w:rFonts w:cs="Times New Roman"/>
        </w:rPr>
      </w:pPr>
      <w:r>
        <w:rPr>
          <w:rFonts w:cs="Times New Roman"/>
        </w:rPr>
        <w:t>组织为预防、监控、处置和管理应急事件所采取的措施和活动。</w:t>
      </w:r>
    </w:p>
    <w:p>
      <w:pPr>
        <w:pStyle w:val="309"/>
        <w:spacing w:line="350" w:lineRule="exact"/>
        <w:ind w:right="-105"/>
        <w:rPr>
          <w:rFonts w:ascii="Times New Roman"/>
        </w:rPr>
      </w:pPr>
      <w:r>
        <w:rPr>
          <w:rFonts w:ascii="Times New Roman"/>
        </w:rPr>
        <w:t>应急事件</w:t>
      </w:r>
    </w:p>
    <w:p>
      <w:pPr>
        <w:pStyle w:val="119"/>
        <w:spacing w:line="350" w:lineRule="exact"/>
        <w:rPr>
          <w:rFonts w:cs="Times New Roman"/>
        </w:rPr>
      </w:pPr>
      <w:r>
        <w:rPr>
          <w:rFonts w:cs="Times New Roman"/>
        </w:rPr>
        <w:t>导致或即将导致运行维护服务对象运行中断、运行质量降低的故障。</w:t>
      </w:r>
    </w:p>
    <w:p>
      <w:pPr>
        <w:pStyle w:val="309"/>
        <w:spacing w:line="350" w:lineRule="exact"/>
        <w:ind w:right="-105"/>
        <w:rPr>
          <w:rFonts w:ascii="Times New Roman"/>
        </w:rPr>
      </w:pPr>
      <w:r>
        <w:rPr>
          <w:rFonts w:ascii="Times New Roman"/>
        </w:rPr>
        <w:t>运维团队</w:t>
      </w:r>
    </w:p>
    <w:p>
      <w:pPr>
        <w:pStyle w:val="119"/>
        <w:spacing w:line="350" w:lineRule="exact"/>
        <w:rPr>
          <w:rFonts w:cs="Times New Roman"/>
        </w:rPr>
      </w:pPr>
      <w:r>
        <w:rPr>
          <w:rFonts w:cs="Times New Roman"/>
        </w:rPr>
        <w:t>运维项目日常运维涉及的服务台、一线、二线运维人员。</w:t>
      </w:r>
    </w:p>
    <w:p>
      <w:pPr>
        <w:pStyle w:val="306"/>
        <w:numPr>
          <w:ilvl w:val="1"/>
          <w:numId w:val="26"/>
        </w:numPr>
        <w:adjustRightInd w:val="0"/>
        <w:snapToGrid w:val="0"/>
        <w:spacing w:before="240" w:beforeLines="100" w:after="240" w:afterLines="100" w:line="350" w:lineRule="exact"/>
        <w:ind w:left="0" w:right="0" w:rightChars="0"/>
        <w:outlineLvl w:val="0"/>
        <w:rPr>
          <w:rFonts w:ascii="Times New Roman"/>
          <w:b/>
          <w:bCs/>
          <w:szCs w:val="24"/>
        </w:rPr>
      </w:pPr>
      <w:bookmarkStart w:id="34" w:name="_Toc24312"/>
      <w:bookmarkStart w:id="35" w:name="_Toc14257"/>
      <w:bookmarkStart w:id="36" w:name="_Toc500855299"/>
      <w:bookmarkStart w:id="37" w:name="_Toc375423992"/>
      <w:r>
        <w:rPr>
          <w:rFonts w:ascii="Times New Roman"/>
          <w:b/>
          <w:bCs/>
          <w:szCs w:val="24"/>
        </w:rPr>
        <w:t>运维服务支撑规范</w:t>
      </w:r>
      <w:bookmarkEnd w:id="34"/>
      <w:bookmarkEnd w:id="35"/>
    </w:p>
    <w:bookmarkEnd w:id="36"/>
    <w:bookmarkEnd w:id="37"/>
    <w:p>
      <w:pPr>
        <w:pStyle w:val="119"/>
        <w:spacing w:line="350" w:lineRule="exact"/>
        <w:rPr>
          <w:rFonts w:cs="Times New Roman"/>
          <w:szCs w:val="21"/>
          <w:lang w:val="de-DE"/>
        </w:rPr>
      </w:pPr>
      <w:r>
        <w:rPr>
          <w:rFonts w:hint="eastAsia" w:cs="Times New Roman"/>
          <w:szCs w:val="21"/>
          <w:lang w:val="de-DE"/>
        </w:rPr>
        <w:t>运维服务支撑以面向使用机构提供运维服务为主旨，对运维服务的服务内容和服务方式进行规定，对林业信息化平台的资源监控、资源优化、资源配置和安全保障等日常运行服务进行要求，确保为用户提供安全可靠的主动运行保障服务。</w:t>
      </w:r>
    </w:p>
    <w:p>
      <w:pPr>
        <w:pStyle w:val="309"/>
        <w:spacing w:line="350" w:lineRule="exact"/>
        <w:ind w:right="-105"/>
        <w:rPr>
          <w:rFonts w:ascii="Times New Roman"/>
        </w:rPr>
      </w:pPr>
      <w:bookmarkStart w:id="38" w:name="_Toc500855307"/>
      <w:r>
        <w:rPr>
          <w:rFonts w:ascii="Times New Roman"/>
        </w:rPr>
        <w:t>服务内容</w:t>
      </w:r>
      <w:bookmarkEnd w:id="38"/>
    </w:p>
    <w:p>
      <w:pPr>
        <w:numPr>
          <w:ilvl w:val="0"/>
          <w:numId w:val="27"/>
        </w:numPr>
        <w:spacing w:line="350" w:lineRule="exact"/>
        <w:ind w:firstLine="420"/>
        <w:rPr>
          <w:rFonts w:ascii="Times New Roman" w:hAnsi="Times New Roman" w:eastAsia="宋体" w:cs="Times New Roman"/>
          <w:szCs w:val="21"/>
        </w:rPr>
      </w:pPr>
      <w:r>
        <w:rPr>
          <w:rFonts w:ascii="Times New Roman" w:hAnsi="Times New Roman" w:eastAsia="宋体" w:cs="Times New Roman"/>
          <w:szCs w:val="21"/>
        </w:rPr>
        <w:t>信息资产运维:包括掌握平台运行所需软件资源信息和相关配置信息等；</w:t>
      </w:r>
    </w:p>
    <w:p>
      <w:pPr>
        <w:numPr>
          <w:ilvl w:val="0"/>
          <w:numId w:val="27"/>
        </w:numPr>
        <w:spacing w:line="350" w:lineRule="exact"/>
        <w:ind w:firstLine="420"/>
        <w:rPr>
          <w:rFonts w:ascii="Times New Roman" w:hAnsi="Times New Roman" w:eastAsia="宋体" w:cs="Times New Roman"/>
          <w:szCs w:val="21"/>
        </w:rPr>
      </w:pPr>
      <w:r>
        <w:rPr>
          <w:rFonts w:hint="eastAsia" w:ascii="Times New Roman" w:hAnsi="Times New Roman" w:eastAsia="宋体" w:cs="Times New Roman"/>
          <w:szCs w:val="21"/>
        </w:rPr>
        <w:t>网络</w:t>
      </w:r>
      <w:r>
        <w:rPr>
          <w:rFonts w:ascii="Times New Roman" w:hAnsi="Times New Roman" w:eastAsia="宋体" w:cs="Times New Roman"/>
          <w:szCs w:val="21"/>
        </w:rPr>
        <w:t>系统运维:包括设备基础信息性能监测、网络带宽及实时流量监测及网络链路状态监测等；</w:t>
      </w:r>
    </w:p>
    <w:p>
      <w:pPr>
        <w:numPr>
          <w:ilvl w:val="0"/>
          <w:numId w:val="27"/>
        </w:numPr>
        <w:spacing w:line="350" w:lineRule="exact"/>
        <w:ind w:firstLine="420"/>
        <w:rPr>
          <w:rFonts w:ascii="Times New Roman" w:hAnsi="Times New Roman" w:cs="Times New Roman"/>
        </w:rPr>
      </w:pPr>
      <w:r>
        <w:rPr>
          <w:rFonts w:ascii="Times New Roman" w:hAnsi="Times New Roman" w:eastAsia="宋体" w:cs="Times New Roman"/>
          <w:szCs w:val="21"/>
        </w:rPr>
        <w:t>硬件设备运维:包括主机（集群）运行情况、存储设备监控与报警监测、设备运行状况及故障排查及处理、设备管理日常维护。</w:t>
      </w:r>
    </w:p>
    <w:p>
      <w:pPr>
        <w:numPr>
          <w:ilvl w:val="0"/>
          <w:numId w:val="27"/>
        </w:numPr>
        <w:spacing w:line="350" w:lineRule="exact"/>
        <w:ind w:firstLine="420"/>
        <w:rPr>
          <w:rFonts w:ascii="Times New Roman" w:hAnsi="Times New Roman" w:cs="Times New Roman"/>
        </w:rPr>
      </w:pPr>
      <w:r>
        <w:rPr>
          <w:rFonts w:ascii="Times New Roman" w:hAnsi="Times New Roman" w:eastAsia="宋体" w:cs="Times New Roman"/>
          <w:szCs w:val="21"/>
        </w:rPr>
        <w:t>软件系统运维：包括对平常基础环境、功能模块、数据库、运用系统、安全系统的安装部署及调试等。</w:t>
      </w:r>
    </w:p>
    <w:p>
      <w:pPr>
        <w:pStyle w:val="309"/>
        <w:ind w:right="-105"/>
        <w:rPr>
          <w:rFonts w:ascii="Times New Roman"/>
        </w:rPr>
      </w:pPr>
      <w:r>
        <w:rPr>
          <w:rFonts w:ascii="Times New Roman"/>
        </w:rPr>
        <w:t>服务一般要求</w:t>
      </w:r>
    </w:p>
    <w:p>
      <w:pPr>
        <w:numPr>
          <w:ilvl w:val="0"/>
          <w:numId w:val="28"/>
        </w:numPr>
        <w:tabs>
          <w:tab w:val="left" w:pos="360"/>
        </w:tabs>
        <w:autoSpaceDE w:val="0"/>
        <w:autoSpaceDN w:val="0"/>
        <w:adjustRightInd w:val="0"/>
        <w:spacing w:line="360" w:lineRule="auto"/>
        <w:ind w:left="420"/>
        <w:jc w:val="left"/>
        <w:rPr>
          <w:rFonts w:ascii="Times New Roman" w:hAnsi="Times New Roman" w:eastAsia="宋体" w:cs="Times New Roman"/>
          <w:kern w:val="0"/>
        </w:rPr>
      </w:pPr>
      <w:r>
        <w:rPr>
          <w:rFonts w:ascii="Times New Roman" w:hAnsi="Times New Roman" w:eastAsia="宋体" w:cs="Times New Roman"/>
          <w:kern w:val="0"/>
        </w:rPr>
        <w:t>服务的分级，由高到低，分为一到四级服务，分别包括2小时恢复、4小时恢复、8小时恢复、24小时恢复系统正常运行。</w:t>
      </w:r>
    </w:p>
    <w:p>
      <w:pPr>
        <w:numPr>
          <w:ilvl w:val="0"/>
          <w:numId w:val="28"/>
        </w:numPr>
        <w:tabs>
          <w:tab w:val="left" w:pos="360"/>
        </w:tabs>
        <w:autoSpaceDE w:val="0"/>
        <w:autoSpaceDN w:val="0"/>
        <w:adjustRightInd w:val="0"/>
        <w:spacing w:line="360" w:lineRule="auto"/>
        <w:ind w:left="420"/>
        <w:jc w:val="left"/>
        <w:rPr>
          <w:rFonts w:ascii="Times New Roman" w:hAnsi="Times New Roman" w:eastAsia="宋体" w:cs="Times New Roman"/>
          <w:kern w:val="0"/>
        </w:rPr>
      </w:pPr>
      <w:r>
        <w:rPr>
          <w:rFonts w:ascii="Times New Roman" w:hAnsi="Times New Roman" w:eastAsia="宋体" w:cs="Times New Roman"/>
          <w:kern w:val="0"/>
        </w:rPr>
        <w:t>建立信息资产台账，对信息新增、维护、转运、报废情况进行统计，并持续性进行更新管理。</w:t>
      </w:r>
    </w:p>
    <w:p>
      <w:pPr>
        <w:numPr>
          <w:ilvl w:val="0"/>
          <w:numId w:val="28"/>
        </w:numPr>
        <w:tabs>
          <w:tab w:val="left" w:pos="360"/>
        </w:tabs>
        <w:autoSpaceDE w:val="0"/>
        <w:autoSpaceDN w:val="0"/>
        <w:adjustRightInd w:val="0"/>
        <w:spacing w:line="360" w:lineRule="auto"/>
        <w:ind w:left="420"/>
        <w:jc w:val="left"/>
        <w:rPr>
          <w:rFonts w:ascii="Times New Roman" w:hAnsi="Times New Roman" w:eastAsia="宋体" w:cs="Times New Roman"/>
          <w:kern w:val="0"/>
        </w:rPr>
      </w:pPr>
      <w:r>
        <w:rPr>
          <w:rFonts w:ascii="Times New Roman" w:hAnsi="Times New Roman" w:eastAsia="宋体" w:cs="Times New Roman"/>
          <w:kern w:val="0"/>
        </w:rPr>
        <w:t>建立审批机制，对程序进行变更、版本升级、参数调整、硬件设备调整等工作时，需对林业部门相关主管单位进行报备审批。</w:t>
      </w:r>
    </w:p>
    <w:p>
      <w:pPr>
        <w:numPr>
          <w:ilvl w:val="0"/>
          <w:numId w:val="28"/>
        </w:numPr>
        <w:tabs>
          <w:tab w:val="left" w:pos="360"/>
        </w:tabs>
        <w:autoSpaceDE w:val="0"/>
        <w:autoSpaceDN w:val="0"/>
        <w:adjustRightInd w:val="0"/>
        <w:spacing w:line="360" w:lineRule="auto"/>
        <w:ind w:left="420"/>
        <w:jc w:val="left"/>
        <w:rPr>
          <w:rFonts w:ascii="Times New Roman" w:hAnsi="Times New Roman" w:eastAsia="宋体" w:cs="Times New Roman"/>
          <w:kern w:val="0"/>
        </w:rPr>
      </w:pPr>
      <w:r>
        <w:rPr>
          <w:rFonts w:ascii="Times New Roman" w:hAnsi="Times New Roman" w:eastAsia="宋体" w:cs="Times New Roman"/>
          <w:kern w:val="0"/>
        </w:rPr>
        <w:t>进行系统漏洞扫描，不定时对系统进行扫描，关闭可疑端口与服务，顶扫查看系统日志，对可能性攻击进行排查并对系统磁盘及内存进行排查防止由于内存问题导致系统怠机或崩溃。</w:t>
      </w:r>
    </w:p>
    <w:p>
      <w:pPr>
        <w:numPr>
          <w:ilvl w:val="0"/>
          <w:numId w:val="28"/>
        </w:numPr>
        <w:tabs>
          <w:tab w:val="left" w:pos="360"/>
        </w:tabs>
        <w:autoSpaceDE w:val="0"/>
        <w:autoSpaceDN w:val="0"/>
        <w:adjustRightInd w:val="0"/>
        <w:spacing w:line="360" w:lineRule="auto"/>
        <w:ind w:left="420"/>
        <w:jc w:val="left"/>
        <w:rPr>
          <w:rFonts w:ascii="Times New Roman" w:hAnsi="Times New Roman" w:eastAsia="宋体" w:cs="Times New Roman"/>
          <w:kern w:val="0"/>
        </w:rPr>
      </w:pPr>
      <w:r>
        <w:rPr>
          <w:rFonts w:ascii="Times New Roman" w:hAnsi="Times New Roman" w:eastAsia="宋体" w:cs="Times New Roman"/>
          <w:kern w:val="0"/>
        </w:rPr>
        <w:t>人员管理，指定平台管理员及数据库管理员，对平台的安装、部署、运行、管理、维护和安全负责，并要求相关平台负责人对平台数据定时进行备份与恢复。严格要求按照岗位要求刷选平台负责人，系统运维</w:t>
      </w:r>
      <w:r>
        <w:rPr>
          <w:rFonts w:hint="eastAsia" w:ascii="Times New Roman" w:hAnsi="Times New Roman" w:eastAsia="宋体" w:cs="Times New Roman"/>
          <w:kern w:val="0"/>
        </w:rPr>
        <w:t>服务</w:t>
      </w:r>
      <w:r>
        <w:rPr>
          <w:rFonts w:ascii="Times New Roman" w:hAnsi="Times New Roman" w:eastAsia="宋体" w:cs="Times New Roman"/>
          <w:kern w:val="0"/>
        </w:rPr>
        <w:t>公司需有完善的人才培养机制及相关运维管理规范说明书。</w:t>
      </w:r>
    </w:p>
    <w:p>
      <w:pPr>
        <w:numPr>
          <w:ilvl w:val="0"/>
          <w:numId w:val="28"/>
        </w:numPr>
        <w:tabs>
          <w:tab w:val="left" w:pos="360"/>
        </w:tabs>
        <w:autoSpaceDE w:val="0"/>
        <w:autoSpaceDN w:val="0"/>
        <w:adjustRightInd w:val="0"/>
        <w:spacing w:line="360" w:lineRule="auto"/>
        <w:ind w:left="420"/>
        <w:jc w:val="left"/>
        <w:rPr>
          <w:rFonts w:ascii="Times New Roman" w:hAnsi="Times New Roman" w:eastAsia="宋体" w:cs="Times New Roman"/>
          <w:kern w:val="0"/>
        </w:rPr>
      </w:pPr>
      <w:r>
        <w:rPr>
          <w:rFonts w:ascii="Times New Roman" w:hAnsi="Times New Roman" w:eastAsia="宋体" w:cs="Times New Roman"/>
          <w:kern w:val="0"/>
        </w:rPr>
        <w:t>软件进行备份、升级、或新系统发布，实时人员需严格按照平台运维操作手册执行，详细记录相关过程，包括原始信息状态、目标结果状态，并形成操作日志。</w:t>
      </w:r>
    </w:p>
    <w:p>
      <w:pPr>
        <w:numPr>
          <w:ilvl w:val="0"/>
          <w:numId w:val="28"/>
        </w:numPr>
        <w:tabs>
          <w:tab w:val="left" w:pos="360"/>
        </w:tabs>
        <w:autoSpaceDE w:val="0"/>
        <w:autoSpaceDN w:val="0"/>
        <w:adjustRightInd w:val="0"/>
        <w:spacing w:line="360" w:lineRule="auto"/>
        <w:ind w:left="420"/>
        <w:jc w:val="left"/>
        <w:rPr>
          <w:rFonts w:ascii="Times New Roman" w:hAnsi="Times New Roman" w:eastAsia="宋体" w:cs="Times New Roman"/>
          <w:kern w:val="0"/>
        </w:rPr>
      </w:pPr>
      <w:r>
        <w:rPr>
          <w:rFonts w:ascii="Times New Roman" w:hAnsi="Times New Roman" w:eastAsia="宋体" w:cs="Times New Roman"/>
          <w:kern w:val="0"/>
        </w:rPr>
        <w:t>机房监控，维护人员需对机房硬软件日常进行监控，包括硬件网络、主机资源、</w:t>
      </w:r>
      <w:r>
        <w:rPr>
          <w:rFonts w:ascii="Times New Roman" w:hAnsi="Times New Roman" w:eastAsia="宋体" w:cs="Times New Roman"/>
          <w:spacing w:val="2"/>
          <w:kern w:val="0"/>
          <w:szCs w:val="20"/>
        </w:rPr>
        <w:t>存储资源</w:t>
      </w:r>
      <w:r>
        <w:rPr>
          <w:rFonts w:ascii="Times New Roman" w:hAnsi="Times New Roman" w:eastAsia="宋体" w:cs="Times New Roman"/>
          <w:kern w:val="0"/>
        </w:rPr>
        <w:t>等，软件包括运用系统运行日志、信息系统运行情况等，日常安全包括防火、</w:t>
      </w:r>
      <w:r>
        <w:rPr>
          <w:rFonts w:ascii="Times New Roman" w:hAnsi="Times New Roman" w:eastAsia="宋体" w:cs="Times New Roman"/>
          <w:spacing w:val="2"/>
          <w:kern w:val="0"/>
          <w:szCs w:val="20"/>
        </w:rPr>
        <w:t>空调温湿度、漏水告警、电流电压</w:t>
      </w:r>
      <w:r>
        <w:rPr>
          <w:rFonts w:ascii="Times New Roman" w:hAnsi="Times New Roman" w:eastAsia="宋体" w:cs="Times New Roman"/>
          <w:kern w:val="0"/>
        </w:rPr>
        <w:t>等。</w:t>
      </w:r>
    </w:p>
    <w:p>
      <w:pPr>
        <w:numPr>
          <w:ilvl w:val="0"/>
          <w:numId w:val="28"/>
        </w:numPr>
        <w:tabs>
          <w:tab w:val="left" w:pos="360"/>
        </w:tabs>
        <w:autoSpaceDE w:val="0"/>
        <w:autoSpaceDN w:val="0"/>
        <w:adjustRightInd w:val="0"/>
        <w:spacing w:line="360" w:lineRule="auto"/>
        <w:ind w:left="420"/>
        <w:jc w:val="left"/>
        <w:rPr>
          <w:rFonts w:ascii="Times New Roman" w:hAnsi="Times New Roman" w:eastAsia="宋体" w:cs="Times New Roman"/>
          <w:kern w:val="0"/>
        </w:rPr>
      </w:pPr>
      <w:r>
        <w:rPr>
          <w:rFonts w:ascii="Times New Roman" w:hAnsi="Times New Roman" w:eastAsia="宋体" w:cs="Times New Roman"/>
          <w:kern w:val="0"/>
        </w:rPr>
        <w:t>数据安全及数据完整性保证，保证林业相关系统数据安全，服务元数据填写正常及完整；运维人员对相关数据进行备份处理，如：热备（</w:t>
      </w:r>
      <w:r>
        <w:rPr>
          <w:rFonts w:hint="eastAsia" w:ascii="Times New Roman" w:hAnsi="Times New Roman" w:eastAsia="宋体" w:cs="Times New Roman"/>
          <w:kern w:val="0"/>
        </w:rPr>
        <w:t>不具备热备条件的必须一周进行一次备份</w:t>
      </w:r>
      <w:r>
        <w:rPr>
          <w:rFonts w:ascii="Times New Roman" w:hAnsi="Times New Roman" w:eastAsia="宋体" w:cs="Times New Roman"/>
          <w:kern w:val="0"/>
        </w:rPr>
        <w:t>），每年至少对数据进行一次灾备。</w:t>
      </w:r>
    </w:p>
    <w:p>
      <w:pPr>
        <w:pStyle w:val="309"/>
        <w:ind w:right="-105"/>
        <w:rPr>
          <w:rFonts w:ascii="Times New Roman"/>
        </w:rPr>
      </w:pPr>
      <w:bookmarkStart w:id="39" w:name="_Toc500855308"/>
      <w:r>
        <w:rPr>
          <w:rFonts w:ascii="Times New Roman"/>
        </w:rPr>
        <w:t>服务方式</w:t>
      </w:r>
      <w:bookmarkEnd w:id="39"/>
    </w:p>
    <w:p>
      <w:pPr>
        <w:widowControl/>
        <w:spacing w:line="350" w:lineRule="exact"/>
        <w:ind w:firstLine="420" w:firstLineChars="200"/>
        <w:jc w:val="left"/>
        <w:rPr>
          <w:rFonts w:ascii="Times New Roman" w:hAnsi="Times New Roman" w:eastAsia="宋体" w:cs="Times New Roman"/>
          <w:kern w:val="0"/>
          <w:szCs w:val="20"/>
        </w:rPr>
      </w:pPr>
      <w:r>
        <w:rPr>
          <w:rFonts w:ascii="Times New Roman" w:hAnsi="Times New Roman" w:eastAsia="宋体" w:cs="Times New Roman"/>
          <w:kern w:val="0"/>
          <w:szCs w:val="20"/>
        </w:rPr>
        <w:t xml:space="preserve">为了保证项目所有软硬件设备的正常运行，服务方式应包括以下几种： </w:t>
      </w:r>
    </w:p>
    <w:p>
      <w:pPr>
        <w:widowControl/>
        <w:numPr>
          <w:ilvl w:val="0"/>
          <w:numId w:val="29"/>
        </w:numPr>
        <w:tabs>
          <w:tab w:val="left" w:pos="420"/>
        </w:tabs>
        <w:spacing w:line="350" w:lineRule="exact"/>
        <w:jc w:val="left"/>
        <w:rPr>
          <w:rFonts w:ascii="Times New Roman" w:hAnsi="Times New Roman" w:eastAsia="宋体" w:cs="Times New Roman"/>
          <w:kern w:val="0"/>
          <w:szCs w:val="20"/>
        </w:rPr>
      </w:pPr>
      <w:r>
        <w:rPr>
          <w:rFonts w:ascii="Times New Roman" w:hAnsi="Times New Roman" w:eastAsia="宋体" w:cs="Times New Roman"/>
          <w:kern w:val="0"/>
          <w:szCs w:val="20"/>
        </w:rPr>
        <w:t>服务台</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 xml:space="preserve">提供技术咨询、服务请求受理、任务分派、意见受理、快速通道、服务查询等服务。 </w:t>
      </w:r>
    </w:p>
    <w:p>
      <w:pPr>
        <w:widowControl/>
        <w:numPr>
          <w:ilvl w:val="0"/>
          <w:numId w:val="29"/>
        </w:numPr>
        <w:tabs>
          <w:tab w:val="left" w:pos="420"/>
        </w:tabs>
        <w:spacing w:line="350" w:lineRule="exact"/>
        <w:jc w:val="left"/>
        <w:rPr>
          <w:rFonts w:ascii="Times New Roman" w:hAnsi="Times New Roman" w:eastAsia="宋体" w:cs="Times New Roman"/>
          <w:kern w:val="0"/>
          <w:szCs w:val="20"/>
        </w:rPr>
      </w:pPr>
      <w:r>
        <w:rPr>
          <w:rFonts w:ascii="Times New Roman" w:hAnsi="Times New Roman" w:eastAsia="宋体" w:cs="Times New Roman"/>
          <w:kern w:val="0"/>
          <w:szCs w:val="20"/>
        </w:rPr>
        <w:t>现场服务</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 xml:space="preserve">为终端用户提供现场技术维护服务。 </w:t>
      </w:r>
    </w:p>
    <w:p>
      <w:pPr>
        <w:widowControl/>
        <w:numPr>
          <w:ilvl w:val="0"/>
          <w:numId w:val="29"/>
        </w:numPr>
        <w:tabs>
          <w:tab w:val="left" w:pos="420"/>
        </w:tabs>
        <w:spacing w:line="350" w:lineRule="exact"/>
        <w:jc w:val="left"/>
        <w:rPr>
          <w:rFonts w:ascii="Times New Roman" w:hAnsi="Times New Roman" w:eastAsia="宋体" w:cs="Times New Roman"/>
        </w:rPr>
      </w:pPr>
      <w:r>
        <w:rPr>
          <w:rFonts w:ascii="Times New Roman" w:hAnsi="Times New Roman" w:eastAsia="宋体" w:cs="Times New Roman"/>
          <w:kern w:val="0"/>
          <w:szCs w:val="20"/>
        </w:rPr>
        <w:t>远程支持服务—— 为现场未能解决的问题提供技术支持、远程或者现场二线技术人员维护服务。</w:t>
      </w:r>
    </w:p>
    <w:p>
      <w:pPr>
        <w:widowControl/>
        <w:numPr>
          <w:ilvl w:val="0"/>
          <w:numId w:val="29"/>
        </w:numPr>
        <w:tabs>
          <w:tab w:val="left" w:pos="420"/>
        </w:tabs>
        <w:spacing w:line="350" w:lineRule="exact"/>
        <w:jc w:val="left"/>
        <w:rPr>
          <w:rFonts w:ascii="Times New Roman" w:hAnsi="Times New Roman" w:cs="Times New Roman"/>
        </w:rPr>
      </w:pPr>
      <w:r>
        <w:rPr>
          <w:rFonts w:ascii="Times New Roman" w:hAnsi="Times New Roman" w:eastAsia="宋体" w:cs="Times New Roman"/>
          <w:kern w:val="0"/>
          <w:szCs w:val="20"/>
        </w:rPr>
        <w:t>服务报告</w:t>
      </w:r>
      <w:r>
        <w:rPr>
          <w:rFonts w:hint="eastAsia" w:ascii="Times New Roman" w:hAnsi="Times New Roman" w:eastAsia="宋体" w:cs="Times New Roman"/>
          <w:kern w:val="0"/>
          <w:szCs w:val="20"/>
        </w:rPr>
        <w:t>——</w:t>
      </w:r>
      <w:r>
        <w:rPr>
          <w:rFonts w:ascii="Times New Roman" w:hAnsi="Times New Roman" w:eastAsia="宋体" w:cs="Times New Roman"/>
          <w:kern w:val="0"/>
        </w:rPr>
        <w:t>向服务使用机构提供运行服务报告，包括例行服务报告、响应服务报告、优化服务报告和评估服务报告四类报告。</w:t>
      </w:r>
    </w:p>
    <w:p>
      <w:pPr>
        <w:pStyle w:val="306"/>
        <w:numPr>
          <w:ilvl w:val="1"/>
          <w:numId w:val="26"/>
        </w:numPr>
        <w:adjustRightInd w:val="0"/>
        <w:snapToGrid w:val="0"/>
        <w:spacing w:before="240" w:beforeLines="100" w:after="240" w:afterLines="100" w:line="350" w:lineRule="exact"/>
        <w:ind w:left="0" w:right="0" w:rightChars="0"/>
        <w:outlineLvl w:val="0"/>
        <w:rPr>
          <w:rFonts w:ascii="Times New Roman"/>
          <w:b/>
          <w:bCs/>
          <w:szCs w:val="24"/>
        </w:rPr>
      </w:pPr>
      <w:bookmarkStart w:id="40" w:name="_Toc495571083"/>
      <w:bookmarkStart w:id="41" w:name="_Toc6866"/>
      <w:bookmarkStart w:id="42" w:name="_Toc5845"/>
      <w:bookmarkStart w:id="43" w:name="_Toc246952051"/>
      <w:bookmarkStart w:id="44" w:name="_Toc243662663"/>
      <w:bookmarkStart w:id="45" w:name="_Toc247468079"/>
      <w:bookmarkStart w:id="46" w:name="_Toc246864966"/>
      <w:bookmarkStart w:id="47" w:name="_Toc243663208"/>
      <w:bookmarkStart w:id="48" w:name="_Toc278637103"/>
      <w:r>
        <w:rPr>
          <w:rFonts w:ascii="Times New Roman"/>
          <w:b/>
          <w:bCs/>
          <w:szCs w:val="24"/>
        </w:rPr>
        <w:t>运维服务流程</w:t>
      </w:r>
      <w:bookmarkEnd w:id="40"/>
      <w:r>
        <w:rPr>
          <w:rFonts w:ascii="Times New Roman"/>
          <w:b/>
          <w:bCs/>
          <w:szCs w:val="24"/>
        </w:rPr>
        <w:t>规范</w:t>
      </w:r>
      <w:bookmarkEnd w:id="41"/>
      <w:bookmarkEnd w:id="42"/>
    </w:p>
    <w:p>
      <w:pPr>
        <w:pStyle w:val="119"/>
        <w:spacing w:line="350" w:lineRule="exact"/>
        <w:rPr>
          <w:rFonts w:cs="Times New Roman"/>
          <w:szCs w:val="21"/>
          <w:lang w:val="de-DE"/>
        </w:rPr>
      </w:pPr>
      <w:r>
        <w:rPr>
          <w:rFonts w:hint="eastAsia" w:cs="Times New Roman"/>
          <w:szCs w:val="21"/>
          <w:lang w:val="de-DE"/>
        </w:rPr>
        <w:t>湖南省林业信息化系统运维和服务标准规范参考ITIL最佳实践，基于湖南省林业局自身信息化运维服务特点，并遵循ISO/IEC 20000-1:2005、ISO/IEC27001：2005以及国内相关的信息安全技术标准，实现IT服务管理的标准化管理。通过流程的有效应用改善服务，监控和提高服务质量，采用严格的运维服务管理体系保护用户的各项权益。</w:t>
      </w:r>
    </w:p>
    <w:p>
      <w:pPr>
        <w:pStyle w:val="119"/>
        <w:spacing w:line="350" w:lineRule="exact"/>
        <w:rPr>
          <w:rFonts w:cs="Times New Roman"/>
          <w:szCs w:val="21"/>
        </w:rPr>
      </w:pPr>
      <w:r>
        <w:rPr>
          <w:rFonts w:hint="eastAsia" w:cs="Times New Roman"/>
          <w:szCs w:val="21"/>
          <w:lang w:val="de-DE"/>
        </w:rPr>
        <w:t>流程是指按照一个既定的目标组织起来的一组逻辑上相关的活动。一个流程是将输入转化为输出的一组活动。首先要定义流程的目标，即通过流程活动所要达成的结果。流程要指定负责人，对流程的结果负责。衡量结果或衡量阶段性结果的是一系列关键绩效指标，用以衡量结果与目标的吻合。同时，在设计流程时也要考虑到对流程的支持，如相应的资源、参与的其他角色。</w:t>
      </w:r>
    </w:p>
    <w:p>
      <w:pPr>
        <w:pStyle w:val="309"/>
        <w:spacing w:line="350" w:lineRule="exact"/>
        <w:ind w:right="-105"/>
        <w:rPr>
          <w:rFonts w:ascii="Times New Roman"/>
        </w:rPr>
      </w:pPr>
      <w:bookmarkStart w:id="49" w:name="_Toc495571088"/>
      <w:r>
        <w:rPr>
          <w:rFonts w:ascii="Times New Roman"/>
        </w:rPr>
        <w:t>应急管理</w:t>
      </w:r>
    </w:p>
    <w:p>
      <w:pPr>
        <w:pStyle w:val="308"/>
        <w:tabs>
          <w:tab w:val="left" w:pos="420"/>
        </w:tabs>
        <w:adjustRightInd w:val="0"/>
        <w:snapToGrid w:val="0"/>
        <w:spacing w:before="120" w:beforeLines="50" w:after="120" w:afterLines="50" w:line="350" w:lineRule="exact"/>
        <w:ind w:left="-6" w:right="-105" w:firstLine="6"/>
        <w:rPr>
          <w:rFonts w:ascii="Times New Roman"/>
        </w:rPr>
      </w:pPr>
      <w:r>
        <w:rPr>
          <w:rFonts w:ascii="Times New Roman"/>
        </w:rPr>
        <w:t>目的</w:t>
      </w:r>
    </w:p>
    <w:p>
      <w:pPr>
        <w:spacing w:before="78" w:after="78" w:line="350" w:lineRule="exact"/>
        <w:ind w:firstLine="420"/>
        <w:rPr>
          <w:rFonts w:ascii="Times New Roman" w:hAnsi="Times New Roman" w:eastAsia="宋体" w:cs="Times New Roman"/>
          <w:szCs w:val="21"/>
        </w:rPr>
      </w:pPr>
      <w:r>
        <w:rPr>
          <w:rFonts w:hint="eastAsia" w:ascii="Times New Roman" w:hAnsi="Times New Roman" w:eastAsia="宋体" w:cs="Times New Roman"/>
          <w:szCs w:val="21"/>
        </w:rPr>
        <w:t>规范运维故障应急预案的策划、管理和推进，降低由于运维故障处置不力而产生的风险，提高运维故障应对处置能力和效率，保证和提升运维服务质量，提升针对自然灾害、任务破坏或不可预警等突发事故的即时响应。</w:t>
      </w:r>
    </w:p>
    <w:p>
      <w:pPr>
        <w:pStyle w:val="308"/>
        <w:tabs>
          <w:tab w:val="left" w:pos="420"/>
        </w:tabs>
        <w:adjustRightInd w:val="0"/>
        <w:snapToGrid w:val="0"/>
        <w:spacing w:before="120" w:beforeLines="50" w:after="120" w:afterLines="50" w:line="350" w:lineRule="exact"/>
        <w:ind w:left="-6" w:right="-105" w:firstLine="6"/>
        <w:rPr>
          <w:rFonts w:ascii="Times New Roman"/>
        </w:rPr>
      </w:pPr>
      <w:r>
        <w:rPr>
          <w:rFonts w:ascii="Times New Roman"/>
        </w:rPr>
        <w:t>处理要求</w:t>
      </w:r>
    </w:p>
    <w:p>
      <w:pPr>
        <w:pStyle w:val="6"/>
        <w:numPr>
          <w:ilvl w:val="4"/>
          <w:numId w:val="0"/>
        </w:numPr>
        <w:spacing w:line="350" w:lineRule="exact"/>
        <w:ind w:right="-386" w:rightChars="-184" w:firstLine="210" w:firstLineChars="100"/>
        <w:rPr>
          <w:b w:val="0"/>
          <w:sz w:val="21"/>
          <w:szCs w:val="21"/>
        </w:rPr>
      </w:pPr>
      <w:r>
        <w:rPr>
          <w:rFonts w:hint="eastAsia"/>
          <w:b w:val="0"/>
          <w:sz w:val="21"/>
          <w:szCs w:val="21"/>
        </w:rPr>
        <w:t>1）</w:t>
      </w:r>
      <w:r>
        <w:rPr>
          <w:b w:val="0"/>
          <w:sz w:val="21"/>
          <w:szCs w:val="21"/>
        </w:rPr>
        <w:t>建立应急小组</w:t>
      </w:r>
    </w:p>
    <w:p>
      <w:pPr>
        <w:pStyle w:val="307"/>
        <w:spacing w:line="350" w:lineRule="exact"/>
        <w:rPr>
          <w:rFonts w:ascii="Times New Roman" w:hAnsi="Times New Roman"/>
        </w:rPr>
      </w:pPr>
      <w:r>
        <w:rPr>
          <w:rFonts w:hint="eastAsia" w:ascii="Times New Roman" w:hAnsi="Times New Roman"/>
        </w:rPr>
        <w:t>建立应急响应领导小组，结合林业信息相关系统业务领域常见的时间，指定应急响应处理预案，配置相关运维保证人员或资源，开展日常培训及演练。应急组织分为应急响应领导小组、项目经理和运维团队三个层次，如图</w:t>
      </w:r>
      <w:r>
        <w:rPr>
          <w:rFonts w:ascii="Times New Roman" w:hAnsi="Times New Roman"/>
        </w:rPr>
        <w:t>1所示。</w:t>
      </w:r>
    </w:p>
    <w:p>
      <w:pPr>
        <w:pStyle w:val="307"/>
        <w:spacing w:line="240" w:lineRule="auto"/>
        <w:ind w:right="0" w:rightChars="0" w:firstLine="0" w:firstLineChars="0"/>
        <w:jc w:val="center"/>
        <w:rPr>
          <w:rFonts w:ascii="Times New Roman" w:hAnsi="Times New Roman"/>
        </w:rPr>
      </w:pPr>
      <w:r>
        <w:rPr>
          <w:rFonts w:ascii="Times New Roman" w:hAnsi="Times New Roman"/>
        </w:rPr>
        <w:drawing>
          <wp:inline distT="0" distB="0" distL="0" distR="0">
            <wp:extent cx="4319905" cy="2922905"/>
            <wp:effectExtent l="0" t="0" r="0" b="0"/>
            <wp:docPr id="4" name="图片 4" descr="C:\Users\ADMINI~1\AppData\Local\Temp\WeChat Files\fec9bed88951cd575f0da5df2010f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1\AppData\Local\Temp\WeChat Files\fec9bed88951cd575f0da5df2010fd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320000" cy="2923301"/>
                    </a:xfrm>
                    <a:prstGeom prst="rect">
                      <a:avLst/>
                    </a:prstGeom>
                    <a:noFill/>
                    <a:ln>
                      <a:noFill/>
                    </a:ln>
                  </pic:spPr>
                </pic:pic>
              </a:graphicData>
            </a:graphic>
          </wp:inline>
        </w:drawing>
      </w:r>
    </w:p>
    <w:p>
      <w:pPr>
        <w:pStyle w:val="307"/>
        <w:jc w:val="center"/>
        <w:rPr>
          <w:rFonts w:ascii="Times New Roman" w:hAnsi="Times New Roman" w:eastAsia="黑体"/>
        </w:rPr>
      </w:pPr>
      <w:r>
        <w:rPr>
          <w:rFonts w:ascii="Times New Roman" w:hAnsi="Times New Roman" w:eastAsia="黑体"/>
        </w:rPr>
        <w:t>图 1  应急管理组织架构</w:t>
      </w:r>
    </w:p>
    <w:p>
      <w:pPr>
        <w:pStyle w:val="307"/>
        <w:rPr>
          <w:rFonts w:ascii="Times New Roman" w:hAnsi="Times New Roman"/>
        </w:rPr>
      </w:pPr>
    </w:p>
    <w:p>
      <w:pPr>
        <w:pStyle w:val="6"/>
        <w:numPr>
          <w:ilvl w:val="4"/>
          <w:numId w:val="0"/>
        </w:numPr>
        <w:tabs>
          <w:tab w:val="clear" w:pos="432"/>
        </w:tabs>
        <w:spacing w:line="350" w:lineRule="exact"/>
        <w:ind w:right="-386" w:rightChars="-184" w:firstLine="210" w:firstLineChars="100"/>
        <w:rPr>
          <w:b w:val="0"/>
          <w:sz w:val="21"/>
          <w:szCs w:val="21"/>
        </w:rPr>
      </w:pPr>
      <w:r>
        <w:rPr>
          <w:rFonts w:hint="eastAsia"/>
          <w:b w:val="0"/>
          <w:sz w:val="21"/>
          <w:szCs w:val="21"/>
        </w:rPr>
        <w:t>2</w:t>
      </w:r>
      <w:r>
        <w:rPr>
          <w:b w:val="0"/>
          <w:sz w:val="21"/>
          <w:szCs w:val="21"/>
        </w:rPr>
        <w:t>）应急响应预案处理</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应急响应预案处理，包括应对林业相关信息平台常见的危险状况及必须处置方式，明确有</w:t>
      </w:r>
      <w:r>
        <w:rPr>
          <w:rFonts w:hint="eastAsia" w:ascii="Times New Roman" w:hAnsi="Times New Roman" w:eastAsia="宋体" w:cs="Times New Roman"/>
          <w:szCs w:val="21"/>
        </w:rPr>
        <w:t>关</w:t>
      </w:r>
      <w:r>
        <w:rPr>
          <w:rFonts w:ascii="Times New Roman" w:hAnsi="Times New Roman" w:eastAsia="宋体" w:cs="Times New Roman"/>
          <w:szCs w:val="21"/>
        </w:rPr>
        <w:t>人员在紧急情况下的职责。</w:t>
      </w:r>
    </w:p>
    <w:p>
      <w:pPr>
        <w:pStyle w:val="6"/>
        <w:numPr>
          <w:ilvl w:val="4"/>
          <w:numId w:val="0"/>
        </w:numPr>
        <w:tabs>
          <w:tab w:val="clear" w:pos="432"/>
        </w:tabs>
        <w:spacing w:line="350" w:lineRule="exact"/>
        <w:ind w:right="-386" w:rightChars="-184" w:firstLine="210" w:firstLineChars="100"/>
        <w:rPr>
          <w:b w:val="0"/>
          <w:sz w:val="21"/>
          <w:szCs w:val="21"/>
        </w:rPr>
      </w:pPr>
      <w:r>
        <w:rPr>
          <w:rFonts w:hint="eastAsia"/>
          <w:b w:val="0"/>
          <w:sz w:val="21"/>
          <w:szCs w:val="21"/>
        </w:rPr>
        <w:t>3</w:t>
      </w:r>
      <w:r>
        <w:rPr>
          <w:b w:val="0"/>
          <w:sz w:val="21"/>
          <w:szCs w:val="21"/>
        </w:rPr>
        <w:t>）建立监测、预警制度</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主要包括应急事情发</w:t>
      </w:r>
      <w:r>
        <w:rPr>
          <w:rFonts w:hint="eastAsia" w:ascii="Times New Roman" w:hAnsi="Times New Roman" w:eastAsia="宋体" w:cs="Times New Roman"/>
          <w:szCs w:val="21"/>
        </w:rPr>
        <w:t>生</w:t>
      </w:r>
      <w:r>
        <w:rPr>
          <w:rFonts w:ascii="Times New Roman" w:hAnsi="Times New Roman" w:eastAsia="宋体" w:cs="Times New Roman"/>
          <w:szCs w:val="21"/>
        </w:rPr>
        <w:t>及发</w:t>
      </w:r>
      <w:r>
        <w:rPr>
          <w:rFonts w:hint="eastAsia" w:ascii="Times New Roman" w:hAnsi="Times New Roman" w:eastAsia="宋体" w:cs="Times New Roman"/>
          <w:szCs w:val="21"/>
        </w:rPr>
        <w:t>现</w:t>
      </w:r>
      <w:r>
        <w:rPr>
          <w:rFonts w:ascii="Times New Roman" w:hAnsi="Times New Roman" w:eastAsia="宋体" w:cs="Times New Roman"/>
          <w:szCs w:val="21"/>
        </w:rPr>
        <w:t>时间和位置、时间级别、状态描述、影响访问和程度、初步原因分析、采用的专线应对预案（处理措施）、处理结果等。对相关结果、记录及报告即时进行整理与归档。</w:t>
      </w:r>
    </w:p>
    <w:p>
      <w:pPr>
        <w:pStyle w:val="308"/>
        <w:tabs>
          <w:tab w:val="left" w:pos="420"/>
        </w:tabs>
        <w:adjustRightInd w:val="0"/>
        <w:snapToGrid w:val="0"/>
        <w:spacing w:before="120" w:beforeLines="50" w:after="120" w:afterLines="50" w:line="350" w:lineRule="exact"/>
        <w:ind w:left="-6" w:right="-105" w:firstLine="6"/>
        <w:rPr>
          <w:rFonts w:ascii="Times New Roman"/>
        </w:rPr>
      </w:pPr>
      <w:r>
        <w:rPr>
          <w:rFonts w:ascii="Times New Roman"/>
        </w:rPr>
        <w:t>流程</w:t>
      </w:r>
    </w:p>
    <w:p>
      <w:pPr>
        <w:pStyle w:val="6"/>
        <w:numPr>
          <w:ilvl w:val="0"/>
          <w:numId w:val="30"/>
        </w:numPr>
        <w:tabs>
          <w:tab w:val="clear" w:pos="432"/>
        </w:tabs>
        <w:spacing w:line="350" w:lineRule="exact"/>
        <w:ind w:left="0" w:right="-386" w:rightChars="-184" w:firstLine="210"/>
        <w:rPr>
          <w:b w:val="0"/>
          <w:sz w:val="21"/>
          <w:szCs w:val="21"/>
        </w:rPr>
      </w:pPr>
      <w:r>
        <w:rPr>
          <w:rFonts w:hint="eastAsia"/>
          <w:b w:val="0"/>
          <w:sz w:val="21"/>
          <w:szCs w:val="21"/>
        </w:rPr>
        <w:t>事件发现</w:t>
      </w:r>
    </w:p>
    <w:p>
      <w:pPr>
        <w:spacing w:before="78" w:after="78" w:line="350" w:lineRule="exact"/>
        <w:ind w:firstLine="420"/>
        <w:rPr>
          <w:rFonts w:ascii="Times New Roman" w:hAnsi="Times New Roman" w:eastAsia="宋体" w:cs="Times New Roman"/>
          <w:szCs w:val="21"/>
        </w:rPr>
      </w:pPr>
      <w:r>
        <w:rPr>
          <w:rFonts w:hint="eastAsia" w:ascii="Times New Roman" w:hAnsi="Times New Roman" w:eastAsia="宋体" w:cs="Times New Roman"/>
          <w:szCs w:val="21"/>
        </w:rPr>
        <w:t>通过日常的巡检巡查、机房传感器短信报警及声光报警、停电通知、灾害预报、系统监控、用户上报等手段，及时发现异常运行事件，进行有效预警。</w:t>
      </w:r>
    </w:p>
    <w:p>
      <w:pPr>
        <w:pStyle w:val="6"/>
        <w:numPr>
          <w:ilvl w:val="0"/>
          <w:numId w:val="30"/>
        </w:numPr>
        <w:tabs>
          <w:tab w:val="clear" w:pos="432"/>
        </w:tabs>
        <w:spacing w:line="350" w:lineRule="exact"/>
        <w:ind w:left="0" w:right="-386" w:rightChars="-184" w:firstLine="210"/>
        <w:rPr>
          <w:b w:val="0"/>
          <w:sz w:val="21"/>
          <w:szCs w:val="21"/>
        </w:rPr>
      </w:pPr>
      <w:r>
        <w:rPr>
          <w:rFonts w:hint="eastAsia"/>
          <w:b w:val="0"/>
          <w:sz w:val="21"/>
          <w:szCs w:val="21"/>
        </w:rPr>
        <w:t>应急决策</w:t>
      </w:r>
    </w:p>
    <w:p>
      <w:pPr>
        <w:spacing w:before="78" w:after="78" w:line="350" w:lineRule="exact"/>
        <w:ind w:firstLine="420"/>
        <w:rPr>
          <w:rFonts w:ascii="Times New Roman" w:hAnsi="Times New Roman" w:eastAsia="宋体" w:cs="Times New Roman"/>
          <w:szCs w:val="21"/>
        </w:rPr>
      </w:pPr>
      <w:r>
        <w:rPr>
          <w:rFonts w:hint="eastAsia" w:ascii="Times New Roman" w:hAnsi="Times New Roman" w:eastAsia="宋体" w:cs="Times New Roman"/>
          <w:szCs w:val="21"/>
        </w:rPr>
        <w:t>根据所发现应急事件类型和对应的应急预案，进行应急指挥决策。再必要时做出断网断电，人力动员，上报上级或报警出来等决策，并形成相应的书面记录。</w:t>
      </w:r>
    </w:p>
    <w:p>
      <w:pPr>
        <w:spacing w:before="78" w:after="78" w:line="350" w:lineRule="exact"/>
        <w:ind w:firstLine="420"/>
        <w:rPr>
          <w:rFonts w:ascii="Times New Roman" w:hAnsi="Times New Roman" w:eastAsia="宋体" w:cs="Times New Roman"/>
          <w:szCs w:val="21"/>
        </w:rPr>
      </w:pPr>
      <w:r>
        <w:rPr>
          <w:rFonts w:hint="eastAsia" w:ascii="Times New Roman" w:hAnsi="Times New Roman" w:eastAsia="宋体" w:cs="Times New Roman"/>
          <w:szCs w:val="21"/>
        </w:rPr>
        <w:t>应急事件处理过程中，按照如下表1规则开展故障指挥：</w:t>
      </w:r>
    </w:p>
    <w:p>
      <w:pPr>
        <w:pStyle w:val="16"/>
        <w:rPr>
          <w:rFonts w:hint="eastAsia" w:ascii="Times New Roman" w:hAnsi="Times New Roman" w:eastAsia="宋体" w:cs="Times New Roman"/>
        </w:rPr>
      </w:pPr>
      <w:r>
        <w:t xml:space="preserve">表 </w:t>
      </w:r>
      <w:r>
        <w:fldChar w:fldCharType="begin"/>
      </w:r>
      <w:r>
        <w:instrText xml:space="preserve"> SEQ 表 \* ARABIC </w:instrText>
      </w:r>
      <w:r>
        <w:fldChar w:fldCharType="separate"/>
      </w:r>
      <w:r>
        <w:t>1</w:t>
      </w:r>
      <w:r>
        <w:fldChar w:fldCharType="end"/>
      </w:r>
      <w:r>
        <w:rPr>
          <w:rFonts w:hint="eastAsia"/>
        </w:rPr>
        <w:t>故障指挥</w:t>
      </w:r>
    </w:p>
    <w:tbl>
      <w:tblPr>
        <w:tblStyle w:val="55"/>
        <w:tblW w:w="0" w:type="auto"/>
        <w:tblInd w:w="10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09"/>
        <w:gridCol w:w="4311"/>
        <w:gridCol w:w="16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sz w:val="18"/>
                <w:szCs w:val="18"/>
              </w:rPr>
            </w:pPr>
            <w:r>
              <w:rPr>
                <w:sz w:val="18"/>
                <w:szCs w:val="18"/>
              </w:rPr>
              <w:t>故障</w:t>
            </w:r>
          </w:p>
        </w:tc>
        <w:tc>
          <w:tcPr>
            <w:tcW w:w="4311" w:type="dxa"/>
            <w:vAlign w:val="center"/>
          </w:tcPr>
          <w:p>
            <w:pPr>
              <w:pStyle w:val="307"/>
              <w:ind w:firstLine="0" w:firstLineChars="0"/>
              <w:jc w:val="center"/>
              <w:rPr>
                <w:sz w:val="18"/>
                <w:szCs w:val="18"/>
              </w:rPr>
            </w:pPr>
            <w:r>
              <w:rPr>
                <w:sz w:val="18"/>
                <w:szCs w:val="18"/>
              </w:rPr>
              <w:t>处理时间</w:t>
            </w:r>
          </w:p>
        </w:tc>
        <w:tc>
          <w:tcPr>
            <w:tcW w:w="1608" w:type="dxa"/>
            <w:vAlign w:val="center"/>
          </w:tcPr>
          <w:p>
            <w:pPr>
              <w:pStyle w:val="307"/>
              <w:ind w:firstLine="0" w:firstLineChars="0"/>
              <w:jc w:val="center"/>
              <w:rPr>
                <w:sz w:val="18"/>
                <w:szCs w:val="18"/>
              </w:rPr>
            </w:pPr>
            <w:r>
              <w:rPr>
                <w:sz w:val="18"/>
                <w:szCs w:val="18"/>
              </w:rPr>
              <w:t>指挥者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sz w:val="18"/>
                <w:szCs w:val="18"/>
              </w:rPr>
            </w:pPr>
            <w:r>
              <w:rPr>
                <w:sz w:val="18"/>
                <w:szCs w:val="18"/>
              </w:rPr>
              <w:t>一级</w:t>
            </w:r>
          </w:p>
        </w:tc>
        <w:tc>
          <w:tcPr>
            <w:tcW w:w="4311" w:type="dxa"/>
            <w:vAlign w:val="center"/>
          </w:tcPr>
          <w:p>
            <w:pPr>
              <w:pStyle w:val="307"/>
              <w:ind w:firstLine="0" w:firstLineChars="0"/>
              <w:jc w:val="center"/>
              <w:rPr>
                <w:sz w:val="18"/>
                <w:szCs w:val="18"/>
              </w:rPr>
            </w:pPr>
            <w:r>
              <w:rPr>
                <w:sz w:val="18"/>
                <w:szCs w:val="18"/>
              </w:rPr>
              <w:t>小于 15 分钟</w:t>
            </w:r>
          </w:p>
        </w:tc>
        <w:tc>
          <w:tcPr>
            <w:tcW w:w="1608" w:type="dxa"/>
            <w:vAlign w:val="center"/>
          </w:tcPr>
          <w:p>
            <w:pPr>
              <w:pStyle w:val="307"/>
              <w:ind w:firstLine="0" w:firstLineChars="0"/>
              <w:jc w:val="center"/>
              <w:rPr>
                <w:sz w:val="18"/>
                <w:szCs w:val="18"/>
              </w:rPr>
            </w:pPr>
            <w:r>
              <w:rPr>
                <w:rFonts w:hint="eastAsia"/>
                <w:sz w:val="18"/>
                <w:szCs w:val="18"/>
              </w:rPr>
              <w:t>维护方公司领导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sz w:val="18"/>
                <w:szCs w:val="18"/>
              </w:rPr>
            </w:pPr>
            <w:r>
              <w:rPr>
                <w:sz w:val="18"/>
                <w:szCs w:val="18"/>
              </w:rPr>
              <w:t>二级</w:t>
            </w:r>
          </w:p>
        </w:tc>
        <w:tc>
          <w:tcPr>
            <w:tcW w:w="4311" w:type="dxa"/>
            <w:vAlign w:val="center"/>
          </w:tcPr>
          <w:p>
            <w:pPr>
              <w:pStyle w:val="307"/>
              <w:ind w:firstLine="0" w:firstLineChars="0"/>
              <w:jc w:val="center"/>
              <w:rPr>
                <w:sz w:val="18"/>
                <w:szCs w:val="18"/>
              </w:rPr>
            </w:pPr>
            <w:r>
              <w:rPr>
                <w:sz w:val="18"/>
                <w:szCs w:val="18"/>
              </w:rPr>
              <w:t>小于 10 分钟</w:t>
            </w:r>
          </w:p>
        </w:tc>
        <w:tc>
          <w:tcPr>
            <w:tcW w:w="1608" w:type="dxa"/>
            <w:vAlign w:val="center"/>
          </w:tcPr>
          <w:p>
            <w:pPr>
              <w:pStyle w:val="307"/>
              <w:ind w:firstLine="0" w:firstLineChars="0"/>
              <w:jc w:val="center"/>
              <w:rPr>
                <w:sz w:val="18"/>
                <w:szCs w:val="18"/>
              </w:rPr>
            </w:pPr>
            <w:r>
              <w:rPr>
                <w:sz w:val="18"/>
                <w:szCs w:val="18"/>
              </w:rPr>
              <w:t>项目经理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sz w:val="18"/>
                <w:szCs w:val="18"/>
              </w:rPr>
            </w:pPr>
            <w:r>
              <w:rPr>
                <w:sz w:val="18"/>
                <w:szCs w:val="18"/>
              </w:rPr>
              <w:t>二级</w:t>
            </w:r>
          </w:p>
        </w:tc>
        <w:tc>
          <w:tcPr>
            <w:tcW w:w="4311" w:type="dxa"/>
            <w:vAlign w:val="center"/>
          </w:tcPr>
          <w:p>
            <w:pPr>
              <w:pStyle w:val="307"/>
              <w:ind w:firstLine="0" w:firstLineChars="0"/>
              <w:jc w:val="center"/>
              <w:rPr>
                <w:sz w:val="18"/>
                <w:szCs w:val="18"/>
              </w:rPr>
            </w:pPr>
            <w:r>
              <w:rPr>
                <w:sz w:val="18"/>
                <w:szCs w:val="18"/>
              </w:rPr>
              <w:t>10-20 分钟</w:t>
            </w:r>
          </w:p>
        </w:tc>
        <w:tc>
          <w:tcPr>
            <w:tcW w:w="1608" w:type="dxa"/>
            <w:vAlign w:val="center"/>
          </w:tcPr>
          <w:p>
            <w:pPr>
              <w:pStyle w:val="307"/>
              <w:ind w:firstLine="0" w:firstLineChars="0"/>
              <w:jc w:val="center"/>
              <w:rPr>
                <w:sz w:val="18"/>
                <w:szCs w:val="18"/>
              </w:rPr>
            </w:pPr>
            <w:r>
              <w:rPr>
                <w:sz w:val="18"/>
                <w:szCs w:val="18"/>
              </w:rPr>
              <w:t>项目经理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sz w:val="18"/>
                <w:szCs w:val="18"/>
              </w:rPr>
            </w:pPr>
            <w:r>
              <w:rPr>
                <w:sz w:val="18"/>
                <w:szCs w:val="18"/>
              </w:rPr>
              <w:t>二级</w:t>
            </w:r>
          </w:p>
        </w:tc>
        <w:tc>
          <w:tcPr>
            <w:tcW w:w="4311" w:type="dxa"/>
            <w:vAlign w:val="center"/>
          </w:tcPr>
          <w:p>
            <w:pPr>
              <w:pStyle w:val="307"/>
              <w:ind w:firstLine="0" w:firstLineChars="0"/>
              <w:jc w:val="center"/>
              <w:rPr>
                <w:sz w:val="18"/>
                <w:szCs w:val="18"/>
              </w:rPr>
            </w:pPr>
            <w:r>
              <w:rPr>
                <w:sz w:val="18"/>
                <w:szCs w:val="18"/>
              </w:rPr>
              <w:t>30 分钟内</w:t>
            </w:r>
          </w:p>
        </w:tc>
        <w:tc>
          <w:tcPr>
            <w:tcW w:w="1608" w:type="dxa"/>
            <w:vAlign w:val="center"/>
          </w:tcPr>
          <w:p>
            <w:pPr>
              <w:pStyle w:val="307"/>
              <w:ind w:firstLine="0" w:firstLineChars="0"/>
              <w:jc w:val="center"/>
              <w:rPr>
                <w:sz w:val="18"/>
                <w:szCs w:val="18"/>
              </w:rPr>
            </w:pPr>
            <w:r>
              <w:rPr>
                <w:sz w:val="18"/>
                <w:szCs w:val="18"/>
              </w:rPr>
              <w:t>项目经理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sz w:val="18"/>
                <w:szCs w:val="18"/>
              </w:rPr>
            </w:pPr>
            <w:r>
              <w:rPr>
                <w:sz w:val="18"/>
                <w:szCs w:val="18"/>
              </w:rPr>
              <w:t>三级</w:t>
            </w:r>
          </w:p>
        </w:tc>
        <w:tc>
          <w:tcPr>
            <w:tcW w:w="4311" w:type="dxa"/>
            <w:vAlign w:val="center"/>
          </w:tcPr>
          <w:p>
            <w:pPr>
              <w:pStyle w:val="307"/>
              <w:ind w:firstLine="0" w:firstLineChars="0"/>
              <w:jc w:val="center"/>
              <w:rPr>
                <w:sz w:val="18"/>
                <w:szCs w:val="18"/>
              </w:rPr>
            </w:pPr>
            <w:r>
              <w:rPr>
                <w:sz w:val="18"/>
                <w:szCs w:val="18"/>
              </w:rPr>
              <w:t>小于 20 分钟</w:t>
            </w:r>
          </w:p>
        </w:tc>
        <w:tc>
          <w:tcPr>
            <w:tcW w:w="1608" w:type="dxa"/>
            <w:vAlign w:val="center"/>
          </w:tcPr>
          <w:p>
            <w:pPr>
              <w:pStyle w:val="307"/>
              <w:ind w:firstLine="0" w:firstLineChars="0"/>
              <w:jc w:val="center"/>
              <w:rPr>
                <w:sz w:val="18"/>
                <w:szCs w:val="18"/>
              </w:rPr>
            </w:pPr>
            <w:r>
              <w:rPr>
                <w:sz w:val="18"/>
                <w:szCs w:val="18"/>
              </w:rPr>
              <w:t>项目经理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sz w:val="18"/>
                <w:szCs w:val="18"/>
              </w:rPr>
            </w:pPr>
            <w:r>
              <w:rPr>
                <w:sz w:val="18"/>
                <w:szCs w:val="18"/>
              </w:rPr>
              <w:t>三级</w:t>
            </w:r>
          </w:p>
        </w:tc>
        <w:tc>
          <w:tcPr>
            <w:tcW w:w="4311" w:type="dxa"/>
            <w:vAlign w:val="center"/>
          </w:tcPr>
          <w:p>
            <w:pPr>
              <w:pStyle w:val="307"/>
              <w:ind w:firstLine="0" w:firstLineChars="0"/>
              <w:jc w:val="center"/>
              <w:rPr>
                <w:sz w:val="18"/>
                <w:szCs w:val="18"/>
              </w:rPr>
            </w:pPr>
            <w:r>
              <w:rPr>
                <w:sz w:val="18"/>
                <w:szCs w:val="18"/>
              </w:rPr>
              <w:t>20-30 分钟</w:t>
            </w:r>
          </w:p>
        </w:tc>
        <w:tc>
          <w:tcPr>
            <w:tcW w:w="1608" w:type="dxa"/>
            <w:vAlign w:val="center"/>
          </w:tcPr>
          <w:p>
            <w:pPr>
              <w:pStyle w:val="307"/>
              <w:ind w:firstLine="0" w:firstLineChars="0"/>
              <w:jc w:val="center"/>
              <w:rPr>
                <w:sz w:val="18"/>
                <w:szCs w:val="18"/>
              </w:rPr>
            </w:pPr>
            <w:r>
              <w:rPr>
                <w:sz w:val="18"/>
                <w:szCs w:val="18"/>
              </w:rPr>
              <w:t>运维主管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sz w:val="18"/>
                <w:szCs w:val="18"/>
              </w:rPr>
            </w:pPr>
            <w:r>
              <w:rPr>
                <w:sz w:val="18"/>
                <w:szCs w:val="18"/>
              </w:rPr>
              <w:t>三级</w:t>
            </w:r>
          </w:p>
        </w:tc>
        <w:tc>
          <w:tcPr>
            <w:tcW w:w="4311" w:type="dxa"/>
            <w:vAlign w:val="center"/>
          </w:tcPr>
          <w:p>
            <w:pPr>
              <w:pStyle w:val="307"/>
              <w:ind w:firstLine="0" w:firstLineChars="0"/>
              <w:jc w:val="center"/>
              <w:rPr>
                <w:sz w:val="18"/>
                <w:szCs w:val="18"/>
              </w:rPr>
            </w:pPr>
            <w:r>
              <w:rPr>
                <w:sz w:val="18"/>
                <w:szCs w:val="18"/>
              </w:rPr>
              <w:t>40 分钟内</w:t>
            </w:r>
          </w:p>
        </w:tc>
        <w:tc>
          <w:tcPr>
            <w:tcW w:w="1608" w:type="dxa"/>
            <w:vAlign w:val="center"/>
          </w:tcPr>
          <w:p>
            <w:pPr>
              <w:pStyle w:val="307"/>
              <w:ind w:firstLine="0" w:firstLineChars="0"/>
              <w:jc w:val="center"/>
              <w:rPr>
                <w:sz w:val="18"/>
                <w:szCs w:val="18"/>
              </w:rPr>
            </w:pPr>
            <w:r>
              <w:rPr>
                <w:sz w:val="18"/>
                <w:szCs w:val="18"/>
              </w:rPr>
              <w:t>运维主管</w:t>
            </w:r>
          </w:p>
        </w:tc>
      </w:tr>
    </w:tbl>
    <w:p>
      <w:pPr>
        <w:tabs>
          <w:tab w:val="left" w:pos="420"/>
        </w:tabs>
        <w:spacing w:line="350" w:lineRule="exact"/>
        <w:ind w:left="420"/>
        <w:rPr>
          <w:rFonts w:ascii="Times New Roman" w:hAnsi="Times New Roman" w:eastAsia="宋体" w:cs="Times New Roman"/>
          <w:szCs w:val="21"/>
        </w:rPr>
      </w:pPr>
      <w:r>
        <w:rPr>
          <w:rFonts w:ascii="Times New Roman" w:hAnsi="Times New Roman" w:eastAsia="宋体" w:cs="Times New Roman"/>
          <w:szCs w:val="21"/>
        </w:rPr>
        <w:t>应急事件处理过程中，按照如下</w:t>
      </w:r>
      <w:r>
        <w:rPr>
          <w:rFonts w:hint="eastAsia" w:ascii="Times New Roman" w:hAnsi="Times New Roman" w:eastAsia="宋体" w:cs="Times New Roman"/>
          <w:szCs w:val="21"/>
        </w:rPr>
        <w:t>表2</w:t>
      </w:r>
      <w:r>
        <w:rPr>
          <w:rFonts w:ascii="Times New Roman" w:hAnsi="Times New Roman" w:eastAsia="宋体" w:cs="Times New Roman"/>
          <w:szCs w:val="21"/>
        </w:rPr>
        <w:t>规则进行故障信息通报：</w:t>
      </w:r>
    </w:p>
    <w:p>
      <w:pPr>
        <w:pStyle w:val="16"/>
        <w:rPr>
          <w:rFonts w:hint="eastAsia" w:ascii="Times New Roman" w:hAnsi="Times New Roman" w:eastAsia="宋体" w:cs="Times New Roman"/>
        </w:rPr>
      </w:pPr>
      <w:r>
        <w:t xml:space="preserve">表 </w:t>
      </w:r>
      <w:r>
        <w:fldChar w:fldCharType="begin"/>
      </w:r>
      <w:r>
        <w:instrText xml:space="preserve"> SEQ 表 \* ARABIC </w:instrText>
      </w:r>
      <w:r>
        <w:fldChar w:fldCharType="separate"/>
      </w:r>
      <w:r>
        <w:t>2</w:t>
      </w:r>
      <w:r>
        <w:fldChar w:fldCharType="end"/>
      </w:r>
      <w:r>
        <w:rPr>
          <w:rFonts w:hint="eastAsia"/>
        </w:rPr>
        <w:t>故障信息通报</w:t>
      </w:r>
    </w:p>
    <w:tbl>
      <w:tblPr>
        <w:tblStyle w:val="55"/>
        <w:tblW w:w="0" w:type="auto"/>
        <w:tblInd w:w="10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09"/>
        <w:gridCol w:w="2326"/>
        <w:gridCol w:w="1608"/>
        <w:gridCol w:w="16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Merge w:val="restart"/>
            <w:vAlign w:val="center"/>
          </w:tcPr>
          <w:p>
            <w:pPr>
              <w:pStyle w:val="307"/>
              <w:ind w:firstLine="0" w:firstLineChars="0"/>
              <w:jc w:val="center"/>
              <w:rPr>
                <w:rFonts w:ascii="Times New Roman" w:hAnsi="Times New Roman"/>
              </w:rPr>
            </w:pPr>
            <w:r>
              <w:rPr>
                <w:rFonts w:ascii="Times New Roman" w:hAnsi="Times New Roman"/>
              </w:rPr>
              <w:t>故障类别</w:t>
            </w:r>
          </w:p>
        </w:tc>
        <w:tc>
          <w:tcPr>
            <w:tcW w:w="2326" w:type="dxa"/>
            <w:vMerge w:val="restart"/>
            <w:vAlign w:val="center"/>
          </w:tcPr>
          <w:p>
            <w:pPr>
              <w:pStyle w:val="307"/>
              <w:ind w:firstLine="0" w:firstLineChars="0"/>
              <w:jc w:val="center"/>
              <w:rPr>
                <w:rFonts w:ascii="Times New Roman" w:hAnsi="Times New Roman"/>
              </w:rPr>
            </w:pPr>
            <w:r>
              <w:rPr>
                <w:rFonts w:ascii="Times New Roman" w:hAnsi="Times New Roman"/>
              </w:rPr>
              <w:t>处理时间</w:t>
            </w:r>
          </w:p>
        </w:tc>
        <w:tc>
          <w:tcPr>
            <w:tcW w:w="3216" w:type="dxa"/>
            <w:gridSpan w:val="2"/>
            <w:vAlign w:val="center"/>
          </w:tcPr>
          <w:p>
            <w:pPr>
              <w:pStyle w:val="307"/>
              <w:ind w:firstLine="0" w:firstLineChars="0"/>
              <w:jc w:val="center"/>
              <w:rPr>
                <w:rFonts w:ascii="Times New Roman" w:hAnsi="Times New Roman"/>
              </w:rPr>
            </w:pPr>
            <w:r>
              <w:rPr>
                <w:rFonts w:ascii="Times New Roman" w:hAnsi="Times New Roman"/>
              </w:rPr>
              <w:t>通报对象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Merge w:val="continue"/>
            <w:tcBorders>
              <w:top w:val="nil"/>
            </w:tcBorders>
            <w:vAlign w:val="center"/>
          </w:tcPr>
          <w:p>
            <w:pPr>
              <w:pStyle w:val="307"/>
              <w:ind w:firstLine="0" w:firstLineChars="0"/>
              <w:jc w:val="center"/>
              <w:rPr>
                <w:rFonts w:ascii="Times New Roman" w:hAnsi="Times New Roman"/>
              </w:rPr>
            </w:pPr>
          </w:p>
        </w:tc>
        <w:tc>
          <w:tcPr>
            <w:tcW w:w="2326" w:type="dxa"/>
            <w:vMerge w:val="continue"/>
            <w:tcBorders>
              <w:top w:val="nil"/>
            </w:tcBorders>
            <w:vAlign w:val="center"/>
          </w:tcPr>
          <w:p>
            <w:pPr>
              <w:pStyle w:val="307"/>
              <w:ind w:firstLine="0" w:firstLineChars="0"/>
              <w:jc w:val="center"/>
              <w:rPr>
                <w:rFonts w:ascii="Times New Roman" w:hAnsi="Times New Roman"/>
              </w:rPr>
            </w:pPr>
          </w:p>
        </w:tc>
        <w:tc>
          <w:tcPr>
            <w:tcW w:w="1608" w:type="dxa"/>
            <w:vAlign w:val="center"/>
          </w:tcPr>
          <w:p>
            <w:pPr>
              <w:pStyle w:val="307"/>
              <w:ind w:firstLine="0" w:firstLineChars="0"/>
              <w:jc w:val="center"/>
              <w:rPr>
                <w:rFonts w:ascii="Times New Roman" w:hAnsi="Times New Roman"/>
              </w:rPr>
            </w:pPr>
            <w:r>
              <w:rPr>
                <w:rFonts w:ascii="Times New Roman" w:hAnsi="Times New Roman"/>
              </w:rPr>
              <w:t>运维方</w:t>
            </w:r>
          </w:p>
        </w:tc>
        <w:tc>
          <w:tcPr>
            <w:tcW w:w="1608" w:type="dxa"/>
            <w:vAlign w:val="center"/>
          </w:tcPr>
          <w:p>
            <w:pPr>
              <w:pStyle w:val="307"/>
              <w:ind w:firstLine="0" w:firstLineChars="0"/>
              <w:jc w:val="center"/>
              <w:rPr>
                <w:rFonts w:ascii="Times New Roman" w:hAnsi="Times New Roman"/>
              </w:rPr>
            </w:pPr>
            <w:r>
              <w:rPr>
                <w:rFonts w:hint="eastAsia" w:ascii="Times New Roman" w:hAnsi="Times New Roman"/>
              </w:rPr>
              <w:t>林业局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rFonts w:ascii="Times New Roman" w:hAnsi="Times New Roman"/>
              </w:rPr>
            </w:pPr>
            <w:r>
              <w:rPr>
                <w:rFonts w:ascii="Times New Roman" w:hAnsi="Times New Roman"/>
              </w:rPr>
              <w:t>一级</w:t>
            </w:r>
          </w:p>
        </w:tc>
        <w:tc>
          <w:tcPr>
            <w:tcW w:w="2326" w:type="dxa"/>
            <w:vAlign w:val="center"/>
          </w:tcPr>
          <w:p>
            <w:pPr>
              <w:pStyle w:val="307"/>
              <w:ind w:firstLine="0" w:firstLineChars="0"/>
              <w:jc w:val="center"/>
              <w:rPr>
                <w:rFonts w:ascii="Times New Roman" w:hAnsi="Times New Roman"/>
              </w:rPr>
            </w:pPr>
            <w:r>
              <w:rPr>
                <w:rFonts w:ascii="Times New Roman" w:hAnsi="Times New Roman"/>
              </w:rPr>
              <w:t>小于 20 分钟</w:t>
            </w:r>
          </w:p>
        </w:tc>
        <w:tc>
          <w:tcPr>
            <w:tcW w:w="1608" w:type="dxa"/>
            <w:vAlign w:val="center"/>
          </w:tcPr>
          <w:p>
            <w:pPr>
              <w:pStyle w:val="307"/>
              <w:ind w:firstLine="0" w:firstLineChars="0"/>
              <w:jc w:val="center"/>
              <w:rPr>
                <w:rFonts w:ascii="Times New Roman" w:hAnsi="Times New Roman"/>
              </w:rPr>
            </w:pPr>
            <w:r>
              <w:rPr>
                <w:rFonts w:hint="eastAsia" w:ascii="Times New Roman" w:hAnsi="Times New Roman"/>
              </w:rPr>
              <w:t>维护方公司领导</w:t>
            </w:r>
          </w:p>
        </w:tc>
        <w:tc>
          <w:tcPr>
            <w:tcW w:w="1608" w:type="dxa"/>
            <w:vAlign w:val="center"/>
          </w:tcPr>
          <w:p>
            <w:pPr>
              <w:pStyle w:val="307"/>
              <w:ind w:firstLine="0" w:firstLineChars="0"/>
              <w:jc w:val="center"/>
              <w:rPr>
                <w:rFonts w:ascii="Times New Roman" w:hAnsi="Times New Roman"/>
              </w:rPr>
            </w:pPr>
            <w:r>
              <w:rPr>
                <w:rFonts w:hint="eastAsia" w:ascii="Times New Roman" w:hAnsi="Times New Roman"/>
              </w:rPr>
              <w:t>林业部门领导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rFonts w:ascii="Times New Roman" w:hAnsi="Times New Roman"/>
              </w:rPr>
            </w:pPr>
            <w:r>
              <w:rPr>
                <w:rFonts w:ascii="Times New Roman" w:hAnsi="Times New Roman"/>
              </w:rPr>
              <w:t>二级</w:t>
            </w:r>
          </w:p>
        </w:tc>
        <w:tc>
          <w:tcPr>
            <w:tcW w:w="2326" w:type="dxa"/>
            <w:vAlign w:val="center"/>
          </w:tcPr>
          <w:p>
            <w:pPr>
              <w:pStyle w:val="307"/>
              <w:ind w:firstLine="0" w:firstLineChars="0"/>
              <w:jc w:val="center"/>
              <w:rPr>
                <w:rFonts w:ascii="Times New Roman" w:hAnsi="Times New Roman"/>
              </w:rPr>
            </w:pPr>
            <w:r>
              <w:rPr>
                <w:rFonts w:ascii="Times New Roman" w:hAnsi="Times New Roman"/>
              </w:rPr>
              <w:t>小于 30 分钟</w:t>
            </w:r>
          </w:p>
        </w:tc>
        <w:tc>
          <w:tcPr>
            <w:tcW w:w="1608" w:type="dxa"/>
            <w:vAlign w:val="center"/>
          </w:tcPr>
          <w:p>
            <w:pPr>
              <w:pStyle w:val="307"/>
              <w:ind w:firstLine="0" w:firstLineChars="0"/>
              <w:jc w:val="center"/>
              <w:rPr>
                <w:rFonts w:ascii="Times New Roman" w:hAnsi="Times New Roman"/>
              </w:rPr>
            </w:pPr>
            <w:r>
              <w:rPr>
                <w:rFonts w:ascii="Times New Roman" w:hAnsi="Times New Roman"/>
              </w:rPr>
              <w:t>项目经理</w:t>
            </w:r>
          </w:p>
        </w:tc>
        <w:tc>
          <w:tcPr>
            <w:tcW w:w="1608" w:type="dxa"/>
            <w:vAlign w:val="center"/>
          </w:tcPr>
          <w:p>
            <w:pPr>
              <w:pStyle w:val="307"/>
              <w:ind w:firstLine="0" w:firstLineChars="0"/>
              <w:jc w:val="center"/>
              <w:rPr>
                <w:rFonts w:ascii="Times New Roman" w:hAnsi="Times New Roman"/>
              </w:rPr>
            </w:pPr>
            <w:r>
              <w:rPr>
                <w:rFonts w:hint="eastAsia" w:ascii="Times New Roman" w:hAnsi="Times New Roman"/>
              </w:rPr>
              <w:t>林业部门领导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rFonts w:ascii="Times New Roman" w:hAnsi="Times New Roman"/>
              </w:rPr>
            </w:pPr>
            <w:r>
              <w:rPr>
                <w:rFonts w:ascii="Times New Roman" w:hAnsi="Times New Roman"/>
              </w:rPr>
              <w:t>二级</w:t>
            </w:r>
          </w:p>
        </w:tc>
        <w:tc>
          <w:tcPr>
            <w:tcW w:w="2326" w:type="dxa"/>
            <w:vAlign w:val="center"/>
          </w:tcPr>
          <w:p>
            <w:pPr>
              <w:pStyle w:val="307"/>
              <w:ind w:firstLine="0" w:firstLineChars="0"/>
              <w:jc w:val="center"/>
              <w:rPr>
                <w:rFonts w:ascii="Times New Roman" w:hAnsi="Times New Roman"/>
              </w:rPr>
            </w:pPr>
            <w:r>
              <w:rPr>
                <w:rFonts w:ascii="Times New Roman" w:hAnsi="Times New Roman"/>
              </w:rPr>
              <w:t>30-40 分钟</w:t>
            </w:r>
          </w:p>
        </w:tc>
        <w:tc>
          <w:tcPr>
            <w:tcW w:w="1608" w:type="dxa"/>
            <w:vAlign w:val="center"/>
          </w:tcPr>
          <w:p>
            <w:pPr>
              <w:pStyle w:val="307"/>
              <w:ind w:firstLine="0" w:firstLineChars="0"/>
              <w:jc w:val="center"/>
              <w:rPr>
                <w:rFonts w:ascii="Times New Roman" w:hAnsi="Times New Roman"/>
              </w:rPr>
            </w:pPr>
            <w:r>
              <w:rPr>
                <w:rFonts w:ascii="Times New Roman" w:hAnsi="Times New Roman"/>
              </w:rPr>
              <w:t>项目经理</w:t>
            </w:r>
          </w:p>
        </w:tc>
        <w:tc>
          <w:tcPr>
            <w:tcW w:w="1608" w:type="dxa"/>
            <w:vAlign w:val="center"/>
          </w:tcPr>
          <w:p>
            <w:pPr>
              <w:pStyle w:val="307"/>
              <w:ind w:firstLine="0" w:firstLineChars="0"/>
              <w:jc w:val="center"/>
              <w:rPr>
                <w:rFonts w:ascii="Times New Roman" w:hAnsi="Times New Roman"/>
              </w:rPr>
            </w:pPr>
            <w:r>
              <w:rPr>
                <w:rFonts w:hint="eastAsia" w:ascii="Times New Roman" w:hAnsi="Times New Roman"/>
              </w:rPr>
              <w:t>林业部门领导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rFonts w:ascii="Times New Roman" w:hAnsi="Times New Roman"/>
              </w:rPr>
            </w:pPr>
            <w:r>
              <w:rPr>
                <w:rFonts w:ascii="Times New Roman" w:hAnsi="Times New Roman"/>
              </w:rPr>
              <w:t>二级</w:t>
            </w:r>
          </w:p>
        </w:tc>
        <w:tc>
          <w:tcPr>
            <w:tcW w:w="2326" w:type="dxa"/>
            <w:vAlign w:val="center"/>
          </w:tcPr>
          <w:p>
            <w:pPr>
              <w:pStyle w:val="307"/>
              <w:ind w:firstLine="0" w:firstLineChars="0"/>
              <w:jc w:val="center"/>
              <w:rPr>
                <w:rFonts w:ascii="Times New Roman" w:hAnsi="Times New Roman"/>
              </w:rPr>
            </w:pPr>
            <w:r>
              <w:rPr>
                <w:rFonts w:ascii="Times New Roman" w:hAnsi="Times New Roman"/>
              </w:rPr>
              <w:t>1 小时内</w:t>
            </w:r>
          </w:p>
        </w:tc>
        <w:tc>
          <w:tcPr>
            <w:tcW w:w="1608" w:type="dxa"/>
            <w:vAlign w:val="center"/>
          </w:tcPr>
          <w:p>
            <w:pPr>
              <w:pStyle w:val="307"/>
              <w:ind w:firstLine="0" w:firstLineChars="0"/>
              <w:jc w:val="center"/>
              <w:rPr>
                <w:rFonts w:ascii="Times New Roman" w:hAnsi="Times New Roman"/>
              </w:rPr>
            </w:pPr>
            <w:r>
              <w:rPr>
                <w:rFonts w:ascii="Times New Roman" w:hAnsi="Times New Roman"/>
              </w:rPr>
              <w:t>项目经理</w:t>
            </w:r>
          </w:p>
        </w:tc>
        <w:tc>
          <w:tcPr>
            <w:tcW w:w="1608" w:type="dxa"/>
            <w:vAlign w:val="center"/>
          </w:tcPr>
          <w:p>
            <w:pPr>
              <w:pStyle w:val="307"/>
              <w:ind w:firstLine="0" w:firstLineChars="0"/>
              <w:jc w:val="center"/>
              <w:rPr>
                <w:rFonts w:ascii="Times New Roman" w:hAnsi="Times New Roman"/>
              </w:rPr>
            </w:pPr>
            <w:r>
              <w:rPr>
                <w:rFonts w:hint="eastAsia" w:ascii="Times New Roman" w:hAnsi="Times New Roman"/>
              </w:rPr>
              <w:t>林业部门领导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rFonts w:ascii="Times New Roman" w:hAnsi="Times New Roman"/>
              </w:rPr>
            </w:pPr>
            <w:r>
              <w:rPr>
                <w:rFonts w:ascii="Times New Roman" w:hAnsi="Times New Roman"/>
              </w:rPr>
              <w:t>三级</w:t>
            </w:r>
          </w:p>
        </w:tc>
        <w:tc>
          <w:tcPr>
            <w:tcW w:w="2326" w:type="dxa"/>
            <w:vAlign w:val="center"/>
          </w:tcPr>
          <w:p>
            <w:pPr>
              <w:pStyle w:val="307"/>
              <w:ind w:firstLine="0" w:firstLineChars="0"/>
              <w:jc w:val="center"/>
              <w:rPr>
                <w:rFonts w:ascii="Times New Roman" w:hAnsi="Times New Roman"/>
              </w:rPr>
            </w:pPr>
            <w:r>
              <w:rPr>
                <w:rFonts w:ascii="Times New Roman" w:hAnsi="Times New Roman"/>
              </w:rPr>
              <w:t>小于 40 分钟</w:t>
            </w:r>
          </w:p>
        </w:tc>
        <w:tc>
          <w:tcPr>
            <w:tcW w:w="1608" w:type="dxa"/>
            <w:vAlign w:val="center"/>
          </w:tcPr>
          <w:p>
            <w:pPr>
              <w:pStyle w:val="307"/>
              <w:ind w:firstLine="0" w:firstLineChars="0"/>
              <w:jc w:val="center"/>
              <w:rPr>
                <w:rFonts w:ascii="Times New Roman" w:hAnsi="Times New Roman"/>
              </w:rPr>
            </w:pPr>
            <w:r>
              <w:rPr>
                <w:rFonts w:ascii="Times New Roman" w:hAnsi="Times New Roman"/>
              </w:rPr>
              <w:t>项目经理</w:t>
            </w:r>
          </w:p>
        </w:tc>
        <w:tc>
          <w:tcPr>
            <w:tcW w:w="1608" w:type="dxa"/>
            <w:vAlign w:val="center"/>
          </w:tcPr>
          <w:p>
            <w:pPr>
              <w:pStyle w:val="307"/>
              <w:ind w:firstLine="0" w:firstLineChars="0"/>
              <w:jc w:val="center"/>
              <w:rPr>
                <w:rFonts w:ascii="Times New Roman" w:hAnsi="Times New Roman"/>
              </w:rPr>
            </w:pPr>
            <w:r>
              <w:rPr>
                <w:rFonts w:hint="eastAsia" w:ascii="Times New Roman" w:hAnsi="Times New Roman"/>
              </w:rPr>
              <w:t>林业部门领导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rFonts w:ascii="Times New Roman" w:hAnsi="Times New Roman"/>
              </w:rPr>
            </w:pPr>
            <w:r>
              <w:rPr>
                <w:rFonts w:ascii="Times New Roman" w:hAnsi="Times New Roman"/>
              </w:rPr>
              <w:t>三级</w:t>
            </w:r>
          </w:p>
        </w:tc>
        <w:tc>
          <w:tcPr>
            <w:tcW w:w="2326" w:type="dxa"/>
            <w:vAlign w:val="center"/>
          </w:tcPr>
          <w:p>
            <w:pPr>
              <w:pStyle w:val="307"/>
              <w:ind w:firstLine="0" w:firstLineChars="0"/>
              <w:jc w:val="center"/>
              <w:rPr>
                <w:rFonts w:ascii="Times New Roman" w:hAnsi="Times New Roman"/>
              </w:rPr>
            </w:pPr>
            <w:r>
              <w:rPr>
                <w:rFonts w:ascii="Times New Roman" w:hAnsi="Times New Roman"/>
              </w:rPr>
              <w:t>40-60 分钟内</w:t>
            </w:r>
          </w:p>
        </w:tc>
        <w:tc>
          <w:tcPr>
            <w:tcW w:w="1608" w:type="dxa"/>
            <w:vAlign w:val="center"/>
          </w:tcPr>
          <w:p>
            <w:pPr>
              <w:pStyle w:val="307"/>
              <w:ind w:firstLine="0" w:firstLineChars="0"/>
              <w:jc w:val="center"/>
              <w:rPr>
                <w:rFonts w:ascii="Times New Roman" w:hAnsi="Times New Roman"/>
              </w:rPr>
            </w:pPr>
            <w:r>
              <w:rPr>
                <w:rFonts w:ascii="Times New Roman" w:hAnsi="Times New Roman"/>
              </w:rPr>
              <w:t>运维主管</w:t>
            </w:r>
          </w:p>
        </w:tc>
        <w:tc>
          <w:tcPr>
            <w:tcW w:w="1608" w:type="dxa"/>
            <w:vAlign w:val="center"/>
          </w:tcPr>
          <w:p>
            <w:pPr>
              <w:pStyle w:val="307"/>
              <w:ind w:firstLine="0" w:firstLineChars="0"/>
              <w:jc w:val="center"/>
              <w:rPr>
                <w:rFonts w:ascii="Times New Roman" w:hAnsi="Times New Roman"/>
              </w:rPr>
            </w:pPr>
            <w:r>
              <w:rPr>
                <w:rFonts w:hint="eastAsia" w:ascii="Times New Roman" w:hAnsi="Times New Roman"/>
              </w:rPr>
              <w:t>林业部门领导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609" w:type="dxa"/>
            <w:vAlign w:val="center"/>
          </w:tcPr>
          <w:p>
            <w:pPr>
              <w:pStyle w:val="307"/>
              <w:ind w:firstLine="0" w:firstLineChars="0"/>
              <w:jc w:val="center"/>
              <w:rPr>
                <w:rFonts w:ascii="Times New Roman" w:hAnsi="Times New Roman"/>
              </w:rPr>
            </w:pPr>
            <w:r>
              <w:rPr>
                <w:rFonts w:ascii="Times New Roman" w:hAnsi="Times New Roman"/>
              </w:rPr>
              <w:t>三级</w:t>
            </w:r>
          </w:p>
        </w:tc>
        <w:tc>
          <w:tcPr>
            <w:tcW w:w="2326" w:type="dxa"/>
            <w:vAlign w:val="center"/>
          </w:tcPr>
          <w:p>
            <w:pPr>
              <w:pStyle w:val="307"/>
              <w:ind w:firstLine="0" w:firstLineChars="0"/>
              <w:jc w:val="center"/>
              <w:rPr>
                <w:rFonts w:ascii="Times New Roman" w:hAnsi="Times New Roman"/>
              </w:rPr>
            </w:pPr>
            <w:r>
              <w:rPr>
                <w:rFonts w:ascii="Times New Roman" w:hAnsi="Times New Roman"/>
              </w:rPr>
              <w:t>2 小时内</w:t>
            </w:r>
          </w:p>
        </w:tc>
        <w:tc>
          <w:tcPr>
            <w:tcW w:w="1608" w:type="dxa"/>
            <w:vAlign w:val="center"/>
          </w:tcPr>
          <w:p>
            <w:pPr>
              <w:pStyle w:val="307"/>
              <w:ind w:firstLine="0" w:firstLineChars="0"/>
              <w:jc w:val="center"/>
              <w:rPr>
                <w:rFonts w:ascii="Times New Roman" w:hAnsi="Times New Roman"/>
              </w:rPr>
            </w:pPr>
            <w:r>
              <w:rPr>
                <w:rFonts w:ascii="Times New Roman" w:hAnsi="Times New Roman"/>
              </w:rPr>
              <w:t>运维主管</w:t>
            </w:r>
          </w:p>
        </w:tc>
        <w:tc>
          <w:tcPr>
            <w:tcW w:w="1608" w:type="dxa"/>
            <w:vAlign w:val="center"/>
          </w:tcPr>
          <w:p>
            <w:pPr>
              <w:pStyle w:val="307"/>
              <w:ind w:firstLine="0" w:firstLineChars="0"/>
              <w:jc w:val="center"/>
              <w:rPr>
                <w:rFonts w:ascii="Times New Roman" w:hAnsi="Times New Roman"/>
              </w:rPr>
            </w:pPr>
            <w:r>
              <w:rPr>
                <w:rFonts w:hint="eastAsia" w:ascii="Times New Roman" w:hAnsi="Times New Roman"/>
              </w:rPr>
              <w:t>林业部门领导</w:t>
            </w:r>
          </w:p>
        </w:tc>
      </w:tr>
    </w:tbl>
    <w:p>
      <w:pPr>
        <w:pStyle w:val="6"/>
        <w:numPr>
          <w:ilvl w:val="4"/>
          <w:numId w:val="0"/>
        </w:numPr>
        <w:tabs>
          <w:tab w:val="clear" w:pos="432"/>
        </w:tabs>
        <w:spacing w:line="350" w:lineRule="exact"/>
        <w:ind w:right="-386" w:rightChars="-184" w:firstLine="210" w:firstLineChars="100"/>
        <w:rPr>
          <w:b w:val="0"/>
          <w:sz w:val="21"/>
          <w:szCs w:val="21"/>
        </w:rPr>
      </w:pPr>
      <w:r>
        <w:rPr>
          <w:rFonts w:hint="eastAsia"/>
          <w:b w:val="0"/>
          <w:sz w:val="21"/>
          <w:szCs w:val="21"/>
        </w:rPr>
        <w:t>3）应急处置</w:t>
      </w:r>
    </w:p>
    <w:p>
      <w:pPr>
        <w:tabs>
          <w:tab w:val="left" w:pos="420"/>
        </w:tabs>
        <w:spacing w:before="78" w:after="78" w:line="350" w:lineRule="exact"/>
        <w:rPr>
          <w:rFonts w:ascii="Times New Roman" w:hAnsi="Times New Roman" w:eastAsia="宋体" w:cs="Times New Roman"/>
          <w:szCs w:val="21"/>
        </w:rPr>
      </w:pPr>
      <w:r>
        <w:rPr>
          <w:rFonts w:hint="eastAsia" w:ascii="Times New Roman" w:hAnsi="Times New Roman" w:eastAsia="宋体" w:cs="Times New Roman"/>
          <w:szCs w:val="21"/>
        </w:rPr>
        <w:tab/>
      </w:r>
      <w:r>
        <w:rPr>
          <w:rFonts w:hint="eastAsia" w:ascii="Times New Roman" w:hAnsi="Times New Roman" w:eastAsia="宋体" w:cs="Times New Roman"/>
          <w:szCs w:val="21"/>
        </w:rPr>
        <w:t>根据应急决策内容和紧急程度、重要程度、服务时段，影响程度等方面相应处理优先级。安装实现应急预案采用必要手段，排查与诊断事故，从而使得系统恢复正常运行。</w:t>
      </w:r>
    </w:p>
    <w:p>
      <w:pPr>
        <w:pStyle w:val="6"/>
        <w:numPr>
          <w:ilvl w:val="4"/>
          <w:numId w:val="0"/>
        </w:numPr>
        <w:tabs>
          <w:tab w:val="clear" w:pos="432"/>
        </w:tabs>
        <w:spacing w:line="350" w:lineRule="exact"/>
        <w:ind w:right="-386" w:rightChars="-184" w:firstLine="210" w:firstLineChars="100"/>
        <w:rPr>
          <w:b w:val="0"/>
          <w:sz w:val="21"/>
          <w:szCs w:val="21"/>
        </w:rPr>
      </w:pPr>
      <w:r>
        <w:rPr>
          <w:rFonts w:hint="eastAsia"/>
          <w:b w:val="0"/>
          <w:sz w:val="21"/>
          <w:szCs w:val="21"/>
        </w:rPr>
        <w:t>4）</w:t>
      </w:r>
      <w:r>
        <w:rPr>
          <w:b w:val="0"/>
          <w:sz w:val="21"/>
          <w:szCs w:val="21"/>
        </w:rPr>
        <w:t>总结改进</w:t>
      </w:r>
    </w:p>
    <w:p>
      <w:pPr>
        <w:pStyle w:val="21"/>
        <w:spacing w:line="350" w:lineRule="exact"/>
        <w:ind w:left="397" w:right="431" w:firstLine="420"/>
        <w:rPr>
          <w:rFonts w:ascii="Times New Roman" w:hAnsi="Times New Roman" w:eastAsia="宋体"/>
          <w:sz w:val="21"/>
        </w:rPr>
      </w:pPr>
      <w:r>
        <w:rPr>
          <w:rFonts w:ascii="Times New Roman" w:hAnsi="Times New Roman" w:eastAsia="宋体"/>
          <w:sz w:val="21"/>
        </w:rPr>
        <w:t>应急事件处理结束后，应急响应组织应对应急工作进行总结和提出改进要求，督促相关责任部门和人员进行整改。</w:t>
      </w:r>
    </w:p>
    <w:p>
      <w:pPr>
        <w:pStyle w:val="21"/>
        <w:spacing w:line="350" w:lineRule="exact"/>
        <w:ind w:left="397" w:right="431" w:firstLine="420"/>
        <w:rPr>
          <w:rFonts w:ascii="Times New Roman" w:hAnsi="Times New Roman"/>
        </w:rPr>
      </w:pPr>
      <w:r>
        <w:rPr>
          <w:rFonts w:ascii="Times New Roman" w:hAnsi="Times New Roman" w:eastAsia="宋体"/>
          <w:sz w:val="21"/>
        </w:rPr>
        <w:t>每年至少一次，组织应急预案评估，确认应急预案的有效性，针对发现的问题，提出纠正措施。</w:t>
      </w:r>
    </w:p>
    <w:p>
      <w:pPr>
        <w:pStyle w:val="309"/>
        <w:spacing w:line="350" w:lineRule="exact"/>
        <w:ind w:right="-105"/>
        <w:rPr>
          <w:rFonts w:ascii="Times New Roman"/>
        </w:rPr>
      </w:pPr>
      <w:r>
        <w:rPr>
          <w:rFonts w:ascii="Times New Roman"/>
        </w:rPr>
        <w:t>问题</w:t>
      </w:r>
      <w:bookmarkEnd w:id="49"/>
      <w:r>
        <w:rPr>
          <w:rFonts w:ascii="Times New Roman"/>
        </w:rPr>
        <w:t>管理</w:t>
      </w:r>
    </w:p>
    <w:p>
      <w:pPr>
        <w:pStyle w:val="308"/>
        <w:tabs>
          <w:tab w:val="left" w:pos="420"/>
        </w:tabs>
        <w:adjustRightInd w:val="0"/>
        <w:snapToGrid w:val="0"/>
        <w:spacing w:before="120" w:beforeLines="50" w:after="120" w:afterLines="50" w:line="350" w:lineRule="exact"/>
        <w:ind w:left="-6" w:right="-105" w:firstLine="6"/>
        <w:rPr>
          <w:rFonts w:ascii="Times New Roman"/>
        </w:rPr>
      </w:pPr>
      <w:r>
        <w:rPr>
          <w:rFonts w:ascii="Times New Roman"/>
        </w:rPr>
        <w:t>目的</w:t>
      </w:r>
    </w:p>
    <w:p>
      <w:pPr>
        <w:pStyle w:val="21"/>
        <w:spacing w:line="350" w:lineRule="exact"/>
        <w:ind w:left="397" w:right="431" w:firstLine="420"/>
        <w:rPr>
          <w:rFonts w:ascii="Times New Roman" w:hAnsi="Times New Roman" w:eastAsia="宋体"/>
          <w:sz w:val="21"/>
        </w:rPr>
      </w:pPr>
      <w:r>
        <w:rPr>
          <w:rFonts w:ascii="Times New Roman" w:hAnsi="Times New Roman" w:eastAsia="宋体"/>
          <w:sz w:val="21"/>
        </w:rPr>
        <w:t>运维机构应建立问题管理流程，在用户提出服务请求时通过合理的方式和流程解决客户问题，提升服务效率。</w:t>
      </w:r>
    </w:p>
    <w:p>
      <w:pPr>
        <w:pStyle w:val="308"/>
        <w:tabs>
          <w:tab w:val="left" w:pos="420"/>
        </w:tabs>
        <w:adjustRightInd w:val="0"/>
        <w:snapToGrid w:val="0"/>
        <w:spacing w:before="120" w:beforeLines="50" w:after="120" w:afterLines="50" w:line="350" w:lineRule="exact"/>
        <w:ind w:left="-6" w:right="-105" w:firstLine="6"/>
        <w:rPr>
          <w:rFonts w:ascii="Times New Roman"/>
        </w:rPr>
      </w:pPr>
      <w:r>
        <w:rPr>
          <w:rFonts w:ascii="Times New Roman"/>
        </w:rPr>
        <w:t>范围</w:t>
      </w:r>
    </w:p>
    <w:p>
      <w:pPr>
        <w:pStyle w:val="21"/>
        <w:spacing w:line="350" w:lineRule="exact"/>
        <w:ind w:left="397" w:right="431" w:firstLine="420"/>
        <w:rPr>
          <w:rFonts w:ascii="Times New Roman" w:hAnsi="Times New Roman" w:eastAsia="宋体"/>
          <w:sz w:val="21"/>
        </w:rPr>
      </w:pPr>
      <w:r>
        <w:rPr>
          <w:rFonts w:ascii="Times New Roman" w:hAnsi="Times New Roman" w:eastAsia="宋体"/>
          <w:sz w:val="21"/>
        </w:rPr>
        <w:t>问题管理应包括：</w:t>
      </w:r>
    </w:p>
    <w:p>
      <w:pPr>
        <w:pStyle w:val="304"/>
        <w:numPr>
          <w:ilvl w:val="0"/>
          <w:numId w:val="31"/>
        </w:numPr>
        <w:spacing w:line="350" w:lineRule="exact"/>
        <w:rPr>
          <w:rFonts w:ascii="Times New Roman" w:hAnsi="Times New Roman" w:eastAsia="宋体" w:cs="Times New Roman"/>
          <w:sz w:val="21"/>
          <w:szCs w:val="21"/>
        </w:rPr>
      </w:pPr>
      <w:r>
        <w:rPr>
          <w:rFonts w:ascii="Times New Roman" w:hAnsi="Times New Roman" w:eastAsia="宋体" w:cs="Times New Roman"/>
          <w:sz w:val="21"/>
          <w:szCs w:val="21"/>
        </w:rPr>
        <w:t>监测、记录、识别、分析系统出现的或潜在的问题，建立问题处理流程，查找引起问题的原因， 降低系统运行的风险；</w:t>
      </w:r>
    </w:p>
    <w:p>
      <w:pPr>
        <w:pStyle w:val="304"/>
        <w:numPr>
          <w:ilvl w:val="0"/>
          <w:numId w:val="31"/>
        </w:numPr>
        <w:spacing w:line="350" w:lineRule="exact"/>
        <w:rPr>
          <w:rFonts w:ascii="Times New Roman" w:hAnsi="Times New Roman" w:eastAsia="宋体" w:cs="Times New Roman"/>
          <w:sz w:val="21"/>
          <w:szCs w:val="21"/>
        </w:rPr>
      </w:pPr>
      <w:r>
        <w:rPr>
          <w:rFonts w:ascii="Times New Roman" w:hAnsi="Times New Roman" w:eastAsia="宋体" w:cs="Times New Roman"/>
          <w:sz w:val="21"/>
          <w:szCs w:val="21"/>
        </w:rPr>
        <w:t>根据问题的性质分类，确定问题的影响和程度，按照优先级定义排队，制定问题解决方案；</w:t>
      </w:r>
    </w:p>
    <w:p>
      <w:pPr>
        <w:pStyle w:val="304"/>
        <w:numPr>
          <w:ilvl w:val="0"/>
          <w:numId w:val="31"/>
        </w:numPr>
        <w:spacing w:line="350" w:lineRule="exact"/>
        <w:rPr>
          <w:rFonts w:ascii="Times New Roman" w:hAnsi="Times New Roman" w:eastAsia="宋体" w:cs="Times New Roman"/>
          <w:sz w:val="21"/>
          <w:szCs w:val="21"/>
        </w:rPr>
      </w:pPr>
      <w:r>
        <w:rPr>
          <w:rFonts w:ascii="Times New Roman" w:hAnsi="Times New Roman" w:eastAsia="宋体" w:cs="Times New Roman"/>
          <w:sz w:val="21"/>
          <w:szCs w:val="21"/>
        </w:rPr>
        <w:t>跟踪问题处理流程，及时改进和完善；</w:t>
      </w:r>
    </w:p>
    <w:p>
      <w:pPr>
        <w:pStyle w:val="304"/>
        <w:numPr>
          <w:ilvl w:val="0"/>
          <w:numId w:val="31"/>
        </w:numPr>
        <w:spacing w:line="350" w:lineRule="exact"/>
        <w:rPr>
          <w:rFonts w:ascii="Times New Roman" w:hAnsi="Times New Roman" w:eastAsia="宋体" w:cs="Times New Roman"/>
          <w:sz w:val="21"/>
          <w:szCs w:val="21"/>
        </w:rPr>
      </w:pPr>
      <w:r>
        <w:rPr>
          <w:rFonts w:ascii="Times New Roman" w:hAnsi="Times New Roman" w:eastAsia="宋体" w:cs="Times New Roman"/>
          <w:sz w:val="21"/>
          <w:szCs w:val="21"/>
        </w:rPr>
        <w:t>在运维服务管理过程中，对历史故障的现象、原因、处理方法等经验进行收集和分析，形成问题知识库。</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50" w:name="_Toc495571091"/>
      <w:r>
        <w:rPr>
          <w:rFonts w:ascii="Times New Roman"/>
        </w:rPr>
        <w:t>流程</w:t>
      </w:r>
      <w:bookmarkEnd w:id="50"/>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问题管理分为两个流程：问题控制和错误控制：</w:t>
      </w:r>
    </w:p>
    <w:p>
      <w:pPr>
        <w:numPr>
          <w:ilvl w:val="0"/>
          <w:numId w:val="32"/>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问题控制流程</w:t>
      </w:r>
    </w:p>
    <w:p>
      <w:pPr>
        <w:numPr>
          <w:ilvl w:val="0"/>
          <w:numId w:val="33"/>
        </w:numPr>
        <w:spacing w:before="60" w:beforeLines="25" w:after="60" w:afterLines="25" w:line="350" w:lineRule="exact"/>
        <w:ind w:left="900"/>
        <w:rPr>
          <w:rFonts w:ascii="Times New Roman" w:hAnsi="Times New Roman" w:eastAsia="宋体" w:cs="Times New Roman"/>
          <w:szCs w:val="21"/>
        </w:rPr>
      </w:pPr>
      <w:r>
        <w:rPr>
          <w:rFonts w:ascii="Times New Roman" w:hAnsi="Times New Roman" w:eastAsia="宋体" w:cs="Times New Roman"/>
          <w:szCs w:val="21"/>
        </w:rPr>
        <w:t>作业流程</w:t>
      </w:r>
    </w:p>
    <w:p>
      <w:pPr>
        <w:spacing w:before="78" w:after="78"/>
        <w:jc w:val="center"/>
        <w:rPr>
          <w:rFonts w:ascii="Times New Roman" w:hAnsi="Times New Roman" w:cs="Times New Roman"/>
          <w:szCs w:val="21"/>
        </w:rPr>
      </w:pPr>
      <w:r>
        <w:rPr>
          <w:rFonts w:ascii="Times New Roman" w:hAnsi="Times New Roman" w:cs="Times New Roman"/>
          <w:szCs w:val="21"/>
        </w:rPr>
        <w:object>
          <v:shape id="_x0000_i1025" o:spt="75" type="#_x0000_t75" style="height:279pt;width:259.5pt;" o:ole="t" filled="f" o:preferrelative="t" stroked="f" coordsize="21600,21600">
            <v:path/>
            <v:fill on="f" focussize="0,0"/>
            <v:stroke on="f" joinstyle="miter"/>
            <v:imagedata r:id="rId16" o:title=""/>
            <o:lock v:ext="edit" aspectratio="t"/>
            <w10:wrap type="none"/>
            <w10:anchorlock/>
          </v:shape>
          <o:OLEObject Type="Embed" ProgID="Visio.Drawing.11" ShapeID="_x0000_i1025" DrawAspect="Content" ObjectID="_1468075725" r:id="rId15">
            <o:LockedField>false</o:LockedField>
          </o:OLEObject>
        </w:object>
      </w:r>
    </w:p>
    <w:p>
      <w:pPr>
        <w:pStyle w:val="16"/>
        <w:rPr>
          <w:rFonts w:ascii="Times New Roman" w:hAnsi="Times New Roman" w:cs="Times New Roman"/>
          <w:b/>
        </w:rPr>
      </w:pPr>
      <w:r>
        <w:rPr>
          <w:rFonts w:ascii="Times New Roman" w:hAnsi="Times New Roman" w:cs="Times New Roman"/>
        </w:rPr>
        <w:t xml:space="preserve">图 </w:t>
      </w:r>
      <w:r>
        <w:rPr>
          <w:rFonts w:ascii="Times New Roman" w:hAnsi="Times New Roman" w:cs="Times New Roman"/>
        </w:rPr>
        <w:fldChar w:fldCharType="begin"/>
      </w:r>
      <w:r>
        <w:rPr>
          <w:rFonts w:ascii="Times New Roman" w:hAnsi="Times New Roman" w:cs="Times New Roman"/>
        </w:rPr>
        <w:instrText xml:space="preserve"> SEQ 图 \* ARABIC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bCs/>
        </w:rPr>
        <w:t>问题管理图</w:t>
      </w:r>
    </w:p>
    <w:p>
      <w:pPr>
        <w:numPr>
          <w:ilvl w:val="0"/>
          <w:numId w:val="33"/>
        </w:numPr>
        <w:spacing w:before="60" w:beforeLines="25" w:after="60" w:afterLines="25" w:line="350" w:lineRule="exact"/>
        <w:ind w:left="900"/>
        <w:rPr>
          <w:rFonts w:ascii="Times New Roman" w:hAnsi="Times New Roman" w:eastAsia="宋体" w:cs="Times New Roman"/>
          <w:szCs w:val="21"/>
        </w:rPr>
      </w:pPr>
      <w:r>
        <w:rPr>
          <w:rFonts w:ascii="Times New Roman" w:hAnsi="Times New Roman" w:eastAsia="宋体" w:cs="Times New Roman"/>
          <w:szCs w:val="21"/>
        </w:rPr>
        <w:t>流程活动</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问题控制负责找出问题并调查其根源，其目标是通过确定问题根源并采取应急措施来把问题转化成已知错误。</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问题控制流程有以下活动：</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确认和记录：要确认问题并确定这个问题需要解决，这除了技术上的，有时也要考虑财务上的原因。</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问题的分类：如同故障类似，问题也要相应的分级，作为优先安排或投入资源处理的依据。</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调查和诊断：发现问题的真正根源，将问题变成已知错误。为彻底解决问题奠定基础。同时要找到临时解决问题的方法，为以后出现同类故障时提供一个快速恢复的手段。同时要将这个已知错误与问题数据库中的信息对比、更新。</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RFC及问题解决：当将问题转变成已知错误后，在解决问题时如遇到提出变更，就要提出变更申请，通过变更流程解决问题。</w:t>
      </w:r>
    </w:p>
    <w:p>
      <w:pPr>
        <w:numPr>
          <w:ilvl w:val="0"/>
          <w:numId w:val="32"/>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错误控制</w:t>
      </w:r>
    </w:p>
    <w:p>
      <w:pPr>
        <w:numPr>
          <w:ilvl w:val="0"/>
          <w:numId w:val="34"/>
        </w:numPr>
        <w:spacing w:before="60" w:beforeLines="25" w:after="60" w:afterLines="25" w:line="350" w:lineRule="exact"/>
        <w:ind w:left="900"/>
        <w:rPr>
          <w:rFonts w:ascii="Times New Roman" w:hAnsi="Times New Roman" w:eastAsia="宋体" w:cs="Times New Roman"/>
          <w:szCs w:val="21"/>
        </w:rPr>
      </w:pPr>
      <w:r>
        <w:rPr>
          <w:rFonts w:ascii="Times New Roman" w:hAnsi="Times New Roman" w:eastAsia="宋体" w:cs="Times New Roman"/>
          <w:szCs w:val="21"/>
        </w:rPr>
        <w:t>作业流程</w:t>
      </w:r>
    </w:p>
    <w:p>
      <w:pPr>
        <w:pStyle w:val="16"/>
        <w:rPr>
          <w:rFonts w:ascii="Times New Roman" w:hAnsi="Times New Roman" w:cs="Times New Roman"/>
        </w:rPr>
      </w:pPr>
      <w:r>
        <w:rPr>
          <w:rFonts w:ascii="Times New Roman" w:hAnsi="Times New Roman" w:cs="Times New Roman"/>
        </w:rPr>
        <w:drawing>
          <wp:inline distT="0" distB="0" distL="114300" distR="114300">
            <wp:extent cx="3138170" cy="2038985"/>
            <wp:effectExtent l="0" t="0" r="1270" b="3175"/>
            <wp:docPr id="5" name="图片 5" descr="1664180187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64180187681"/>
                    <pic:cNvPicPr>
                      <a:picLocks noChangeAspect="1"/>
                    </pic:cNvPicPr>
                  </pic:nvPicPr>
                  <pic:blipFill>
                    <a:blip r:embed="rId17"/>
                    <a:stretch>
                      <a:fillRect/>
                    </a:stretch>
                  </pic:blipFill>
                  <pic:spPr>
                    <a:xfrm>
                      <a:off x="0" y="0"/>
                      <a:ext cx="3138170" cy="2038985"/>
                    </a:xfrm>
                    <a:prstGeom prst="rect">
                      <a:avLst/>
                    </a:prstGeom>
                  </pic:spPr>
                </pic:pic>
              </a:graphicData>
            </a:graphic>
          </wp:inline>
        </w:drawing>
      </w:r>
    </w:p>
    <w:p>
      <w:pPr>
        <w:pStyle w:val="16"/>
        <w:rPr>
          <w:rFonts w:ascii="Times New Roman" w:hAnsi="Times New Roman" w:cs="Times New Roman"/>
        </w:rPr>
      </w:pPr>
      <w:r>
        <w:rPr>
          <w:rFonts w:ascii="Times New Roman" w:hAnsi="Times New Roman" w:cs="Times New Roman"/>
        </w:rPr>
        <w:t xml:space="preserve">图 </w:t>
      </w:r>
      <w:r>
        <w:rPr>
          <w:rFonts w:ascii="Times New Roman" w:hAnsi="Times New Roman" w:cs="Times New Roman"/>
        </w:rPr>
        <w:fldChar w:fldCharType="begin"/>
      </w:r>
      <w:r>
        <w:rPr>
          <w:rFonts w:ascii="Times New Roman" w:hAnsi="Times New Roman" w:cs="Times New Roman"/>
        </w:rPr>
        <w:instrText xml:space="preserve"> SEQ 图 \* ARABIC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t>错误控制流程图</w:t>
      </w:r>
    </w:p>
    <w:p>
      <w:pPr>
        <w:numPr>
          <w:ilvl w:val="0"/>
          <w:numId w:val="34"/>
        </w:numPr>
        <w:spacing w:before="60" w:beforeLines="25" w:after="60" w:afterLines="25" w:line="350" w:lineRule="exact"/>
        <w:ind w:left="900"/>
        <w:rPr>
          <w:rFonts w:ascii="Times New Roman" w:hAnsi="Times New Roman" w:eastAsia="宋体" w:cs="Times New Roman"/>
          <w:szCs w:val="21"/>
        </w:rPr>
      </w:pPr>
      <w:r>
        <w:rPr>
          <w:rFonts w:ascii="Times New Roman" w:hAnsi="Times New Roman" w:eastAsia="宋体" w:cs="Times New Roman"/>
          <w:szCs w:val="21"/>
        </w:rPr>
        <w:t>作业流程说明</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错误控制指监控和管理已知错误直到其尽可能地得到适当的处理。错误控制需要向变更管理提交变更请求（RFC），并在实施变更后对变更实施后评审以评估其效果。错误控制对已知错误从被确认到被解决的整个生命周期进行监控。</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错误控制流程有以下活动：</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错误确认和记录：找到问题的根源和与此问题相关联的配置项，以及处理它的应急措施，就可将其状态转变为“已知错误”或者与某个现有的已知错误相关联。然后就可以开始进行错误控制。</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错误评估：评估解决问题和已知错误时所需资源和解决方案。解决问题或已知错误的所有活动都应该加以记录以便对其进行监控和确定它们不同时期的状态。</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记录解决方案：根据服务级别协议、处理事件和已知错误所需成本和所可能获得的收益、变更请求的影响度和紧急度等因素来比较不同的解决方案。解决问题（或已知错误）的所有活动都应该加以记录以便对其进行监控和确定它们不同时期的状态。</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终止错误和相关问题：用于解决问题、已知错误及相关事件的变更一旦实施后，在终止有关记录工作之前必须对变更实施后评审，如果变更成功实施，那么对所有问题和已知错误及相关事件的记录工作都可以终止了。</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跟踪与监控：在问题和已知错误的整个生命周期内对他们的发展情况进行监控。这些工作在问题控制和错误控制中都要实施。</w:t>
      </w:r>
    </w:p>
    <w:p>
      <w:pPr>
        <w:pStyle w:val="309"/>
        <w:spacing w:line="350" w:lineRule="exact"/>
        <w:ind w:right="-105"/>
        <w:rPr>
          <w:rFonts w:ascii="Times New Roman"/>
        </w:rPr>
      </w:pPr>
      <w:bookmarkStart w:id="51" w:name="_Toc495571092"/>
      <w:r>
        <w:rPr>
          <w:rFonts w:ascii="Times New Roman"/>
        </w:rPr>
        <w:t>变更</w:t>
      </w:r>
      <w:bookmarkEnd w:id="51"/>
      <w:r>
        <w:rPr>
          <w:rFonts w:ascii="Times New Roman"/>
        </w:rPr>
        <w:t>管理</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52" w:name="_Toc495571093"/>
      <w:r>
        <w:rPr>
          <w:rFonts w:ascii="Times New Roman"/>
        </w:rPr>
        <w:t>目的</w:t>
      </w:r>
      <w:bookmarkEnd w:id="52"/>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变更管理的目的是确保标准方法和过程可以得到使用，通过对服务最小的干预来提高服务质量。变更管理应记录并对所有要求的变更进行分类，应评估变更请求的可行性、合理性、工作量、影响范围和效益。</w:t>
      </w:r>
    </w:p>
    <w:p>
      <w:pPr>
        <w:pStyle w:val="308"/>
        <w:tabs>
          <w:tab w:val="left" w:pos="420"/>
        </w:tabs>
        <w:adjustRightInd w:val="0"/>
        <w:snapToGrid w:val="0"/>
        <w:spacing w:before="120" w:beforeLines="50" w:after="120" w:afterLines="50" w:line="350" w:lineRule="exact"/>
        <w:ind w:left="-6" w:right="-105" w:firstLine="6"/>
        <w:rPr>
          <w:rFonts w:ascii="Times New Roman"/>
        </w:rPr>
      </w:pPr>
      <w:r>
        <w:rPr>
          <w:rFonts w:ascii="Times New Roman"/>
        </w:rPr>
        <w:t>范围</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变更管理将建立一个完整的变更管理体系，从而实现：</w:t>
      </w:r>
    </w:p>
    <w:p>
      <w:pPr>
        <w:numPr>
          <w:ilvl w:val="0"/>
          <w:numId w:val="19"/>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管理和引导用户变更需求；</w:t>
      </w:r>
    </w:p>
    <w:p>
      <w:pPr>
        <w:numPr>
          <w:ilvl w:val="0"/>
          <w:numId w:val="19"/>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通过对所有变更的正确评估，可以维护生产/运行环境的完整性；</w:t>
      </w:r>
    </w:p>
    <w:p>
      <w:pPr>
        <w:numPr>
          <w:ilvl w:val="0"/>
          <w:numId w:val="19"/>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变更和变更实施得到正确记录，并提供审核统计；</w:t>
      </w:r>
    </w:p>
    <w:p>
      <w:pPr>
        <w:numPr>
          <w:ilvl w:val="0"/>
          <w:numId w:val="19"/>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减少或消除由于变更实施准备不当等原因出现的对IT环境的破坏；</w:t>
      </w:r>
    </w:p>
    <w:p>
      <w:pPr>
        <w:numPr>
          <w:ilvl w:val="0"/>
          <w:numId w:val="19"/>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提供了一致性的变更实施质量；</w:t>
      </w:r>
    </w:p>
    <w:p>
      <w:pPr>
        <w:numPr>
          <w:ilvl w:val="0"/>
          <w:numId w:val="19"/>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提高资源使用率（如，未得到正确控制和授权的变更需要更多的后续资源）；</w:t>
      </w:r>
    </w:p>
    <w:p>
      <w:pPr>
        <w:numPr>
          <w:ilvl w:val="0"/>
          <w:numId w:val="19"/>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确保实施的变更不会超出预定的系统利用限值。</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53" w:name="_Toc495571095"/>
      <w:r>
        <w:rPr>
          <w:rFonts w:ascii="Times New Roman"/>
        </w:rPr>
        <w:t>流程</w:t>
      </w:r>
      <w:bookmarkEnd w:id="53"/>
    </w:p>
    <w:p>
      <w:pPr>
        <w:numPr>
          <w:ilvl w:val="0"/>
          <w:numId w:val="35"/>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作业流程</w:t>
      </w:r>
    </w:p>
    <w:p>
      <w:pPr>
        <w:spacing w:before="78" w:after="78"/>
        <w:jc w:val="center"/>
        <w:rPr>
          <w:rFonts w:ascii="Times New Roman" w:hAnsi="Times New Roman" w:cs="Times New Roman"/>
          <w:szCs w:val="21"/>
        </w:rPr>
      </w:pPr>
      <w:r>
        <w:rPr>
          <w:rFonts w:hint="eastAsia" w:ascii="Times New Roman" w:hAnsi="Times New Roman" w:cs="Times New Roman"/>
          <w:szCs w:val="21"/>
        </w:rPr>
        <w:drawing>
          <wp:inline distT="0" distB="0" distL="114300" distR="114300">
            <wp:extent cx="2883535" cy="3477895"/>
            <wp:effectExtent l="0" t="0" r="12065" b="12065"/>
            <wp:docPr id="3" name="图片 3" descr="447718f00623544c9d7c276075112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47718f00623544c9d7c2760751123a"/>
                    <pic:cNvPicPr>
                      <a:picLocks noChangeAspect="1"/>
                    </pic:cNvPicPr>
                  </pic:nvPicPr>
                  <pic:blipFill>
                    <a:blip r:embed="rId18"/>
                    <a:stretch>
                      <a:fillRect/>
                    </a:stretch>
                  </pic:blipFill>
                  <pic:spPr>
                    <a:xfrm>
                      <a:off x="0" y="0"/>
                      <a:ext cx="2883535" cy="3477895"/>
                    </a:xfrm>
                    <a:prstGeom prst="rect">
                      <a:avLst/>
                    </a:prstGeom>
                  </pic:spPr>
                </pic:pic>
              </a:graphicData>
            </a:graphic>
          </wp:inline>
        </w:drawing>
      </w:r>
    </w:p>
    <w:p>
      <w:pPr>
        <w:pStyle w:val="16"/>
        <w:rPr>
          <w:rFonts w:ascii="Times New Roman" w:hAnsi="Times New Roman" w:cs="Times New Roman"/>
          <w:bCs/>
        </w:rPr>
      </w:pPr>
      <w:r>
        <w:rPr>
          <w:rFonts w:ascii="Times New Roman" w:hAnsi="Times New Roman" w:cs="Times New Roman"/>
        </w:rPr>
        <w:t xml:space="preserve">图 </w:t>
      </w:r>
      <w:r>
        <w:rPr>
          <w:rFonts w:ascii="Times New Roman" w:hAnsi="Times New Roman" w:cs="Times New Roman"/>
        </w:rPr>
        <w:fldChar w:fldCharType="begin"/>
      </w:r>
      <w:r>
        <w:rPr>
          <w:rFonts w:ascii="Times New Roman" w:hAnsi="Times New Roman" w:cs="Times New Roman"/>
        </w:rPr>
        <w:instrText xml:space="preserve"> SEQ 图 \* ARABIC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bCs/>
        </w:rPr>
        <w:t>变更管理图</w:t>
      </w:r>
    </w:p>
    <w:p>
      <w:pPr>
        <w:numPr>
          <w:ilvl w:val="0"/>
          <w:numId w:val="35"/>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流程活动</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记录：所有的变更请求必须被完整地记录下来，变更请求设计运维服务中的每个流程，变更请求应包含以下信息：</w:t>
      </w:r>
    </w:p>
    <w:p>
      <w:pPr>
        <w:numPr>
          <w:ilvl w:val="0"/>
          <w:numId w:val="36"/>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变更请求标识码。</w:t>
      </w:r>
    </w:p>
    <w:p>
      <w:pPr>
        <w:numPr>
          <w:ilvl w:val="0"/>
          <w:numId w:val="36"/>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相关联的问题/已知错误码。</w:t>
      </w:r>
    </w:p>
    <w:p>
      <w:pPr>
        <w:numPr>
          <w:ilvl w:val="0"/>
          <w:numId w:val="36"/>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相关配置项的描述和验证。</w:t>
      </w:r>
    </w:p>
    <w:p>
      <w:pPr>
        <w:numPr>
          <w:ilvl w:val="0"/>
          <w:numId w:val="36"/>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包括调整和商业利益的变更的原因。</w:t>
      </w:r>
    </w:p>
    <w:p>
      <w:pPr>
        <w:numPr>
          <w:ilvl w:val="0"/>
          <w:numId w:val="36"/>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要被变更的配置项当前的和新的版本。</w:t>
      </w:r>
    </w:p>
    <w:p>
      <w:pPr>
        <w:numPr>
          <w:ilvl w:val="0"/>
          <w:numId w:val="36"/>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提交该变更请求的人的姓名，地点和电话号码。</w:t>
      </w:r>
    </w:p>
    <w:p>
      <w:pPr>
        <w:numPr>
          <w:ilvl w:val="0"/>
          <w:numId w:val="36"/>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提交建议的时间。</w:t>
      </w:r>
    </w:p>
    <w:p>
      <w:pPr>
        <w:numPr>
          <w:ilvl w:val="0"/>
          <w:numId w:val="36"/>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估计的资源和时间计划。</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审查：对变更请求做出初步评估以检查是否有变更请求不清楚、不合理、不可行或者不必要。如果拒绝这项请求，需要说明原因；并给予提交请求的人解释的机会。</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归类：应该按类别和优先级对变更请求进行分类。优先级显示一项变更请求相对于其他变更请求的重要程度。来源于时间紧急度和变更的业务需求。</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规划和批准：变更必须被规划和批准，规划变更是应考虑变更窗口、人员、资源的可用性、成本和对服务的影响；确保要求的资源可用；并确保用户的参入，必要时提交</w:t>
      </w:r>
      <w:r>
        <w:rPr>
          <w:rFonts w:hint="eastAsia" w:ascii="Times New Roman" w:hAnsi="Times New Roman" w:eastAsia="宋体" w:cs="Times New Roman"/>
          <w:szCs w:val="21"/>
        </w:rPr>
        <w:t>林业局相关部门负责人</w:t>
      </w:r>
      <w:r>
        <w:rPr>
          <w:rFonts w:ascii="Times New Roman" w:hAnsi="Times New Roman" w:eastAsia="宋体" w:cs="Times New Roman"/>
          <w:szCs w:val="21"/>
        </w:rPr>
        <w:t>。变更的批准应考虑财务批准、技术批准和</w:t>
      </w:r>
      <w:r>
        <w:rPr>
          <w:rFonts w:hint="eastAsia" w:ascii="Times New Roman" w:hAnsi="Times New Roman" w:eastAsia="宋体" w:cs="Times New Roman"/>
          <w:szCs w:val="21"/>
        </w:rPr>
        <w:t>林业部门相关领导</w:t>
      </w:r>
      <w:r>
        <w:rPr>
          <w:rFonts w:ascii="Times New Roman" w:hAnsi="Times New Roman" w:eastAsia="宋体" w:cs="Times New Roman"/>
          <w:szCs w:val="21"/>
        </w:rPr>
        <w:t>批准。变更应该有相应的变更策略。</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协调：被批准的变更应告知与此变更相关的人员，包括客户人员。回撤计划、变更实施和变更的预期结果都必须被测试。</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评价：变更实施后，必须做变更实施后的评审，评审应该考虑变更是否达到预期的目的，用户对结果是否满意，是否有副作用，成本是否在预期的范围内。</w:t>
      </w:r>
    </w:p>
    <w:p>
      <w:pPr>
        <w:pStyle w:val="309"/>
        <w:spacing w:line="350" w:lineRule="exact"/>
        <w:ind w:right="-105"/>
        <w:rPr>
          <w:rFonts w:ascii="Times New Roman"/>
        </w:rPr>
      </w:pPr>
      <w:bookmarkStart w:id="54" w:name="_Toc495571096"/>
      <w:r>
        <w:rPr>
          <w:rFonts w:ascii="Times New Roman"/>
        </w:rPr>
        <w:t>配置</w:t>
      </w:r>
      <w:bookmarkEnd w:id="54"/>
      <w:r>
        <w:rPr>
          <w:rFonts w:ascii="Times New Roman"/>
        </w:rPr>
        <w:t>管理</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55" w:name="_Toc495571097"/>
      <w:r>
        <w:rPr>
          <w:rFonts w:ascii="Times New Roman"/>
        </w:rPr>
        <w:t>目的</w:t>
      </w:r>
      <w:bookmarkEnd w:id="55"/>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配置管理负责核实IT基础设施和应用系统中实施的变更以及配置项之间的关系是否已经被正确记录下来，确保配置管理数据库能够准备地反映现存配置项的实际版本状态。</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配置管理实际上是全部资源的统一管理的功能，包括资源整个生命周期的参数或配臵的变化记录的管理。管理信息主要涉及分类、型号、版本、位臵，状态、相关资料等基本信息还包括核心参数等。</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56" w:name="_Toc495571099"/>
      <w:r>
        <w:rPr>
          <w:rFonts w:ascii="Times New Roman"/>
        </w:rPr>
        <w:t>流程</w:t>
      </w:r>
      <w:bookmarkEnd w:id="56"/>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配置管理依赖于变更管理和发布管理并与这两个流程紧密集成。它也为多个其它流程提供支持。配置管理主要的活动有：</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规划：确定该流程的战略、政策和目标，分析现有的信息，确定所需的工具和资源，创建与其它流程、项目和供应商的接口，等等。</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识别：建立流程来维护对数据库的更新。该流程的活动包括开发数据模型来记录所有的IT基础设施组件及其相互关系、所有人或负责人、状态以及可用的文档等方面的信息。</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控制：通过只认可、记录和监控那些经过授权和确认的配置项来确保配置管理数据库（CMDB）的及时更新。控制流程还需要确保对配置项的增加、变更、替换或移除只有在获得必要的文档的前提下才能进行。</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状态记录：存储有关配置项在其生命周期内所处状态的当前和历史信息。状态监控可用来识别变更所处的状态，如“开发中”、“测试中”、“库存中”、“使用中”以及“停止使用”。</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核实：通过对IT基础设施进行审计来检验配置管理数据库，以确认已记录配置项的存在性和验证记录的准确性。</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报告：为其它流程提供信息，并就配置项的使用情况报告其趋势和发展。</w:t>
      </w:r>
    </w:p>
    <w:p>
      <w:pPr>
        <w:pStyle w:val="309"/>
        <w:spacing w:line="350" w:lineRule="exact"/>
        <w:ind w:right="-105"/>
        <w:rPr>
          <w:rFonts w:ascii="Times New Roman"/>
        </w:rPr>
      </w:pPr>
      <w:bookmarkStart w:id="57" w:name="_Toc495571100"/>
      <w:r>
        <w:rPr>
          <w:rFonts w:ascii="Times New Roman"/>
        </w:rPr>
        <w:t>发布</w:t>
      </w:r>
      <w:bookmarkEnd w:id="57"/>
      <w:r>
        <w:rPr>
          <w:rFonts w:ascii="Times New Roman"/>
        </w:rPr>
        <w:t>管理</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58" w:name="_Toc495571101"/>
      <w:r>
        <w:rPr>
          <w:rFonts w:ascii="Times New Roman"/>
        </w:rPr>
        <w:t>目的</w:t>
      </w:r>
      <w:bookmarkEnd w:id="58"/>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发布管理负责对硬件、软件、文档、流程等进行规划、设计、构建、配置和测试，以便为实际运行环境提供一系列的发布组件，并负责将新的或变更的组件迁移到生产环境中。其主要目标是保证生产环境的完整性被保护以及正确的组件被发布。</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59" w:name="_Toc495571103"/>
      <w:r>
        <w:rPr>
          <w:rFonts w:ascii="Times New Roman"/>
        </w:rPr>
        <w:t>流程</w:t>
      </w:r>
      <w:bookmarkEnd w:id="59"/>
    </w:p>
    <w:p>
      <w:pPr>
        <w:numPr>
          <w:ilvl w:val="0"/>
          <w:numId w:val="37"/>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作业流程</w:t>
      </w:r>
    </w:p>
    <w:p>
      <w:pPr>
        <w:pStyle w:val="16"/>
        <w:rPr>
          <w:rFonts w:ascii="Times New Roman" w:hAnsi="Times New Roman" w:cs="Times New Roman"/>
        </w:rPr>
      </w:pPr>
      <w:r>
        <w:rPr>
          <w:rFonts w:ascii="Times New Roman" w:hAnsi="Times New Roman" w:cs="Times New Roman"/>
        </w:rPr>
        <w:object>
          <v:shape id="_x0000_i1026" o:spt="75" type="#_x0000_t75" style="height:272.25pt;width:408pt;" o:ole="t" filled="f" o:preferrelative="t" stroked="f" coordsize="21600,21600">
            <v:path/>
            <v:fill on="f" focussize="0,0"/>
            <v:stroke on="f" joinstyle="miter"/>
            <v:imagedata r:id="rId20" o:title=""/>
            <o:lock v:ext="edit" aspectratio="t"/>
            <w10:wrap type="none"/>
            <w10:anchorlock/>
          </v:shape>
          <o:OLEObject Type="Embed" ProgID="Visio.Drawing.11" ShapeID="_x0000_i1026" DrawAspect="Content" ObjectID="_1468075726" r:id="rId19">
            <o:LockedField>false</o:LockedField>
          </o:OLEObject>
        </w:object>
      </w:r>
    </w:p>
    <w:p>
      <w:pPr>
        <w:pStyle w:val="16"/>
        <w:rPr>
          <w:rFonts w:ascii="Times New Roman" w:hAnsi="Times New Roman" w:cs="Times New Roman"/>
          <w:b/>
        </w:rPr>
      </w:pPr>
      <w:r>
        <w:rPr>
          <w:rFonts w:ascii="Times New Roman" w:hAnsi="Times New Roman" w:cs="Times New Roman"/>
        </w:rPr>
        <w:t xml:space="preserve">图 </w:t>
      </w:r>
      <w:r>
        <w:rPr>
          <w:rFonts w:ascii="Times New Roman" w:hAnsi="Times New Roman" w:cs="Times New Roman"/>
        </w:rPr>
        <w:fldChar w:fldCharType="begin"/>
      </w:r>
      <w:r>
        <w:rPr>
          <w:rFonts w:ascii="Times New Roman" w:hAnsi="Times New Roman" w:cs="Times New Roman"/>
        </w:rPr>
        <w:instrText xml:space="preserve"> SEQ 图 \* ARABIC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bCs/>
        </w:rPr>
        <w:t>发布管理图</w:t>
      </w:r>
    </w:p>
    <w:p>
      <w:pPr>
        <w:numPr>
          <w:ilvl w:val="0"/>
          <w:numId w:val="37"/>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流程活动</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发布政策制定和发布规划：针对每一个系统，发布经理都应当制定一项发布政策来定义发布怎样以及在何时得以配置。重大发布应该提前对其发布识别或版本号进行规划，以便在恰当的时候可以考虑添加某项变更。在对一项发布进行规划之前，需要收集有关产品生命周期、将要移交的产品、相关IT服务及其服务级别的描述以及相关变更请求的批准情况等方面的信息。</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设计、构建和配置：应该为发布设计、构建和配置标准化的程序，自行开发或从第三方购买的组件、安装说明文档和配置发布的说明文档应作为发布的一部分。在发布前必须构建和测试需发布的软硬件环境。</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撤销计划：撤销计划定义了在发布出现问题的情况下恢复服务需要采取的措施，发布管理需确保撤销计划符合实际的要求。</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测试和发布验收：发布应该在一个受控的环境内进行验收，应该由用户代表对其进行功能测试和IT技术人员对其操作进行测试。</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试运行规划：试运行规划包括：</w:t>
      </w:r>
    </w:p>
    <w:p>
      <w:pPr>
        <w:numPr>
          <w:ilvl w:val="0"/>
          <w:numId w:val="38"/>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制定一份日程安排以及有关任务和所需的人力资源的清单。</w:t>
      </w:r>
    </w:p>
    <w:p>
      <w:pPr>
        <w:numPr>
          <w:ilvl w:val="0"/>
          <w:numId w:val="38"/>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制定一份关于将要安装的配置项、将要停止使用的配置项以及退出使用的具体方式的清单。</w:t>
      </w:r>
    </w:p>
    <w:p>
      <w:pPr>
        <w:numPr>
          <w:ilvl w:val="0"/>
          <w:numId w:val="38"/>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分发发布备忘录以及与有关方面进行沟通。</w:t>
      </w:r>
    </w:p>
    <w:p>
      <w:pPr>
        <w:numPr>
          <w:ilvl w:val="0"/>
          <w:numId w:val="38"/>
        </w:numPr>
        <w:spacing w:before="60" w:beforeLines="25" w:after="60" w:afterLines="25" w:line="350" w:lineRule="exact"/>
        <w:ind w:left="480"/>
        <w:rPr>
          <w:rFonts w:ascii="Times New Roman" w:hAnsi="Times New Roman" w:eastAsia="宋体" w:cs="Times New Roman"/>
          <w:szCs w:val="21"/>
        </w:rPr>
      </w:pPr>
      <w:r>
        <w:rPr>
          <w:rFonts w:ascii="Times New Roman" w:hAnsi="Times New Roman" w:eastAsia="宋体" w:cs="Times New Roman"/>
          <w:szCs w:val="21"/>
        </w:rPr>
        <w:t>与高层管理人员、管理部门、变更管理以及用户代表安排更新/评审会议。</w:t>
      </w:r>
    </w:p>
    <w:p>
      <w:pPr>
        <w:pStyle w:val="309"/>
        <w:spacing w:line="350" w:lineRule="exact"/>
        <w:ind w:right="-105"/>
        <w:rPr>
          <w:rFonts w:ascii="Times New Roman"/>
        </w:rPr>
      </w:pPr>
      <w:bookmarkStart w:id="60" w:name="_Toc495571104"/>
      <w:r>
        <w:rPr>
          <w:rFonts w:ascii="Times New Roman"/>
        </w:rPr>
        <w:t>服务级别</w:t>
      </w:r>
      <w:bookmarkEnd w:id="60"/>
      <w:r>
        <w:rPr>
          <w:rFonts w:ascii="Times New Roman"/>
        </w:rPr>
        <w:t>管理</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61" w:name="_Toc495571105"/>
      <w:r>
        <w:rPr>
          <w:rFonts w:ascii="Times New Roman"/>
        </w:rPr>
        <w:t>目的</w:t>
      </w:r>
      <w:bookmarkEnd w:id="61"/>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服务级别管理负责协商并记录所提供的服务、相应的服务级别目标以及工作量特性，协商并记录服务级别协议、支撑服务约定、供方合同以及相应的程序。服务级别管理还监视并报告服务级别，支持查看和定期的评审，以确保服务级别协议的更新和持续有效。旨在通过对服务级别的监控和管理不断提高面向业务的运维服务质量。</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62" w:name="_Toc495571107"/>
      <w:r>
        <w:rPr>
          <w:rFonts w:ascii="Times New Roman"/>
        </w:rPr>
        <w:t>流程</w:t>
      </w:r>
      <w:bookmarkEnd w:id="62"/>
    </w:p>
    <w:p>
      <w:pPr>
        <w:numPr>
          <w:ilvl w:val="0"/>
          <w:numId w:val="39"/>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作业流程图</w:t>
      </w:r>
    </w:p>
    <w:p>
      <w:pPr>
        <w:spacing w:before="78" w:after="78"/>
        <w:jc w:val="center"/>
        <w:rPr>
          <w:rFonts w:ascii="Times New Roman" w:hAnsi="Times New Roman" w:cs="Times New Roman"/>
          <w:szCs w:val="21"/>
        </w:rPr>
      </w:pPr>
      <w:r>
        <w:rPr>
          <w:rFonts w:ascii="Times New Roman" w:hAnsi="Times New Roman" w:cs="Times New Roman"/>
          <w:szCs w:val="21"/>
        </w:rPr>
        <w:object>
          <v:shape id="_x0000_i1027" o:spt="75" type="#_x0000_t75" style="height:285pt;width:212.25pt;" o:ole="t" filled="f" o:preferrelative="t" stroked="f" coordsize="21600,21600">
            <v:path/>
            <v:fill on="f" focussize="0,0"/>
            <v:stroke on="f" joinstyle="miter"/>
            <v:imagedata r:id="rId22" o:title=""/>
            <o:lock v:ext="edit" aspectratio="t"/>
            <w10:wrap type="none"/>
            <w10:anchorlock/>
          </v:shape>
          <o:OLEObject Type="Embed" ProgID="Visio.Drawing.11" ShapeID="_x0000_i1027" DrawAspect="Content" ObjectID="_1468075727" r:id="rId21">
            <o:LockedField>false</o:LockedField>
          </o:OLEObject>
        </w:object>
      </w:r>
    </w:p>
    <w:p>
      <w:pPr>
        <w:pStyle w:val="16"/>
        <w:rPr>
          <w:rFonts w:ascii="Times New Roman" w:hAnsi="Times New Roman" w:cs="Times New Roman"/>
          <w:bCs/>
        </w:rPr>
      </w:pPr>
      <w:r>
        <w:rPr>
          <w:rFonts w:ascii="Times New Roman" w:hAnsi="Times New Roman" w:cs="Times New Roman"/>
        </w:rPr>
        <w:t xml:space="preserve">图 </w:t>
      </w:r>
      <w:r>
        <w:rPr>
          <w:rFonts w:ascii="Times New Roman" w:hAnsi="Times New Roman" w:cs="Times New Roman"/>
        </w:rPr>
        <w:fldChar w:fldCharType="begin"/>
      </w:r>
      <w:r>
        <w:rPr>
          <w:rFonts w:ascii="Times New Roman" w:hAnsi="Times New Roman" w:cs="Times New Roman"/>
        </w:rPr>
        <w:instrText xml:space="preserve"> SEQ 图 \* ARABIC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bCs/>
        </w:rPr>
        <w:t>服务级别管理图</w:t>
      </w:r>
    </w:p>
    <w:p>
      <w:pPr>
        <w:numPr>
          <w:ilvl w:val="0"/>
          <w:numId w:val="39"/>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流程活动</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识别：识别客户的需求（关系管理）以及在IT部门内进行宣传。了解业务流程和客户的需求。</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定义：提供给客户以满足其需求的服务。这些服务在服务级别需求和服务说明书中进行定义。该项活动的结果是完成一份服务质量计划。</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签约：签订协议和合同，即与客户就需要的服务级别、相关的服务成本进行谈判协商，并将协议结果定义在服务级别协议中。签订运营级别协议和支持合同以支持服务级别协议。撰写或修订说明可向客户提供的服务项目的服务目录。</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监控： 监控服务级别。</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报告：撰写服务级别报告。对照服务级别协议，定期地向客户和IT部门报告实际的服务级别。</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评审：与客户一起审查服务以找出改进服务的机会。必要的情况下，可以制定一份服务改进方案。与客户就其对服务的经验和想法进行频繁的沟通。这可能产生的结果是新的或修订后的服务级别协议。</w:t>
      </w:r>
    </w:p>
    <w:p>
      <w:pPr>
        <w:pStyle w:val="309"/>
        <w:spacing w:line="350" w:lineRule="exact"/>
        <w:ind w:right="-105"/>
        <w:rPr>
          <w:rFonts w:ascii="Times New Roman"/>
        </w:rPr>
      </w:pPr>
      <w:bookmarkStart w:id="63" w:name="_Toc495571112"/>
      <w:r>
        <w:rPr>
          <w:rFonts w:ascii="Times New Roman"/>
        </w:rPr>
        <w:t>能力和可用性</w:t>
      </w:r>
      <w:bookmarkEnd w:id="63"/>
      <w:r>
        <w:rPr>
          <w:rFonts w:ascii="Times New Roman"/>
        </w:rPr>
        <w:t>管理</w:t>
      </w:r>
    </w:p>
    <w:p>
      <w:pPr>
        <w:pStyle w:val="308"/>
        <w:tabs>
          <w:tab w:val="left" w:pos="420"/>
        </w:tabs>
        <w:adjustRightInd w:val="0"/>
        <w:snapToGrid w:val="0"/>
        <w:spacing w:before="120" w:beforeLines="50" w:after="120" w:afterLines="50" w:line="350" w:lineRule="exact"/>
        <w:ind w:left="-6" w:right="-105" w:firstLine="6"/>
        <w:rPr>
          <w:rFonts w:ascii="Times New Roman"/>
        </w:rPr>
      </w:pPr>
      <w:r>
        <w:rPr>
          <w:rFonts w:ascii="Times New Roman"/>
        </w:rPr>
        <w:t>目的</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能力管理是通过优化服务成本、安排采购时间和部署IT资源，从而履行与客户签订的协议。能力管理主要涉及资源管理、性能管理、需求管理、模拟测试、能力规划、负载管理以及应用选型。能力管理主要通过重点关注需求的规划和整合，从而确保约定的服务级别可以实现。</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可用性管理负责定义、分析、计划、测量、改进服务的所有可用性方面，从而保证IT基础设施、流程、工具、角色等与协议达成的服务级别中的可用性目标相适应。</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能力和可用性管理的目的是规范湖南省林业信息化系统运维和服务相关IT资源的可用性及能力，确保根据当前和未来的业务需求与可用性级别，在可接受的时间及成本下，适当充分地提供所需的IT资源与合理的IT服务以实现业务目标和满足SLA的要求。</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64" w:name="_Toc495571115"/>
      <w:r>
        <w:rPr>
          <w:rFonts w:ascii="Times New Roman"/>
        </w:rPr>
        <w:t>流程</w:t>
      </w:r>
      <w:bookmarkEnd w:id="64"/>
    </w:p>
    <w:p>
      <w:pPr>
        <w:numPr>
          <w:ilvl w:val="0"/>
          <w:numId w:val="40"/>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作业流程</w:t>
      </w:r>
    </w:p>
    <w:p>
      <w:pPr>
        <w:spacing w:before="78" w:after="78"/>
        <w:jc w:val="center"/>
        <w:rPr>
          <w:rFonts w:ascii="Times New Roman" w:hAnsi="Times New Roman" w:cs="Times New Roman"/>
          <w:szCs w:val="21"/>
        </w:rPr>
      </w:pPr>
      <w:r>
        <w:rPr>
          <w:rFonts w:ascii="Times New Roman" w:hAnsi="Times New Roman" w:cs="Times New Roman"/>
          <w:szCs w:val="21"/>
        </w:rPr>
        <w:object>
          <v:shape id="_x0000_i1028" o:spt="75" type="#_x0000_t75" style="height:228pt;width:249pt;" o:ole="t" filled="f" o:preferrelative="t" stroked="f" coordsize="21600,21600">
            <v:path/>
            <v:fill on="f" focussize="0,0"/>
            <v:stroke on="f" joinstyle="miter"/>
            <v:imagedata r:id="rId24" o:title=""/>
            <o:lock v:ext="edit" aspectratio="t"/>
            <w10:wrap type="none"/>
            <w10:anchorlock/>
          </v:shape>
          <o:OLEObject Type="Embed" ProgID="Visio.Drawing.11" ShapeID="_x0000_i1028" DrawAspect="Content" ObjectID="_1468075728" r:id="rId23">
            <o:LockedField>false</o:LockedField>
          </o:OLEObject>
        </w:object>
      </w:r>
    </w:p>
    <w:p>
      <w:pPr>
        <w:pStyle w:val="16"/>
        <w:rPr>
          <w:rFonts w:ascii="Times New Roman" w:hAnsi="Times New Roman" w:cs="Times New Roman"/>
          <w:bCs/>
        </w:rPr>
      </w:pPr>
      <w:r>
        <w:rPr>
          <w:rFonts w:ascii="Times New Roman" w:hAnsi="Times New Roman" w:cs="Times New Roman"/>
        </w:rPr>
        <w:t xml:space="preserve">图 </w:t>
      </w:r>
      <w:r>
        <w:rPr>
          <w:rFonts w:ascii="Times New Roman" w:hAnsi="Times New Roman" w:cs="Times New Roman"/>
        </w:rPr>
        <w:fldChar w:fldCharType="begin"/>
      </w:r>
      <w:r>
        <w:rPr>
          <w:rFonts w:ascii="Times New Roman" w:hAnsi="Times New Roman" w:cs="Times New Roman"/>
        </w:rPr>
        <w:instrText xml:space="preserve"> SEQ 图 \* ARABIC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bCs/>
        </w:rPr>
        <w:t>能力及可用性管理图</w:t>
      </w:r>
    </w:p>
    <w:p>
      <w:pPr>
        <w:numPr>
          <w:ilvl w:val="0"/>
          <w:numId w:val="40"/>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流程活动</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能力可用性分析：根据年度运维规划（含</w:t>
      </w:r>
      <w:r>
        <w:rPr>
          <w:rFonts w:hint="eastAsia" w:ascii="Times New Roman" w:hAnsi="Times New Roman" w:eastAsia="宋体" w:cs="Times New Roman"/>
          <w:szCs w:val="21"/>
        </w:rPr>
        <w:t>服务等级</w:t>
      </w:r>
      <w:r>
        <w:rPr>
          <w:rFonts w:ascii="Times New Roman" w:hAnsi="Times New Roman" w:eastAsia="宋体" w:cs="Times New Roman"/>
          <w:szCs w:val="21"/>
        </w:rPr>
        <w:t>情况、年底的运维目标）还有历史的能力可用性情况，预测未来一个周期内的IT资源需求，以确保一直保持有效的能力去满足当前和未来客户的业务需求。</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制订能力和可用性计划：根据当和未来的业务需求，结合年度运维规划，制订能力可能性计划，计划主要描述了当前及未来对IT基础设施的能力的需求，计划需提交IT服务管理委员会审批。</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确定监测指标及范围：根据</w:t>
      </w:r>
      <w:r>
        <w:rPr>
          <w:rFonts w:hint="eastAsia" w:ascii="Times New Roman" w:hAnsi="Times New Roman" w:eastAsia="宋体" w:cs="Times New Roman"/>
          <w:szCs w:val="21"/>
        </w:rPr>
        <w:t>服务等级</w:t>
      </w:r>
      <w:r>
        <w:rPr>
          <w:rFonts w:ascii="Times New Roman" w:hAnsi="Times New Roman" w:eastAsia="宋体" w:cs="Times New Roman"/>
          <w:szCs w:val="21"/>
        </w:rPr>
        <w:t>的要求、法律新技术和业务流程及其它外部变更的要求、影响系统可用性和系统能力的变更的要求制定或更新监测指标及范围定义表（系统/网络和环境/应用），定义具体的可用性监控指标、能力监控指标、可用性监控范围、能力监控范围等。配合客户选择并部署监测工具，将相关指标的监控工具、方法和记录要求补充到监测指标及范围定义中；新项目或新服务协议生效或变更时，需通过变更管程序控制实施，以便重新定义监测指标及范围。</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能力和可用性监视：实施监测周期和性能</w:t>
      </w:r>
      <w:r>
        <w:rPr>
          <w:rFonts w:hint="eastAsia" w:ascii="Times New Roman" w:hAnsi="Times New Roman" w:eastAsia="宋体" w:cs="Times New Roman"/>
          <w:szCs w:val="21"/>
        </w:rPr>
        <w:t>阈值</w:t>
      </w:r>
      <w:bookmarkStart w:id="83" w:name="_GoBack"/>
      <w:bookmarkEnd w:id="83"/>
      <w:r>
        <w:rPr>
          <w:rFonts w:ascii="Times New Roman" w:hAnsi="Times New Roman" w:eastAsia="宋体" w:cs="Times New Roman"/>
          <w:szCs w:val="21"/>
        </w:rPr>
        <w:t>的设置与监视执行。</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数据分析：分析能力和可用性监视的结果，形成能力可用性分析员制作相关的分析报告</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分析的信息需要纳入下一个周期能力和可用性改进中。</w:t>
      </w:r>
    </w:p>
    <w:p>
      <w:pPr>
        <w:pStyle w:val="309"/>
        <w:spacing w:line="350" w:lineRule="exact"/>
        <w:ind w:right="-105"/>
        <w:rPr>
          <w:rFonts w:ascii="Times New Roman"/>
        </w:rPr>
      </w:pPr>
      <w:bookmarkStart w:id="65" w:name="_Toc495571120"/>
      <w:r>
        <w:rPr>
          <w:rFonts w:ascii="Times New Roman"/>
        </w:rPr>
        <w:t>知识</w:t>
      </w:r>
      <w:bookmarkEnd w:id="65"/>
      <w:r>
        <w:rPr>
          <w:rFonts w:ascii="Times New Roman"/>
        </w:rPr>
        <w:t>管理</w:t>
      </w:r>
    </w:p>
    <w:p>
      <w:pPr>
        <w:pStyle w:val="308"/>
        <w:tabs>
          <w:tab w:val="left" w:pos="420"/>
        </w:tabs>
        <w:adjustRightInd w:val="0"/>
        <w:snapToGrid w:val="0"/>
        <w:spacing w:before="120" w:beforeLines="50" w:after="120" w:afterLines="50" w:line="350" w:lineRule="exact"/>
        <w:ind w:left="-6" w:right="-105" w:firstLine="6"/>
        <w:rPr>
          <w:rFonts w:ascii="Times New Roman"/>
        </w:rPr>
      </w:pPr>
      <w:r>
        <w:rPr>
          <w:rFonts w:ascii="Times New Roman"/>
        </w:rPr>
        <w:t>目的</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知识管理负责搜集、分析、存储和共享知识和信息，形成知识库，其主要目的是通过确保提供可靠和安全的知识和信息以提高管理决策的质量。</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通过技术、流程和人员三方面开展在IT运维服务管理中开展知识管理，将有效提高IT服务水平、降低服务成本、实现知识价值最大化。</w:t>
      </w:r>
    </w:p>
    <w:p>
      <w:pPr>
        <w:pStyle w:val="308"/>
        <w:tabs>
          <w:tab w:val="left" w:pos="420"/>
        </w:tabs>
        <w:adjustRightInd w:val="0"/>
        <w:snapToGrid w:val="0"/>
        <w:spacing w:before="120" w:beforeLines="50" w:after="120" w:afterLines="50" w:line="350" w:lineRule="exact"/>
        <w:ind w:left="-6" w:right="-105" w:firstLine="6"/>
        <w:rPr>
          <w:rFonts w:ascii="Times New Roman"/>
        </w:rPr>
      </w:pPr>
      <w:bookmarkStart w:id="66" w:name="_Toc495571123"/>
      <w:r>
        <w:rPr>
          <w:rFonts w:ascii="Times New Roman"/>
        </w:rPr>
        <w:t>流程</w:t>
      </w:r>
      <w:bookmarkEnd w:id="66"/>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依据</w:t>
      </w:r>
      <w:r>
        <w:rPr>
          <w:rFonts w:hint="eastAsia" w:ascii="Times New Roman" w:hAnsi="Times New Roman" w:eastAsia="宋体" w:cs="Times New Roman"/>
          <w:szCs w:val="21"/>
        </w:rPr>
        <w:t>林业</w:t>
      </w:r>
      <w:r>
        <w:rPr>
          <w:rFonts w:ascii="Times New Roman" w:hAnsi="Times New Roman" w:eastAsia="宋体" w:cs="Times New Roman"/>
          <w:szCs w:val="21"/>
        </w:rPr>
        <w:t>IT</w:t>
      </w:r>
      <w:r>
        <w:rPr>
          <w:rFonts w:hint="eastAsia" w:ascii="Times New Roman" w:hAnsi="Times New Roman" w:eastAsia="宋体" w:cs="Times New Roman"/>
          <w:szCs w:val="21"/>
        </w:rPr>
        <w:t>运维</w:t>
      </w:r>
      <w:r>
        <w:rPr>
          <w:rFonts w:ascii="Times New Roman" w:hAnsi="Times New Roman" w:eastAsia="宋体" w:cs="Times New Roman"/>
          <w:szCs w:val="21"/>
        </w:rPr>
        <w:t>服务流程，为了实现流程相关类知识能在流程中自动收集，要求技术人员在处理事件时把事件与解决方案关联。具体要求如下:</w:t>
      </w:r>
    </w:p>
    <w:p>
      <w:pPr>
        <w:numPr>
          <w:ilvl w:val="0"/>
          <w:numId w:val="41"/>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每个事件只对应一个解决方案，但每个解决方案可以对应多个事件。</w:t>
      </w:r>
    </w:p>
    <w:p>
      <w:pPr>
        <w:numPr>
          <w:ilvl w:val="0"/>
          <w:numId w:val="41"/>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技术人员搜索知识库，如果知识库中已有解决方案，则无需重新创建解决方案，直接把解决方案与该事件关联即可；如果知识库中没有解决方案，则需要重新创建解决方案并在上传知识库，同时该解决方案与事件关联。</w:t>
      </w:r>
    </w:p>
    <w:p>
      <w:pPr>
        <w:numPr>
          <w:ilvl w:val="0"/>
          <w:numId w:val="41"/>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上传的解决方案必须经过技术负责人审核，主要进行内容审核（该解决方案的描述是否符合该事件）和形式审核（属性设置是否正确）。</w:t>
      </w:r>
    </w:p>
    <w:p>
      <w:pPr>
        <w:numPr>
          <w:ilvl w:val="0"/>
          <w:numId w:val="41"/>
        </w:numPr>
        <w:spacing w:before="60" w:beforeLines="25" w:after="60" w:afterLines="25" w:line="350" w:lineRule="exact"/>
        <w:rPr>
          <w:rFonts w:ascii="Times New Roman" w:hAnsi="Times New Roman" w:eastAsia="宋体" w:cs="Times New Roman"/>
          <w:szCs w:val="21"/>
        </w:rPr>
      </w:pPr>
      <w:r>
        <w:rPr>
          <w:rFonts w:ascii="Times New Roman" w:hAnsi="Times New Roman" w:eastAsia="宋体" w:cs="Times New Roman"/>
          <w:szCs w:val="21"/>
        </w:rPr>
        <w:t>一线技术人员关闭事件必须满足两个条件：经过对用户验证事件已解决和在系统中事件有对应的经过审核正确的解决方案。</w:t>
      </w:r>
    </w:p>
    <w:p>
      <w:pPr>
        <w:spacing w:before="78" w:after="78" w:line="350" w:lineRule="exact"/>
        <w:ind w:firstLine="420"/>
        <w:rPr>
          <w:rFonts w:ascii="Times New Roman" w:hAnsi="Times New Roman" w:eastAsia="宋体" w:cs="Times New Roman"/>
          <w:szCs w:val="21"/>
        </w:rPr>
      </w:pPr>
      <w:r>
        <w:rPr>
          <w:rFonts w:ascii="Times New Roman" w:hAnsi="Times New Roman" w:eastAsia="宋体" w:cs="Times New Roman"/>
          <w:szCs w:val="21"/>
        </w:rPr>
        <w:t>一般而言，员工不会愿意在流程处理结束后再做总结，所以将知识收集结合在业务流程中，才能保证知识收集的数量与质量。同时，如果知识库中已存在类似的解决方案，采用事件与已有的解决方案直接关联的形式也避免了技术人员的重复工作。但是，对于非流程相关类知识将需要通过建立共享的文化促进知识的分享与应用。</w:t>
      </w:r>
    </w:p>
    <w:p>
      <w:pPr>
        <w:pStyle w:val="306"/>
        <w:numPr>
          <w:ilvl w:val="1"/>
          <w:numId w:val="26"/>
        </w:numPr>
        <w:adjustRightInd w:val="0"/>
        <w:snapToGrid w:val="0"/>
        <w:spacing w:before="240" w:beforeLines="100" w:after="240" w:afterLines="100" w:line="350" w:lineRule="exact"/>
        <w:ind w:left="0" w:right="0" w:rightChars="0"/>
        <w:outlineLvl w:val="0"/>
        <w:rPr>
          <w:rFonts w:ascii="Times New Roman"/>
          <w:b/>
          <w:bCs/>
          <w:szCs w:val="24"/>
        </w:rPr>
      </w:pPr>
      <w:bookmarkStart w:id="67" w:name="_Toc15166"/>
      <w:bookmarkStart w:id="68" w:name="_Toc28579"/>
      <w:r>
        <w:rPr>
          <w:rFonts w:ascii="Times New Roman"/>
          <w:b/>
          <w:bCs/>
          <w:szCs w:val="24"/>
        </w:rPr>
        <w:t>机房运维管理规范</w:t>
      </w:r>
      <w:bookmarkEnd w:id="67"/>
      <w:bookmarkEnd w:id="68"/>
    </w:p>
    <w:p>
      <w:pPr>
        <w:pStyle w:val="309"/>
        <w:spacing w:line="350" w:lineRule="exact"/>
        <w:ind w:right="-105"/>
        <w:rPr>
          <w:rFonts w:ascii="Times New Roman"/>
        </w:rPr>
      </w:pPr>
      <w:r>
        <w:rPr>
          <w:rFonts w:ascii="Times New Roman"/>
        </w:rPr>
        <w:t>数据中心环境安全管理制度</w:t>
      </w:r>
    </w:p>
    <w:p>
      <w:pPr>
        <w:tabs>
          <w:tab w:val="left" w:pos="360"/>
        </w:tabs>
        <w:autoSpaceDE w:val="0"/>
        <w:autoSpaceDN w:val="0"/>
        <w:adjustRightInd w:val="0"/>
        <w:spacing w:line="350" w:lineRule="exact"/>
        <w:jc w:val="left"/>
        <w:rPr>
          <w:rFonts w:ascii="Times New Roman" w:hAnsi="Times New Roman" w:eastAsia="宋体" w:cs="Times New Roman"/>
          <w:kern w:val="0"/>
        </w:rPr>
      </w:pPr>
      <w:r>
        <w:rPr>
          <w:rFonts w:ascii="Times New Roman" w:hAnsi="Times New Roman" w:eastAsia="宋体" w:cs="Times New Roman"/>
          <w:kern w:val="0"/>
        </w:rPr>
        <w:tab/>
      </w:r>
      <w:r>
        <w:rPr>
          <w:rFonts w:ascii="Times New Roman" w:hAnsi="Times New Roman" w:eastAsia="宋体" w:cs="Times New Roman"/>
          <w:kern w:val="0"/>
        </w:rPr>
        <w:t>数据中心进出安全管理的重点在于对不同的访问区域制定不同的安全管控和出入原则。将数据中心划分3类不同类别的管控区域和安全区域</w:t>
      </w:r>
      <w:r>
        <w:rPr>
          <w:rFonts w:hint="eastAsia" w:ascii="Times New Roman" w:hAnsi="Times New Roman" w:eastAsia="宋体" w:cs="Times New Roman"/>
          <w:kern w:val="0"/>
        </w:rPr>
        <w:t>，</w:t>
      </w:r>
      <w:r>
        <w:rPr>
          <w:rFonts w:ascii="Times New Roman" w:hAnsi="Times New Roman" w:eastAsia="宋体" w:cs="Times New Roman"/>
          <w:kern w:val="0"/>
        </w:rPr>
        <w:t xml:space="preserve">包括公共区域、办公区域、机房区域。 </w:t>
      </w:r>
    </w:p>
    <w:p>
      <w:pPr>
        <w:pStyle w:val="75"/>
        <w:numPr>
          <w:ilvl w:val="0"/>
          <w:numId w:val="42"/>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公共区域：这类区域通常用于数据中心生活与展示的配套区域。该区域经授权并在遵守相关制度的前提下来访者可自由进出。 </w:t>
      </w:r>
    </w:p>
    <w:p>
      <w:pPr>
        <w:pStyle w:val="75"/>
        <w:numPr>
          <w:ilvl w:val="0"/>
          <w:numId w:val="42"/>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办公区域：数据中心日常工作区域。这类区域的进入通常为数据中心内部员工及运维人员，需经授权访问。 </w:t>
      </w:r>
    </w:p>
    <w:p>
      <w:pPr>
        <w:pStyle w:val="75"/>
        <w:numPr>
          <w:ilvl w:val="0"/>
          <w:numId w:val="42"/>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机房区域：机房区域是数据中心的核心区域。该区域应有严格的进出管控，外来人员进出需提前提出申请，来访者进出机房区域需经授权，进出需登记。 </w:t>
      </w:r>
    </w:p>
    <w:p>
      <w:pPr>
        <w:tabs>
          <w:tab w:val="left" w:pos="360"/>
        </w:tabs>
        <w:autoSpaceDE w:val="0"/>
        <w:autoSpaceDN w:val="0"/>
        <w:adjustRightInd w:val="0"/>
        <w:spacing w:line="350" w:lineRule="exact"/>
        <w:ind w:firstLine="420" w:firstLineChars="200"/>
        <w:jc w:val="left"/>
        <w:rPr>
          <w:rFonts w:ascii="Times New Roman" w:hAnsi="Times New Roman" w:eastAsia="宋体" w:cs="Times New Roman"/>
          <w:kern w:val="0"/>
        </w:rPr>
      </w:pPr>
      <w:r>
        <w:rPr>
          <w:rFonts w:ascii="Times New Roman" w:hAnsi="Times New Roman" w:eastAsia="宋体" w:cs="Times New Roman"/>
          <w:kern w:val="0"/>
        </w:rPr>
        <w:t>除了数据中心人员进出管理外，还应考虑设备和物品进出的流程。设备和物品的进出也应得到正式的审批，特别是对于机房区域的设备应重点管控。应通过机房人员/设备登记表详细记录。设备出门需开具出门凭据等。</w:t>
      </w:r>
    </w:p>
    <w:p>
      <w:pPr>
        <w:pStyle w:val="309"/>
        <w:spacing w:line="350" w:lineRule="exact"/>
        <w:ind w:right="-105"/>
        <w:rPr>
          <w:rFonts w:ascii="Times New Roman"/>
        </w:rPr>
      </w:pPr>
      <w:r>
        <w:rPr>
          <w:rFonts w:ascii="Times New Roman"/>
        </w:rPr>
        <w:t xml:space="preserve">机房安全管理制度 </w:t>
      </w:r>
    </w:p>
    <w:p>
      <w:pPr>
        <w:pStyle w:val="75"/>
        <w:numPr>
          <w:ilvl w:val="0"/>
          <w:numId w:val="43"/>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机房应防尘、防静电，保持清洁、整齐，设备无尘、排列正规、 工具就位、资料齐全。 </w:t>
      </w:r>
    </w:p>
    <w:p>
      <w:pPr>
        <w:pStyle w:val="75"/>
        <w:numPr>
          <w:ilvl w:val="0"/>
          <w:numId w:val="43"/>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hint="eastAsia" w:ascii="Times New Roman" w:hAnsi="Times New Roman" w:eastAsia="宋体" w:cs="Times New Roman"/>
          <w:kern w:val="0"/>
        </w:rPr>
        <w:t>机房各区域内的温度、湿度、空气洁净度等环境条件应符合要求，确保机房各区域良好的工作环境。</w:t>
      </w:r>
    </w:p>
    <w:p>
      <w:pPr>
        <w:pStyle w:val="75"/>
        <w:numPr>
          <w:ilvl w:val="0"/>
          <w:numId w:val="43"/>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机房门内外、通道、设备前后和窗口附近，均不得堆放物品和 杂物，做到无垃圾、无污水，以免妨碍通行和工作。 </w:t>
      </w:r>
    </w:p>
    <w:p>
      <w:pPr>
        <w:pStyle w:val="75"/>
        <w:numPr>
          <w:ilvl w:val="0"/>
          <w:numId w:val="43"/>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严格</w:t>
      </w:r>
      <w:r>
        <w:rPr>
          <w:rFonts w:hint="eastAsia" w:ascii="Times New Roman" w:hAnsi="Times New Roman" w:eastAsia="宋体" w:cs="Times New Roman"/>
          <w:kern w:val="0"/>
        </w:rPr>
        <w:t>注意机房消防安全</w:t>
      </w:r>
      <w:r>
        <w:rPr>
          <w:rFonts w:ascii="Times New Roman" w:hAnsi="Times New Roman" w:eastAsia="宋体" w:cs="Times New Roman"/>
          <w:kern w:val="0"/>
        </w:rPr>
        <w:t>，机房内严禁烟火，严禁存放和使用易燃易爆物品，严禁使用大功率电器、严禁从事危险性高的工作。如需施工，必须取得领导、消防、安保等相关部门的许可方可施工。</w:t>
      </w:r>
    </w:p>
    <w:p>
      <w:pPr>
        <w:pStyle w:val="75"/>
        <w:numPr>
          <w:ilvl w:val="0"/>
          <w:numId w:val="43"/>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进入机房人员服装必须整洁，保持机房设备和环境清洁。外来人员不得随意进行拍照，严禁将水及食物带入机房</w:t>
      </w:r>
      <w:r>
        <w:rPr>
          <w:rFonts w:hint="eastAsia" w:ascii="Times New Roman" w:hAnsi="Times New Roman" w:eastAsia="宋体" w:cs="Times New Roman"/>
          <w:kern w:val="0"/>
        </w:rPr>
        <w:t>，</w:t>
      </w:r>
      <w:r>
        <w:rPr>
          <w:rFonts w:ascii="Times New Roman" w:hAnsi="Times New Roman" w:eastAsia="宋体" w:cs="Times New Roman"/>
          <w:kern w:val="0"/>
        </w:rPr>
        <w:t>外来人员进入机房</w:t>
      </w:r>
      <w:r>
        <w:rPr>
          <w:rFonts w:hint="eastAsia" w:ascii="Times New Roman" w:hAnsi="Times New Roman" w:eastAsia="宋体" w:cs="Times New Roman"/>
          <w:kern w:val="0"/>
        </w:rPr>
        <w:t>应</w:t>
      </w:r>
      <w:r>
        <w:rPr>
          <w:rFonts w:ascii="Times New Roman" w:hAnsi="Times New Roman" w:eastAsia="宋体" w:cs="Times New Roman"/>
          <w:kern w:val="0"/>
        </w:rPr>
        <w:t xml:space="preserve">在值班人员陪同下进出，机房进出应换穿拖鞋或鞋套。 </w:t>
      </w:r>
    </w:p>
    <w:p>
      <w:pPr>
        <w:pStyle w:val="75"/>
        <w:numPr>
          <w:ilvl w:val="0"/>
          <w:numId w:val="43"/>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进入机房人员只能在授权区域与其工作内容相关的设备上工作，不得随意进入和触动未经授权以外的区域及设备</w:t>
      </w:r>
      <w:r>
        <w:rPr>
          <w:rFonts w:hint="eastAsia" w:ascii="Times New Roman" w:hAnsi="Times New Roman" w:eastAsia="宋体" w:cs="Times New Roman"/>
          <w:kern w:val="0"/>
        </w:rPr>
        <w:t>，</w:t>
      </w:r>
      <w:r>
        <w:rPr>
          <w:rFonts w:ascii="Times New Roman" w:hAnsi="Times New Roman" w:eastAsia="宋体" w:cs="Times New Roman"/>
          <w:kern w:val="0"/>
        </w:rPr>
        <w:t xml:space="preserve">任何设备出入机房，经办人必须填写设备出入机房登记表，经相关部门及领导批准后方可进入或搬出。 </w:t>
      </w:r>
    </w:p>
    <w:p>
      <w:pPr>
        <w:pStyle w:val="309"/>
        <w:spacing w:line="350" w:lineRule="exact"/>
        <w:ind w:right="-105"/>
        <w:rPr>
          <w:rFonts w:ascii="Times New Roman"/>
        </w:rPr>
      </w:pPr>
      <w:r>
        <w:rPr>
          <w:rFonts w:ascii="Times New Roman"/>
        </w:rPr>
        <w:t xml:space="preserve">服务人员安全及保密管理制度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bookmarkStart w:id="69" w:name="_Toc18677"/>
      <w:r>
        <w:rPr>
          <w:rFonts w:ascii="Times New Roman" w:hAnsi="Times New Roman" w:eastAsia="宋体" w:cs="Times New Roman"/>
          <w:kern w:val="0"/>
        </w:rPr>
        <w:t>维护工程师必须熟悉并严格执行安全保密准则。</w:t>
      </w:r>
      <w:bookmarkEnd w:id="69"/>
      <w:r>
        <w:rPr>
          <w:rFonts w:ascii="Times New Roman" w:hAnsi="Times New Roman" w:eastAsia="宋体" w:cs="Times New Roman"/>
          <w:kern w:val="0"/>
        </w:rPr>
        <w:t xml:space="preserve">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外部人员因公需进入机房，应经上级批准的机房进出单可入内。</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有关通信设备、网络组织电路开放等资料不得任意抄录、复制，防止失密。需要监听电路时，应按保密规则进行。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机房内消防器材应定期检查，每个维护人员应熟悉一般消防和安全操作方法。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bookmarkStart w:id="70" w:name="_Toc11696"/>
      <w:r>
        <w:rPr>
          <w:rFonts w:ascii="Times New Roman" w:hAnsi="Times New Roman" w:eastAsia="宋体" w:cs="Times New Roman"/>
          <w:kern w:val="0"/>
        </w:rPr>
        <w:t>机房内严禁吸烟和存放、使用易燃、易爆物品。</w:t>
      </w:r>
      <w:bookmarkEnd w:id="70"/>
      <w:r>
        <w:rPr>
          <w:rFonts w:ascii="Times New Roman" w:hAnsi="Times New Roman" w:eastAsia="宋体" w:cs="Times New Roman"/>
          <w:kern w:val="0"/>
        </w:rPr>
        <w:t xml:space="preserve">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搞好安全保密教育，建立定期检查制度，加强节假日的安全保密工作。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未经有关领导批准，非机房管理人员严禁入机房。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机房内严禁烟火，不准存放易燃易爆物品。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注重电气安全，严禁违章使用电器设备，不准超负荷使用电器。</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bookmarkStart w:id="71" w:name="_Toc6606"/>
      <w:r>
        <w:rPr>
          <w:rFonts w:ascii="Times New Roman" w:hAnsi="Times New Roman" w:eastAsia="宋体" w:cs="Times New Roman"/>
          <w:kern w:val="0"/>
        </w:rPr>
        <w:t>按规定配备消防器材，并定期更新。</w:t>
      </w:r>
      <w:bookmarkEnd w:id="71"/>
      <w:r>
        <w:rPr>
          <w:rFonts w:ascii="Times New Roman" w:hAnsi="Times New Roman" w:eastAsia="宋体" w:cs="Times New Roman"/>
          <w:kern w:val="0"/>
        </w:rPr>
        <w:t xml:space="preserve">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定期检查接地设施、配电设备、避雷装置，防止雷击、触电事故发生。</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发现事故苗头，应尽快采取有效措施，并及时报告领导。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进行维修时，严格按照程序进行，杜绝人为事故发生。 </w:t>
      </w:r>
    </w:p>
    <w:p>
      <w:pPr>
        <w:pStyle w:val="75"/>
        <w:numPr>
          <w:ilvl w:val="0"/>
          <w:numId w:val="44"/>
        </w:numPr>
        <w:tabs>
          <w:tab w:val="left" w:pos="360"/>
          <w:tab w:val="clear" w:pos="42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严禁违规接入大功率无线发射设备。 </w:t>
      </w:r>
    </w:p>
    <w:p>
      <w:pPr>
        <w:pStyle w:val="309"/>
        <w:spacing w:line="350" w:lineRule="exact"/>
        <w:ind w:right="-105"/>
        <w:rPr>
          <w:rFonts w:ascii="Times New Roman"/>
        </w:rPr>
      </w:pPr>
      <w:r>
        <w:rPr>
          <w:rFonts w:ascii="Times New Roman"/>
        </w:rPr>
        <w:t xml:space="preserve">网络安全管理制度 </w:t>
      </w:r>
    </w:p>
    <w:p>
      <w:pPr>
        <w:pStyle w:val="75"/>
        <w:numPr>
          <w:ilvl w:val="0"/>
          <w:numId w:val="45"/>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运行维护部门必须制定相应的体系确保网络安全，维护人员必须确立网络安全第一的意识。 </w:t>
      </w:r>
    </w:p>
    <w:p>
      <w:pPr>
        <w:pStyle w:val="75"/>
        <w:numPr>
          <w:ilvl w:val="0"/>
          <w:numId w:val="45"/>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在网络建设期必须考虑工程和现网的关系，加强施工安全管理和网络割接准备工作，确保现网的安全，严禁人为事故发生。 </w:t>
      </w:r>
    </w:p>
    <w:p>
      <w:pPr>
        <w:pStyle w:val="75"/>
        <w:numPr>
          <w:ilvl w:val="0"/>
          <w:numId w:val="45"/>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网络运行维护期应确保维护工作、设备运行、系统数据的安全。 </w:t>
      </w:r>
    </w:p>
    <w:p>
      <w:pPr>
        <w:pStyle w:val="75"/>
        <w:numPr>
          <w:ilvl w:val="0"/>
          <w:numId w:val="45"/>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客户数据的制作以及对设备的指令操作要严格按照客户数据制作规范和设备技术手册的要求根据工单执行；对设备的所有操作要有详细记录，操作时要一人操作一人核对，准确无误方可执行，操作人</w:t>
      </w:r>
      <w:r>
        <w:rPr>
          <w:rFonts w:hint="eastAsia" w:ascii="Times New Roman" w:hAnsi="Times New Roman" w:eastAsia="宋体" w:cs="Times New Roman"/>
          <w:kern w:val="0"/>
        </w:rPr>
        <w:t>，</w:t>
      </w:r>
      <w:r>
        <w:rPr>
          <w:rFonts w:ascii="Times New Roman" w:hAnsi="Times New Roman" w:eastAsia="宋体" w:cs="Times New Roman"/>
          <w:kern w:val="0"/>
        </w:rPr>
        <w:t>员要在工单上签字确认</w:t>
      </w:r>
      <w:r>
        <w:rPr>
          <w:rFonts w:hint="eastAsia" w:ascii="Times New Roman" w:hAnsi="Times New Roman" w:eastAsia="宋体" w:cs="Times New Roman"/>
          <w:kern w:val="0"/>
        </w:rPr>
        <w:t>。</w:t>
      </w:r>
    </w:p>
    <w:p>
      <w:pPr>
        <w:pStyle w:val="75"/>
        <w:numPr>
          <w:ilvl w:val="0"/>
          <w:numId w:val="45"/>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网络运行维护期的安全可以通过三种控制方法保证，操作控制包括对操作流程、客户分级，权限分级、操作记录、远程</w:t>
      </w:r>
      <w:r>
        <w:rPr>
          <w:rFonts w:hint="eastAsia" w:ascii="Times New Roman" w:hAnsi="Times New Roman" w:eastAsia="宋体" w:cs="Times New Roman"/>
          <w:kern w:val="0"/>
        </w:rPr>
        <w:t>管理</w:t>
      </w:r>
      <w:r>
        <w:rPr>
          <w:rFonts w:ascii="Times New Roman" w:hAnsi="Times New Roman" w:eastAsia="宋体" w:cs="Times New Roman"/>
          <w:kern w:val="0"/>
        </w:rPr>
        <w:t xml:space="preserve">、密码管理、防火墙技术、数据备份的安全保证；运行控制包括对告警处理、 </w:t>
      </w:r>
    </w:p>
    <w:p>
      <w:pPr>
        <w:pStyle w:val="75"/>
        <w:numPr>
          <w:ilvl w:val="0"/>
          <w:numId w:val="45"/>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测试、性能分析、应急预案的安全保证；操作设备控制包括防病毒，杀毒软件、非生产应用软件的安全控制。 </w:t>
      </w:r>
    </w:p>
    <w:p>
      <w:pPr>
        <w:pStyle w:val="75"/>
        <w:numPr>
          <w:ilvl w:val="0"/>
          <w:numId w:val="45"/>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未经许可，严禁设备厂商通过远程控制技术对设备进行修改维护，运行维护部门应有可靠的防范措施。 </w:t>
      </w:r>
    </w:p>
    <w:p>
      <w:pPr>
        <w:pStyle w:val="75"/>
        <w:numPr>
          <w:ilvl w:val="0"/>
          <w:numId w:val="45"/>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为保证远程技术支持的可靠性，需定期对远程维护设备、端口进行检查，在确保安全保密的同时确保其可用性。 </w:t>
      </w:r>
    </w:p>
    <w:p>
      <w:pPr>
        <w:pStyle w:val="75"/>
        <w:numPr>
          <w:ilvl w:val="0"/>
          <w:numId w:val="45"/>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bookmarkStart w:id="72" w:name="_Toc31412"/>
      <w:r>
        <w:rPr>
          <w:rFonts w:ascii="Times New Roman" w:hAnsi="Times New Roman" w:eastAsia="宋体" w:cs="Times New Roman"/>
          <w:kern w:val="0"/>
        </w:rPr>
        <w:t>磁盘、磁带等必须进行检查确认无病毒后，方可使用。</w:t>
      </w:r>
      <w:bookmarkEnd w:id="72"/>
      <w:r>
        <w:rPr>
          <w:rFonts w:ascii="Times New Roman" w:hAnsi="Times New Roman" w:eastAsia="宋体" w:cs="Times New Roman"/>
          <w:kern w:val="0"/>
        </w:rPr>
        <w:t xml:space="preserve"> </w:t>
      </w:r>
    </w:p>
    <w:p>
      <w:pPr>
        <w:pStyle w:val="75"/>
        <w:numPr>
          <w:ilvl w:val="0"/>
          <w:numId w:val="45"/>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为保证网络安全，远程维护设备在一般情况下要处于关闭状态，只有在需要的时候才开通使用。 </w:t>
      </w:r>
    </w:p>
    <w:p>
      <w:pPr>
        <w:pStyle w:val="309"/>
        <w:spacing w:line="350" w:lineRule="exact"/>
        <w:ind w:right="-105"/>
        <w:rPr>
          <w:rFonts w:ascii="Times New Roman"/>
        </w:rPr>
      </w:pPr>
      <w:r>
        <w:rPr>
          <w:rFonts w:ascii="Times New Roman"/>
        </w:rPr>
        <w:t xml:space="preserve">数据中心值班制度 </w:t>
      </w:r>
    </w:p>
    <w:p>
      <w:pPr>
        <w:pStyle w:val="75"/>
        <w:numPr>
          <w:ilvl w:val="0"/>
          <w:numId w:val="46"/>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值班人员应严守岗位，按照规定时间上下班，无法按时到岗应提前向上级领导汇报，由上级领导负责调换班。 </w:t>
      </w:r>
    </w:p>
    <w:p>
      <w:pPr>
        <w:pStyle w:val="75"/>
        <w:numPr>
          <w:ilvl w:val="0"/>
          <w:numId w:val="46"/>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bookmarkStart w:id="73" w:name="_Toc19373"/>
      <w:r>
        <w:rPr>
          <w:rFonts w:ascii="Times New Roman" w:hAnsi="Times New Roman" w:eastAsia="宋体" w:cs="Times New Roman"/>
          <w:kern w:val="0"/>
        </w:rPr>
        <w:t>值班时间禁止从事与值班无关的事情。</w:t>
      </w:r>
      <w:bookmarkEnd w:id="73"/>
      <w:r>
        <w:rPr>
          <w:rFonts w:ascii="Times New Roman" w:hAnsi="Times New Roman" w:eastAsia="宋体" w:cs="Times New Roman"/>
          <w:kern w:val="0"/>
        </w:rPr>
        <w:t xml:space="preserve"> </w:t>
      </w:r>
    </w:p>
    <w:p>
      <w:pPr>
        <w:pStyle w:val="75"/>
        <w:numPr>
          <w:ilvl w:val="0"/>
          <w:numId w:val="46"/>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按时巡检机房环境设施，密切注意电源、 温度、湿度等机房环境情况；随时监控 IT 系统、网络工作状态，详细记录异常情况。 </w:t>
      </w:r>
    </w:p>
    <w:p>
      <w:pPr>
        <w:pStyle w:val="75"/>
        <w:numPr>
          <w:ilvl w:val="0"/>
          <w:numId w:val="46"/>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发生任何异常情况时，应严格执行故障应急处理流程及时处理，并向上级领导及相关部门及时报告，做好一线技术支持工作。 </w:t>
      </w:r>
    </w:p>
    <w:p>
      <w:pPr>
        <w:pStyle w:val="75"/>
        <w:numPr>
          <w:ilvl w:val="0"/>
          <w:numId w:val="46"/>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对业务部门提出的服务请求，要快速、准确、耐心地做出解答。并做好事件的记录、跟踪及回馈的服务台支持工作。 </w:t>
      </w:r>
    </w:p>
    <w:p>
      <w:pPr>
        <w:pStyle w:val="75"/>
        <w:numPr>
          <w:ilvl w:val="0"/>
          <w:numId w:val="46"/>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随时监督机房环境卫生和无关的物品带入，妥善管理设备工具。 </w:t>
      </w:r>
    </w:p>
    <w:p>
      <w:pPr>
        <w:pStyle w:val="75"/>
        <w:numPr>
          <w:ilvl w:val="0"/>
          <w:numId w:val="46"/>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遵照机房安全管理制度规定，制止任何违规进入机房人员及其他不当行为。 </w:t>
      </w:r>
    </w:p>
    <w:p>
      <w:pPr>
        <w:pStyle w:val="75"/>
        <w:numPr>
          <w:ilvl w:val="0"/>
          <w:numId w:val="46"/>
        </w:numPr>
        <w:tabs>
          <w:tab w:val="left" w:pos="360"/>
        </w:tabs>
        <w:autoSpaceDE w:val="0"/>
        <w:autoSpaceDN w:val="0"/>
        <w:adjustRightInd w:val="0"/>
        <w:spacing w:line="350" w:lineRule="exact"/>
        <w:ind w:firstLineChars="0"/>
        <w:jc w:val="left"/>
        <w:rPr>
          <w:rFonts w:ascii="Times New Roman" w:hAnsi="Times New Roman" w:eastAsia="宋体" w:cs="Times New Roman"/>
          <w:kern w:val="0"/>
        </w:rPr>
      </w:pPr>
      <w:r>
        <w:rPr>
          <w:rFonts w:ascii="Times New Roman" w:hAnsi="Times New Roman" w:eastAsia="宋体" w:cs="Times New Roman"/>
          <w:kern w:val="0"/>
        </w:rPr>
        <w:t xml:space="preserve">监督维保厂家对机器设备进行定期巡检和维护，对巡检单据签字确认，留档备案。 </w:t>
      </w:r>
    </w:p>
    <w:p>
      <w:pPr>
        <w:tabs>
          <w:tab w:val="left" w:pos="360"/>
        </w:tabs>
        <w:autoSpaceDE w:val="0"/>
        <w:autoSpaceDN w:val="0"/>
        <w:adjustRightInd w:val="0"/>
        <w:spacing w:line="360" w:lineRule="auto"/>
        <w:jc w:val="left"/>
        <w:rPr>
          <w:rFonts w:ascii="Times New Roman" w:hAnsi="Times New Roman" w:eastAsia="宋体" w:cs="Times New Roman"/>
          <w:kern w:val="0"/>
        </w:rPr>
      </w:pPr>
    </w:p>
    <w:p>
      <w:pPr>
        <w:tabs>
          <w:tab w:val="left" w:pos="360"/>
        </w:tabs>
        <w:autoSpaceDE w:val="0"/>
        <w:autoSpaceDN w:val="0"/>
        <w:adjustRightInd w:val="0"/>
        <w:spacing w:line="360" w:lineRule="auto"/>
        <w:jc w:val="left"/>
        <w:rPr>
          <w:rFonts w:ascii="Times New Roman" w:hAnsi="Times New Roman" w:eastAsia="宋体" w:cs="Times New Roman"/>
          <w:kern w:val="0"/>
        </w:rPr>
      </w:pPr>
    </w:p>
    <w:p>
      <w:pPr>
        <w:tabs>
          <w:tab w:val="left" w:pos="360"/>
        </w:tabs>
        <w:autoSpaceDE w:val="0"/>
        <w:autoSpaceDN w:val="0"/>
        <w:adjustRightInd w:val="0"/>
        <w:spacing w:line="360" w:lineRule="auto"/>
        <w:jc w:val="left"/>
        <w:rPr>
          <w:rFonts w:ascii="Times New Roman" w:hAnsi="Times New Roman" w:eastAsia="宋体" w:cs="Times New Roman"/>
          <w:kern w:val="0"/>
        </w:rPr>
      </w:pPr>
    </w:p>
    <w:p>
      <w:pPr>
        <w:tabs>
          <w:tab w:val="left" w:pos="360"/>
        </w:tabs>
        <w:autoSpaceDE w:val="0"/>
        <w:autoSpaceDN w:val="0"/>
        <w:adjustRightInd w:val="0"/>
        <w:spacing w:line="360" w:lineRule="auto"/>
        <w:jc w:val="left"/>
        <w:rPr>
          <w:rFonts w:ascii="Times New Roman" w:hAnsi="Times New Roman" w:eastAsia="宋体" w:cs="Times New Roman"/>
          <w:kern w:val="0"/>
        </w:rPr>
      </w:pPr>
    </w:p>
    <w:p>
      <w:pPr>
        <w:pStyle w:val="306"/>
        <w:pageBreakBefore/>
        <w:adjustRightInd w:val="0"/>
        <w:snapToGrid w:val="0"/>
        <w:spacing w:before="240" w:beforeLines="100" w:after="240" w:afterLines="100" w:line="350" w:lineRule="exact"/>
        <w:ind w:right="0" w:rightChars="0"/>
        <w:jc w:val="center"/>
        <w:outlineLvl w:val="0"/>
        <w:rPr>
          <w:rFonts w:ascii="Times New Roman"/>
          <w:b/>
          <w:bCs/>
          <w:szCs w:val="24"/>
        </w:rPr>
      </w:pPr>
      <w:bookmarkStart w:id="74" w:name="_Toc8512"/>
      <w:bookmarkStart w:id="75" w:name="_Toc4982"/>
      <w:r>
        <w:rPr>
          <w:rFonts w:ascii="Times New Roman"/>
          <w:b/>
          <w:bCs/>
          <w:szCs w:val="24"/>
        </w:rPr>
        <w:t>附</w:t>
      </w:r>
      <w:bookmarkEnd w:id="74"/>
      <w:bookmarkEnd w:id="75"/>
      <w:r>
        <w:rPr>
          <w:rFonts w:hint="eastAsia" w:ascii="Times New Roman"/>
          <w:b/>
          <w:bCs/>
          <w:szCs w:val="24"/>
        </w:rPr>
        <w:t xml:space="preserve"> 录A</w:t>
      </w:r>
    </w:p>
    <w:p>
      <w:pPr>
        <w:pStyle w:val="307"/>
        <w:ind w:right="0" w:rightChars="0" w:firstLine="0" w:firstLineChars="0"/>
        <w:jc w:val="center"/>
        <w:rPr>
          <w:rFonts w:hint="eastAsia" w:ascii="黑体" w:hAnsi="黑体" w:eastAsia="黑体"/>
        </w:rPr>
      </w:pPr>
      <w:r>
        <w:rPr>
          <w:rFonts w:hint="eastAsia" w:ascii="黑体" w:hAnsi="黑体" w:eastAsia="黑体"/>
        </w:rPr>
        <w:t>资料性</w:t>
      </w:r>
    </w:p>
    <w:p>
      <w:pPr>
        <w:pStyle w:val="4"/>
        <w:numPr>
          <w:ilvl w:val="0"/>
          <w:numId w:val="0"/>
        </w:numPr>
        <w:ind w:left="425"/>
        <w:jc w:val="center"/>
        <w:rPr>
          <w:sz w:val="23"/>
        </w:rPr>
      </w:pPr>
      <w:bookmarkStart w:id="76" w:name="_Toc2802"/>
      <w:r>
        <w:rPr>
          <w:rFonts w:hint="eastAsia"/>
          <w:lang w:val="en-US"/>
        </w:rPr>
        <w:t>表A.1</w:t>
      </w:r>
      <w:r>
        <w:rPr>
          <w:lang w:val="en-US"/>
        </w:rPr>
        <w:t>应急预案表</w:t>
      </w:r>
      <w:bookmarkEnd w:id="76"/>
    </w:p>
    <w:p>
      <w:pPr>
        <w:tabs>
          <w:tab w:val="left" w:pos="6497"/>
        </w:tabs>
        <w:ind w:left="401"/>
        <w:jc w:val="left"/>
        <w:rPr>
          <w:rFonts w:ascii="Times New Roman" w:hAnsi="Times New Roman" w:eastAsia="楷体" w:cs="Times New Roman"/>
        </w:rPr>
      </w:pPr>
      <w:r>
        <w:rPr>
          <w:rFonts w:ascii="Times New Roman" w:hAnsi="Times New Roman" w:eastAsia="楷体" w:cs="Times New Roman"/>
        </w:rPr>
        <w:t>预案编号：</w:t>
      </w:r>
      <w:r>
        <w:rPr>
          <w:rFonts w:ascii="Times New Roman" w:hAnsi="Times New Roman" w:eastAsia="楷体" w:cs="Times New Roman"/>
        </w:rPr>
        <w:tab/>
      </w:r>
      <w:r>
        <w:rPr>
          <w:rFonts w:ascii="Times New Roman" w:hAnsi="Times New Roman" w:eastAsia="楷体" w:cs="Times New Roman"/>
        </w:rPr>
        <w:t>版本号：</w:t>
      </w:r>
    </w:p>
    <w:tbl>
      <w:tblPr>
        <w:tblStyle w:val="55"/>
        <w:tblW w:w="0" w:type="auto"/>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9"/>
        <w:gridCol w:w="649"/>
        <w:gridCol w:w="147"/>
        <w:gridCol w:w="820"/>
        <w:gridCol w:w="169"/>
        <w:gridCol w:w="1859"/>
        <w:gridCol w:w="1410"/>
        <w:gridCol w:w="31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474" w:type="dxa"/>
            <w:gridSpan w:val="5"/>
          </w:tcPr>
          <w:p>
            <w:pPr>
              <w:pStyle w:val="310"/>
              <w:spacing w:before="3" w:line="340" w:lineRule="exact"/>
              <w:ind w:left="107"/>
              <w:rPr>
                <w:rFonts w:ascii="宋体" w:hAnsi="宋体" w:eastAsia="宋体" w:cs="宋体"/>
                <w:sz w:val="18"/>
                <w:szCs w:val="18"/>
              </w:rPr>
            </w:pPr>
            <w:r>
              <w:rPr>
                <w:rFonts w:hint="eastAsia" w:ascii="宋体" w:hAnsi="宋体" w:eastAsia="宋体" w:cs="宋体"/>
                <w:sz w:val="18"/>
                <w:szCs w:val="18"/>
              </w:rPr>
              <w:t>编制：</w:t>
            </w:r>
          </w:p>
        </w:tc>
        <w:tc>
          <w:tcPr>
            <w:tcW w:w="3269" w:type="dxa"/>
            <w:gridSpan w:val="2"/>
            <w:vMerge w:val="restart"/>
          </w:tcPr>
          <w:p>
            <w:pPr>
              <w:pStyle w:val="310"/>
              <w:spacing w:before="6" w:line="360" w:lineRule="atLeast"/>
              <w:ind w:left="1478" w:right="237" w:hanging="1260"/>
              <w:rPr>
                <w:rFonts w:ascii="宋体" w:hAnsi="宋体" w:eastAsia="宋体" w:cs="宋体"/>
                <w:sz w:val="18"/>
                <w:szCs w:val="18"/>
              </w:rPr>
            </w:pPr>
            <w:r>
              <w:rPr>
                <w:rFonts w:hint="eastAsia" w:ascii="宋体" w:hAnsi="宋体" w:eastAsia="宋体" w:cs="宋体"/>
                <w:sz w:val="18"/>
                <w:szCs w:val="18"/>
              </w:rPr>
              <w:t>应急预案</w:t>
            </w:r>
          </w:p>
        </w:tc>
        <w:tc>
          <w:tcPr>
            <w:tcW w:w="3153" w:type="dxa"/>
          </w:tcPr>
          <w:p>
            <w:pPr>
              <w:pStyle w:val="310"/>
              <w:spacing w:before="3" w:line="340" w:lineRule="exact"/>
              <w:ind w:left="76"/>
              <w:rPr>
                <w:rFonts w:ascii="宋体" w:hAnsi="宋体" w:eastAsia="宋体" w:cs="宋体"/>
                <w:sz w:val="18"/>
                <w:szCs w:val="18"/>
              </w:rPr>
            </w:pPr>
            <w:r>
              <w:rPr>
                <w:rFonts w:hint="eastAsia" w:ascii="宋体" w:hAnsi="宋体" w:eastAsia="宋体" w:cs="宋体"/>
                <w:sz w:val="18"/>
                <w:szCs w:val="18"/>
              </w:rPr>
              <w:t>签发：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474" w:type="dxa"/>
            <w:gridSpan w:val="5"/>
          </w:tcPr>
          <w:p>
            <w:pPr>
              <w:pStyle w:val="310"/>
              <w:spacing w:before="4" w:line="339" w:lineRule="exact"/>
              <w:ind w:left="107"/>
              <w:rPr>
                <w:rFonts w:ascii="宋体" w:hAnsi="宋体" w:eastAsia="宋体" w:cs="宋体"/>
                <w:sz w:val="18"/>
                <w:szCs w:val="18"/>
              </w:rPr>
            </w:pPr>
            <w:r>
              <w:rPr>
                <w:rFonts w:hint="eastAsia" w:ascii="宋体" w:hAnsi="宋体" w:eastAsia="宋体" w:cs="宋体"/>
                <w:sz w:val="18"/>
                <w:szCs w:val="18"/>
              </w:rPr>
              <w:t>审核：</w:t>
            </w:r>
          </w:p>
        </w:tc>
        <w:tc>
          <w:tcPr>
            <w:tcW w:w="3269" w:type="dxa"/>
            <w:gridSpan w:val="2"/>
            <w:vMerge w:val="continue"/>
            <w:tcBorders>
              <w:top w:val="nil"/>
            </w:tcBorders>
          </w:tcPr>
          <w:p>
            <w:pPr>
              <w:rPr>
                <w:rFonts w:ascii="宋体" w:hAnsi="宋体" w:eastAsia="宋体" w:cs="宋体"/>
                <w:sz w:val="18"/>
                <w:szCs w:val="18"/>
              </w:rPr>
            </w:pPr>
          </w:p>
        </w:tc>
        <w:tc>
          <w:tcPr>
            <w:tcW w:w="3153" w:type="dxa"/>
          </w:tcPr>
          <w:p>
            <w:pPr>
              <w:pStyle w:val="310"/>
              <w:spacing w:before="4" w:line="339" w:lineRule="exact"/>
              <w:ind w:left="76"/>
              <w:rPr>
                <w:rFonts w:ascii="宋体" w:hAnsi="宋体" w:eastAsia="宋体" w:cs="宋体"/>
                <w:sz w:val="18"/>
                <w:szCs w:val="18"/>
              </w:rPr>
            </w:pPr>
            <w:r>
              <w:rPr>
                <w:rFonts w:hint="eastAsia" w:ascii="宋体" w:hAnsi="宋体" w:eastAsia="宋体" w:cs="宋体"/>
                <w:sz w:val="18"/>
                <w:szCs w:val="18"/>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1338" w:type="dxa"/>
            <w:gridSpan w:val="2"/>
          </w:tcPr>
          <w:p>
            <w:pPr>
              <w:pStyle w:val="310"/>
              <w:spacing w:before="17" w:line="354" w:lineRule="exact"/>
              <w:ind w:left="107"/>
              <w:rPr>
                <w:rFonts w:ascii="宋体" w:hAnsi="宋体" w:eastAsia="宋体" w:cs="宋体"/>
                <w:sz w:val="18"/>
                <w:szCs w:val="18"/>
              </w:rPr>
            </w:pPr>
            <w:r>
              <w:rPr>
                <w:rFonts w:hint="eastAsia" w:ascii="宋体" w:hAnsi="宋体" w:eastAsia="宋体" w:cs="宋体"/>
                <w:sz w:val="18"/>
                <w:szCs w:val="18"/>
              </w:rPr>
              <w:t>预案名称</w:t>
            </w:r>
          </w:p>
        </w:tc>
        <w:tc>
          <w:tcPr>
            <w:tcW w:w="7558" w:type="dxa"/>
            <w:gridSpan w:val="6"/>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7" w:hRule="atLeast"/>
        </w:trPr>
        <w:tc>
          <w:tcPr>
            <w:tcW w:w="1485" w:type="dxa"/>
            <w:gridSpan w:val="3"/>
          </w:tcPr>
          <w:p>
            <w:pPr>
              <w:pStyle w:val="310"/>
              <w:spacing w:before="182" w:line="244" w:lineRule="auto"/>
              <w:ind w:left="321" w:right="170" w:hanging="142"/>
              <w:rPr>
                <w:rFonts w:ascii="宋体" w:hAnsi="宋体" w:eastAsia="宋体" w:cs="宋体"/>
                <w:sz w:val="18"/>
                <w:szCs w:val="18"/>
              </w:rPr>
            </w:pPr>
            <w:r>
              <w:rPr>
                <w:rFonts w:hint="eastAsia" w:ascii="宋体" w:hAnsi="宋体" w:eastAsia="宋体" w:cs="宋体"/>
                <w:sz w:val="18"/>
                <w:szCs w:val="18"/>
              </w:rPr>
              <w:t>目的和适用范围</w:t>
            </w:r>
          </w:p>
        </w:tc>
        <w:tc>
          <w:tcPr>
            <w:tcW w:w="7411" w:type="dxa"/>
            <w:gridSpan w:val="5"/>
          </w:tcPr>
          <w:p>
            <w:pPr>
              <w:pStyle w:val="310"/>
              <w:spacing w:before="3"/>
              <w:ind w:left="108"/>
              <w:rPr>
                <w:rFonts w:ascii="宋体" w:hAnsi="宋体" w:eastAsia="宋体" w:cs="宋体"/>
                <w:sz w:val="18"/>
                <w:szCs w:val="18"/>
              </w:rPr>
            </w:pPr>
            <w:r>
              <w:rPr>
                <w:rFonts w:hint="eastAsia" w:ascii="宋体" w:hAnsi="宋体" w:eastAsia="宋体" w:cs="宋体"/>
                <w:sz w:val="18"/>
                <w:szCs w:val="18"/>
              </w:rPr>
              <w:t>目的：</w:t>
            </w:r>
          </w:p>
          <w:p>
            <w:pPr>
              <w:pStyle w:val="310"/>
              <w:spacing w:before="5"/>
              <w:ind w:left="108"/>
              <w:rPr>
                <w:rFonts w:ascii="宋体" w:hAnsi="宋体" w:eastAsia="宋体" w:cs="宋体"/>
                <w:sz w:val="18"/>
                <w:szCs w:val="18"/>
              </w:rPr>
            </w:pPr>
            <w:r>
              <w:rPr>
                <w:rFonts w:hint="eastAsia" w:ascii="宋体" w:hAnsi="宋体" w:eastAsia="宋体" w:cs="宋体"/>
                <w:sz w:val="18"/>
                <w:szCs w:val="18"/>
              </w:rPr>
              <w:t>适用范围：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485" w:type="dxa"/>
            <w:gridSpan w:val="3"/>
          </w:tcPr>
          <w:p>
            <w:pPr>
              <w:pStyle w:val="310"/>
              <w:spacing w:before="3" w:line="340" w:lineRule="exact"/>
              <w:ind w:left="179"/>
              <w:rPr>
                <w:rFonts w:ascii="宋体" w:hAnsi="宋体" w:eastAsia="宋体" w:cs="宋体"/>
                <w:sz w:val="18"/>
                <w:szCs w:val="18"/>
              </w:rPr>
            </w:pPr>
            <w:r>
              <w:rPr>
                <w:rFonts w:hint="eastAsia" w:ascii="宋体" w:hAnsi="宋体" w:eastAsia="宋体" w:cs="宋体"/>
                <w:sz w:val="18"/>
                <w:szCs w:val="18"/>
              </w:rPr>
              <w:t>风险评估</w:t>
            </w:r>
          </w:p>
        </w:tc>
        <w:tc>
          <w:tcPr>
            <w:tcW w:w="7411" w:type="dxa"/>
            <w:gridSpan w:val="5"/>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485" w:type="dxa"/>
            <w:gridSpan w:val="3"/>
          </w:tcPr>
          <w:p>
            <w:pPr>
              <w:pStyle w:val="310"/>
              <w:spacing w:before="45"/>
              <w:ind w:left="179"/>
              <w:rPr>
                <w:rFonts w:ascii="宋体" w:hAnsi="宋体" w:eastAsia="宋体" w:cs="宋体"/>
                <w:sz w:val="18"/>
                <w:szCs w:val="18"/>
              </w:rPr>
            </w:pPr>
            <w:r>
              <w:rPr>
                <w:rFonts w:hint="eastAsia" w:ascii="宋体" w:hAnsi="宋体" w:eastAsia="宋体" w:cs="宋体"/>
                <w:sz w:val="18"/>
                <w:szCs w:val="18"/>
              </w:rPr>
              <w:t>应急资源</w:t>
            </w:r>
          </w:p>
        </w:tc>
        <w:tc>
          <w:tcPr>
            <w:tcW w:w="7411" w:type="dxa"/>
            <w:gridSpan w:val="5"/>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485" w:type="dxa"/>
            <w:gridSpan w:val="3"/>
          </w:tcPr>
          <w:p>
            <w:pPr>
              <w:pStyle w:val="310"/>
              <w:spacing w:before="231"/>
              <w:ind w:left="179"/>
              <w:rPr>
                <w:rFonts w:ascii="宋体" w:hAnsi="宋体" w:eastAsia="宋体" w:cs="宋体"/>
                <w:sz w:val="18"/>
                <w:szCs w:val="18"/>
              </w:rPr>
            </w:pPr>
            <w:r>
              <w:rPr>
                <w:rFonts w:hint="eastAsia" w:ascii="宋体" w:hAnsi="宋体" w:eastAsia="宋体" w:cs="宋体"/>
                <w:sz w:val="18"/>
                <w:szCs w:val="18"/>
              </w:rPr>
              <w:t>启动条件</w:t>
            </w:r>
          </w:p>
        </w:tc>
        <w:tc>
          <w:tcPr>
            <w:tcW w:w="7411" w:type="dxa"/>
            <w:gridSpan w:val="5"/>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485" w:type="dxa"/>
            <w:gridSpan w:val="3"/>
          </w:tcPr>
          <w:p>
            <w:pPr>
              <w:pStyle w:val="310"/>
              <w:spacing w:before="4" w:line="340" w:lineRule="exact"/>
              <w:ind w:left="179"/>
              <w:rPr>
                <w:rFonts w:ascii="宋体" w:hAnsi="宋体" w:eastAsia="宋体" w:cs="宋体"/>
                <w:sz w:val="18"/>
                <w:szCs w:val="18"/>
              </w:rPr>
            </w:pPr>
            <w:r>
              <w:rPr>
                <w:rFonts w:hint="eastAsia" w:ascii="宋体" w:hAnsi="宋体" w:eastAsia="宋体" w:cs="宋体"/>
                <w:sz w:val="18"/>
                <w:szCs w:val="18"/>
              </w:rPr>
              <w:t>启动人员</w:t>
            </w:r>
          </w:p>
        </w:tc>
        <w:tc>
          <w:tcPr>
            <w:tcW w:w="2848" w:type="dxa"/>
            <w:gridSpan w:val="3"/>
          </w:tcPr>
          <w:p>
            <w:pPr>
              <w:pStyle w:val="310"/>
              <w:rPr>
                <w:rFonts w:ascii="宋体" w:hAnsi="宋体" w:eastAsia="宋体" w:cs="宋体"/>
                <w:sz w:val="18"/>
                <w:szCs w:val="18"/>
              </w:rPr>
            </w:pPr>
          </w:p>
        </w:tc>
        <w:tc>
          <w:tcPr>
            <w:tcW w:w="1410" w:type="dxa"/>
          </w:tcPr>
          <w:p>
            <w:pPr>
              <w:pStyle w:val="310"/>
              <w:spacing w:before="4" w:line="340" w:lineRule="exact"/>
              <w:ind w:left="156"/>
              <w:rPr>
                <w:rFonts w:ascii="宋体" w:hAnsi="宋体" w:eastAsia="宋体" w:cs="宋体"/>
                <w:sz w:val="18"/>
                <w:szCs w:val="18"/>
              </w:rPr>
            </w:pPr>
            <w:r>
              <w:rPr>
                <w:rFonts w:hint="eastAsia" w:ascii="宋体" w:hAnsi="宋体" w:eastAsia="宋体" w:cs="宋体"/>
                <w:sz w:val="18"/>
                <w:szCs w:val="18"/>
              </w:rPr>
              <w:t>现场指挥</w:t>
            </w:r>
          </w:p>
        </w:tc>
        <w:tc>
          <w:tcPr>
            <w:tcW w:w="3153"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6" w:hRule="atLeast"/>
        </w:trPr>
        <w:tc>
          <w:tcPr>
            <w:tcW w:w="689" w:type="dxa"/>
          </w:tcPr>
          <w:p>
            <w:pPr>
              <w:pStyle w:val="310"/>
              <w:rPr>
                <w:rFonts w:ascii="宋体" w:hAnsi="宋体" w:eastAsia="宋体" w:cs="宋体"/>
                <w:sz w:val="18"/>
                <w:szCs w:val="18"/>
              </w:rPr>
            </w:pPr>
          </w:p>
          <w:p>
            <w:pPr>
              <w:pStyle w:val="310"/>
              <w:rPr>
                <w:rFonts w:ascii="宋体" w:hAnsi="宋体" w:eastAsia="宋体" w:cs="宋体"/>
                <w:sz w:val="18"/>
                <w:szCs w:val="18"/>
              </w:rPr>
            </w:pPr>
          </w:p>
          <w:p>
            <w:pPr>
              <w:pStyle w:val="310"/>
              <w:spacing w:before="4"/>
              <w:rPr>
                <w:rFonts w:ascii="宋体" w:hAnsi="宋体" w:eastAsia="宋体" w:cs="宋体"/>
                <w:sz w:val="18"/>
                <w:szCs w:val="18"/>
              </w:rPr>
            </w:pPr>
          </w:p>
          <w:p>
            <w:pPr>
              <w:pStyle w:val="310"/>
              <w:spacing w:line="242" w:lineRule="auto"/>
              <w:ind w:left="203" w:right="192"/>
              <w:rPr>
                <w:rFonts w:ascii="宋体" w:hAnsi="宋体" w:eastAsia="宋体" w:cs="宋体"/>
                <w:sz w:val="18"/>
                <w:szCs w:val="18"/>
              </w:rPr>
            </w:pPr>
            <w:r>
              <w:rPr>
                <w:rFonts w:hint="eastAsia" w:ascii="宋体" w:hAnsi="宋体" w:eastAsia="宋体" w:cs="宋体"/>
                <w:sz w:val="18"/>
                <w:szCs w:val="18"/>
              </w:rPr>
              <w:t>方案流程</w:t>
            </w:r>
          </w:p>
        </w:tc>
        <w:tc>
          <w:tcPr>
            <w:tcW w:w="8207" w:type="dxa"/>
            <w:gridSpan w:val="7"/>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689" w:type="dxa"/>
            <w:vMerge w:val="restart"/>
          </w:tcPr>
          <w:p>
            <w:pPr>
              <w:pStyle w:val="310"/>
              <w:spacing w:before="10"/>
              <w:rPr>
                <w:rFonts w:ascii="宋体" w:hAnsi="宋体" w:eastAsia="宋体" w:cs="宋体"/>
                <w:sz w:val="18"/>
                <w:szCs w:val="18"/>
              </w:rPr>
            </w:pPr>
          </w:p>
          <w:p>
            <w:pPr>
              <w:pStyle w:val="310"/>
              <w:spacing w:before="1" w:line="242" w:lineRule="auto"/>
              <w:ind w:left="203" w:right="192"/>
              <w:rPr>
                <w:rFonts w:ascii="宋体" w:hAnsi="宋体" w:eastAsia="宋体" w:cs="宋体"/>
                <w:sz w:val="18"/>
                <w:szCs w:val="18"/>
              </w:rPr>
            </w:pPr>
            <w:r>
              <w:rPr>
                <w:rFonts w:hint="eastAsia" w:ascii="宋体" w:hAnsi="宋体" w:eastAsia="宋体" w:cs="宋体"/>
                <w:sz w:val="18"/>
                <w:szCs w:val="18"/>
              </w:rPr>
              <w:t>角色职责</w:t>
            </w:r>
          </w:p>
        </w:tc>
        <w:tc>
          <w:tcPr>
            <w:tcW w:w="1616" w:type="dxa"/>
            <w:gridSpan w:val="3"/>
          </w:tcPr>
          <w:p>
            <w:pPr>
              <w:pStyle w:val="310"/>
              <w:spacing w:line="252" w:lineRule="exact"/>
              <w:ind w:left="575" w:right="570"/>
              <w:jc w:val="center"/>
              <w:rPr>
                <w:rFonts w:ascii="宋体" w:hAnsi="宋体" w:eastAsia="宋体" w:cs="宋体"/>
                <w:sz w:val="18"/>
                <w:szCs w:val="18"/>
              </w:rPr>
            </w:pPr>
            <w:r>
              <w:rPr>
                <w:rFonts w:hint="eastAsia" w:ascii="宋体" w:hAnsi="宋体" w:eastAsia="宋体" w:cs="宋体"/>
                <w:sz w:val="18"/>
                <w:szCs w:val="18"/>
              </w:rPr>
              <w:t>角色</w:t>
            </w:r>
          </w:p>
        </w:tc>
        <w:tc>
          <w:tcPr>
            <w:tcW w:w="6591" w:type="dxa"/>
            <w:gridSpan w:val="4"/>
          </w:tcPr>
          <w:p>
            <w:pPr>
              <w:pStyle w:val="310"/>
              <w:spacing w:line="252" w:lineRule="exact"/>
              <w:ind w:left="3063" w:right="3057"/>
              <w:jc w:val="center"/>
              <w:rPr>
                <w:rFonts w:ascii="宋体" w:hAnsi="宋体" w:eastAsia="宋体" w:cs="宋体"/>
                <w:sz w:val="18"/>
                <w:szCs w:val="18"/>
              </w:rPr>
            </w:pPr>
            <w:r>
              <w:rPr>
                <w:rFonts w:hint="eastAsia" w:ascii="宋体" w:hAnsi="宋体" w:eastAsia="宋体" w:cs="宋体"/>
                <w:sz w:val="18"/>
                <w:szCs w:val="18"/>
              </w:rPr>
              <w:t>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689" w:type="dxa"/>
            <w:vMerge w:val="continue"/>
            <w:tcBorders>
              <w:top w:val="nil"/>
            </w:tcBorders>
          </w:tcPr>
          <w:p>
            <w:pPr>
              <w:rPr>
                <w:rFonts w:ascii="宋体" w:hAnsi="宋体" w:eastAsia="宋体" w:cs="宋体"/>
                <w:sz w:val="18"/>
                <w:szCs w:val="18"/>
              </w:rPr>
            </w:pPr>
          </w:p>
        </w:tc>
        <w:tc>
          <w:tcPr>
            <w:tcW w:w="1616" w:type="dxa"/>
            <w:gridSpan w:val="3"/>
          </w:tcPr>
          <w:p>
            <w:pPr>
              <w:pStyle w:val="310"/>
              <w:rPr>
                <w:rFonts w:ascii="宋体" w:hAnsi="宋体" w:eastAsia="宋体" w:cs="宋体"/>
                <w:sz w:val="18"/>
                <w:szCs w:val="18"/>
              </w:rPr>
            </w:pPr>
          </w:p>
        </w:tc>
        <w:tc>
          <w:tcPr>
            <w:tcW w:w="6591" w:type="dxa"/>
            <w:gridSpan w:val="4"/>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689" w:type="dxa"/>
            <w:vMerge w:val="continue"/>
            <w:tcBorders>
              <w:top w:val="nil"/>
            </w:tcBorders>
          </w:tcPr>
          <w:p>
            <w:pPr>
              <w:rPr>
                <w:rFonts w:ascii="宋体" w:hAnsi="宋体" w:eastAsia="宋体" w:cs="宋体"/>
                <w:sz w:val="18"/>
                <w:szCs w:val="18"/>
              </w:rPr>
            </w:pPr>
          </w:p>
        </w:tc>
        <w:tc>
          <w:tcPr>
            <w:tcW w:w="1616" w:type="dxa"/>
            <w:gridSpan w:val="3"/>
          </w:tcPr>
          <w:p>
            <w:pPr>
              <w:pStyle w:val="310"/>
              <w:rPr>
                <w:rFonts w:ascii="宋体" w:hAnsi="宋体" w:eastAsia="宋体" w:cs="宋体"/>
                <w:sz w:val="18"/>
                <w:szCs w:val="18"/>
              </w:rPr>
            </w:pPr>
          </w:p>
        </w:tc>
        <w:tc>
          <w:tcPr>
            <w:tcW w:w="6591" w:type="dxa"/>
            <w:gridSpan w:val="4"/>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89" w:type="dxa"/>
            <w:vMerge w:val="continue"/>
            <w:tcBorders>
              <w:top w:val="nil"/>
            </w:tcBorders>
          </w:tcPr>
          <w:p>
            <w:pPr>
              <w:rPr>
                <w:rFonts w:ascii="宋体" w:hAnsi="宋体" w:eastAsia="宋体" w:cs="宋体"/>
                <w:sz w:val="18"/>
                <w:szCs w:val="18"/>
              </w:rPr>
            </w:pPr>
          </w:p>
        </w:tc>
        <w:tc>
          <w:tcPr>
            <w:tcW w:w="1616" w:type="dxa"/>
            <w:gridSpan w:val="3"/>
          </w:tcPr>
          <w:p>
            <w:pPr>
              <w:pStyle w:val="310"/>
              <w:rPr>
                <w:rFonts w:ascii="宋体" w:hAnsi="宋体" w:eastAsia="宋体" w:cs="宋体"/>
                <w:sz w:val="18"/>
                <w:szCs w:val="18"/>
              </w:rPr>
            </w:pPr>
          </w:p>
        </w:tc>
        <w:tc>
          <w:tcPr>
            <w:tcW w:w="6591" w:type="dxa"/>
            <w:gridSpan w:val="4"/>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trPr>
        <w:tc>
          <w:tcPr>
            <w:tcW w:w="1338" w:type="dxa"/>
            <w:gridSpan w:val="2"/>
          </w:tcPr>
          <w:p>
            <w:pPr>
              <w:pStyle w:val="310"/>
              <w:spacing w:before="21" w:line="360" w:lineRule="atLeast"/>
              <w:ind w:left="388" w:right="375"/>
              <w:rPr>
                <w:rFonts w:ascii="宋体" w:hAnsi="宋体" w:eastAsia="宋体" w:cs="宋体"/>
                <w:sz w:val="18"/>
                <w:szCs w:val="18"/>
              </w:rPr>
            </w:pPr>
            <w:r>
              <w:rPr>
                <w:rFonts w:hint="eastAsia" w:ascii="宋体" w:hAnsi="宋体" w:eastAsia="宋体" w:cs="宋体"/>
                <w:sz w:val="18"/>
                <w:szCs w:val="18"/>
              </w:rPr>
              <w:t>其它附件</w:t>
            </w:r>
          </w:p>
        </w:tc>
        <w:tc>
          <w:tcPr>
            <w:tcW w:w="7558" w:type="dxa"/>
            <w:gridSpan w:val="6"/>
          </w:tcPr>
          <w:p>
            <w:pPr>
              <w:pStyle w:val="310"/>
              <w:rPr>
                <w:rFonts w:ascii="宋体" w:hAnsi="宋体" w:eastAsia="宋体" w:cs="宋体"/>
                <w:sz w:val="18"/>
                <w:szCs w:val="18"/>
              </w:rPr>
            </w:pPr>
          </w:p>
        </w:tc>
      </w:tr>
    </w:tbl>
    <w:p>
      <w:pPr>
        <w:rPr>
          <w:rFonts w:ascii="Times New Roman" w:hAnsi="Times New Roman" w:cs="Times New Roman"/>
          <w:sz w:val="26"/>
        </w:rPr>
        <w:sectPr>
          <w:pgSz w:w="11910" w:h="16840"/>
          <w:pgMar w:top="1560" w:right="880" w:bottom="280" w:left="1300" w:header="720" w:footer="720" w:gutter="0"/>
          <w:cols w:space="720" w:num="1"/>
        </w:sectPr>
      </w:pPr>
    </w:p>
    <w:p>
      <w:pPr>
        <w:pStyle w:val="4"/>
        <w:numPr>
          <w:ilvl w:val="0"/>
          <w:numId w:val="0"/>
        </w:numPr>
        <w:ind w:left="425"/>
        <w:jc w:val="center"/>
        <w:rPr>
          <w:lang w:val="en-US"/>
        </w:rPr>
      </w:pPr>
      <w:bookmarkStart w:id="77" w:name="_Toc31527"/>
      <w:r>
        <w:rPr>
          <w:rFonts w:hint="eastAsia"/>
          <w:lang w:val="en-US"/>
        </w:rPr>
        <w:t>表A.2</w:t>
      </w:r>
      <w:r>
        <w:rPr>
          <w:lang w:val="en-US"/>
        </w:rPr>
        <w:t>应急预案审签单</w:t>
      </w:r>
      <w:bookmarkEnd w:id="77"/>
    </w:p>
    <w:tbl>
      <w:tblPr>
        <w:tblStyle w:val="55"/>
        <w:tblW w:w="0" w:type="auto"/>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4"/>
        <w:gridCol w:w="1899"/>
        <w:gridCol w:w="1440"/>
        <w:gridCol w:w="25"/>
        <w:gridCol w:w="1259"/>
        <w:gridCol w:w="107"/>
        <w:gridCol w:w="710"/>
        <w:gridCol w:w="762"/>
        <w:gridCol w:w="10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1364" w:type="dxa"/>
          </w:tcPr>
          <w:p>
            <w:pPr>
              <w:pStyle w:val="310"/>
              <w:spacing w:before="136" w:line="312" w:lineRule="auto"/>
              <w:ind w:left="442" w:right="189" w:hanging="240"/>
              <w:rPr>
                <w:rFonts w:ascii="宋体" w:hAnsi="宋体" w:eastAsia="宋体" w:cs="宋体"/>
                <w:sz w:val="18"/>
                <w:szCs w:val="18"/>
              </w:rPr>
            </w:pPr>
            <w:r>
              <w:rPr>
                <w:rFonts w:hint="eastAsia" w:ascii="宋体" w:hAnsi="宋体" w:eastAsia="宋体" w:cs="宋体"/>
                <w:sz w:val="18"/>
                <w:szCs w:val="18"/>
              </w:rPr>
              <w:t>运维项目名称</w:t>
            </w:r>
          </w:p>
        </w:tc>
        <w:tc>
          <w:tcPr>
            <w:tcW w:w="4623" w:type="dxa"/>
            <w:gridSpan w:val="4"/>
          </w:tcPr>
          <w:p>
            <w:pPr>
              <w:pStyle w:val="310"/>
              <w:rPr>
                <w:rFonts w:ascii="宋体" w:hAnsi="宋体" w:eastAsia="宋体" w:cs="宋体"/>
                <w:sz w:val="18"/>
                <w:szCs w:val="18"/>
              </w:rPr>
            </w:pPr>
          </w:p>
        </w:tc>
        <w:tc>
          <w:tcPr>
            <w:tcW w:w="817" w:type="dxa"/>
            <w:gridSpan w:val="2"/>
          </w:tcPr>
          <w:p>
            <w:pPr>
              <w:pStyle w:val="310"/>
              <w:spacing w:before="136" w:line="312" w:lineRule="auto"/>
              <w:ind w:left="167" w:right="157"/>
              <w:rPr>
                <w:rFonts w:ascii="宋体" w:hAnsi="宋体" w:eastAsia="宋体" w:cs="宋体"/>
                <w:sz w:val="18"/>
                <w:szCs w:val="18"/>
              </w:rPr>
            </w:pPr>
            <w:r>
              <w:rPr>
                <w:rFonts w:hint="eastAsia" w:ascii="宋体" w:hAnsi="宋体" w:eastAsia="宋体" w:cs="宋体"/>
                <w:sz w:val="18"/>
                <w:szCs w:val="18"/>
              </w:rPr>
              <w:t>评审日期</w:t>
            </w:r>
          </w:p>
        </w:tc>
        <w:tc>
          <w:tcPr>
            <w:tcW w:w="1851" w:type="dxa"/>
            <w:gridSpan w:val="2"/>
          </w:tcPr>
          <w:p>
            <w:pPr>
              <w:pStyle w:val="310"/>
              <w:spacing w:before="4"/>
              <w:rPr>
                <w:rFonts w:ascii="宋体" w:hAnsi="宋体" w:eastAsia="宋体" w:cs="宋体"/>
                <w:b/>
                <w:sz w:val="18"/>
                <w:szCs w:val="18"/>
              </w:rPr>
            </w:pPr>
          </w:p>
          <w:p>
            <w:pPr>
              <w:pStyle w:val="310"/>
              <w:tabs>
                <w:tab w:val="left" w:pos="1023"/>
                <w:tab w:val="left" w:pos="1503"/>
              </w:tabs>
              <w:ind w:left="543"/>
              <w:rPr>
                <w:rFonts w:ascii="宋体" w:hAnsi="宋体" w:eastAsia="宋体" w:cs="宋体"/>
                <w:sz w:val="18"/>
                <w:szCs w:val="18"/>
              </w:rPr>
            </w:pPr>
            <w:r>
              <w:rPr>
                <w:rFonts w:hint="eastAsia" w:ascii="宋体" w:hAnsi="宋体" w:eastAsia="宋体" w:cs="宋体"/>
                <w:sz w:val="18"/>
                <w:szCs w:val="18"/>
              </w:rPr>
              <w:t>年</w:t>
            </w:r>
            <w:r>
              <w:rPr>
                <w:rFonts w:hint="eastAsia" w:ascii="宋体" w:hAnsi="宋体" w:eastAsia="宋体" w:cs="宋体"/>
                <w:sz w:val="18"/>
                <w:szCs w:val="18"/>
              </w:rPr>
              <w:tab/>
            </w:r>
            <w:r>
              <w:rPr>
                <w:rFonts w:hint="eastAsia" w:ascii="宋体" w:hAnsi="宋体" w:eastAsia="宋体" w:cs="宋体"/>
                <w:sz w:val="18"/>
                <w:szCs w:val="18"/>
              </w:rPr>
              <w:t>月</w:t>
            </w:r>
            <w:r>
              <w:rPr>
                <w:rFonts w:hint="eastAsia" w:ascii="宋体" w:hAnsi="宋体" w:eastAsia="宋体" w:cs="宋体"/>
                <w:sz w:val="18"/>
                <w:szCs w:val="18"/>
              </w:rPr>
              <w:tab/>
            </w:r>
            <w:r>
              <w:rPr>
                <w:rFonts w:hint="eastAsia" w:ascii="宋体" w:hAnsi="宋体" w:eastAsia="宋体" w:cs="宋体"/>
                <w:sz w:val="18"/>
                <w:szCs w:val="1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8" w:hRule="atLeast"/>
        </w:trPr>
        <w:tc>
          <w:tcPr>
            <w:tcW w:w="1364" w:type="dxa"/>
          </w:tcPr>
          <w:p>
            <w:pPr>
              <w:pStyle w:val="310"/>
              <w:rPr>
                <w:rFonts w:ascii="宋体" w:hAnsi="宋体" w:eastAsia="宋体" w:cs="宋体"/>
                <w:b/>
                <w:sz w:val="18"/>
                <w:szCs w:val="18"/>
              </w:rPr>
            </w:pPr>
          </w:p>
          <w:p>
            <w:pPr>
              <w:pStyle w:val="310"/>
              <w:rPr>
                <w:rFonts w:ascii="宋体" w:hAnsi="宋体" w:eastAsia="宋体" w:cs="宋体"/>
                <w:b/>
                <w:sz w:val="18"/>
                <w:szCs w:val="18"/>
              </w:rPr>
            </w:pPr>
          </w:p>
          <w:p>
            <w:pPr>
              <w:pStyle w:val="310"/>
              <w:rPr>
                <w:rFonts w:ascii="宋体" w:hAnsi="宋体" w:eastAsia="宋体" w:cs="宋体"/>
                <w:b/>
                <w:sz w:val="18"/>
                <w:szCs w:val="18"/>
              </w:rPr>
            </w:pPr>
          </w:p>
          <w:p>
            <w:pPr>
              <w:pStyle w:val="310"/>
              <w:rPr>
                <w:rFonts w:ascii="宋体" w:hAnsi="宋体" w:eastAsia="宋体" w:cs="宋体"/>
                <w:b/>
                <w:sz w:val="18"/>
                <w:szCs w:val="18"/>
              </w:rPr>
            </w:pPr>
          </w:p>
          <w:p>
            <w:pPr>
              <w:pStyle w:val="310"/>
              <w:rPr>
                <w:rFonts w:ascii="宋体" w:hAnsi="宋体" w:eastAsia="宋体" w:cs="宋体"/>
                <w:b/>
                <w:sz w:val="18"/>
                <w:szCs w:val="18"/>
              </w:rPr>
            </w:pPr>
          </w:p>
          <w:p>
            <w:pPr>
              <w:pStyle w:val="310"/>
              <w:spacing w:before="10"/>
              <w:rPr>
                <w:rFonts w:ascii="宋体" w:hAnsi="宋体" w:eastAsia="宋体" w:cs="宋体"/>
                <w:b/>
                <w:sz w:val="18"/>
                <w:szCs w:val="18"/>
              </w:rPr>
            </w:pPr>
          </w:p>
          <w:p>
            <w:pPr>
              <w:pStyle w:val="310"/>
              <w:ind w:left="182" w:right="171"/>
              <w:jc w:val="center"/>
              <w:rPr>
                <w:rFonts w:ascii="宋体" w:hAnsi="宋体" w:eastAsia="宋体" w:cs="宋体"/>
                <w:sz w:val="18"/>
                <w:szCs w:val="18"/>
              </w:rPr>
            </w:pPr>
            <w:r>
              <w:rPr>
                <w:rFonts w:hint="eastAsia" w:ascii="宋体" w:hAnsi="宋体" w:eastAsia="宋体" w:cs="宋体"/>
                <w:sz w:val="18"/>
                <w:szCs w:val="18"/>
              </w:rPr>
              <w:t>评审内容</w:t>
            </w:r>
          </w:p>
        </w:tc>
        <w:tc>
          <w:tcPr>
            <w:tcW w:w="7291" w:type="dxa"/>
            <w:gridSpan w:val="8"/>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1" w:hRule="atLeast"/>
        </w:trPr>
        <w:tc>
          <w:tcPr>
            <w:tcW w:w="1364" w:type="dxa"/>
          </w:tcPr>
          <w:p>
            <w:pPr>
              <w:pStyle w:val="310"/>
              <w:spacing w:before="3"/>
              <w:rPr>
                <w:rFonts w:ascii="宋体" w:hAnsi="宋体" w:eastAsia="宋体" w:cs="宋体"/>
                <w:b/>
                <w:sz w:val="18"/>
                <w:szCs w:val="18"/>
              </w:rPr>
            </w:pPr>
          </w:p>
          <w:p>
            <w:pPr>
              <w:pStyle w:val="310"/>
              <w:ind w:left="182" w:right="171"/>
              <w:jc w:val="center"/>
              <w:rPr>
                <w:rFonts w:ascii="宋体" w:hAnsi="宋体" w:eastAsia="宋体" w:cs="宋体"/>
                <w:sz w:val="18"/>
                <w:szCs w:val="18"/>
              </w:rPr>
            </w:pPr>
            <w:r>
              <w:rPr>
                <w:rFonts w:hint="eastAsia" w:ascii="宋体" w:hAnsi="宋体" w:eastAsia="宋体" w:cs="宋体"/>
                <w:sz w:val="18"/>
                <w:szCs w:val="18"/>
              </w:rPr>
              <w:t>拟稿部门</w:t>
            </w:r>
          </w:p>
        </w:tc>
        <w:tc>
          <w:tcPr>
            <w:tcW w:w="1899" w:type="dxa"/>
          </w:tcPr>
          <w:p>
            <w:pPr>
              <w:pStyle w:val="310"/>
              <w:rPr>
                <w:rFonts w:ascii="宋体" w:hAnsi="宋体" w:eastAsia="宋体" w:cs="宋体"/>
                <w:sz w:val="18"/>
                <w:szCs w:val="18"/>
              </w:rPr>
            </w:pPr>
          </w:p>
        </w:tc>
        <w:tc>
          <w:tcPr>
            <w:tcW w:w="1465" w:type="dxa"/>
            <w:gridSpan w:val="2"/>
          </w:tcPr>
          <w:p>
            <w:pPr>
              <w:pStyle w:val="310"/>
              <w:spacing w:before="3"/>
              <w:rPr>
                <w:rFonts w:ascii="宋体" w:hAnsi="宋体" w:eastAsia="宋体" w:cs="宋体"/>
                <w:b/>
                <w:sz w:val="18"/>
                <w:szCs w:val="18"/>
              </w:rPr>
            </w:pPr>
          </w:p>
          <w:p>
            <w:pPr>
              <w:pStyle w:val="310"/>
              <w:ind w:left="371"/>
              <w:rPr>
                <w:rFonts w:ascii="宋体" w:hAnsi="宋体" w:eastAsia="宋体" w:cs="宋体"/>
                <w:sz w:val="18"/>
                <w:szCs w:val="18"/>
              </w:rPr>
            </w:pPr>
            <w:r>
              <w:rPr>
                <w:rFonts w:hint="eastAsia" w:ascii="宋体" w:hAnsi="宋体" w:eastAsia="宋体" w:cs="宋体"/>
                <w:sz w:val="18"/>
                <w:szCs w:val="18"/>
              </w:rPr>
              <w:t>拟稿人</w:t>
            </w:r>
          </w:p>
        </w:tc>
        <w:tc>
          <w:tcPr>
            <w:tcW w:w="1366" w:type="dxa"/>
            <w:gridSpan w:val="2"/>
          </w:tcPr>
          <w:p>
            <w:pPr>
              <w:pStyle w:val="310"/>
              <w:rPr>
                <w:rFonts w:ascii="宋体" w:hAnsi="宋体" w:eastAsia="宋体" w:cs="宋体"/>
                <w:sz w:val="18"/>
                <w:szCs w:val="18"/>
              </w:rPr>
            </w:pPr>
          </w:p>
        </w:tc>
        <w:tc>
          <w:tcPr>
            <w:tcW w:w="1472" w:type="dxa"/>
            <w:gridSpan w:val="2"/>
          </w:tcPr>
          <w:p>
            <w:pPr>
              <w:pStyle w:val="310"/>
              <w:spacing w:before="3"/>
              <w:rPr>
                <w:rFonts w:ascii="宋体" w:hAnsi="宋体" w:eastAsia="宋体" w:cs="宋体"/>
                <w:b/>
                <w:sz w:val="18"/>
                <w:szCs w:val="18"/>
              </w:rPr>
            </w:pPr>
          </w:p>
          <w:p>
            <w:pPr>
              <w:pStyle w:val="310"/>
              <w:ind w:left="375"/>
              <w:rPr>
                <w:rFonts w:ascii="宋体" w:hAnsi="宋体" w:eastAsia="宋体" w:cs="宋体"/>
                <w:sz w:val="18"/>
                <w:szCs w:val="18"/>
              </w:rPr>
            </w:pPr>
            <w:r>
              <w:rPr>
                <w:rFonts w:hint="eastAsia" w:ascii="宋体" w:hAnsi="宋体" w:eastAsia="宋体" w:cs="宋体"/>
                <w:sz w:val="18"/>
                <w:szCs w:val="18"/>
              </w:rPr>
              <w:t>初审人</w:t>
            </w:r>
          </w:p>
        </w:tc>
        <w:tc>
          <w:tcPr>
            <w:tcW w:w="1089"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8" w:hRule="atLeast"/>
        </w:trPr>
        <w:tc>
          <w:tcPr>
            <w:tcW w:w="1364" w:type="dxa"/>
          </w:tcPr>
          <w:p>
            <w:pPr>
              <w:pStyle w:val="310"/>
              <w:spacing w:before="59"/>
              <w:ind w:left="442"/>
              <w:rPr>
                <w:rFonts w:ascii="宋体" w:hAnsi="宋体" w:eastAsia="宋体" w:cs="宋体"/>
                <w:sz w:val="18"/>
                <w:szCs w:val="18"/>
              </w:rPr>
            </w:pPr>
            <w:r>
              <w:rPr>
                <w:rFonts w:hint="eastAsia" w:ascii="宋体" w:hAnsi="宋体" w:eastAsia="宋体" w:cs="宋体"/>
                <w:sz w:val="18"/>
                <w:szCs w:val="18"/>
              </w:rPr>
              <w:t>服务方</w:t>
            </w:r>
          </w:p>
          <w:p>
            <w:pPr>
              <w:pStyle w:val="310"/>
              <w:spacing w:before="93" w:line="299" w:lineRule="exact"/>
              <w:ind w:left="322"/>
              <w:rPr>
                <w:rFonts w:ascii="宋体" w:hAnsi="宋体" w:eastAsia="宋体" w:cs="宋体"/>
                <w:sz w:val="18"/>
                <w:szCs w:val="18"/>
              </w:rPr>
            </w:pPr>
            <w:r>
              <w:rPr>
                <w:rFonts w:hint="eastAsia" w:ascii="宋体" w:hAnsi="宋体" w:eastAsia="宋体" w:cs="宋体"/>
                <w:sz w:val="18"/>
                <w:szCs w:val="18"/>
              </w:rPr>
              <w:t>审核人</w:t>
            </w:r>
          </w:p>
        </w:tc>
        <w:tc>
          <w:tcPr>
            <w:tcW w:w="1899" w:type="dxa"/>
          </w:tcPr>
          <w:p>
            <w:pPr>
              <w:pStyle w:val="310"/>
              <w:rPr>
                <w:rFonts w:ascii="宋体" w:hAnsi="宋体" w:eastAsia="宋体" w:cs="宋体"/>
                <w:sz w:val="18"/>
                <w:szCs w:val="18"/>
              </w:rPr>
            </w:pPr>
          </w:p>
        </w:tc>
        <w:tc>
          <w:tcPr>
            <w:tcW w:w="1465" w:type="dxa"/>
            <w:gridSpan w:val="2"/>
          </w:tcPr>
          <w:p>
            <w:pPr>
              <w:pStyle w:val="310"/>
              <w:spacing w:before="59"/>
              <w:ind w:left="131"/>
              <w:rPr>
                <w:rFonts w:ascii="宋体" w:hAnsi="宋体" w:eastAsia="宋体" w:cs="宋体"/>
                <w:sz w:val="18"/>
                <w:szCs w:val="18"/>
              </w:rPr>
            </w:pPr>
            <w:r>
              <w:rPr>
                <w:rFonts w:hint="eastAsia" w:ascii="宋体" w:hAnsi="宋体" w:eastAsia="宋体" w:cs="宋体"/>
                <w:sz w:val="18"/>
                <w:szCs w:val="18"/>
              </w:rPr>
              <w:t>审核人意见</w:t>
            </w:r>
          </w:p>
          <w:p>
            <w:pPr>
              <w:pStyle w:val="310"/>
              <w:spacing w:before="93" w:line="299" w:lineRule="exact"/>
              <w:ind w:left="131"/>
              <w:rPr>
                <w:rFonts w:ascii="宋体" w:hAnsi="宋体" w:eastAsia="宋体" w:cs="宋体"/>
                <w:sz w:val="18"/>
                <w:szCs w:val="18"/>
              </w:rPr>
            </w:pPr>
            <w:r>
              <w:rPr>
                <w:rFonts w:hint="eastAsia" w:ascii="宋体" w:hAnsi="宋体" w:eastAsia="宋体" w:cs="宋体"/>
                <w:sz w:val="18"/>
                <w:szCs w:val="18"/>
              </w:rPr>
              <w:t>签名及日期</w:t>
            </w:r>
          </w:p>
        </w:tc>
        <w:tc>
          <w:tcPr>
            <w:tcW w:w="3927" w:type="dxa"/>
            <w:gridSpan w:val="5"/>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3" w:hRule="atLeast"/>
        </w:trPr>
        <w:tc>
          <w:tcPr>
            <w:tcW w:w="1364" w:type="dxa"/>
          </w:tcPr>
          <w:p>
            <w:pPr>
              <w:pStyle w:val="310"/>
              <w:spacing w:before="76"/>
              <w:ind w:left="322"/>
              <w:rPr>
                <w:rFonts w:ascii="宋体" w:hAnsi="宋体" w:eastAsia="宋体" w:cs="宋体"/>
                <w:sz w:val="18"/>
                <w:szCs w:val="18"/>
              </w:rPr>
            </w:pPr>
            <w:r>
              <w:rPr>
                <w:rFonts w:hint="eastAsia" w:ascii="宋体" w:hAnsi="宋体" w:eastAsia="宋体" w:cs="宋体"/>
                <w:sz w:val="18"/>
                <w:szCs w:val="18"/>
              </w:rPr>
              <w:t>林业局</w:t>
            </w:r>
          </w:p>
          <w:p>
            <w:pPr>
              <w:pStyle w:val="310"/>
              <w:spacing w:before="93"/>
              <w:ind w:left="322"/>
              <w:rPr>
                <w:rFonts w:ascii="宋体" w:hAnsi="宋体" w:eastAsia="宋体" w:cs="宋体"/>
                <w:sz w:val="18"/>
                <w:szCs w:val="18"/>
              </w:rPr>
            </w:pPr>
            <w:r>
              <w:rPr>
                <w:rFonts w:hint="eastAsia" w:ascii="宋体" w:hAnsi="宋体" w:eastAsia="宋体" w:cs="宋体"/>
                <w:sz w:val="18"/>
                <w:szCs w:val="18"/>
              </w:rPr>
              <w:t>审核人</w:t>
            </w:r>
          </w:p>
        </w:tc>
        <w:tc>
          <w:tcPr>
            <w:tcW w:w="1899" w:type="dxa"/>
          </w:tcPr>
          <w:p>
            <w:pPr>
              <w:pStyle w:val="310"/>
              <w:rPr>
                <w:rFonts w:ascii="宋体" w:hAnsi="宋体" w:eastAsia="宋体" w:cs="宋体"/>
                <w:sz w:val="18"/>
                <w:szCs w:val="18"/>
              </w:rPr>
            </w:pPr>
          </w:p>
        </w:tc>
        <w:tc>
          <w:tcPr>
            <w:tcW w:w="1465" w:type="dxa"/>
            <w:gridSpan w:val="2"/>
          </w:tcPr>
          <w:p>
            <w:pPr>
              <w:pStyle w:val="310"/>
              <w:spacing w:before="76"/>
              <w:ind w:left="131"/>
              <w:rPr>
                <w:rFonts w:ascii="宋体" w:hAnsi="宋体" w:eastAsia="宋体" w:cs="宋体"/>
                <w:sz w:val="18"/>
                <w:szCs w:val="18"/>
              </w:rPr>
            </w:pPr>
            <w:r>
              <w:rPr>
                <w:rFonts w:hint="eastAsia" w:ascii="宋体" w:hAnsi="宋体" w:eastAsia="宋体" w:cs="宋体"/>
                <w:sz w:val="18"/>
                <w:szCs w:val="18"/>
              </w:rPr>
              <w:t>审核人意见</w:t>
            </w:r>
          </w:p>
          <w:p>
            <w:pPr>
              <w:pStyle w:val="310"/>
              <w:spacing w:before="93"/>
              <w:ind w:left="131"/>
              <w:rPr>
                <w:rFonts w:ascii="宋体" w:hAnsi="宋体" w:eastAsia="宋体" w:cs="宋体"/>
                <w:sz w:val="18"/>
                <w:szCs w:val="18"/>
              </w:rPr>
            </w:pPr>
            <w:r>
              <w:rPr>
                <w:rFonts w:hint="eastAsia" w:ascii="宋体" w:hAnsi="宋体" w:eastAsia="宋体" w:cs="宋体"/>
                <w:sz w:val="18"/>
                <w:szCs w:val="18"/>
              </w:rPr>
              <w:t>签名及日期</w:t>
            </w:r>
          </w:p>
        </w:tc>
        <w:tc>
          <w:tcPr>
            <w:tcW w:w="3927" w:type="dxa"/>
            <w:gridSpan w:val="5"/>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5" w:hRule="atLeast"/>
        </w:trPr>
        <w:tc>
          <w:tcPr>
            <w:tcW w:w="1364" w:type="dxa"/>
          </w:tcPr>
          <w:p>
            <w:pPr>
              <w:pStyle w:val="310"/>
              <w:rPr>
                <w:rFonts w:ascii="宋体" w:hAnsi="宋体" w:eastAsia="宋体" w:cs="宋体"/>
                <w:b/>
                <w:sz w:val="18"/>
                <w:szCs w:val="18"/>
              </w:rPr>
            </w:pPr>
          </w:p>
          <w:p>
            <w:pPr>
              <w:pStyle w:val="310"/>
              <w:spacing w:before="4"/>
              <w:rPr>
                <w:rFonts w:ascii="宋体" w:hAnsi="宋体" w:eastAsia="宋体" w:cs="宋体"/>
                <w:b/>
                <w:sz w:val="18"/>
                <w:szCs w:val="18"/>
              </w:rPr>
            </w:pPr>
          </w:p>
          <w:p>
            <w:pPr>
              <w:pStyle w:val="310"/>
              <w:ind w:left="182" w:right="171"/>
              <w:jc w:val="center"/>
              <w:rPr>
                <w:rFonts w:ascii="宋体" w:hAnsi="宋体" w:eastAsia="宋体" w:cs="宋体"/>
                <w:sz w:val="18"/>
                <w:szCs w:val="18"/>
              </w:rPr>
            </w:pPr>
            <w:r>
              <w:rPr>
                <w:rFonts w:hint="eastAsia" w:ascii="宋体" w:hAnsi="宋体" w:eastAsia="宋体" w:cs="宋体"/>
                <w:sz w:val="18"/>
                <w:szCs w:val="18"/>
              </w:rPr>
              <w:t>签发人</w:t>
            </w:r>
          </w:p>
        </w:tc>
        <w:tc>
          <w:tcPr>
            <w:tcW w:w="1899" w:type="dxa"/>
          </w:tcPr>
          <w:p>
            <w:pPr>
              <w:pStyle w:val="310"/>
              <w:rPr>
                <w:rFonts w:ascii="宋体" w:hAnsi="宋体" w:eastAsia="宋体" w:cs="宋体"/>
                <w:sz w:val="18"/>
                <w:szCs w:val="18"/>
              </w:rPr>
            </w:pPr>
          </w:p>
        </w:tc>
        <w:tc>
          <w:tcPr>
            <w:tcW w:w="1440" w:type="dxa"/>
          </w:tcPr>
          <w:p>
            <w:pPr>
              <w:pStyle w:val="310"/>
              <w:spacing w:before="7"/>
              <w:rPr>
                <w:rFonts w:ascii="宋体" w:hAnsi="宋体" w:eastAsia="宋体" w:cs="宋体"/>
                <w:b/>
                <w:sz w:val="18"/>
                <w:szCs w:val="18"/>
              </w:rPr>
            </w:pPr>
          </w:p>
          <w:p>
            <w:pPr>
              <w:pStyle w:val="310"/>
              <w:spacing w:before="7"/>
              <w:rPr>
                <w:rFonts w:ascii="宋体" w:hAnsi="宋体" w:eastAsia="宋体" w:cs="宋体"/>
                <w:b/>
                <w:sz w:val="18"/>
                <w:szCs w:val="18"/>
              </w:rPr>
            </w:pPr>
          </w:p>
          <w:p>
            <w:pPr>
              <w:pStyle w:val="310"/>
              <w:spacing w:line="312" w:lineRule="auto"/>
              <w:ind w:left="460" w:right="211" w:hanging="240"/>
              <w:rPr>
                <w:rFonts w:ascii="宋体" w:hAnsi="宋体" w:eastAsia="宋体" w:cs="宋体"/>
                <w:sz w:val="18"/>
                <w:szCs w:val="18"/>
              </w:rPr>
            </w:pPr>
            <w:r>
              <w:rPr>
                <w:rFonts w:hint="eastAsia" w:ascii="宋体" w:hAnsi="宋体" w:eastAsia="宋体" w:cs="宋体"/>
                <w:sz w:val="18"/>
                <w:szCs w:val="18"/>
              </w:rPr>
              <w:t>签发人意见</w:t>
            </w:r>
          </w:p>
        </w:tc>
        <w:tc>
          <w:tcPr>
            <w:tcW w:w="3952" w:type="dxa"/>
            <w:gridSpan w:val="6"/>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9" w:hRule="atLeast"/>
        </w:trPr>
        <w:tc>
          <w:tcPr>
            <w:tcW w:w="1364" w:type="dxa"/>
          </w:tcPr>
          <w:p>
            <w:pPr>
              <w:pStyle w:val="310"/>
              <w:rPr>
                <w:rFonts w:ascii="宋体" w:hAnsi="宋体" w:eastAsia="宋体" w:cs="宋体"/>
                <w:b/>
                <w:sz w:val="18"/>
                <w:szCs w:val="18"/>
              </w:rPr>
            </w:pPr>
          </w:p>
          <w:p>
            <w:pPr>
              <w:pStyle w:val="310"/>
              <w:rPr>
                <w:rFonts w:ascii="宋体" w:hAnsi="宋体" w:eastAsia="宋体" w:cs="宋体"/>
                <w:b/>
                <w:sz w:val="18"/>
                <w:szCs w:val="18"/>
              </w:rPr>
            </w:pPr>
          </w:p>
          <w:p>
            <w:pPr>
              <w:pStyle w:val="310"/>
              <w:spacing w:before="5"/>
              <w:rPr>
                <w:rFonts w:ascii="宋体" w:hAnsi="宋体" w:eastAsia="宋体" w:cs="宋体"/>
                <w:b/>
                <w:sz w:val="18"/>
                <w:szCs w:val="18"/>
              </w:rPr>
            </w:pPr>
          </w:p>
          <w:p>
            <w:pPr>
              <w:pStyle w:val="310"/>
              <w:ind w:left="182" w:right="171"/>
              <w:jc w:val="center"/>
              <w:rPr>
                <w:rFonts w:ascii="宋体" w:hAnsi="宋体" w:eastAsia="宋体" w:cs="宋体"/>
                <w:sz w:val="18"/>
                <w:szCs w:val="18"/>
              </w:rPr>
            </w:pPr>
            <w:r>
              <w:rPr>
                <w:rFonts w:hint="eastAsia" w:ascii="宋体" w:hAnsi="宋体" w:eastAsia="宋体" w:cs="宋体"/>
                <w:sz w:val="18"/>
                <w:szCs w:val="18"/>
              </w:rPr>
              <w:t>备注</w:t>
            </w:r>
          </w:p>
        </w:tc>
        <w:tc>
          <w:tcPr>
            <w:tcW w:w="7291" w:type="dxa"/>
            <w:gridSpan w:val="8"/>
          </w:tcPr>
          <w:p>
            <w:pPr>
              <w:pStyle w:val="310"/>
              <w:rPr>
                <w:rFonts w:ascii="宋体" w:hAnsi="宋体" w:eastAsia="宋体" w:cs="宋体"/>
                <w:sz w:val="18"/>
                <w:szCs w:val="18"/>
              </w:rPr>
            </w:pPr>
          </w:p>
        </w:tc>
      </w:tr>
    </w:tbl>
    <w:p>
      <w:pPr>
        <w:jc w:val="left"/>
        <w:rPr>
          <w:rFonts w:ascii="Times New Roman" w:hAnsi="Times New Roman" w:cs="Times New Roman"/>
          <w:sz w:val="24"/>
        </w:rPr>
        <w:sectPr>
          <w:pgSz w:w="11910" w:h="16840"/>
          <w:pgMar w:top="1160" w:right="880" w:bottom="280" w:left="1300" w:header="720" w:footer="720" w:gutter="0"/>
          <w:cols w:space="720" w:num="1"/>
        </w:sectPr>
      </w:pPr>
    </w:p>
    <w:p>
      <w:pPr>
        <w:pStyle w:val="4"/>
        <w:numPr>
          <w:ilvl w:val="0"/>
          <w:numId w:val="0"/>
        </w:numPr>
        <w:ind w:left="425"/>
        <w:jc w:val="center"/>
        <w:rPr>
          <w:lang w:val="en-US"/>
        </w:rPr>
      </w:pPr>
      <w:bookmarkStart w:id="78" w:name="_Toc7415"/>
      <w:r>
        <w:rPr>
          <w:rFonts w:hint="eastAsia"/>
          <w:lang w:val="en-US"/>
        </w:rPr>
        <w:t>表A.</w:t>
      </w:r>
      <w:r>
        <w:rPr>
          <w:lang w:val="en-US"/>
        </w:rPr>
        <w:t>3应急预案实施表</w:t>
      </w:r>
      <w:bookmarkEnd w:id="78"/>
    </w:p>
    <w:p>
      <w:pPr>
        <w:pStyle w:val="21"/>
        <w:spacing w:before="3"/>
        <w:rPr>
          <w:rFonts w:ascii="Times New Roman" w:hAnsi="Times New Roman"/>
          <w:sz w:val="8"/>
        </w:rPr>
      </w:pPr>
    </w:p>
    <w:tbl>
      <w:tblPr>
        <w:tblStyle w:val="55"/>
        <w:tblW w:w="0" w:type="auto"/>
        <w:tblInd w:w="2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73"/>
        <w:gridCol w:w="1320"/>
        <w:gridCol w:w="1841"/>
        <w:gridCol w:w="393"/>
        <w:gridCol w:w="140"/>
        <w:gridCol w:w="908"/>
        <w:gridCol w:w="480"/>
        <w:gridCol w:w="1531"/>
        <w:gridCol w:w="7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373" w:type="dxa"/>
          </w:tcPr>
          <w:p>
            <w:pPr>
              <w:pStyle w:val="310"/>
              <w:spacing w:before="104"/>
              <w:ind w:left="8"/>
              <w:jc w:val="center"/>
              <w:rPr>
                <w:rFonts w:ascii="宋体" w:hAnsi="宋体" w:eastAsia="宋体" w:cs="宋体"/>
                <w:sz w:val="18"/>
                <w:szCs w:val="18"/>
              </w:rPr>
            </w:pPr>
            <w:r>
              <w:rPr>
                <w:rFonts w:hint="eastAsia" w:ascii="宋体" w:hAnsi="宋体" w:eastAsia="宋体" w:cs="宋体"/>
                <w:sz w:val="18"/>
                <w:szCs w:val="18"/>
              </w:rPr>
              <w:t>预案名称</w:t>
            </w:r>
          </w:p>
        </w:tc>
        <w:tc>
          <w:tcPr>
            <w:tcW w:w="3694" w:type="dxa"/>
            <w:gridSpan w:val="4"/>
          </w:tcPr>
          <w:p>
            <w:pPr>
              <w:pStyle w:val="310"/>
              <w:rPr>
                <w:rFonts w:ascii="宋体" w:hAnsi="宋体" w:eastAsia="宋体" w:cs="宋体"/>
                <w:sz w:val="18"/>
                <w:szCs w:val="18"/>
              </w:rPr>
            </w:pPr>
          </w:p>
        </w:tc>
        <w:tc>
          <w:tcPr>
            <w:tcW w:w="1388" w:type="dxa"/>
            <w:gridSpan w:val="2"/>
          </w:tcPr>
          <w:p>
            <w:pPr>
              <w:pStyle w:val="310"/>
              <w:spacing w:before="104"/>
              <w:ind w:left="148"/>
              <w:rPr>
                <w:rFonts w:ascii="宋体" w:hAnsi="宋体" w:eastAsia="宋体" w:cs="宋体"/>
                <w:sz w:val="18"/>
                <w:szCs w:val="18"/>
              </w:rPr>
            </w:pPr>
            <w:r>
              <w:rPr>
                <w:rFonts w:hint="eastAsia" w:ascii="宋体" w:hAnsi="宋体" w:eastAsia="宋体" w:cs="宋体"/>
                <w:sz w:val="18"/>
                <w:szCs w:val="18"/>
              </w:rPr>
              <w:t>预案编号</w:t>
            </w:r>
          </w:p>
        </w:tc>
        <w:tc>
          <w:tcPr>
            <w:tcW w:w="2262" w:type="dxa"/>
            <w:gridSpan w:val="2"/>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1373" w:type="dxa"/>
          </w:tcPr>
          <w:p>
            <w:pPr>
              <w:pStyle w:val="310"/>
              <w:spacing w:before="106"/>
              <w:ind w:left="8"/>
              <w:jc w:val="center"/>
              <w:rPr>
                <w:rFonts w:ascii="宋体" w:hAnsi="宋体" w:eastAsia="宋体" w:cs="宋体"/>
                <w:sz w:val="18"/>
                <w:szCs w:val="18"/>
              </w:rPr>
            </w:pPr>
            <w:r>
              <w:rPr>
                <w:rFonts w:hint="eastAsia" w:ascii="宋体" w:hAnsi="宋体" w:eastAsia="宋体" w:cs="宋体"/>
                <w:sz w:val="18"/>
                <w:szCs w:val="18"/>
              </w:rPr>
              <w:t>演练名称</w:t>
            </w:r>
          </w:p>
        </w:tc>
        <w:tc>
          <w:tcPr>
            <w:tcW w:w="3694" w:type="dxa"/>
            <w:gridSpan w:val="4"/>
          </w:tcPr>
          <w:p>
            <w:pPr>
              <w:pStyle w:val="310"/>
              <w:rPr>
                <w:rFonts w:ascii="宋体" w:hAnsi="宋体" w:eastAsia="宋体" w:cs="宋体"/>
                <w:sz w:val="18"/>
                <w:szCs w:val="18"/>
              </w:rPr>
            </w:pPr>
          </w:p>
        </w:tc>
        <w:tc>
          <w:tcPr>
            <w:tcW w:w="1388" w:type="dxa"/>
            <w:gridSpan w:val="2"/>
          </w:tcPr>
          <w:p>
            <w:pPr>
              <w:pStyle w:val="310"/>
              <w:spacing w:before="106"/>
              <w:ind w:left="148"/>
              <w:rPr>
                <w:rFonts w:ascii="宋体" w:hAnsi="宋体" w:eastAsia="宋体" w:cs="宋体"/>
                <w:sz w:val="18"/>
                <w:szCs w:val="18"/>
              </w:rPr>
            </w:pPr>
            <w:r>
              <w:rPr>
                <w:rFonts w:hint="eastAsia" w:ascii="宋体" w:hAnsi="宋体" w:eastAsia="宋体" w:cs="宋体"/>
                <w:sz w:val="18"/>
                <w:szCs w:val="18"/>
              </w:rPr>
              <w:t>演练编号</w:t>
            </w:r>
          </w:p>
        </w:tc>
        <w:tc>
          <w:tcPr>
            <w:tcW w:w="2262" w:type="dxa"/>
            <w:gridSpan w:val="2"/>
          </w:tcPr>
          <w:p>
            <w:pPr>
              <w:pStyle w:val="310"/>
              <w:spacing w:before="187"/>
              <w:ind w:left="349"/>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373" w:type="dxa"/>
          </w:tcPr>
          <w:p>
            <w:pPr>
              <w:pStyle w:val="310"/>
              <w:tabs>
                <w:tab w:val="left" w:pos="569"/>
              </w:tabs>
              <w:spacing w:before="105" w:line="354" w:lineRule="exact"/>
              <w:ind w:left="10"/>
              <w:jc w:val="center"/>
              <w:rPr>
                <w:rFonts w:ascii="宋体" w:hAnsi="宋体" w:eastAsia="宋体" w:cs="宋体"/>
                <w:sz w:val="18"/>
                <w:szCs w:val="18"/>
              </w:rPr>
            </w:pPr>
            <w:r>
              <w:rPr>
                <w:rFonts w:hint="eastAsia" w:ascii="宋体" w:hAnsi="宋体" w:eastAsia="宋体" w:cs="宋体"/>
                <w:sz w:val="18"/>
                <w:szCs w:val="18"/>
              </w:rPr>
              <w:t>类</w:t>
            </w:r>
            <w:r>
              <w:rPr>
                <w:rFonts w:hint="eastAsia" w:ascii="宋体" w:hAnsi="宋体" w:eastAsia="宋体" w:cs="宋体"/>
                <w:sz w:val="18"/>
                <w:szCs w:val="18"/>
              </w:rPr>
              <w:tab/>
            </w:r>
            <w:r>
              <w:rPr>
                <w:rFonts w:hint="eastAsia" w:ascii="宋体" w:hAnsi="宋体" w:eastAsia="宋体" w:cs="宋体"/>
                <w:sz w:val="18"/>
                <w:szCs w:val="18"/>
              </w:rPr>
              <w:t>别</w:t>
            </w:r>
          </w:p>
        </w:tc>
        <w:tc>
          <w:tcPr>
            <w:tcW w:w="7344" w:type="dxa"/>
            <w:gridSpan w:val="8"/>
          </w:tcPr>
          <w:p>
            <w:pPr>
              <w:pStyle w:val="310"/>
              <w:tabs>
                <w:tab w:val="left" w:pos="2385"/>
                <w:tab w:val="left" w:pos="5184"/>
              </w:tabs>
              <w:spacing w:before="105" w:line="354" w:lineRule="exact"/>
              <w:ind w:left="4"/>
              <w:rPr>
                <w:rFonts w:ascii="宋体" w:hAnsi="宋体" w:eastAsia="宋体" w:cs="宋体"/>
                <w:sz w:val="18"/>
                <w:szCs w:val="18"/>
              </w:rPr>
            </w:pPr>
            <w:r>
              <w:rPr>
                <w:rFonts w:hint="eastAsia" w:ascii="宋体" w:hAnsi="宋体" w:eastAsia="宋体" w:cs="宋体"/>
                <w:sz w:val="18"/>
                <w:szCs w:val="18"/>
              </w:rPr>
              <w:t>□事</w:t>
            </w:r>
            <w:r>
              <w:rPr>
                <w:rFonts w:hint="eastAsia" w:ascii="宋体" w:hAnsi="宋体" w:eastAsia="宋体" w:cs="宋体"/>
                <w:spacing w:val="-3"/>
                <w:sz w:val="18"/>
                <w:szCs w:val="18"/>
              </w:rPr>
              <w:t>故</w:t>
            </w:r>
            <w:r>
              <w:rPr>
                <w:rFonts w:hint="eastAsia" w:ascii="宋体" w:hAnsi="宋体" w:eastAsia="宋体" w:cs="宋体"/>
                <w:sz w:val="18"/>
                <w:szCs w:val="18"/>
              </w:rPr>
              <w:t>实战</w:t>
            </w:r>
            <w:r>
              <w:rPr>
                <w:rFonts w:hint="eastAsia" w:ascii="宋体" w:hAnsi="宋体" w:eastAsia="宋体" w:cs="宋体"/>
                <w:sz w:val="18"/>
                <w:szCs w:val="18"/>
              </w:rPr>
              <w:tab/>
            </w:r>
            <w:r>
              <w:rPr>
                <w:rFonts w:hint="eastAsia" w:ascii="宋体" w:hAnsi="宋体" w:eastAsia="宋体" w:cs="宋体"/>
                <w:spacing w:val="-3"/>
                <w:sz w:val="18"/>
                <w:szCs w:val="18"/>
              </w:rPr>
              <w:t>□</w:t>
            </w:r>
            <w:r>
              <w:rPr>
                <w:rFonts w:hint="eastAsia" w:ascii="宋体" w:hAnsi="宋体" w:eastAsia="宋体" w:cs="宋体"/>
                <w:sz w:val="18"/>
                <w:szCs w:val="18"/>
              </w:rPr>
              <w:t>模</w:t>
            </w:r>
            <w:r>
              <w:rPr>
                <w:rFonts w:hint="eastAsia" w:ascii="宋体" w:hAnsi="宋体" w:eastAsia="宋体" w:cs="宋体"/>
                <w:spacing w:val="-3"/>
                <w:sz w:val="18"/>
                <w:szCs w:val="18"/>
              </w:rPr>
              <w:t>拟</w:t>
            </w:r>
            <w:r>
              <w:rPr>
                <w:rFonts w:hint="eastAsia" w:ascii="宋体" w:hAnsi="宋体" w:eastAsia="宋体" w:cs="宋体"/>
                <w:sz w:val="18"/>
                <w:szCs w:val="18"/>
              </w:rPr>
              <w:t>实战</w:t>
            </w:r>
            <w:r>
              <w:rPr>
                <w:rFonts w:hint="eastAsia" w:ascii="宋体" w:hAnsi="宋体" w:eastAsia="宋体" w:cs="宋体"/>
                <w:spacing w:val="-3"/>
                <w:sz w:val="18"/>
                <w:szCs w:val="18"/>
              </w:rPr>
              <w:t>演</w:t>
            </w:r>
            <w:r>
              <w:rPr>
                <w:rFonts w:hint="eastAsia" w:ascii="宋体" w:hAnsi="宋体" w:eastAsia="宋体" w:cs="宋体"/>
                <w:sz w:val="18"/>
                <w:szCs w:val="18"/>
              </w:rPr>
              <w:t>练</w:t>
            </w:r>
            <w:r>
              <w:rPr>
                <w:rFonts w:hint="eastAsia" w:ascii="宋体" w:hAnsi="宋体" w:eastAsia="宋体" w:cs="宋体"/>
                <w:sz w:val="18"/>
                <w:szCs w:val="18"/>
              </w:rPr>
              <w:tab/>
            </w:r>
            <w:r>
              <w:rPr>
                <w:rFonts w:hint="eastAsia" w:ascii="宋体" w:hAnsi="宋体" w:eastAsia="宋体" w:cs="宋体"/>
                <w:sz w:val="18"/>
                <w:szCs w:val="18"/>
              </w:rPr>
              <w:t>□桌</w:t>
            </w:r>
            <w:r>
              <w:rPr>
                <w:rFonts w:hint="eastAsia" w:ascii="宋体" w:hAnsi="宋体" w:eastAsia="宋体" w:cs="宋体"/>
                <w:spacing w:val="-3"/>
                <w:sz w:val="18"/>
                <w:szCs w:val="18"/>
              </w:rPr>
              <w:t>面</w:t>
            </w:r>
            <w:r>
              <w:rPr>
                <w:rFonts w:hint="eastAsia" w:ascii="宋体" w:hAnsi="宋体" w:eastAsia="宋体" w:cs="宋体"/>
                <w:sz w:val="18"/>
                <w:szCs w:val="18"/>
              </w:rPr>
              <w:t>演练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373" w:type="dxa"/>
          </w:tcPr>
          <w:p>
            <w:pPr>
              <w:pStyle w:val="310"/>
              <w:spacing w:before="105" w:line="355" w:lineRule="exact"/>
              <w:ind w:left="10"/>
              <w:jc w:val="center"/>
              <w:rPr>
                <w:rFonts w:ascii="宋体" w:hAnsi="宋体" w:eastAsia="宋体" w:cs="宋体"/>
                <w:sz w:val="18"/>
                <w:szCs w:val="18"/>
              </w:rPr>
            </w:pPr>
            <w:r>
              <w:rPr>
                <w:rFonts w:hint="eastAsia" w:ascii="宋体" w:hAnsi="宋体" w:eastAsia="宋体" w:cs="宋体"/>
                <w:sz w:val="18"/>
                <w:szCs w:val="18"/>
              </w:rPr>
              <w:t>组织者</w:t>
            </w:r>
          </w:p>
        </w:tc>
        <w:tc>
          <w:tcPr>
            <w:tcW w:w="1320" w:type="dxa"/>
          </w:tcPr>
          <w:p>
            <w:pPr>
              <w:pStyle w:val="310"/>
              <w:rPr>
                <w:rFonts w:ascii="宋体" w:hAnsi="宋体" w:eastAsia="宋体" w:cs="宋体"/>
                <w:sz w:val="18"/>
                <w:szCs w:val="18"/>
              </w:rPr>
            </w:pPr>
          </w:p>
        </w:tc>
        <w:tc>
          <w:tcPr>
            <w:tcW w:w="2234" w:type="dxa"/>
            <w:gridSpan w:val="2"/>
          </w:tcPr>
          <w:p>
            <w:pPr>
              <w:pStyle w:val="310"/>
              <w:spacing w:before="105" w:line="355" w:lineRule="exact"/>
              <w:ind w:left="136"/>
              <w:rPr>
                <w:rFonts w:ascii="宋体" w:hAnsi="宋体" w:eastAsia="宋体" w:cs="宋体"/>
                <w:sz w:val="18"/>
                <w:szCs w:val="18"/>
              </w:rPr>
            </w:pPr>
            <w:r>
              <w:rPr>
                <w:rFonts w:hint="eastAsia" w:ascii="宋体" w:hAnsi="宋体" w:eastAsia="宋体" w:cs="宋体"/>
                <w:sz w:val="18"/>
                <w:szCs w:val="18"/>
              </w:rPr>
              <w:t>总指挥（协调）</w:t>
            </w:r>
          </w:p>
        </w:tc>
        <w:tc>
          <w:tcPr>
            <w:tcW w:w="1528" w:type="dxa"/>
            <w:gridSpan w:val="3"/>
          </w:tcPr>
          <w:p>
            <w:pPr>
              <w:pStyle w:val="310"/>
              <w:rPr>
                <w:rFonts w:ascii="宋体" w:hAnsi="宋体" w:eastAsia="宋体" w:cs="宋体"/>
                <w:sz w:val="18"/>
                <w:szCs w:val="18"/>
              </w:rPr>
            </w:pPr>
          </w:p>
        </w:tc>
        <w:tc>
          <w:tcPr>
            <w:tcW w:w="1531" w:type="dxa"/>
          </w:tcPr>
          <w:p>
            <w:pPr>
              <w:pStyle w:val="310"/>
              <w:spacing w:before="105" w:line="355" w:lineRule="exact"/>
              <w:ind w:left="188"/>
              <w:rPr>
                <w:rFonts w:ascii="宋体" w:hAnsi="宋体" w:eastAsia="宋体" w:cs="宋体"/>
                <w:sz w:val="18"/>
                <w:szCs w:val="18"/>
              </w:rPr>
            </w:pPr>
            <w:r>
              <w:rPr>
                <w:rFonts w:hint="eastAsia" w:ascii="宋体" w:hAnsi="宋体" w:eastAsia="宋体" w:cs="宋体"/>
                <w:sz w:val="18"/>
                <w:szCs w:val="18"/>
              </w:rPr>
              <w:t>参加人数</w:t>
            </w:r>
          </w:p>
        </w:tc>
        <w:tc>
          <w:tcPr>
            <w:tcW w:w="731"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trPr>
        <w:tc>
          <w:tcPr>
            <w:tcW w:w="1373" w:type="dxa"/>
          </w:tcPr>
          <w:p>
            <w:pPr>
              <w:pStyle w:val="310"/>
              <w:tabs>
                <w:tab w:val="left" w:pos="569"/>
              </w:tabs>
              <w:spacing w:before="105"/>
              <w:ind w:left="10"/>
              <w:jc w:val="center"/>
              <w:rPr>
                <w:rFonts w:ascii="宋体" w:hAnsi="宋体" w:eastAsia="宋体" w:cs="宋体"/>
                <w:sz w:val="18"/>
                <w:szCs w:val="18"/>
              </w:rPr>
            </w:pPr>
            <w:r>
              <w:rPr>
                <w:rFonts w:hint="eastAsia" w:ascii="宋体" w:hAnsi="宋体" w:eastAsia="宋体" w:cs="宋体"/>
                <w:sz w:val="18"/>
                <w:szCs w:val="18"/>
              </w:rPr>
              <w:t>日</w:t>
            </w:r>
            <w:r>
              <w:rPr>
                <w:rFonts w:hint="eastAsia" w:ascii="宋体" w:hAnsi="宋体" w:eastAsia="宋体" w:cs="宋体"/>
                <w:sz w:val="18"/>
                <w:szCs w:val="18"/>
              </w:rPr>
              <w:tab/>
            </w:r>
            <w:r>
              <w:rPr>
                <w:rFonts w:hint="eastAsia" w:ascii="宋体" w:hAnsi="宋体" w:eastAsia="宋体" w:cs="宋体"/>
                <w:sz w:val="18"/>
                <w:szCs w:val="18"/>
              </w:rPr>
              <w:t>期</w:t>
            </w:r>
          </w:p>
        </w:tc>
        <w:tc>
          <w:tcPr>
            <w:tcW w:w="3161" w:type="dxa"/>
            <w:gridSpan w:val="2"/>
          </w:tcPr>
          <w:p>
            <w:pPr>
              <w:pStyle w:val="310"/>
              <w:rPr>
                <w:rFonts w:ascii="宋体" w:hAnsi="宋体" w:eastAsia="宋体" w:cs="宋体"/>
                <w:sz w:val="18"/>
                <w:szCs w:val="18"/>
              </w:rPr>
            </w:pPr>
          </w:p>
        </w:tc>
        <w:tc>
          <w:tcPr>
            <w:tcW w:w="1441" w:type="dxa"/>
            <w:gridSpan w:val="3"/>
          </w:tcPr>
          <w:p>
            <w:pPr>
              <w:pStyle w:val="310"/>
              <w:spacing w:before="105"/>
              <w:ind w:left="369"/>
              <w:rPr>
                <w:rFonts w:ascii="宋体" w:hAnsi="宋体" w:eastAsia="宋体" w:cs="宋体"/>
                <w:sz w:val="18"/>
                <w:szCs w:val="18"/>
              </w:rPr>
            </w:pPr>
            <w:r>
              <w:rPr>
                <w:rFonts w:hint="eastAsia" w:ascii="宋体" w:hAnsi="宋体" w:eastAsia="宋体" w:cs="宋体"/>
                <w:sz w:val="18"/>
                <w:szCs w:val="18"/>
              </w:rPr>
              <w:t>区 域</w:t>
            </w:r>
          </w:p>
        </w:tc>
        <w:tc>
          <w:tcPr>
            <w:tcW w:w="2742" w:type="dxa"/>
            <w:gridSpan w:val="3"/>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1373" w:type="dxa"/>
          </w:tcPr>
          <w:p>
            <w:pPr>
              <w:pStyle w:val="310"/>
              <w:spacing w:before="105"/>
              <w:ind w:left="8"/>
              <w:jc w:val="center"/>
              <w:rPr>
                <w:rFonts w:ascii="宋体" w:hAnsi="宋体" w:eastAsia="宋体" w:cs="宋体"/>
                <w:sz w:val="18"/>
                <w:szCs w:val="18"/>
              </w:rPr>
            </w:pPr>
            <w:r>
              <w:rPr>
                <w:rFonts w:hint="eastAsia" w:ascii="宋体" w:hAnsi="宋体" w:eastAsia="宋体" w:cs="宋体"/>
                <w:sz w:val="18"/>
                <w:szCs w:val="18"/>
              </w:rPr>
              <w:t>响应时间</w:t>
            </w:r>
          </w:p>
        </w:tc>
        <w:tc>
          <w:tcPr>
            <w:tcW w:w="3161" w:type="dxa"/>
            <w:gridSpan w:val="2"/>
          </w:tcPr>
          <w:p>
            <w:pPr>
              <w:pStyle w:val="310"/>
              <w:rPr>
                <w:rFonts w:ascii="宋体" w:hAnsi="宋体" w:eastAsia="宋体" w:cs="宋体"/>
                <w:sz w:val="18"/>
                <w:szCs w:val="18"/>
              </w:rPr>
            </w:pPr>
          </w:p>
        </w:tc>
        <w:tc>
          <w:tcPr>
            <w:tcW w:w="1441" w:type="dxa"/>
            <w:gridSpan w:val="3"/>
          </w:tcPr>
          <w:p>
            <w:pPr>
              <w:pStyle w:val="310"/>
              <w:spacing w:before="105"/>
              <w:ind w:left="160"/>
              <w:rPr>
                <w:rFonts w:ascii="宋体" w:hAnsi="宋体" w:eastAsia="宋体" w:cs="宋体"/>
                <w:sz w:val="18"/>
                <w:szCs w:val="18"/>
              </w:rPr>
            </w:pPr>
            <w:r>
              <w:rPr>
                <w:rFonts w:hint="eastAsia" w:ascii="宋体" w:hAnsi="宋体" w:eastAsia="宋体" w:cs="宋体"/>
                <w:sz w:val="18"/>
                <w:szCs w:val="18"/>
              </w:rPr>
              <w:t>集结时间</w:t>
            </w:r>
          </w:p>
        </w:tc>
        <w:tc>
          <w:tcPr>
            <w:tcW w:w="2742" w:type="dxa"/>
            <w:gridSpan w:val="3"/>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trPr>
        <w:tc>
          <w:tcPr>
            <w:tcW w:w="1373" w:type="dxa"/>
          </w:tcPr>
          <w:p>
            <w:pPr>
              <w:pStyle w:val="310"/>
              <w:spacing w:before="104"/>
              <w:ind w:left="10"/>
              <w:jc w:val="center"/>
              <w:rPr>
                <w:rFonts w:ascii="宋体" w:hAnsi="宋体" w:eastAsia="宋体" w:cs="宋体"/>
                <w:sz w:val="18"/>
                <w:szCs w:val="18"/>
              </w:rPr>
            </w:pPr>
            <w:r>
              <w:rPr>
                <w:rFonts w:hint="eastAsia" w:ascii="宋体" w:hAnsi="宋体" w:eastAsia="宋体" w:cs="宋体"/>
                <w:sz w:val="18"/>
                <w:szCs w:val="18"/>
              </w:rPr>
              <w:t>场景</w:t>
            </w:r>
          </w:p>
        </w:tc>
        <w:tc>
          <w:tcPr>
            <w:tcW w:w="7344" w:type="dxa"/>
            <w:gridSpan w:val="8"/>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6" w:hRule="atLeast"/>
        </w:trPr>
        <w:tc>
          <w:tcPr>
            <w:tcW w:w="1373" w:type="dxa"/>
          </w:tcPr>
          <w:p>
            <w:pPr>
              <w:pStyle w:val="310"/>
              <w:rPr>
                <w:rFonts w:ascii="宋体" w:hAnsi="宋体" w:eastAsia="宋体" w:cs="宋体"/>
                <w:sz w:val="18"/>
                <w:szCs w:val="18"/>
              </w:rPr>
            </w:pPr>
          </w:p>
          <w:p>
            <w:pPr>
              <w:pStyle w:val="310"/>
              <w:spacing w:before="7"/>
              <w:rPr>
                <w:rFonts w:ascii="宋体" w:hAnsi="宋体" w:eastAsia="宋体" w:cs="宋体"/>
                <w:sz w:val="18"/>
                <w:szCs w:val="18"/>
              </w:rPr>
            </w:pPr>
          </w:p>
          <w:p>
            <w:pPr>
              <w:pStyle w:val="310"/>
              <w:spacing w:line="417" w:lineRule="auto"/>
              <w:ind w:left="405" w:right="393"/>
              <w:rPr>
                <w:rFonts w:ascii="宋体" w:hAnsi="宋体" w:eastAsia="宋体" w:cs="宋体"/>
                <w:sz w:val="18"/>
                <w:szCs w:val="18"/>
              </w:rPr>
            </w:pPr>
            <w:r>
              <w:rPr>
                <w:rFonts w:hint="eastAsia" w:ascii="宋体" w:hAnsi="宋体" w:eastAsia="宋体" w:cs="宋体"/>
                <w:sz w:val="18"/>
                <w:szCs w:val="18"/>
              </w:rPr>
              <w:t>实施过程</w:t>
            </w:r>
          </w:p>
        </w:tc>
        <w:tc>
          <w:tcPr>
            <w:tcW w:w="7344" w:type="dxa"/>
            <w:gridSpan w:val="8"/>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7" w:hRule="atLeast"/>
        </w:trPr>
        <w:tc>
          <w:tcPr>
            <w:tcW w:w="1373" w:type="dxa"/>
          </w:tcPr>
          <w:p>
            <w:pPr>
              <w:pStyle w:val="310"/>
              <w:spacing w:before="161"/>
              <w:ind w:left="405"/>
              <w:rPr>
                <w:rFonts w:ascii="宋体" w:hAnsi="宋体" w:eastAsia="宋体" w:cs="宋体"/>
                <w:sz w:val="18"/>
                <w:szCs w:val="18"/>
              </w:rPr>
            </w:pPr>
            <w:r>
              <w:rPr>
                <w:rFonts w:hint="eastAsia" w:ascii="宋体" w:hAnsi="宋体" w:eastAsia="宋体" w:cs="宋体"/>
                <w:spacing w:val="-1"/>
                <w:sz w:val="18"/>
                <w:szCs w:val="18"/>
              </w:rPr>
              <w:t>实施</w:t>
            </w:r>
          </w:p>
          <w:p>
            <w:pPr>
              <w:pStyle w:val="310"/>
              <w:spacing w:before="9"/>
              <w:rPr>
                <w:rFonts w:ascii="宋体" w:hAnsi="宋体" w:eastAsia="宋体" w:cs="宋体"/>
                <w:sz w:val="18"/>
                <w:szCs w:val="18"/>
              </w:rPr>
            </w:pPr>
          </w:p>
          <w:p>
            <w:pPr>
              <w:pStyle w:val="310"/>
              <w:ind w:left="405"/>
              <w:rPr>
                <w:rFonts w:ascii="宋体" w:hAnsi="宋体" w:eastAsia="宋体" w:cs="宋体"/>
                <w:sz w:val="18"/>
                <w:szCs w:val="18"/>
              </w:rPr>
            </w:pPr>
            <w:r>
              <w:rPr>
                <w:rFonts w:hint="eastAsia" w:ascii="宋体" w:hAnsi="宋体" w:eastAsia="宋体" w:cs="宋体"/>
                <w:spacing w:val="-1"/>
                <w:sz w:val="18"/>
                <w:szCs w:val="18"/>
              </w:rPr>
              <w:t>效果</w:t>
            </w:r>
          </w:p>
        </w:tc>
        <w:tc>
          <w:tcPr>
            <w:tcW w:w="7344" w:type="dxa"/>
            <w:gridSpan w:val="8"/>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6" w:hRule="atLeast"/>
        </w:trPr>
        <w:tc>
          <w:tcPr>
            <w:tcW w:w="1373" w:type="dxa"/>
          </w:tcPr>
          <w:p>
            <w:pPr>
              <w:pStyle w:val="310"/>
              <w:spacing w:before="162"/>
              <w:ind w:left="405"/>
              <w:rPr>
                <w:rFonts w:ascii="宋体" w:hAnsi="宋体" w:eastAsia="宋体" w:cs="宋体"/>
                <w:sz w:val="18"/>
                <w:szCs w:val="18"/>
              </w:rPr>
            </w:pPr>
            <w:r>
              <w:rPr>
                <w:rFonts w:hint="eastAsia" w:ascii="宋体" w:hAnsi="宋体" w:eastAsia="宋体" w:cs="宋体"/>
                <w:spacing w:val="-1"/>
                <w:sz w:val="18"/>
                <w:szCs w:val="18"/>
              </w:rPr>
              <w:t>存在</w:t>
            </w:r>
          </w:p>
          <w:p>
            <w:pPr>
              <w:pStyle w:val="310"/>
              <w:spacing w:before="9"/>
              <w:rPr>
                <w:rFonts w:ascii="宋体" w:hAnsi="宋体" w:eastAsia="宋体" w:cs="宋体"/>
                <w:sz w:val="18"/>
                <w:szCs w:val="18"/>
              </w:rPr>
            </w:pPr>
          </w:p>
          <w:p>
            <w:pPr>
              <w:pStyle w:val="310"/>
              <w:ind w:left="405"/>
              <w:rPr>
                <w:rFonts w:ascii="宋体" w:hAnsi="宋体" w:eastAsia="宋体" w:cs="宋体"/>
                <w:sz w:val="18"/>
                <w:szCs w:val="18"/>
              </w:rPr>
            </w:pPr>
            <w:r>
              <w:rPr>
                <w:rFonts w:hint="eastAsia" w:ascii="宋体" w:hAnsi="宋体" w:eastAsia="宋体" w:cs="宋体"/>
                <w:spacing w:val="-1"/>
                <w:sz w:val="18"/>
                <w:szCs w:val="18"/>
              </w:rPr>
              <w:t>问题</w:t>
            </w:r>
          </w:p>
        </w:tc>
        <w:tc>
          <w:tcPr>
            <w:tcW w:w="7344" w:type="dxa"/>
            <w:gridSpan w:val="8"/>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7" w:hRule="atLeast"/>
        </w:trPr>
        <w:tc>
          <w:tcPr>
            <w:tcW w:w="1373" w:type="dxa"/>
          </w:tcPr>
          <w:p>
            <w:pPr>
              <w:pStyle w:val="310"/>
              <w:spacing w:before="41" w:line="624" w:lineRule="exact"/>
              <w:ind w:left="405" w:right="393"/>
              <w:rPr>
                <w:rFonts w:ascii="宋体" w:hAnsi="宋体" w:eastAsia="宋体" w:cs="宋体"/>
                <w:sz w:val="18"/>
                <w:szCs w:val="18"/>
              </w:rPr>
            </w:pPr>
            <w:r>
              <w:rPr>
                <w:rFonts w:hint="eastAsia" w:ascii="宋体" w:hAnsi="宋体" w:eastAsia="宋体" w:cs="宋体"/>
                <w:sz w:val="18"/>
                <w:szCs w:val="18"/>
              </w:rPr>
              <w:t>整改措施</w:t>
            </w:r>
          </w:p>
        </w:tc>
        <w:tc>
          <w:tcPr>
            <w:tcW w:w="7344" w:type="dxa"/>
            <w:gridSpan w:val="8"/>
          </w:tcPr>
          <w:p>
            <w:pPr>
              <w:pStyle w:val="310"/>
              <w:rPr>
                <w:rFonts w:ascii="宋体" w:hAnsi="宋体" w:eastAsia="宋体" w:cs="宋体"/>
                <w:sz w:val="18"/>
                <w:szCs w:val="18"/>
              </w:rPr>
            </w:pPr>
          </w:p>
        </w:tc>
      </w:tr>
    </w:tbl>
    <w:p>
      <w:pPr>
        <w:jc w:val="left"/>
        <w:rPr>
          <w:rFonts w:ascii="Times New Roman" w:hAnsi="Times New Roman" w:cs="Times New Roman"/>
        </w:rPr>
        <w:sectPr>
          <w:pgSz w:w="11910" w:h="16840"/>
          <w:pgMar w:top="1160" w:right="880" w:bottom="280" w:left="1300" w:header="720" w:footer="720" w:gutter="0"/>
          <w:cols w:space="720" w:num="1"/>
        </w:sectPr>
      </w:pPr>
    </w:p>
    <w:p>
      <w:pPr>
        <w:pStyle w:val="4"/>
        <w:numPr>
          <w:ilvl w:val="0"/>
          <w:numId w:val="0"/>
        </w:numPr>
        <w:ind w:left="425"/>
        <w:jc w:val="center"/>
        <w:rPr>
          <w:lang w:val="en-US"/>
        </w:rPr>
      </w:pPr>
      <w:bookmarkStart w:id="79" w:name="_Toc15593"/>
      <w:r>
        <w:rPr>
          <w:rFonts w:hint="eastAsia"/>
          <w:lang w:val="en-US"/>
        </w:rPr>
        <w:t>表A.</w:t>
      </w:r>
      <w:r>
        <w:rPr>
          <w:lang w:val="en-US"/>
        </w:rPr>
        <w:t>4应急预案评审表</w:t>
      </w:r>
      <w:bookmarkEnd w:id="79"/>
    </w:p>
    <w:p>
      <w:pPr>
        <w:pStyle w:val="21"/>
        <w:spacing w:before="3"/>
        <w:rPr>
          <w:rFonts w:ascii="Times New Roman" w:hAnsi="Times New Roman"/>
          <w:sz w:val="8"/>
        </w:rPr>
      </w:pPr>
    </w:p>
    <w:tbl>
      <w:tblPr>
        <w:tblStyle w:val="55"/>
        <w:tblW w:w="0" w:type="auto"/>
        <w:tblInd w:w="2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74"/>
        <w:gridCol w:w="435"/>
        <w:gridCol w:w="1133"/>
        <w:gridCol w:w="1787"/>
        <w:gridCol w:w="339"/>
        <w:gridCol w:w="273"/>
        <w:gridCol w:w="1427"/>
        <w:gridCol w:w="991"/>
        <w:gridCol w:w="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374" w:type="dxa"/>
          </w:tcPr>
          <w:p>
            <w:pPr>
              <w:pStyle w:val="310"/>
              <w:spacing w:before="104"/>
              <w:ind w:right="113"/>
              <w:jc w:val="right"/>
              <w:rPr>
                <w:rFonts w:ascii="宋体" w:hAnsi="宋体" w:eastAsia="宋体" w:cs="宋体"/>
                <w:sz w:val="18"/>
                <w:szCs w:val="18"/>
              </w:rPr>
            </w:pPr>
            <w:r>
              <w:rPr>
                <w:rFonts w:hint="eastAsia" w:ascii="宋体" w:hAnsi="宋体" w:eastAsia="宋体" w:cs="宋体"/>
                <w:sz w:val="18"/>
                <w:szCs w:val="18"/>
              </w:rPr>
              <w:t>预案名称</w:t>
            </w:r>
          </w:p>
        </w:tc>
        <w:tc>
          <w:tcPr>
            <w:tcW w:w="3694" w:type="dxa"/>
            <w:gridSpan w:val="4"/>
          </w:tcPr>
          <w:p>
            <w:pPr>
              <w:pStyle w:val="310"/>
              <w:rPr>
                <w:rFonts w:ascii="宋体" w:hAnsi="宋体" w:eastAsia="宋体" w:cs="宋体"/>
                <w:sz w:val="18"/>
                <w:szCs w:val="18"/>
              </w:rPr>
            </w:pPr>
          </w:p>
        </w:tc>
        <w:tc>
          <w:tcPr>
            <w:tcW w:w="1700" w:type="dxa"/>
            <w:gridSpan w:val="2"/>
          </w:tcPr>
          <w:p>
            <w:pPr>
              <w:pStyle w:val="310"/>
              <w:spacing w:before="104"/>
              <w:ind w:left="289"/>
              <w:rPr>
                <w:rFonts w:ascii="宋体" w:hAnsi="宋体" w:eastAsia="宋体" w:cs="宋体"/>
                <w:sz w:val="18"/>
                <w:szCs w:val="18"/>
              </w:rPr>
            </w:pPr>
            <w:r>
              <w:rPr>
                <w:rFonts w:hint="eastAsia" w:ascii="宋体" w:hAnsi="宋体" w:eastAsia="宋体" w:cs="宋体"/>
                <w:sz w:val="18"/>
                <w:szCs w:val="18"/>
              </w:rPr>
              <w:t>预案编号</w:t>
            </w:r>
          </w:p>
        </w:tc>
        <w:tc>
          <w:tcPr>
            <w:tcW w:w="1947" w:type="dxa"/>
            <w:gridSpan w:val="2"/>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1374" w:type="dxa"/>
          </w:tcPr>
          <w:p>
            <w:pPr>
              <w:pStyle w:val="310"/>
              <w:spacing w:before="106"/>
              <w:ind w:right="113"/>
              <w:jc w:val="right"/>
              <w:rPr>
                <w:rFonts w:ascii="宋体" w:hAnsi="宋体" w:eastAsia="宋体" w:cs="宋体"/>
                <w:sz w:val="18"/>
                <w:szCs w:val="18"/>
              </w:rPr>
            </w:pPr>
            <w:r>
              <w:rPr>
                <w:rFonts w:hint="eastAsia" w:ascii="宋体" w:hAnsi="宋体" w:eastAsia="宋体" w:cs="宋体"/>
                <w:sz w:val="18"/>
                <w:szCs w:val="18"/>
              </w:rPr>
              <w:t>评估周期</w:t>
            </w:r>
          </w:p>
        </w:tc>
        <w:tc>
          <w:tcPr>
            <w:tcW w:w="7341" w:type="dxa"/>
            <w:gridSpan w:val="8"/>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809" w:type="dxa"/>
            <w:gridSpan w:val="2"/>
          </w:tcPr>
          <w:p>
            <w:pPr>
              <w:pStyle w:val="310"/>
              <w:spacing w:before="105"/>
              <w:ind w:left="62"/>
              <w:rPr>
                <w:rFonts w:ascii="宋体" w:hAnsi="宋体" w:eastAsia="宋体" w:cs="宋体"/>
                <w:sz w:val="18"/>
                <w:szCs w:val="18"/>
              </w:rPr>
            </w:pPr>
            <w:r>
              <w:rPr>
                <w:rFonts w:hint="eastAsia" w:ascii="宋体" w:hAnsi="宋体" w:eastAsia="宋体" w:cs="宋体"/>
                <w:sz w:val="18"/>
                <w:szCs w:val="18"/>
              </w:rPr>
              <w:t>预案实施编号</w:t>
            </w:r>
          </w:p>
        </w:tc>
        <w:tc>
          <w:tcPr>
            <w:tcW w:w="6906" w:type="dxa"/>
            <w:gridSpan w:val="7"/>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374" w:type="dxa"/>
            <w:vMerge w:val="restart"/>
          </w:tcPr>
          <w:p>
            <w:pPr>
              <w:pStyle w:val="310"/>
              <w:rPr>
                <w:rFonts w:ascii="宋体" w:hAnsi="宋体" w:eastAsia="宋体" w:cs="宋体"/>
                <w:sz w:val="18"/>
                <w:szCs w:val="18"/>
              </w:rPr>
            </w:pPr>
          </w:p>
          <w:p>
            <w:pPr>
              <w:pStyle w:val="310"/>
              <w:rPr>
                <w:rFonts w:ascii="宋体" w:hAnsi="宋体" w:eastAsia="宋体" w:cs="宋体"/>
                <w:sz w:val="18"/>
                <w:szCs w:val="18"/>
              </w:rPr>
            </w:pPr>
          </w:p>
          <w:p>
            <w:pPr>
              <w:pStyle w:val="310"/>
              <w:rPr>
                <w:rFonts w:ascii="宋体" w:hAnsi="宋体" w:eastAsia="宋体" w:cs="宋体"/>
                <w:sz w:val="18"/>
                <w:szCs w:val="18"/>
              </w:rPr>
            </w:pPr>
          </w:p>
          <w:p>
            <w:pPr>
              <w:pStyle w:val="310"/>
              <w:spacing w:before="1"/>
              <w:rPr>
                <w:rFonts w:ascii="宋体" w:hAnsi="宋体" w:eastAsia="宋体" w:cs="宋体"/>
                <w:sz w:val="18"/>
                <w:szCs w:val="18"/>
              </w:rPr>
            </w:pPr>
          </w:p>
          <w:p>
            <w:pPr>
              <w:pStyle w:val="310"/>
              <w:spacing w:before="1" w:line="321" w:lineRule="auto"/>
              <w:ind w:left="266" w:right="113" w:hanging="140"/>
              <w:rPr>
                <w:rFonts w:ascii="宋体" w:hAnsi="宋体" w:eastAsia="宋体" w:cs="宋体"/>
                <w:sz w:val="18"/>
                <w:szCs w:val="18"/>
              </w:rPr>
            </w:pPr>
            <w:r>
              <w:rPr>
                <w:rFonts w:hint="eastAsia" w:ascii="宋体" w:hAnsi="宋体" w:eastAsia="宋体" w:cs="宋体"/>
                <w:sz w:val="18"/>
                <w:szCs w:val="18"/>
              </w:rPr>
              <w:t>评估标准及实绩</w:t>
            </w:r>
          </w:p>
        </w:tc>
        <w:tc>
          <w:tcPr>
            <w:tcW w:w="1568" w:type="dxa"/>
            <w:gridSpan w:val="2"/>
          </w:tcPr>
          <w:p>
            <w:pPr>
              <w:pStyle w:val="310"/>
              <w:spacing w:before="105" w:line="355" w:lineRule="exact"/>
              <w:ind w:left="3"/>
              <w:rPr>
                <w:rFonts w:ascii="宋体" w:hAnsi="宋体" w:eastAsia="宋体" w:cs="宋体"/>
                <w:sz w:val="18"/>
                <w:szCs w:val="18"/>
              </w:rPr>
            </w:pPr>
            <w:r>
              <w:rPr>
                <w:rFonts w:hint="eastAsia" w:ascii="宋体" w:hAnsi="宋体" w:eastAsia="宋体" w:cs="宋体"/>
                <w:sz w:val="18"/>
                <w:szCs w:val="18"/>
              </w:rPr>
              <w:t>评估内容</w:t>
            </w:r>
          </w:p>
        </w:tc>
        <w:tc>
          <w:tcPr>
            <w:tcW w:w="3826" w:type="dxa"/>
            <w:gridSpan w:val="4"/>
          </w:tcPr>
          <w:p>
            <w:pPr>
              <w:pStyle w:val="310"/>
              <w:spacing w:before="105" w:line="355" w:lineRule="exact"/>
              <w:ind w:left="1332" w:right="1324"/>
              <w:jc w:val="center"/>
              <w:rPr>
                <w:rFonts w:ascii="宋体" w:hAnsi="宋体" w:eastAsia="宋体" w:cs="宋体"/>
                <w:sz w:val="18"/>
                <w:szCs w:val="18"/>
              </w:rPr>
            </w:pPr>
            <w:r>
              <w:rPr>
                <w:rFonts w:hint="eastAsia" w:ascii="宋体" w:hAnsi="宋体" w:eastAsia="宋体" w:cs="宋体"/>
                <w:sz w:val="18"/>
                <w:szCs w:val="18"/>
              </w:rPr>
              <w:t>评估要求</w:t>
            </w:r>
          </w:p>
        </w:tc>
        <w:tc>
          <w:tcPr>
            <w:tcW w:w="991" w:type="dxa"/>
          </w:tcPr>
          <w:p>
            <w:pPr>
              <w:pStyle w:val="310"/>
              <w:spacing w:before="105" w:line="355" w:lineRule="exact"/>
              <w:ind w:left="194" w:right="186"/>
              <w:jc w:val="center"/>
              <w:rPr>
                <w:rFonts w:ascii="宋体" w:hAnsi="宋体" w:eastAsia="宋体" w:cs="宋体"/>
                <w:sz w:val="18"/>
                <w:szCs w:val="18"/>
              </w:rPr>
            </w:pPr>
            <w:r>
              <w:rPr>
                <w:rFonts w:hint="eastAsia" w:ascii="宋体" w:hAnsi="宋体" w:eastAsia="宋体" w:cs="宋体"/>
                <w:sz w:val="18"/>
                <w:szCs w:val="18"/>
              </w:rPr>
              <w:t>分值</w:t>
            </w:r>
          </w:p>
        </w:tc>
        <w:tc>
          <w:tcPr>
            <w:tcW w:w="956" w:type="dxa"/>
          </w:tcPr>
          <w:p>
            <w:pPr>
              <w:pStyle w:val="310"/>
              <w:spacing w:before="105" w:line="355" w:lineRule="exact"/>
              <w:ind w:left="197"/>
              <w:rPr>
                <w:rFonts w:ascii="宋体" w:hAnsi="宋体" w:eastAsia="宋体" w:cs="宋体"/>
                <w:sz w:val="18"/>
                <w:szCs w:val="18"/>
              </w:rPr>
            </w:pPr>
            <w:r>
              <w:rPr>
                <w:rFonts w:hint="eastAsia" w:ascii="宋体" w:hAnsi="宋体" w:eastAsia="宋体" w:cs="宋体"/>
                <w:sz w:val="18"/>
                <w:szCs w:val="18"/>
              </w:rPr>
              <w:t>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374" w:type="dxa"/>
            <w:vMerge w:val="continue"/>
            <w:tcBorders>
              <w:top w:val="nil"/>
            </w:tcBorders>
          </w:tcPr>
          <w:p>
            <w:pPr>
              <w:rPr>
                <w:rFonts w:ascii="宋体" w:hAnsi="宋体" w:eastAsia="宋体" w:cs="宋体"/>
                <w:sz w:val="18"/>
                <w:szCs w:val="18"/>
              </w:rPr>
            </w:pPr>
          </w:p>
        </w:tc>
        <w:tc>
          <w:tcPr>
            <w:tcW w:w="1568" w:type="dxa"/>
            <w:gridSpan w:val="2"/>
          </w:tcPr>
          <w:p>
            <w:pPr>
              <w:pStyle w:val="310"/>
              <w:spacing w:before="21"/>
              <w:ind w:left="3" w:right="-15"/>
              <w:rPr>
                <w:rFonts w:ascii="宋体" w:hAnsi="宋体" w:eastAsia="宋体" w:cs="宋体"/>
                <w:sz w:val="18"/>
                <w:szCs w:val="18"/>
              </w:rPr>
            </w:pPr>
            <w:r>
              <w:rPr>
                <w:rFonts w:hint="eastAsia" w:ascii="宋体" w:hAnsi="宋体" w:eastAsia="宋体" w:cs="宋体"/>
                <w:spacing w:val="12"/>
                <w:sz w:val="18"/>
                <w:szCs w:val="18"/>
              </w:rPr>
              <w:t>指令发布的规范</w:t>
            </w:r>
          </w:p>
          <w:p>
            <w:pPr>
              <w:pStyle w:val="310"/>
              <w:spacing w:before="43"/>
              <w:ind w:left="3"/>
              <w:rPr>
                <w:rFonts w:ascii="宋体" w:hAnsi="宋体" w:eastAsia="宋体" w:cs="宋体"/>
                <w:sz w:val="18"/>
                <w:szCs w:val="18"/>
              </w:rPr>
            </w:pPr>
            <w:r>
              <w:rPr>
                <w:rFonts w:hint="eastAsia" w:ascii="宋体" w:hAnsi="宋体" w:eastAsia="宋体" w:cs="宋体"/>
                <w:sz w:val="18"/>
                <w:szCs w:val="18"/>
              </w:rPr>
              <w:t>性、正确性</w:t>
            </w:r>
          </w:p>
        </w:tc>
        <w:tc>
          <w:tcPr>
            <w:tcW w:w="3826" w:type="dxa"/>
            <w:gridSpan w:val="4"/>
          </w:tcPr>
          <w:p>
            <w:pPr>
              <w:pStyle w:val="310"/>
              <w:spacing w:before="21"/>
              <w:ind w:left="5" w:right="-15"/>
              <w:rPr>
                <w:rFonts w:ascii="宋体" w:hAnsi="宋体" w:eastAsia="宋体" w:cs="宋体"/>
                <w:sz w:val="18"/>
                <w:szCs w:val="18"/>
              </w:rPr>
            </w:pPr>
            <w:r>
              <w:rPr>
                <w:rFonts w:hint="eastAsia" w:ascii="宋体" w:hAnsi="宋体" w:eastAsia="宋体" w:cs="宋体"/>
                <w:sz w:val="18"/>
                <w:szCs w:val="18"/>
              </w:rPr>
              <w:t>指令发布传送的信息正确，信息能够正确</w:t>
            </w:r>
          </w:p>
          <w:p>
            <w:pPr>
              <w:pStyle w:val="310"/>
              <w:spacing w:before="43"/>
              <w:ind w:left="5"/>
              <w:rPr>
                <w:rFonts w:ascii="宋体" w:hAnsi="宋体" w:eastAsia="宋体" w:cs="宋体"/>
                <w:sz w:val="18"/>
                <w:szCs w:val="18"/>
              </w:rPr>
            </w:pPr>
            <w:r>
              <w:rPr>
                <w:rFonts w:hint="eastAsia" w:ascii="宋体" w:hAnsi="宋体" w:eastAsia="宋体" w:cs="宋体"/>
                <w:sz w:val="18"/>
                <w:szCs w:val="18"/>
              </w:rPr>
              <w:t>贯彻</w:t>
            </w:r>
          </w:p>
        </w:tc>
        <w:tc>
          <w:tcPr>
            <w:tcW w:w="991" w:type="dxa"/>
          </w:tcPr>
          <w:p>
            <w:pPr>
              <w:pStyle w:val="310"/>
              <w:spacing w:before="174"/>
              <w:ind w:left="193" w:right="186"/>
              <w:jc w:val="center"/>
              <w:rPr>
                <w:rFonts w:ascii="宋体" w:hAnsi="宋体" w:eastAsia="宋体" w:cs="宋体"/>
                <w:sz w:val="18"/>
                <w:szCs w:val="18"/>
              </w:rPr>
            </w:pPr>
            <w:r>
              <w:rPr>
                <w:rFonts w:hint="eastAsia" w:ascii="宋体" w:hAnsi="宋体" w:eastAsia="宋体" w:cs="宋体"/>
                <w:sz w:val="18"/>
                <w:szCs w:val="18"/>
              </w:rPr>
              <w:t>20</w:t>
            </w:r>
          </w:p>
        </w:tc>
        <w:tc>
          <w:tcPr>
            <w:tcW w:w="956"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6" w:hRule="atLeast"/>
        </w:trPr>
        <w:tc>
          <w:tcPr>
            <w:tcW w:w="1374" w:type="dxa"/>
            <w:vMerge w:val="continue"/>
            <w:tcBorders>
              <w:top w:val="nil"/>
            </w:tcBorders>
          </w:tcPr>
          <w:p>
            <w:pPr>
              <w:rPr>
                <w:rFonts w:ascii="宋体" w:hAnsi="宋体" w:eastAsia="宋体" w:cs="宋体"/>
                <w:sz w:val="18"/>
                <w:szCs w:val="18"/>
              </w:rPr>
            </w:pPr>
          </w:p>
        </w:tc>
        <w:tc>
          <w:tcPr>
            <w:tcW w:w="1568" w:type="dxa"/>
            <w:gridSpan w:val="2"/>
          </w:tcPr>
          <w:p>
            <w:pPr>
              <w:pStyle w:val="310"/>
              <w:spacing w:before="20" w:line="278" w:lineRule="auto"/>
              <w:ind w:left="3" w:right="-15"/>
              <w:rPr>
                <w:rFonts w:ascii="宋体" w:hAnsi="宋体" w:eastAsia="宋体" w:cs="宋体"/>
                <w:sz w:val="18"/>
                <w:szCs w:val="18"/>
              </w:rPr>
            </w:pPr>
            <w:r>
              <w:rPr>
                <w:rFonts w:hint="eastAsia" w:ascii="宋体" w:hAnsi="宋体" w:eastAsia="宋体" w:cs="宋体"/>
                <w:spacing w:val="12"/>
                <w:sz w:val="18"/>
                <w:szCs w:val="18"/>
              </w:rPr>
              <w:t>对预案执行流程的熟悉程度</w:t>
            </w:r>
          </w:p>
        </w:tc>
        <w:tc>
          <w:tcPr>
            <w:tcW w:w="3826" w:type="dxa"/>
            <w:gridSpan w:val="4"/>
          </w:tcPr>
          <w:p>
            <w:pPr>
              <w:pStyle w:val="310"/>
              <w:spacing w:before="20"/>
              <w:ind w:left="5"/>
              <w:rPr>
                <w:rFonts w:ascii="宋体" w:hAnsi="宋体" w:eastAsia="宋体" w:cs="宋体"/>
                <w:sz w:val="18"/>
                <w:szCs w:val="18"/>
              </w:rPr>
            </w:pPr>
            <w:r>
              <w:rPr>
                <w:rFonts w:hint="eastAsia" w:ascii="宋体" w:hAnsi="宋体" w:eastAsia="宋体" w:cs="宋体"/>
                <w:sz w:val="18"/>
                <w:szCs w:val="18"/>
              </w:rPr>
              <w:t>参与人员掌握预案流程</w:t>
            </w:r>
          </w:p>
        </w:tc>
        <w:tc>
          <w:tcPr>
            <w:tcW w:w="991" w:type="dxa"/>
          </w:tcPr>
          <w:p>
            <w:pPr>
              <w:pStyle w:val="310"/>
              <w:spacing w:before="174"/>
              <w:ind w:left="193" w:right="186"/>
              <w:jc w:val="center"/>
              <w:rPr>
                <w:rFonts w:ascii="宋体" w:hAnsi="宋体" w:eastAsia="宋体" w:cs="宋体"/>
                <w:sz w:val="18"/>
                <w:szCs w:val="18"/>
              </w:rPr>
            </w:pPr>
            <w:r>
              <w:rPr>
                <w:rFonts w:hint="eastAsia" w:ascii="宋体" w:hAnsi="宋体" w:eastAsia="宋体" w:cs="宋体"/>
                <w:sz w:val="18"/>
                <w:szCs w:val="18"/>
              </w:rPr>
              <w:t>20</w:t>
            </w:r>
          </w:p>
        </w:tc>
        <w:tc>
          <w:tcPr>
            <w:tcW w:w="956"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74" w:type="dxa"/>
            <w:vMerge w:val="continue"/>
            <w:tcBorders>
              <w:top w:val="nil"/>
            </w:tcBorders>
          </w:tcPr>
          <w:p>
            <w:pPr>
              <w:rPr>
                <w:rFonts w:ascii="宋体" w:hAnsi="宋体" w:eastAsia="宋体" w:cs="宋体"/>
                <w:sz w:val="18"/>
                <w:szCs w:val="18"/>
              </w:rPr>
            </w:pPr>
          </w:p>
        </w:tc>
        <w:tc>
          <w:tcPr>
            <w:tcW w:w="1568" w:type="dxa"/>
            <w:gridSpan w:val="2"/>
          </w:tcPr>
          <w:p>
            <w:pPr>
              <w:pStyle w:val="310"/>
              <w:spacing w:before="21"/>
              <w:ind w:left="3"/>
              <w:rPr>
                <w:rFonts w:ascii="宋体" w:hAnsi="宋体" w:eastAsia="宋体" w:cs="宋体"/>
                <w:sz w:val="18"/>
                <w:szCs w:val="18"/>
              </w:rPr>
            </w:pPr>
            <w:r>
              <w:rPr>
                <w:rFonts w:hint="eastAsia" w:ascii="宋体" w:hAnsi="宋体" w:eastAsia="宋体" w:cs="宋体"/>
                <w:sz w:val="18"/>
                <w:szCs w:val="18"/>
              </w:rPr>
              <w:t>人员到位时间</w:t>
            </w:r>
          </w:p>
        </w:tc>
        <w:tc>
          <w:tcPr>
            <w:tcW w:w="3826" w:type="dxa"/>
            <w:gridSpan w:val="4"/>
          </w:tcPr>
          <w:p>
            <w:pPr>
              <w:pStyle w:val="310"/>
              <w:spacing w:before="21"/>
              <w:ind w:left="5" w:right="-15"/>
              <w:rPr>
                <w:rFonts w:ascii="宋体" w:hAnsi="宋体" w:eastAsia="宋体" w:cs="宋体"/>
                <w:sz w:val="18"/>
                <w:szCs w:val="18"/>
              </w:rPr>
            </w:pPr>
            <w:r>
              <w:rPr>
                <w:rFonts w:hint="eastAsia" w:ascii="宋体" w:hAnsi="宋体" w:eastAsia="宋体" w:cs="宋体"/>
                <w:spacing w:val="-8"/>
                <w:sz w:val="18"/>
                <w:szCs w:val="18"/>
              </w:rPr>
              <w:t xml:space="preserve">响应时间不超过 </w:t>
            </w:r>
            <w:r>
              <w:rPr>
                <w:rFonts w:hint="eastAsia" w:ascii="宋体" w:hAnsi="宋体" w:eastAsia="宋体" w:cs="宋体"/>
                <w:sz w:val="18"/>
                <w:szCs w:val="18"/>
              </w:rPr>
              <w:t>10</w:t>
            </w:r>
            <w:r>
              <w:rPr>
                <w:rFonts w:hint="eastAsia" w:ascii="宋体" w:hAnsi="宋体" w:eastAsia="宋体" w:cs="宋体"/>
                <w:spacing w:val="-14"/>
                <w:sz w:val="18"/>
                <w:szCs w:val="18"/>
              </w:rPr>
              <w:t xml:space="preserve"> 分钟；集结时间不超过</w:t>
            </w:r>
          </w:p>
          <w:p>
            <w:pPr>
              <w:pStyle w:val="310"/>
              <w:spacing w:before="43"/>
              <w:ind w:left="5"/>
              <w:rPr>
                <w:rFonts w:ascii="宋体" w:hAnsi="宋体" w:eastAsia="宋体" w:cs="宋体"/>
                <w:sz w:val="18"/>
                <w:szCs w:val="18"/>
              </w:rPr>
            </w:pPr>
            <w:r>
              <w:rPr>
                <w:rFonts w:hint="eastAsia" w:ascii="宋体" w:hAnsi="宋体" w:eastAsia="宋体" w:cs="宋体"/>
                <w:sz w:val="18"/>
                <w:szCs w:val="18"/>
              </w:rPr>
              <w:t>30 分钟</w:t>
            </w:r>
          </w:p>
        </w:tc>
        <w:tc>
          <w:tcPr>
            <w:tcW w:w="991" w:type="dxa"/>
          </w:tcPr>
          <w:p>
            <w:pPr>
              <w:pStyle w:val="310"/>
              <w:spacing w:before="173"/>
              <w:ind w:left="193" w:right="186"/>
              <w:jc w:val="center"/>
              <w:rPr>
                <w:rFonts w:ascii="宋体" w:hAnsi="宋体" w:eastAsia="宋体" w:cs="宋体"/>
                <w:sz w:val="18"/>
                <w:szCs w:val="18"/>
              </w:rPr>
            </w:pPr>
            <w:r>
              <w:rPr>
                <w:rFonts w:hint="eastAsia" w:ascii="宋体" w:hAnsi="宋体" w:eastAsia="宋体" w:cs="宋体"/>
                <w:sz w:val="18"/>
                <w:szCs w:val="18"/>
              </w:rPr>
              <w:t>20</w:t>
            </w:r>
          </w:p>
        </w:tc>
        <w:tc>
          <w:tcPr>
            <w:tcW w:w="956"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74" w:type="dxa"/>
            <w:vMerge w:val="continue"/>
            <w:tcBorders>
              <w:top w:val="nil"/>
            </w:tcBorders>
          </w:tcPr>
          <w:p>
            <w:pPr>
              <w:rPr>
                <w:rFonts w:ascii="宋体" w:hAnsi="宋体" w:eastAsia="宋体" w:cs="宋体"/>
                <w:sz w:val="18"/>
                <w:szCs w:val="18"/>
              </w:rPr>
            </w:pPr>
          </w:p>
        </w:tc>
        <w:tc>
          <w:tcPr>
            <w:tcW w:w="1568" w:type="dxa"/>
            <w:gridSpan w:val="2"/>
          </w:tcPr>
          <w:p>
            <w:pPr>
              <w:pStyle w:val="310"/>
              <w:spacing w:before="21"/>
              <w:ind w:left="3"/>
              <w:rPr>
                <w:rFonts w:ascii="宋体" w:hAnsi="宋体" w:eastAsia="宋体" w:cs="宋体"/>
                <w:sz w:val="18"/>
                <w:szCs w:val="18"/>
              </w:rPr>
            </w:pPr>
            <w:r>
              <w:rPr>
                <w:rFonts w:hint="eastAsia" w:ascii="宋体" w:hAnsi="宋体" w:eastAsia="宋体" w:cs="宋体"/>
                <w:sz w:val="18"/>
                <w:szCs w:val="18"/>
              </w:rPr>
              <w:t>人员技能</w:t>
            </w:r>
          </w:p>
        </w:tc>
        <w:tc>
          <w:tcPr>
            <w:tcW w:w="3826" w:type="dxa"/>
            <w:gridSpan w:val="4"/>
          </w:tcPr>
          <w:p>
            <w:pPr>
              <w:pStyle w:val="310"/>
              <w:spacing w:before="21"/>
              <w:ind w:left="5" w:right="-15"/>
              <w:rPr>
                <w:rFonts w:ascii="宋体" w:hAnsi="宋体" w:eastAsia="宋体" w:cs="宋体"/>
                <w:sz w:val="18"/>
                <w:szCs w:val="18"/>
              </w:rPr>
            </w:pPr>
            <w:r>
              <w:rPr>
                <w:rFonts w:hint="eastAsia" w:ascii="宋体" w:hAnsi="宋体" w:eastAsia="宋体" w:cs="宋体"/>
                <w:sz w:val="18"/>
                <w:szCs w:val="18"/>
              </w:rPr>
              <w:t>故障分析定位，备件到位情况、系统恢复</w:t>
            </w:r>
          </w:p>
          <w:p>
            <w:pPr>
              <w:pStyle w:val="310"/>
              <w:spacing w:before="43"/>
              <w:ind w:left="5"/>
              <w:rPr>
                <w:rFonts w:ascii="宋体" w:hAnsi="宋体" w:eastAsia="宋体" w:cs="宋体"/>
                <w:sz w:val="18"/>
                <w:szCs w:val="18"/>
              </w:rPr>
            </w:pPr>
            <w:r>
              <w:rPr>
                <w:rFonts w:hint="eastAsia" w:ascii="宋体" w:hAnsi="宋体" w:eastAsia="宋体" w:cs="宋体"/>
                <w:sz w:val="18"/>
                <w:szCs w:val="18"/>
              </w:rPr>
              <w:t>条件准备、系统恢复过程。</w:t>
            </w:r>
          </w:p>
        </w:tc>
        <w:tc>
          <w:tcPr>
            <w:tcW w:w="991" w:type="dxa"/>
          </w:tcPr>
          <w:p>
            <w:pPr>
              <w:pStyle w:val="310"/>
              <w:spacing w:before="175"/>
              <w:ind w:left="193" w:right="186"/>
              <w:jc w:val="center"/>
              <w:rPr>
                <w:rFonts w:ascii="宋体" w:hAnsi="宋体" w:eastAsia="宋体" w:cs="宋体"/>
                <w:sz w:val="18"/>
                <w:szCs w:val="18"/>
              </w:rPr>
            </w:pPr>
            <w:r>
              <w:rPr>
                <w:rFonts w:hint="eastAsia" w:ascii="宋体" w:hAnsi="宋体" w:eastAsia="宋体" w:cs="宋体"/>
                <w:sz w:val="18"/>
                <w:szCs w:val="18"/>
              </w:rPr>
              <w:t>20</w:t>
            </w:r>
          </w:p>
        </w:tc>
        <w:tc>
          <w:tcPr>
            <w:tcW w:w="956"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374" w:type="dxa"/>
            <w:vMerge w:val="continue"/>
            <w:tcBorders>
              <w:top w:val="nil"/>
            </w:tcBorders>
          </w:tcPr>
          <w:p>
            <w:pPr>
              <w:rPr>
                <w:rFonts w:ascii="宋体" w:hAnsi="宋体" w:eastAsia="宋体" w:cs="宋体"/>
                <w:sz w:val="18"/>
                <w:szCs w:val="18"/>
              </w:rPr>
            </w:pPr>
          </w:p>
        </w:tc>
        <w:tc>
          <w:tcPr>
            <w:tcW w:w="1568" w:type="dxa"/>
            <w:gridSpan w:val="2"/>
          </w:tcPr>
          <w:p>
            <w:pPr>
              <w:pStyle w:val="310"/>
              <w:spacing w:before="21"/>
              <w:ind w:left="3"/>
              <w:rPr>
                <w:rFonts w:ascii="宋体" w:hAnsi="宋体" w:eastAsia="宋体" w:cs="宋体"/>
                <w:sz w:val="18"/>
                <w:szCs w:val="18"/>
              </w:rPr>
            </w:pPr>
            <w:r>
              <w:rPr>
                <w:rFonts w:hint="eastAsia" w:ascii="宋体" w:hAnsi="宋体" w:eastAsia="宋体" w:cs="宋体"/>
                <w:sz w:val="18"/>
                <w:szCs w:val="18"/>
              </w:rPr>
              <w:t>业务联动</w:t>
            </w:r>
          </w:p>
        </w:tc>
        <w:tc>
          <w:tcPr>
            <w:tcW w:w="3826" w:type="dxa"/>
            <w:gridSpan w:val="4"/>
          </w:tcPr>
          <w:p>
            <w:pPr>
              <w:pStyle w:val="310"/>
              <w:spacing w:before="21"/>
              <w:ind w:left="5"/>
              <w:rPr>
                <w:rFonts w:ascii="宋体" w:hAnsi="宋体" w:eastAsia="宋体" w:cs="宋体"/>
                <w:sz w:val="18"/>
                <w:szCs w:val="18"/>
              </w:rPr>
            </w:pPr>
            <w:r>
              <w:rPr>
                <w:rFonts w:hint="eastAsia" w:ascii="宋体" w:hAnsi="宋体" w:eastAsia="宋体" w:cs="宋体"/>
                <w:sz w:val="18"/>
                <w:szCs w:val="18"/>
              </w:rPr>
              <w:t>运维方与业务方的配合程度</w:t>
            </w:r>
          </w:p>
        </w:tc>
        <w:tc>
          <w:tcPr>
            <w:tcW w:w="991" w:type="dxa"/>
          </w:tcPr>
          <w:p>
            <w:pPr>
              <w:pStyle w:val="310"/>
              <w:spacing w:before="174"/>
              <w:ind w:left="193" w:right="186"/>
              <w:jc w:val="center"/>
              <w:rPr>
                <w:rFonts w:ascii="宋体" w:hAnsi="宋体" w:eastAsia="宋体" w:cs="宋体"/>
                <w:sz w:val="18"/>
                <w:szCs w:val="18"/>
              </w:rPr>
            </w:pPr>
            <w:r>
              <w:rPr>
                <w:rFonts w:hint="eastAsia" w:ascii="宋体" w:hAnsi="宋体" w:eastAsia="宋体" w:cs="宋体"/>
                <w:sz w:val="18"/>
                <w:szCs w:val="18"/>
              </w:rPr>
              <w:t>20</w:t>
            </w:r>
          </w:p>
        </w:tc>
        <w:tc>
          <w:tcPr>
            <w:tcW w:w="956"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1374" w:type="dxa"/>
          </w:tcPr>
          <w:p>
            <w:pPr>
              <w:pStyle w:val="310"/>
              <w:spacing w:before="133"/>
              <w:ind w:left="405"/>
              <w:rPr>
                <w:rFonts w:ascii="宋体" w:hAnsi="宋体" w:eastAsia="宋体" w:cs="宋体"/>
                <w:sz w:val="18"/>
                <w:szCs w:val="18"/>
              </w:rPr>
            </w:pPr>
            <w:r>
              <w:rPr>
                <w:rFonts w:hint="eastAsia" w:ascii="宋体" w:hAnsi="宋体" w:eastAsia="宋体" w:cs="宋体"/>
                <w:spacing w:val="-1"/>
                <w:sz w:val="18"/>
                <w:szCs w:val="18"/>
              </w:rPr>
              <w:t>综合</w:t>
            </w:r>
          </w:p>
          <w:p>
            <w:pPr>
              <w:pStyle w:val="310"/>
              <w:spacing w:before="9"/>
              <w:rPr>
                <w:rFonts w:ascii="宋体" w:hAnsi="宋体" w:eastAsia="宋体" w:cs="宋体"/>
                <w:sz w:val="18"/>
                <w:szCs w:val="18"/>
              </w:rPr>
            </w:pPr>
          </w:p>
          <w:p>
            <w:pPr>
              <w:pStyle w:val="310"/>
              <w:ind w:left="405"/>
              <w:rPr>
                <w:rFonts w:ascii="宋体" w:hAnsi="宋体" w:eastAsia="宋体" w:cs="宋体"/>
                <w:sz w:val="18"/>
                <w:szCs w:val="18"/>
              </w:rPr>
            </w:pPr>
            <w:r>
              <w:rPr>
                <w:rFonts w:hint="eastAsia" w:ascii="宋体" w:hAnsi="宋体" w:eastAsia="宋体" w:cs="宋体"/>
                <w:spacing w:val="-1"/>
                <w:sz w:val="18"/>
                <w:szCs w:val="18"/>
              </w:rPr>
              <w:t>评价</w:t>
            </w:r>
          </w:p>
        </w:tc>
        <w:tc>
          <w:tcPr>
            <w:tcW w:w="7341" w:type="dxa"/>
            <w:gridSpan w:val="8"/>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2" w:hRule="atLeast"/>
        </w:trPr>
        <w:tc>
          <w:tcPr>
            <w:tcW w:w="1374" w:type="dxa"/>
          </w:tcPr>
          <w:p>
            <w:pPr>
              <w:pStyle w:val="310"/>
              <w:spacing w:before="132" w:line="417" w:lineRule="auto"/>
              <w:ind w:left="405" w:right="394"/>
              <w:rPr>
                <w:rFonts w:ascii="宋体" w:hAnsi="宋体" w:eastAsia="宋体" w:cs="宋体"/>
                <w:sz w:val="18"/>
                <w:szCs w:val="18"/>
              </w:rPr>
            </w:pPr>
            <w:r>
              <w:rPr>
                <w:rFonts w:hint="eastAsia" w:ascii="宋体" w:hAnsi="宋体" w:eastAsia="宋体" w:cs="宋体"/>
                <w:spacing w:val="-8"/>
                <w:sz w:val="18"/>
                <w:szCs w:val="18"/>
              </w:rPr>
              <w:t>评估</w:t>
            </w:r>
            <w:r>
              <w:rPr>
                <w:rFonts w:hint="eastAsia" w:ascii="宋体" w:hAnsi="宋体" w:eastAsia="宋体" w:cs="宋体"/>
                <w:spacing w:val="-9"/>
                <w:sz w:val="18"/>
                <w:szCs w:val="18"/>
              </w:rPr>
              <w:t>人员</w:t>
            </w:r>
            <w:r>
              <w:rPr>
                <w:rFonts w:hint="eastAsia" w:ascii="宋体" w:hAnsi="宋体" w:eastAsia="宋体" w:cs="宋体"/>
                <w:spacing w:val="-1"/>
                <w:sz w:val="18"/>
                <w:szCs w:val="18"/>
              </w:rPr>
              <w:t>签名</w:t>
            </w:r>
          </w:p>
        </w:tc>
        <w:tc>
          <w:tcPr>
            <w:tcW w:w="7341" w:type="dxa"/>
            <w:gridSpan w:val="8"/>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1374" w:type="dxa"/>
          </w:tcPr>
          <w:p>
            <w:pPr>
              <w:pStyle w:val="310"/>
              <w:spacing w:before="132"/>
              <w:ind w:left="405"/>
              <w:rPr>
                <w:rFonts w:ascii="宋体" w:hAnsi="宋体" w:eastAsia="宋体" w:cs="宋体"/>
                <w:sz w:val="18"/>
                <w:szCs w:val="18"/>
              </w:rPr>
            </w:pPr>
            <w:r>
              <w:rPr>
                <w:rFonts w:hint="eastAsia" w:ascii="宋体" w:hAnsi="宋体" w:eastAsia="宋体" w:cs="宋体"/>
                <w:spacing w:val="-1"/>
                <w:sz w:val="18"/>
                <w:szCs w:val="18"/>
              </w:rPr>
              <w:t>部门</w:t>
            </w:r>
          </w:p>
          <w:p>
            <w:pPr>
              <w:pStyle w:val="310"/>
              <w:spacing w:before="9"/>
              <w:rPr>
                <w:rFonts w:ascii="宋体" w:hAnsi="宋体" w:eastAsia="宋体" w:cs="宋体"/>
                <w:sz w:val="18"/>
                <w:szCs w:val="18"/>
              </w:rPr>
            </w:pPr>
          </w:p>
          <w:p>
            <w:pPr>
              <w:pStyle w:val="310"/>
              <w:ind w:left="405"/>
              <w:rPr>
                <w:rFonts w:ascii="宋体" w:hAnsi="宋体" w:eastAsia="宋体" w:cs="宋体"/>
                <w:sz w:val="18"/>
                <w:szCs w:val="18"/>
              </w:rPr>
            </w:pPr>
            <w:r>
              <w:rPr>
                <w:rFonts w:hint="eastAsia" w:ascii="宋体" w:hAnsi="宋体" w:eastAsia="宋体" w:cs="宋体"/>
                <w:spacing w:val="-1"/>
                <w:sz w:val="18"/>
                <w:szCs w:val="18"/>
              </w:rPr>
              <w:t>确认</w:t>
            </w:r>
          </w:p>
        </w:tc>
        <w:tc>
          <w:tcPr>
            <w:tcW w:w="3355" w:type="dxa"/>
            <w:gridSpan w:val="3"/>
          </w:tcPr>
          <w:p>
            <w:pPr>
              <w:pStyle w:val="310"/>
              <w:rPr>
                <w:rFonts w:ascii="宋体" w:hAnsi="宋体" w:eastAsia="宋体" w:cs="宋体"/>
                <w:sz w:val="18"/>
                <w:szCs w:val="18"/>
              </w:rPr>
            </w:pPr>
          </w:p>
          <w:p>
            <w:pPr>
              <w:pStyle w:val="310"/>
              <w:rPr>
                <w:rFonts w:ascii="宋体" w:hAnsi="宋体" w:eastAsia="宋体" w:cs="宋体"/>
                <w:sz w:val="18"/>
                <w:szCs w:val="18"/>
              </w:rPr>
            </w:pPr>
          </w:p>
          <w:p>
            <w:pPr>
              <w:pStyle w:val="310"/>
              <w:spacing w:before="133"/>
              <w:ind w:left="1683"/>
              <w:rPr>
                <w:rFonts w:ascii="宋体" w:hAnsi="宋体" w:eastAsia="宋体" w:cs="宋体"/>
                <w:sz w:val="18"/>
                <w:szCs w:val="18"/>
              </w:rPr>
            </w:pPr>
            <w:r>
              <w:rPr>
                <w:rFonts w:hint="eastAsia" w:ascii="宋体" w:hAnsi="宋体" w:eastAsia="宋体" w:cs="宋体"/>
                <w:color w:val="C0C0C0"/>
                <w:sz w:val="18"/>
                <w:szCs w:val="18"/>
              </w:rPr>
              <w:t>—签名—</w:t>
            </w:r>
          </w:p>
        </w:tc>
        <w:tc>
          <w:tcPr>
            <w:tcW w:w="612" w:type="dxa"/>
            <w:gridSpan w:val="2"/>
          </w:tcPr>
          <w:p>
            <w:pPr>
              <w:pStyle w:val="310"/>
              <w:spacing w:before="132"/>
              <w:ind w:left="25"/>
              <w:rPr>
                <w:rFonts w:ascii="宋体" w:hAnsi="宋体" w:eastAsia="宋体" w:cs="宋体"/>
                <w:sz w:val="18"/>
                <w:szCs w:val="18"/>
              </w:rPr>
            </w:pPr>
            <w:r>
              <w:rPr>
                <w:rFonts w:hint="eastAsia" w:ascii="宋体" w:hAnsi="宋体" w:eastAsia="宋体" w:cs="宋体"/>
                <w:spacing w:val="-1"/>
                <w:sz w:val="18"/>
                <w:szCs w:val="18"/>
              </w:rPr>
              <w:t>公司</w:t>
            </w:r>
          </w:p>
          <w:p>
            <w:pPr>
              <w:pStyle w:val="310"/>
              <w:spacing w:before="9"/>
              <w:rPr>
                <w:rFonts w:ascii="宋体" w:hAnsi="宋体" w:eastAsia="宋体" w:cs="宋体"/>
                <w:sz w:val="18"/>
                <w:szCs w:val="18"/>
              </w:rPr>
            </w:pPr>
          </w:p>
          <w:p>
            <w:pPr>
              <w:pStyle w:val="310"/>
              <w:ind w:left="25"/>
              <w:rPr>
                <w:rFonts w:ascii="宋体" w:hAnsi="宋体" w:eastAsia="宋体" w:cs="宋体"/>
                <w:sz w:val="18"/>
                <w:szCs w:val="18"/>
              </w:rPr>
            </w:pPr>
            <w:r>
              <w:rPr>
                <w:rFonts w:hint="eastAsia" w:ascii="宋体" w:hAnsi="宋体" w:eastAsia="宋体" w:cs="宋体"/>
                <w:spacing w:val="-1"/>
                <w:sz w:val="18"/>
                <w:szCs w:val="18"/>
              </w:rPr>
              <w:t>确认</w:t>
            </w:r>
          </w:p>
        </w:tc>
        <w:tc>
          <w:tcPr>
            <w:tcW w:w="3374" w:type="dxa"/>
            <w:gridSpan w:val="3"/>
          </w:tcPr>
          <w:p>
            <w:pPr>
              <w:pStyle w:val="310"/>
              <w:rPr>
                <w:rFonts w:ascii="宋体" w:hAnsi="宋体" w:eastAsia="宋体" w:cs="宋体"/>
                <w:sz w:val="18"/>
                <w:szCs w:val="18"/>
              </w:rPr>
            </w:pPr>
          </w:p>
          <w:p>
            <w:pPr>
              <w:pStyle w:val="310"/>
              <w:rPr>
                <w:rFonts w:ascii="宋体" w:hAnsi="宋体" w:eastAsia="宋体" w:cs="宋体"/>
                <w:sz w:val="18"/>
                <w:szCs w:val="18"/>
              </w:rPr>
            </w:pPr>
          </w:p>
          <w:p>
            <w:pPr>
              <w:pStyle w:val="310"/>
              <w:spacing w:before="7"/>
              <w:rPr>
                <w:rFonts w:ascii="宋体" w:hAnsi="宋体" w:eastAsia="宋体" w:cs="宋体"/>
                <w:sz w:val="18"/>
                <w:szCs w:val="18"/>
              </w:rPr>
            </w:pPr>
          </w:p>
          <w:p>
            <w:pPr>
              <w:pStyle w:val="310"/>
              <w:spacing w:before="1"/>
              <w:ind w:left="2070"/>
              <w:rPr>
                <w:rFonts w:ascii="宋体" w:hAnsi="宋体" w:eastAsia="宋体" w:cs="宋体"/>
                <w:sz w:val="18"/>
                <w:szCs w:val="18"/>
              </w:rPr>
            </w:pPr>
            <w:r>
              <w:rPr>
                <w:rFonts w:hint="eastAsia" w:ascii="宋体" w:hAnsi="宋体" w:eastAsia="宋体" w:cs="宋体"/>
                <w:color w:val="C0C0C0"/>
                <w:sz w:val="18"/>
                <w:szCs w:val="18"/>
              </w:rPr>
              <w:t>—签名—</w:t>
            </w:r>
          </w:p>
        </w:tc>
      </w:tr>
    </w:tbl>
    <w:p>
      <w:pPr>
        <w:rPr>
          <w:rFonts w:ascii="Times New Roman" w:hAnsi="Times New Roman" w:eastAsia="楷体" w:cs="Times New Roman"/>
        </w:rPr>
        <w:sectPr>
          <w:pgSz w:w="11910" w:h="16840"/>
          <w:pgMar w:top="1160" w:right="880" w:bottom="280" w:left="1300" w:header="720" w:footer="720" w:gutter="0"/>
          <w:cols w:space="720" w:num="1"/>
        </w:sectPr>
      </w:pPr>
    </w:p>
    <w:p>
      <w:pPr>
        <w:pStyle w:val="21"/>
        <w:spacing w:before="6"/>
        <w:rPr>
          <w:rFonts w:ascii="Times New Roman" w:hAnsi="Times New Roman"/>
          <w:sz w:val="14"/>
        </w:rPr>
      </w:pPr>
    </w:p>
    <w:p>
      <w:pPr>
        <w:pStyle w:val="4"/>
        <w:numPr>
          <w:ilvl w:val="0"/>
          <w:numId w:val="0"/>
        </w:numPr>
        <w:ind w:left="425"/>
        <w:jc w:val="center"/>
        <w:rPr>
          <w:lang w:val="en-US"/>
        </w:rPr>
      </w:pPr>
      <w:bookmarkStart w:id="80" w:name="_Toc30431"/>
      <w:r>
        <w:rPr>
          <w:rFonts w:hint="eastAsia"/>
          <w:lang w:val="en-US"/>
        </w:rPr>
        <w:t>表A.</w:t>
      </w:r>
      <w:r>
        <w:rPr>
          <w:lang w:val="en-US"/>
        </w:rPr>
        <w:t>5应急预案培训计划</w:t>
      </w:r>
      <w:bookmarkEnd w:id="80"/>
    </w:p>
    <w:p>
      <w:pPr>
        <w:pStyle w:val="21"/>
        <w:spacing w:before="3"/>
        <w:rPr>
          <w:rFonts w:ascii="Times New Roman" w:hAnsi="Times New Roman"/>
          <w:sz w:val="8"/>
        </w:rPr>
      </w:pPr>
    </w:p>
    <w:tbl>
      <w:tblPr>
        <w:tblStyle w:val="55"/>
        <w:tblW w:w="8522" w:type="dxa"/>
        <w:tblInd w:w="3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05"/>
        <w:gridCol w:w="963"/>
        <w:gridCol w:w="2541"/>
        <w:gridCol w:w="1841"/>
        <w:gridCol w:w="876"/>
        <w:gridCol w:w="898"/>
        <w:gridCol w:w="8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vMerge w:val="restart"/>
          </w:tcPr>
          <w:p>
            <w:pPr>
              <w:pStyle w:val="310"/>
              <w:spacing w:before="3" w:line="242" w:lineRule="auto"/>
              <w:ind w:left="131" w:right="121"/>
              <w:rPr>
                <w:rFonts w:ascii="宋体" w:hAnsi="宋体" w:eastAsia="宋体" w:cs="宋体"/>
                <w:sz w:val="18"/>
                <w:szCs w:val="18"/>
              </w:rPr>
            </w:pPr>
            <w:r>
              <w:rPr>
                <w:rFonts w:hint="eastAsia" w:ascii="宋体" w:hAnsi="宋体" w:eastAsia="宋体" w:cs="宋体"/>
                <w:sz w:val="18"/>
                <w:szCs w:val="18"/>
              </w:rPr>
              <w:t>序号</w:t>
            </w:r>
          </w:p>
        </w:tc>
        <w:tc>
          <w:tcPr>
            <w:tcW w:w="963" w:type="dxa"/>
            <w:vMerge w:val="restart"/>
          </w:tcPr>
          <w:p>
            <w:pPr>
              <w:pStyle w:val="310"/>
              <w:spacing w:before="3" w:line="242" w:lineRule="auto"/>
              <w:ind w:left="361" w:right="109" w:hanging="240"/>
              <w:rPr>
                <w:rFonts w:ascii="宋体" w:hAnsi="宋体" w:eastAsia="宋体" w:cs="宋体"/>
                <w:sz w:val="18"/>
                <w:szCs w:val="18"/>
              </w:rPr>
            </w:pPr>
            <w:r>
              <w:rPr>
                <w:rFonts w:hint="eastAsia" w:ascii="宋体" w:hAnsi="宋体" w:eastAsia="宋体" w:cs="宋体"/>
                <w:sz w:val="18"/>
                <w:szCs w:val="18"/>
              </w:rPr>
              <w:t>预案编号</w:t>
            </w:r>
          </w:p>
        </w:tc>
        <w:tc>
          <w:tcPr>
            <w:tcW w:w="2541" w:type="dxa"/>
            <w:vMerge w:val="restart"/>
          </w:tcPr>
          <w:p>
            <w:pPr>
              <w:pStyle w:val="310"/>
              <w:spacing w:before="3"/>
              <w:ind w:left="790"/>
              <w:rPr>
                <w:rFonts w:ascii="宋体" w:hAnsi="宋体" w:eastAsia="宋体" w:cs="宋体"/>
                <w:sz w:val="18"/>
                <w:szCs w:val="18"/>
              </w:rPr>
            </w:pPr>
            <w:r>
              <w:rPr>
                <w:rFonts w:hint="eastAsia" w:ascii="宋体" w:hAnsi="宋体" w:eastAsia="宋体" w:cs="宋体"/>
                <w:sz w:val="18"/>
                <w:szCs w:val="18"/>
              </w:rPr>
              <w:t>预案名称</w:t>
            </w:r>
          </w:p>
        </w:tc>
        <w:tc>
          <w:tcPr>
            <w:tcW w:w="1841" w:type="dxa"/>
            <w:vMerge w:val="restart"/>
          </w:tcPr>
          <w:p>
            <w:pPr>
              <w:pStyle w:val="310"/>
              <w:spacing w:before="3"/>
              <w:ind w:left="440"/>
              <w:rPr>
                <w:rFonts w:ascii="宋体" w:hAnsi="宋体" w:eastAsia="宋体" w:cs="宋体"/>
                <w:sz w:val="18"/>
                <w:szCs w:val="18"/>
              </w:rPr>
            </w:pPr>
            <w:r>
              <w:rPr>
                <w:rFonts w:hint="eastAsia" w:ascii="宋体" w:hAnsi="宋体" w:eastAsia="宋体" w:cs="宋体"/>
                <w:sz w:val="18"/>
                <w:szCs w:val="18"/>
              </w:rPr>
              <w:t>培训对象</w:t>
            </w:r>
          </w:p>
        </w:tc>
        <w:tc>
          <w:tcPr>
            <w:tcW w:w="876" w:type="dxa"/>
            <w:vMerge w:val="restart"/>
          </w:tcPr>
          <w:p>
            <w:pPr>
              <w:pStyle w:val="310"/>
              <w:spacing w:before="3" w:line="242" w:lineRule="auto"/>
              <w:ind w:left="317" w:right="186" w:hanging="120"/>
              <w:rPr>
                <w:rFonts w:ascii="宋体" w:hAnsi="宋体" w:eastAsia="宋体" w:cs="宋体"/>
                <w:sz w:val="18"/>
                <w:szCs w:val="18"/>
              </w:rPr>
            </w:pPr>
            <w:r>
              <w:rPr>
                <w:rFonts w:hint="eastAsia" w:ascii="宋体" w:hAnsi="宋体" w:eastAsia="宋体" w:cs="宋体"/>
                <w:sz w:val="18"/>
                <w:szCs w:val="18"/>
              </w:rPr>
              <w:t>培训师</w:t>
            </w:r>
          </w:p>
        </w:tc>
        <w:tc>
          <w:tcPr>
            <w:tcW w:w="1796" w:type="dxa"/>
            <w:gridSpan w:val="2"/>
          </w:tcPr>
          <w:p>
            <w:pPr>
              <w:pStyle w:val="310"/>
              <w:spacing w:before="3" w:line="289" w:lineRule="exact"/>
              <w:ind w:left="418"/>
              <w:rPr>
                <w:rFonts w:ascii="宋体" w:hAnsi="宋体" w:eastAsia="宋体" w:cs="宋体"/>
                <w:sz w:val="18"/>
                <w:szCs w:val="18"/>
              </w:rPr>
            </w:pPr>
            <w:r>
              <w:rPr>
                <w:rFonts w:hint="eastAsia" w:ascii="宋体" w:hAnsi="宋体" w:eastAsia="宋体" w:cs="宋体"/>
                <w:sz w:val="18"/>
                <w:szCs w:val="18"/>
              </w:rPr>
              <w:t>培训工作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05" w:type="dxa"/>
            <w:vMerge w:val="continue"/>
            <w:tcBorders>
              <w:top w:val="nil"/>
            </w:tcBorders>
          </w:tcPr>
          <w:p>
            <w:pPr>
              <w:rPr>
                <w:rFonts w:ascii="宋体" w:hAnsi="宋体" w:eastAsia="宋体" w:cs="宋体"/>
                <w:sz w:val="18"/>
                <w:szCs w:val="18"/>
              </w:rPr>
            </w:pPr>
          </w:p>
        </w:tc>
        <w:tc>
          <w:tcPr>
            <w:tcW w:w="963" w:type="dxa"/>
            <w:vMerge w:val="continue"/>
            <w:tcBorders>
              <w:top w:val="nil"/>
            </w:tcBorders>
          </w:tcPr>
          <w:p>
            <w:pPr>
              <w:rPr>
                <w:rFonts w:ascii="宋体" w:hAnsi="宋体" w:eastAsia="宋体" w:cs="宋体"/>
                <w:sz w:val="18"/>
                <w:szCs w:val="18"/>
              </w:rPr>
            </w:pPr>
          </w:p>
        </w:tc>
        <w:tc>
          <w:tcPr>
            <w:tcW w:w="2541" w:type="dxa"/>
            <w:vMerge w:val="continue"/>
            <w:tcBorders>
              <w:top w:val="nil"/>
            </w:tcBorders>
          </w:tcPr>
          <w:p>
            <w:pPr>
              <w:rPr>
                <w:rFonts w:ascii="宋体" w:hAnsi="宋体" w:eastAsia="宋体" w:cs="宋体"/>
                <w:sz w:val="18"/>
                <w:szCs w:val="18"/>
              </w:rPr>
            </w:pPr>
          </w:p>
        </w:tc>
        <w:tc>
          <w:tcPr>
            <w:tcW w:w="1841" w:type="dxa"/>
            <w:vMerge w:val="continue"/>
            <w:tcBorders>
              <w:top w:val="nil"/>
            </w:tcBorders>
          </w:tcPr>
          <w:p>
            <w:pPr>
              <w:rPr>
                <w:rFonts w:ascii="宋体" w:hAnsi="宋体" w:eastAsia="宋体" w:cs="宋体"/>
                <w:sz w:val="18"/>
                <w:szCs w:val="18"/>
              </w:rPr>
            </w:pPr>
          </w:p>
        </w:tc>
        <w:tc>
          <w:tcPr>
            <w:tcW w:w="876" w:type="dxa"/>
            <w:vMerge w:val="continue"/>
            <w:tcBorders>
              <w:top w:val="nil"/>
            </w:tcBorders>
          </w:tcPr>
          <w:p>
            <w:pPr>
              <w:rPr>
                <w:rFonts w:ascii="宋体" w:hAnsi="宋体" w:eastAsia="宋体" w:cs="宋体"/>
                <w:sz w:val="18"/>
                <w:szCs w:val="18"/>
              </w:rPr>
            </w:pPr>
          </w:p>
        </w:tc>
        <w:tc>
          <w:tcPr>
            <w:tcW w:w="898" w:type="dxa"/>
          </w:tcPr>
          <w:p>
            <w:pPr>
              <w:pStyle w:val="310"/>
              <w:spacing w:before="2"/>
              <w:ind w:left="209"/>
              <w:rPr>
                <w:rFonts w:ascii="宋体" w:hAnsi="宋体" w:eastAsia="宋体" w:cs="宋体"/>
                <w:sz w:val="18"/>
                <w:szCs w:val="18"/>
              </w:rPr>
            </w:pPr>
            <w:r>
              <w:rPr>
                <w:rFonts w:hint="eastAsia" w:ascii="宋体" w:hAnsi="宋体" w:eastAsia="宋体" w:cs="宋体"/>
                <w:sz w:val="18"/>
                <w:szCs w:val="18"/>
              </w:rPr>
              <w:t>计划</w:t>
            </w:r>
          </w:p>
          <w:p>
            <w:pPr>
              <w:pStyle w:val="310"/>
              <w:spacing w:before="5" w:line="289" w:lineRule="exact"/>
              <w:ind w:left="209"/>
              <w:rPr>
                <w:rFonts w:ascii="宋体" w:hAnsi="宋体" w:eastAsia="宋体" w:cs="宋体"/>
                <w:sz w:val="18"/>
                <w:szCs w:val="18"/>
              </w:rPr>
            </w:pPr>
            <w:r>
              <w:rPr>
                <w:rFonts w:hint="eastAsia" w:ascii="宋体" w:hAnsi="宋体" w:eastAsia="宋体" w:cs="宋体"/>
                <w:sz w:val="18"/>
                <w:szCs w:val="18"/>
              </w:rPr>
              <w:t>时间</w:t>
            </w:r>
          </w:p>
        </w:tc>
        <w:tc>
          <w:tcPr>
            <w:tcW w:w="898" w:type="dxa"/>
          </w:tcPr>
          <w:p>
            <w:pPr>
              <w:pStyle w:val="310"/>
              <w:spacing w:before="2"/>
              <w:ind w:left="209"/>
              <w:rPr>
                <w:rFonts w:ascii="宋体" w:hAnsi="宋体" w:eastAsia="宋体" w:cs="宋体"/>
                <w:sz w:val="18"/>
                <w:szCs w:val="18"/>
              </w:rPr>
            </w:pPr>
            <w:r>
              <w:rPr>
                <w:rFonts w:hint="eastAsia" w:ascii="宋体" w:hAnsi="宋体" w:eastAsia="宋体" w:cs="宋体"/>
                <w:sz w:val="18"/>
                <w:szCs w:val="18"/>
              </w:rPr>
              <w:t>完成</w:t>
            </w:r>
          </w:p>
          <w:p>
            <w:pPr>
              <w:pStyle w:val="310"/>
              <w:spacing w:before="5" w:line="289" w:lineRule="exact"/>
              <w:ind w:left="209"/>
              <w:rPr>
                <w:rFonts w:ascii="宋体" w:hAnsi="宋体" w:eastAsia="宋体" w:cs="宋体"/>
                <w:sz w:val="18"/>
                <w:szCs w:val="18"/>
              </w:rPr>
            </w:pPr>
            <w:r>
              <w:rPr>
                <w:rFonts w:hint="eastAsia" w:ascii="宋体" w:hAnsi="宋体" w:eastAsia="宋体" w:cs="宋体"/>
                <w:sz w:val="18"/>
                <w:szCs w:val="18"/>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bl>
    <w:p>
      <w:pPr>
        <w:pStyle w:val="4"/>
        <w:numPr>
          <w:ilvl w:val="0"/>
          <w:numId w:val="0"/>
        </w:numPr>
        <w:ind w:left="425"/>
        <w:jc w:val="center"/>
        <w:rPr>
          <w:lang w:val="en-US"/>
        </w:rPr>
      </w:pPr>
      <w:bookmarkStart w:id="81" w:name="_Toc15820"/>
      <w:r>
        <w:rPr>
          <w:rFonts w:hint="eastAsia"/>
          <w:lang w:val="en-US"/>
        </w:rPr>
        <w:t>表A.</w:t>
      </w:r>
      <w:r>
        <w:rPr>
          <w:lang w:val="en-US"/>
        </w:rPr>
        <w:t>6应急预案演练计划表</w:t>
      </w:r>
      <w:bookmarkEnd w:id="81"/>
    </w:p>
    <w:p>
      <w:pPr>
        <w:pStyle w:val="21"/>
        <w:spacing w:before="3" w:after="1"/>
        <w:rPr>
          <w:rFonts w:ascii="Times New Roman" w:hAnsi="Times New Roman"/>
          <w:sz w:val="8"/>
        </w:rPr>
      </w:pPr>
    </w:p>
    <w:tbl>
      <w:tblPr>
        <w:tblStyle w:val="55"/>
        <w:tblW w:w="0" w:type="auto"/>
        <w:tblInd w:w="3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05"/>
        <w:gridCol w:w="963"/>
        <w:gridCol w:w="2541"/>
        <w:gridCol w:w="1841"/>
        <w:gridCol w:w="876"/>
        <w:gridCol w:w="898"/>
        <w:gridCol w:w="8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vMerge w:val="restart"/>
          </w:tcPr>
          <w:p>
            <w:pPr>
              <w:pStyle w:val="310"/>
              <w:spacing w:before="3" w:line="242" w:lineRule="auto"/>
              <w:ind w:left="131" w:right="121"/>
              <w:rPr>
                <w:rFonts w:ascii="宋体" w:hAnsi="宋体" w:eastAsia="宋体" w:cs="宋体"/>
                <w:sz w:val="18"/>
                <w:szCs w:val="18"/>
              </w:rPr>
            </w:pPr>
            <w:r>
              <w:rPr>
                <w:rFonts w:hint="eastAsia" w:ascii="宋体" w:hAnsi="宋体" w:eastAsia="宋体" w:cs="宋体"/>
                <w:sz w:val="18"/>
                <w:szCs w:val="18"/>
              </w:rPr>
              <w:t>序号</w:t>
            </w:r>
          </w:p>
        </w:tc>
        <w:tc>
          <w:tcPr>
            <w:tcW w:w="963" w:type="dxa"/>
            <w:vMerge w:val="restart"/>
          </w:tcPr>
          <w:p>
            <w:pPr>
              <w:pStyle w:val="310"/>
              <w:spacing w:before="3" w:line="242" w:lineRule="auto"/>
              <w:ind w:left="361" w:right="109" w:hanging="240"/>
              <w:rPr>
                <w:rFonts w:ascii="宋体" w:hAnsi="宋体" w:eastAsia="宋体" w:cs="宋体"/>
                <w:sz w:val="18"/>
                <w:szCs w:val="18"/>
              </w:rPr>
            </w:pPr>
            <w:r>
              <w:rPr>
                <w:rFonts w:hint="eastAsia" w:ascii="宋体" w:hAnsi="宋体" w:eastAsia="宋体" w:cs="宋体"/>
                <w:sz w:val="18"/>
                <w:szCs w:val="18"/>
              </w:rPr>
              <w:t>预案编号</w:t>
            </w:r>
          </w:p>
        </w:tc>
        <w:tc>
          <w:tcPr>
            <w:tcW w:w="2541" w:type="dxa"/>
            <w:vMerge w:val="restart"/>
          </w:tcPr>
          <w:p>
            <w:pPr>
              <w:pStyle w:val="310"/>
              <w:spacing w:before="3"/>
              <w:ind w:left="790"/>
              <w:rPr>
                <w:rFonts w:ascii="宋体" w:hAnsi="宋体" w:eastAsia="宋体" w:cs="宋体"/>
                <w:sz w:val="18"/>
                <w:szCs w:val="18"/>
              </w:rPr>
            </w:pPr>
            <w:r>
              <w:rPr>
                <w:rFonts w:hint="eastAsia" w:ascii="宋体" w:hAnsi="宋体" w:eastAsia="宋体" w:cs="宋体"/>
                <w:sz w:val="18"/>
                <w:szCs w:val="18"/>
              </w:rPr>
              <w:t>预案名称</w:t>
            </w:r>
          </w:p>
        </w:tc>
        <w:tc>
          <w:tcPr>
            <w:tcW w:w="1841" w:type="dxa"/>
            <w:vMerge w:val="restart"/>
          </w:tcPr>
          <w:p>
            <w:pPr>
              <w:pStyle w:val="310"/>
              <w:spacing w:before="3"/>
              <w:ind w:left="440"/>
              <w:rPr>
                <w:rFonts w:ascii="宋体" w:hAnsi="宋体" w:eastAsia="宋体" w:cs="宋体"/>
                <w:sz w:val="18"/>
                <w:szCs w:val="18"/>
              </w:rPr>
            </w:pPr>
            <w:r>
              <w:rPr>
                <w:rFonts w:hint="eastAsia" w:ascii="宋体" w:hAnsi="宋体" w:eastAsia="宋体" w:cs="宋体"/>
                <w:sz w:val="18"/>
                <w:szCs w:val="18"/>
              </w:rPr>
              <w:t>参与人员</w:t>
            </w:r>
          </w:p>
        </w:tc>
        <w:tc>
          <w:tcPr>
            <w:tcW w:w="876" w:type="dxa"/>
            <w:vMerge w:val="restart"/>
          </w:tcPr>
          <w:p>
            <w:pPr>
              <w:pStyle w:val="310"/>
              <w:spacing w:before="3" w:line="242" w:lineRule="auto"/>
              <w:ind w:left="317" w:right="186" w:hanging="120"/>
              <w:rPr>
                <w:rFonts w:ascii="宋体" w:hAnsi="宋体" w:eastAsia="宋体" w:cs="宋体"/>
                <w:sz w:val="18"/>
                <w:szCs w:val="18"/>
              </w:rPr>
            </w:pPr>
            <w:r>
              <w:rPr>
                <w:rFonts w:hint="eastAsia" w:ascii="宋体" w:hAnsi="宋体" w:eastAsia="宋体" w:cs="宋体"/>
                <w:sz w:val="18"/>
                <w:szCs w:val="18"/>
              </w:rPr>
              <w:t>指挥者</w:t>
            </w:r>
          </w:p>
        </w:tc>
        <w:tc>
          <w:tcPr>
            <w:tcW w:w="1796" w:type="dxa"/>
            <w:gridSpan w:val="2"/>
          </w:tcPr>
          <w:p>
            <w:pPr>
              <w:pStyle w:val="310"/>
              <w:spacing w:before="3" w:line="289" w:lineRule="exact"/>
              <w:ind w:left="418"/>
              <w:rPr>
                <w:rFonts w:ascii="宋体" w:hAnsi="宋体" w:eastAsia="宋体" w:cs="宋体"/>
                <w:sz w:val="18"/>
                <w:szCs w:val="18"/>
              </w:rPr>
            </w:pPr>
            <w:r>
              <w:rPr>
                <w:rFonts w:hint="eastAsia" w:ascii="宋体" w:hAnsi="宋体" w:eastAsia="宋体" w:cs="宋体"/>
                <w:sz w:val="18"/>
                <w:szCs w:val="18"/>
              </w:rPr>
              <w:t>培训工作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05" w:type="dxa"/>
            <w:vMerge w:val="continue"/>
            <w:tcBorders>
              <w:top w:val="nil"/>
            </w:tcBorders>
          </w:tcPr>
          <w:p>
            <w:pPr>
              <w:rPr>
                <w:rFonts w:ascii="宋体" w:hAnsi="宋体" w:eastAsia="宋体" w:cs="宋体"/>
                <w:sz w:val="18"/>
                <w:szCs w:val="18"/>
              </w:rPr>
            </w:pPr>
          </w:p>
        </w:tc>
        <w:tc>
          <w:tcPr>
            <w:tcW w:w="963" w:type="dxa"/>
            <w:vMerge w:val="continue"/>
            <w:tcBorders>
              <w:top w:val="nil"/>
            </w:tcBorders>
          </w:tcPr>
          <w:p>
            <w:pPr>
              <w:rPr>
                <w:rFonts w:ascii="宋体" w:hAnsi="宋体" w:eastAsia="宋体" w:cs="宋体"/>
                <w:sz w:val="18"/>
                <w:szCs w:val="18"/>
              </w:rPr>
            </w:pPr>
          </w:p>
        </w:tc>
        <w:tc>
          <w:tcPr>
            <w:tcW w:w="2541" w:type="dxa"/>
            <w:vMerge w:val="continue"/>
            <w:tcBorders>
              <w:top w:val="nil"/>
            </w:tcBorders>
          </w:tcPr>
          <w:p>
            <w:pPr>
              <w:rPr>
                <w:rFonts w:ascii="宋体" w:hAnsi="宋体" w:eastAsia="宋体" w:cs="宋体"/>
                <w:sz w:val="18"/>
                <w:szCs w:val="18"/>
              </w:rPr>
            </w:pPr>
          </w:p>
        </w:tc>
        <w:tc>
          <w:tcPr>
            <w:tcW w:w="1841" w:type="dxa"/>
            <w:vMerge w:val="continue"/>
            <w:tcBorders>
              <w:top w:val="nil"/>
            </w:tcBorders>
          </w:tcPr>
          <w:p>
            <w:pPr>
              <w:rPr>
                <w:rFonts w:ascii="宋体" w:hAnsi="宋体" w:eastAsia="宋体" w:cs="宋体"/>
                <w:sz w:val="18"/>
                <w:szCs w:val="18"/>
              </w:rPr>
            </w:pPr>
          </w:p>
        </w:tc>
        <w:tc>
          <w:tcPr>
            <w:tcW w:w="876" w:type="dxa"/>
            <w:vMerge w:val="continue"/>
            <w:tcBorders>
              <w:top w:val="nil"/>
            </w:tcBorders>
          </w:tcPr>
          <w:p>
            <w:pPr>
              <w:rPr>
                <w:rFonts w:ascii="宋体" w:hAnsi="宋体" w:eastAsia="宋体" w:cs="宋体"/>
                <w:sz w:val="18"/>
                <w:szCs w:val="18"/>
              </w:rPr>
            </w:pPr>
          </w:p>
        </w:tc>
        <w:tc>
          <w:tcPr>
            <w:tcW w:w="898" w:type="dxa"/>
          </w:tcPr>
          <w:p>
            <w:pPr>
              <w:pStyle w:val="310"/>
              <w:spacing w:before="2"/>
              <w:ind w:left="209"/>
              <w:rPr>
                <w:rFonts w:ascii="宋体" w:hAnsi="宋体" w:eastAsia="宋体" w:cs="宋体"/>
                <w:sz w:val="18"/>
                <w:szCs w:val="18"/>
              </w:rPr>
            </w:pPr>
            <w:r>
              <w:rPr>
                <w:rFonts w:hint="eastAsia" w:ascii="宋体" w:hAnsi="宋体" w:eastAsia="宋体" w:cs="宋体"/>
                <w:sz w:val="18"/>
                <w:szCs w:val="18"/>
              </w:rPr>
              <w:t>计划</w:t>
            </w:r>
          </w:p>
          <w:p>
            <w:pPr>
              <w:pStyle w:val="310"/>
              <w:spacing w:before="5" w:line="289" w:lineRule="exact"/>
              <w:ind w:left="209"/>
              <w:rPr>
                <w:rFonts w:ascii="宋体" w:hAnsi="宋体" w:eastAsia="宋体" w:cs="宋体"/>
                <w:sz w:val="18"/>
                <w:szCs w:val="18"/>
              </w:rPr>
            </w:pPr>
            <w:r>
              <w:rPr>
                <w:rFonts w:hint="eastAsia" w:ascii="宋体" w:hAnsi="宋体" w:eastAsia="宋体" w:cs="宋体"/>
                <w:sz w:val="18"/>
                <w:szCs w:val="18"/>
              </w:rPr>
              <w:t>时间</w:t>
            </w:r>
          </w:p>
        </w:tc>
        <w:tc>
          <w:tcPr>
            <w:tcW w:w="898" w:type="dxa"/>
          </w:tcPr>
          <w:p>
            <w:pPr>
              <w:pStyle w:val="310"/>
              <w:spacing w:before="2"/>
              <w:ind w:left="209"/>
              <w:rPr>
                <w:rFonts w:ascii="宋体" w:hAnsi="宋体" w:eastAsia="宋体" w:cs="宋体"/>
                <w:sz w:val="18"/>
                <w:szCs w:val="18"/>
              </w:rPr>
            </w:pPr>
            <w:r>
              <w:rPr>
                <w:rFonts w:hint="eastAsia" w:ascii="宋体" w:hAnsi="宋体" w:eastAsia="宋体" w:cs="宋体"/>
                <w:sz w:val="18"/>
                <w:szCs w:val="18"/>
              </w:rPr>
              <w:t>完成</w:t>
            </w:r>
          </w:p>
          <w:p>
            <w:pPr>
              <w:pStyle w:val="310"/>
              <w:spacing w:before="5" w:line="289" w:lineRule="exact"/>
              <w:ind w:left="209"/>
              <w:rPr>
                <w:rFonts w:ascii="宋体" w:hAnsi="宋体" w:eastAsia="宋体" w:cs="宋体"/>
                <w:sz w:val="18"/>
                <w:szCs w:val="18"/>
              </w:rPr>
            </w:pPr>
            <w:r>
              <w:rPr>
                <w:rFonts w:hint="eastAsia" w:ascii="宋体" w:hAnsi="宋体" w:eastAsia="宋体" w:cs="宋体"/>
                <w:sz w:val="18"/>
                <w:szCs w:val="18"/>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05" w:type="dxa"/>
          </w:tcPr>
          <w:p>
            <w:pPr>
              <w:pStyle w:val="310"/>
              <w:rPr>
                <w:rFonts w:ascii="宋体" w:hAnsi="宋体" w:eastAsia="宋体" w:cs="宋体"/>
                <w:sz w:val="18"/>
                <w:szCs w:val="18"/>
              </w:rPr>
            </w:pPr>
          </w:p>
        </w:tc>
        <w:tc>
          <w:tcPr>
            <w:tcW w:w="963" w:type="dxa"/>
          </w:tcPr>
          <w:p>
            <w:pPr>
              <w:pStyle w:val="310"/>
              <w:rPr>
                <w:rFonts w:ascii="宋体" w:hAnsi="宋体" w:eastAsia="宋体" w:cs="宋体"/>
                <w:sz w:val="18"/>
                <w:szCs w:val="18"/>
              </w:rPr>
            </w:pPr>
          </w:p>
        </w:tc>
        <w:tc>
          <w:tcPr>
            <w:tcW w:w="2541" w:type="dxa"/>
          </w:tcPr>
          <w:p>
            <w:pPr>
              <w:pStyle w:val="310"/>
              <w:rPr>
                <w:rFonts w:ascii="宋体" w:hAnsi="宋体" w:eastAsia="宋体" w:cs="宋体"/>
                <w:sz w:val="18"/>
                <w:szCs w:val="18"/>
              </w:rPr>
            </w:pPr>
          </w:p>
        </w:tc>
        <w:tc>
          <w:tcPr>
            <w:tcW w:w="1841" w:type="dxa"/>
          </w:tcPr>
          <w:p>
            <w:pPr>
              <w:pStyle w:val="310"/>
              <w:rPr>
                <w:rFonts w:ascii="宋体" w:hAnsi="宋体" w:eastAsia="宋体" w:cs="宋体"/>
                <w:sz w:val="18"/>
                <w:szCs w:val="18"/>
              </w:rPr>
            </w:pPr>
          </w:p>
        </w:tc>
        <w:tc>
          <w:tcPr>
            <w:tcW w:w="876"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c>
          <w:tcPr>
            <w:tcW w:w="898" w:type="dxa"/>
          </w:tcPr>
          <w:p>
            <w:pPr>
              <w:pStyle w:val="310"/>
              <w:rPr>
                <w:rFonts w:ascii="宋体" w:hAnsi="宋体" w:eastAsia="宋体" w:cs="宋体"/>
                <w:sz w:val="18"/>
                <w:szCs w:val="18"/>
              </w:rPr>
            </w:pPr>
          </w:p>
        </w:tc>
      </w:tr>
    </w:tbl>
    <w:p>
      <w:pPr>
        <w:pStyle w:val="21"/>
        <w:rPr>
          <w:rFonts w:ascii="Times New Roman" w:hAnsi="Times New Roman"/>
          <w:sz w:val="32"/>
        </w:rPr>
      </w:pPr>
    </w:p>
    <w:p>
      <w:pPr>
        <w:pStyle w:val="21"/>
        <w:rPr>
          <w:rFonts w:ascii="Times New Roman" w:hAnsi="Times New Roman"/>
          <w:sz w:val="32"/>
        </w:rPr>
      </w:pPr>
    </w:p>
    <w:p>
      <w:pPr>
        <w:pStyle w:val="21"/>
        <w:rPr>
          <w:rFonts w:ascii="Times New Roman" w:hAnsi="Times New Roman"/>
          <w:sz w:val="32"/>
        </w:rPr>
      </w:pPr>
    </w:p>
    <w:p>
      <w:pPr>
        <w:pStyle w:val="21"/>
        <w:rPr>
          <w:rFonts w:ascii="Times New Roman" w:hAnsi="Times New Roman"/>
          <w:sz w:val="32"/>
        </w:rPr>
      </w:pPr>
    </w:p>
    <w:p>
      <w:pPr>
        <w:pStyle w:val="21"/>
        <w:ind w:firstLine="0"/>
        <w:rPr>
          <w:rFonts w:hint="eastAsia" w:ascii="Times New Roman" w:hAnsi="Times New Roman"/>
          <w:sz w:val="32"/>
        </w:rPr>
      </w:pPr>
    </w:p>
    <w:p>
      <w:pPr>
        <w:pStyle w:val="4"/>
        <w:numPr>
          <w:ilvl w:val="0"/>
          <w:numId w:val="0"/>
        </w:numPr>
        <w:ind w:left="425"/>
        <w:jc w:val="center"/>
        <w:rPr>
          <w:lang w:val="en-US"/>
        </w:rPr>
      </w:pPr>
      <w:bookmarkStart w:id="82" w:name="_Toc1031"/>
      <w:r>
        <w:rPr>
          <w:rFonts w:hint="eastAsia"/>
          <w:lang w:val="en-US"/>
        </w:rPr>
        <w:t>表A.</w:t>
      </w:r>
      <w:r>
        <w:rPr>
          <w:lang w:val="en-US"/>
        </w:rPr>
        <w:t>7应急预案过程改进跟踪表</w:t>
      </w:r>
      <w:bookmarkEnd w:id="82"/>
    </w:p>
    <w:p>
      <w:pPr>
        <w:spacing w:before="127" w:after="22"/>
        <w:ind w:left="500"/>
        <w:jc w:val="left"/>
        <w:rPr>
          <w:rFonts w:ascii="Times New Roman" w:hAnsi="Times New Roman" w:eastAsia="宋体" w:cs="Times New Roman"/>
        </w:rPr>
      </w:pPr>
      <w:r>
        <w:rPr>
          <w:rFonts w:ascii="Times New Roman" w:hAnsi="Times New Roman" w:eastAsia="宋体" w:cs="Times New Roman"/>
        </w:rPr>
        <w:t>应急预案编号：</w:t>
      </w:r>
    </w:p>
    <w:tbl>
      <w:tblPr>
        <w:tblStyle w:val="55"/>
        <w:tblW w:w="0" w:type="auto"/>
        <w:tblInd w:w="3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6"/>
        <w:gridCol w:w="2086"/>
        <w:gridCol w:w="624"/>
        <w:gridCol w:w="675"/>
        <w:gridCol w:w="592"/>
        <w:gridCol w:w="1778"/>
        <w:gridCol w:w="669"/>
        <w:gridCol w:w="669"/>
        <w:gridCol w:w="10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426" w:type="dxa"/>
          </w:tcPr>
          <w:p>
            <w:pPr>
              <w:pStyle w:val="310"/>
              <w:spacing w:before="177" w:line="278" w:lineRule="auto"/>
              <w:ind w:left="107" w:right="97"/>
              <w:rPr>
                <w:rFonts w:ascii="Times New Roman" w:hAnsi="Times New Roman" w:eastAsia="宋体" w:cs="Times New Roman"/>
                <w:sz w:val="18"/>
                <w:szCs w:val="18"/>
              </w:rPr>
            </w:pPr>
            <w:r>
              <w:rPr>
                <w:rFonts w:ascii="Times New Roman" w:hAnsi="Times New Roman" w:eastAsia="宋体" w:cs="Times New Roman"/>
                <w:sz w:val="18"/>
                <w:szCs w:val="18"/>
              </w:rPr>
              <w:t>序号</w:t>
            </w:r>
          </w:p>
        </w:tc>
        <w:tc>
          <w:tcPr>
            <w:tcW w:w="2086" w:type="dxa"/>
          </w:tcPr>
          <w:p>
            <w:pPr>
              <w:pStyle w:val="310"/>
              <w:rPr>
                <w:rFonts w:ascii="Times New Roman" w:hAnsi="Times New Roman" w:cs="Times New Roman"/>
                <w:sz w:val="18"/>
                <w:szCs w:val="18"/>
              </w:rPr>
            </w:pPr>
          </w:p>
          <w:p>
            <w:pPr>
              <w:pStyle w:val="310"/>
              <w:ind w:left="707" w:right="698"/>
              <w:jc w:val="center"/>
              <w:rPr>
                <w:rFonts w:ascii="Times New Roman" w:hAnsi="Times New Roman" w:eastAsia="宋体" w:cs="Times New Roman"/>
                <w:sz w:val="18"/>
                <w:szCs w:val="18"/>
              </w:rPr>
            </w:pPr>
            <w:r>
              <w:rPr>
                <w:rFonts w:ascii="Times New Roman" w:hAnsi="Times New Roman" w:eastAsia="宋体" w:cs="Times New Roman"/>
                <w:sz w:val="18"/>
                <w:szCs w:val="18"/>
              </w:rPr>
              <w:t>改进项</w:t>
            </w:r>
          </w:p>
        </w:tc>
        <w:tc>
          <w:tcPr>
            <w:tcW w:w="624" w:type="dxa"/>
          </w:tcPr>
          <w:p>
            <w:pPr>
              <w:pStyle w:val="310"/>
              <w:spacing w:before="21" w:line="278" w:lineRule="auto"/>
              <w:ind w:left="206" w:right="196"/>
              <w:rPr>
                <w:rFonts w:ascii="Times New Roman" w:hAnsi="Times New Roman" w:eastAsia="宋体" w:cs="Times New Roman"/>
                <w:sz w:val="18"/>
                <w:szCs w:val="18"/>
              </w:rPr>
            </w:pPr>
            <w:r>
              <w:rPr>
                <w:rFonts w:ascii="Times New Roman" w:hAnsi="Times New Roman" w:eastAsia="宋体" w:cs="Times New Roman"/>
                <w:sz w:val="18"/>
                <w:szCs w:val="18"/>
              </w:rPr>
              <w:t>提出</w:t>
            </w:r>
          </w:p>
          <w:p>
            <w:pPr>
              <w:pStyle w:val="310"/>
              <w:spacing w:line="269" w:lineRule="exact"/>
              <w:ind w:left="206"/>
              <w:rPr>
                <w:rFonts w:ascii="Times New Roman" w:hAnsi="Times New Roman" w:eastAsia="宋体" w:cs="Times New Roman"/>
                <w:sz w:val="18"/>
                <w:szCs w:val="18"/>
              </w:rPr>
            </w:pPr>
            <w:r>
              <w:rPr>
                <w:rFonts w:ascii="Times New Roman" w:hAnsi="Times New Roman" w:eastAsia="宋体" w:cs="Times New Roman"/>
                <w:w w:val="99"/>
                <w:sz w:val="18"/>
                <w:szCs w:val="18"/>
              </w:rPr>
              <w:t>者</w:t>
            </w:r>
          </w:p>
        </w:tc>
        <w:tc>
          <w:tcPr>
            <w:tcW w:w="675" w:type="dxa"/>
          </w:tcPr>
          <w:p>
            <w:pPr>
              <w:pStyle w:val="310"/>
              <w:spacing w:before="177" w:line="278" w:lineRule="auto"/>
              <w:ind w:left="127" w:right="117"/>
              <w:rPr>
                <w:rFonts w:ascii="Times New Roman" w:hAnsi="Times New Roman" w:eastAsia="宋体" w:cs="Times New Roman"/>
                <w:sz w:val="18"/>
                <w:szCs w:val="18"/>
              </w:rPr>
            </w:pPr>
            <w:r>
              <w:rPr>
                <w:rFonts w:ascii="Times New Roman" w:hAnsi="Times New Roman" w:eastAsia="宋体" w:cs="Times New Roman"/>
                <w:sz w:val="18"/>
                <w:szCs w:val="18"/>
              </w:rPr>
              <w:t>提出时间</w:t>
            </w:r>
          </w:p>
        </w:tc>
        <w:tc>
          <w:tcPr>
            <w:tcW w:w="592" w:type="dxa"/>
          </w:tcPr>
          <w:p>
            <w:pPr>
              <w:pStyle w:val="310"/>
              <w:spacing w:before="21" w:line="278" w:lineRule="auto"/>
              <w:ind w:left="189" w:right="181"/>
              <w:rPr>
                <w:rFonts w:ascii="Times New Roman" w:hAnsi="Times New Roman" w:eastAsia="宋体" w:cs="Times New Roman"/>
                <w:sz w:val="18"/>
                <w:szCs w:val="18"/>
              </w:rPr>
            </w:pPr>
            <w:r>
              <w:rPr>
                <w:rFonts w:ascii="Times New Roman" w:hAnsi="Times New Roman" w:eastAsia="宋体" w:cs="Times New Roman"/>
                <w:sz w:val="18"/>
                <w:szCs w:val="18"/>
              </w:rPr>
              <w:t>责任</w:t>
            </w:r>
          </w:p>
          <w:p>
            <w:pPr>
              <w:pStyle w:val="310"/>
              <w:spacing w:line="269" w:lineRule="exact"/>
              <w:ind w:left="189"/>
              <w:rPr>
                <w:rFonts w:ascii="Times New Roman" w:hAnsi="Times New Roman" w:eastAsia="宋体" w:cs="Times New Roman"/>
                <w:sz w:val="18"/>
                <w:szCs w:val="18"/>
              </w:rPr>
            </w:pPr>
            <w:r>
              <w:rPr>
                <w:rFonts w:ascii="Times New Roman" w:hAnsi="Times New Roman" w:eastAsia="宋体" w:cs="Times New Roman"/>
                <w:w w:val="99"/>
                <w:sz w:val="18"/>
                <w:szCs w:val="18"/>
              </w:rPr>
              <w:t>者</w:t>
            </w:r>
          </w:p>
        </w:tc>
        <w:tc>
          <w:tcPr>
            <w:tcW w:w="1778" w:type="dxa"/>
          </w:tcPr>
          <w:p>
            <w:pPr>
              <w:pStyle w:val="310"/>
              <w:rPr>
                <w:rFonts w:ascii="Times New Roman" w:hAnsi="Times New Roman" w:cs="Times New Roman"/>
                <w:sz w:val="18"/>
                <w:szCs w:val="18"/>
              </w:rPr>
            </w:pPr>
          </w:p>
          <w:p>
            <w:pPr>
              <w:pStyle w:val="310"/>
              <w:ind w:left="468"/>
              <w:rPr>
                <w:rFonts w:ascii="Times New Roman" w:hAnsi="Times New Roman" w:eastAsia="宋体" w:cs="Times New Roman"/>
                <w:sz w:val="18"/>
                <w:szCs w:val="18"/>
              </w:rPr>
            </w:pPr>
            <w:r>
              <w:rPr>
                <w:rFonts w:ascii="Times New Roman" w:hAnsi="Times New Roman" w:eastAsia="宋体" w:cs="Times New Roman"/>
                <w:sz w:val="18"/>
                <w:szCs w:val="18"/>
              </w:rPr>
              <w:t>改进措施</w:t>
            </w:r>
          </w:p>
        </w:tc>
        <w:tc>
          <w:tcPr>
            <w:tcW w:w="669" w:type="dxa"/>
          </w:tcPr>
          <w:p>
            <w:pPr>
              <w:pStyle w:val="310"/>
              <w:spacing w:before="21" w:line="278" w:lineRule="auto"/>
              <w:ind w:left="123" w:right="115"/>
              <w:rPr>
                <w:rFonts w:ascii="Times New Roman" w:hAnsi="Times New Roman" w:eastAsia="宋体" w:cs="Times New Roman"/>
                <w:sz w:val="18"/>
                <w:szCs w:val="18"/>
              </w:rPr>
            </w:pPr>
            <w:r>
              <w:rPr>
                <w:rFonts w:ascii="Times New Roman" w:hAnsi="Times New Roman" w:eastAsia="宋体" w:cs="Times New Roman"/>
                <w:spacing w:val="-8"/>
                <w:sz w:val="18"/>
                <w:szCs w:val="18"/>
              </w:rPr>
              <w:t>计划</w:t>
            </w:r>
            <w:r>
              <w:rPr>
                <w:rFonts w:ascii="Times New Roman" w:hAnsi="Times New Roman" w:eastAsia="宋体" w:cs="Times New Roman"/>
                <w:spacing w:val="-9"/>
                <w:w w:val="95"/>
                <w:sz w:val="18"/>
                <w:szCs w:val="18"/>
              </w:rPr>
              <w:t>完成</w:t>
            </w:r>
          </w:p>
          <w:p>
            <w:pPr>
              <w:pStyle w:val="310"/>
              <w:spacing w:line="269" w:lineRule="exact"/>
              <w:ind w:left="123"/>
              <w:rPr>
                <w:rFonts w:ascii="Times New Roman" w:hAnsi="Times New Roman" w:eastAsia="宋体" w:cs="Times New Roman"/>
                <w:sz w:val="18"/>
                <w:szCs w:val="18"/>
              </w:rPr>
            </w:pPr>
            <w:r>
              <w:rPr>
                <w:rFonts w:ascii="Times New Roman" w:hAnsi="Times New Roman" w:eastAsia="宋体" w:cs="Times New Roman"/>
                <w:spacing w:val="-1"/>
                <w:w w:val="95"/>
                <w:sz w:val="18"/>
                <w:szCs w:val="18"/>
              </w:rPr>
              <w:t>时间</w:t>
            </w:r>
          </w:p>
        </w:tc>
        <w:tc>
          <w:tcPr>
            <w:tcW w:w="669" w:type="dxa"/>
          </w:tcPr>
          <w:p>
            <w:pPr>
              <w:pStyle w:val="310"/>
              <w:spacing w:before="21" w:line="278" w:lineRule="auto"/>
              <w:ind w:left="124" w:right="115"/>
              <w:rPr>
                <w:rFonts w:ascii="Times New Roman" w:hAnsi="Times New Roman" w:eastAsia="宋体" w:cs="Times New Roman"/>
                <w:sz w:val="18"/>
                <w:szCs w:val="18"/>
              </w:rPr>
            </w:pPr>
            <w:r>
              <w:rPr>
                <w:rFonts w:ascii="Times New Roman" w:hAnsi="Times New Roman" w:eastAsia="宋体" w:cs="Times New Roman"/>
                <w:spacing w:val="-9"/>
                <w:sz w:val="18"/>
                <w:szCs w:val="18"/>
              </w:rPr>
              <w:t>实际</w:t>
            </w:r>
            <w:r>
              <w:rPr>
                <w:rFonts w:ascii="Times New Roman" w:hAnsi="Times New Roman" w:eastAsia="宋体" w:cs="Times New Roman"/>
                <w:spacing w:val="-9"/>
                <w:w w:val="95"/>
                <w:sz w:val="18"/>
                <w:szCs w:val="18"/>
              </w:rPr>
              <w:t>完成</w:t>
            </w:r>
          </w:p>
          <w:p>
            <w:pPr>
              <w:pStyle w:val="310"/>
              <w:spacing w:line="269" w:lineRule="exact"/>
              <w:ind w:left="124"/>
              <w:rPr>
                <w:rFonts w:ascii="Times New Roman" w:hAnsi="Times New Roman" w:eastAsia="宋体" w:cs="Times New Roman"/>
                <w:sz w:val="18"/>
                <w:szCs w:val="18"/>
              </w:rPr>
            </w:pPr>
            <w:r>
              <w:rPr>
                <w:rFonts w:ascii="Times New Roman" w:hAnsi="Times New Roman" w:eastAsia="宋体" w:cs="Times New Roman"/>
                <w:spacing w:val="-1"/>
                <w:w w:val="95"/>
                <w:sz w:val="18"/>
                <w:szCs w:val="18"/>
              </w:rPr>
              <w:t>时间</w:t>
            </w:r>
          </w:p>
        </w:tc>
        <w:tc>
          <w:tcPr>
            <w:tcW w:w="1003" w:type="dxa"/>
          </w:tcPr>
          <w:p>
            <w:pPr>
              <w:pStyle w:val="310"/>
              <w:rPr>
                <w:rFonts w:ascii="Times New Roman" w:hAnsi="Times New Roman" w:cs="Times New Roman"/>
                <w:sz w:val="18"/>
                <w:szCs w:val="18"/>
              </w:rPr>
            </w:pPr>
          </w:p>
          <w:p>
            <w:pPr>
              <w:pStyle w:val="310"/>
              <w:ind w:left="290"/>
              <w:rPr>
                <w:rFonts w:ascii="Times New Roman" w:hAnsi="Times New Roman" w:eastAsia="宋体" w:cs="Times New Roman"/>
                <w:sz w:val="18"/>
                <w:szCs w:val="18"/>
              </w:rPr>
            </w:pPr>
            <w:r>
              <w:rPr>
                <w:rFonts w:ascii="Times New Roman" w:hAnsi="Times New Roman" w:eastAsia="宋体" w:cs="Times New Roman"/>
                <w:sz w:val="18"/>
                <w:szCs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6" w:type="dxa"/>
          </w:tcPr>
          <w:p>
            <w:pPr>
              <w:pStyle w:val="310"/>
              <w:rPr>
                <w:rFonts w:ascii="Times New Roman" w:hAnsi="Times New Roman" w:cs="Times New Roman"/>
                <w:sz w:val="22"/>
              </w:rPr>
            </w:pPr>
          </w:p>
        </w:tc>
        <w:tc>
          <w:tcPr>
            <w:tcW w:w="2086" w:type="dxa"/>
          </w:tcPr>
          <w:p>
            <w:pPr>
              <w:pStyle w:val="310"/>
              <w:rPr>
                <w:rFonts w:ascii="Times New Roman" w:hAnsi="Times New Roman" w:cs="Times New Roman"/>
                <w:sz w:val="22"/>
              </w:rPr>
            </w:pPr>
          </w:p>
        </w:tc>
        <w:tc>
          <w:tcPr>
            <w:tcW w:w="624" w:type="dxa"/>
          </w:tcPr>
          <w:p>
            <w:pPr>
              <w:pStyle w:val="310"/>
              <w:rPr>
                <w:rFonts w:ascii="Times New Roman" w:hAnsi="Times New Roman" w:cs="Times New Roman"/>
                <w:sz w:val="22"/>
              </w:rPr>
            </w:pPr>
          </w:p>
        </w:tc>
        <w:tc>
          <w:tcPr>
            <w:tcW w:w="675" w:type="dxa"/>
          </w:tcPr>
          <w:p>
            <w:pPr>
              <w:pStyle w:val="310"/>
              <w:rPr>
                <w:rFonts w:ascii="Times New Roman" w:hAnsi="Times New Roman" w:cs="Times New Roman"/>
                <w:sz w:val="22"/>
              </w:rPr>
            </w:pPr>
          </w:p>
        </w:tc>
        <w:tc>
          <w:tcPr>
            <w:tcW w:w="592" w:type="dxa"/>
          </w:tcPr>
          <w:p>
            <w:pPr>
              <w:pStyle w:val="310"/>
              <w:rPr>
                <w:rFonts w:ascii="Times New Roman" w:hAnsi="Times New Roman" w:cs="Times New Roman"/>
                <w:sz w:val="22"/>
              </w:rPr>
            </w:pPr>
          </w:p>
        </w:tc>
        <w:tc>
          <w:tcPr>
            <w:tcW w:w="1778"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669" w:type="dxa"/>
          </w:tcPr>
          <w:p>
            <w:pPr>
              <w:pStyle w:val="310"/>
              <w:rPr>
                <w:rFonts w:ascii="Times New Roman" w:hAnsi="Times New Roman" w:cs="Times New Roman"/>
                <w:sz w:val="22"/>
              </w:rPr>
            </w:pPr>
          </w:p>
        </w:tc>
        <w:tc>
          <w:tcPr>
            <w:tcW w:w="1003" w:type="dxa"/>
          </w:tcPr>
          <w:p>
            <w:pPr>
              <w:pStyle w:val="310"/>
              <w:rPr>
                <w:rFonts w:ascii="Times New Roman" w:hAnsi="Times New Roman" w:cs="Times New Roman"/>
                <w:sz w:val="22"/>
              </w:rPr>
            </w:pPr>
          </w:p>
        </w:tc>
      </w:tr>
    </w:tbl>
    <w:p>
      <w:pPr>
        <w:pStyle w:val="21"/>
        <w:rPr>
          <w:rFonts w:ascii="Times New Roman" w:hAnsi="Times New Roman"/>
          <w:sz w:val="20"/>
        </w:rPr>
      </w:pPr>
    </w:p>
    <w:p>
      <w:pPr>
        <w:pStyle w:val="21"/>
        <w:rPr>
          <w:rFonts w:ascii="Times New Roman" w:hAnsi="Times New Roman"/>
          <w:sz w:val="20"/>
        </w:rPr>
      </w:pPr>
    </w:p>
    <w:p>
      <w:pPr>
        <w:pStyle w:val="21"/>
        <w:rPr>
          <w:rFonts w:ascii="Times New Roman" w:hAnsi="Times New Roman"/>
          <w:sz w:val="20"/>
        </w:rPr>
      </w:pPr>
    </w:p>
    <w:p>
      <w:pPr>
        <w:tabs>
          <w:tab w:val="left" w:pos="360"/>
        </w:tabs>
        <w:autoSpaceDE w:val="0"/>
        <w:autoSpaceDN w:val="0"/>
        <w:adjustRightInd w:val="0"/>
        <w:spacing w:line="360" w:lineRule="auto"/>
        <w:jc w:val="left"/>
        <w:rPr>
          <w:rFonts w:ascii="Times New Roman" w:hAnsi="Times New Roman" w:eastAsia="宋体" w:cs="Times New Roman"/>
          <w:kern w:val="0"/>
        </w:rPr>
      </w:pPr>
    </w:p>
    <w:p>
      <w:pPr>
        <w:spacing w:before="78" w:after="78"/>
        <w:ind w:firstLine="420"/>
        <w:rPr>
          <w:rFonts w:ascii="Times New Roman" w:hAnsi="Times New Roman" w:cs="Times New Roman"/>
          <w:szCs w:val="21"/>
        </w:rPr>
      </w:pPr>
    </w:p>
    <w:p>
      <w:pPr>
        <w:spacing w:before="78" w:after="78"/>
        <w:ind w:firstLine="420"/>
        <w:rPr>
          <w:rFonts w:ascii="Times New Roman" w:hAnsi="Times New Roman" w:cs="Times New Roman"/>
          <w:szCs w:val="21"/>
        </w:rPr>
      </w:pPr>
    </w:p>
    <w:p>
      <w:pPr>
        <w:spacing w:before="78" w:after="78"/>
        <w:ind w:firstLine="480"/>
        <w:rPr>
          <w:rFonts w:ascii="Times New Roman" w:hAnsi="Times New Roman" w:cs="Times New Roman"/>
        </w:rPr>
      </w:pPr>
    </w:p>
    <w:p>
      <w:pPr>
        <w:spacing w:before="78" w:after="78"/>
        <w:ind w:firstLine="420"/>
        <w:rPr>
          <w:rFonts w:ascii="Times New Roman" w:hAnsi="Times New Roman" w:cs="Times New Roman"/>
        </w:rPr>
      </w:pPr>
    </w:p>
    <w:bookmarkEnd w:id="43"/>
    <w:bookmarkEnd w:id="44"/>
    <w:bookmarkEnd w:id="45"/>
    <w:bookmarkEnd w:id="46"/>
    <w:bookmarkEnd w:id="47"/>
    <w:bookmarkEnd w:id="48"/>
    <w:p>
      <w:pPr>
        <w:spacing w:before="78" w:after="78"/>
        <w:ind w:firstLine="420"/>
        <w:rPr>
          <w:rFonts w:ascii="Times New Roman" w:hAnsi="Times New Roman" w:cs="Times New Roman"/>
        </w:rPr>
      </w:pPr>
    </w:p>
    <w:sectPr>
      <w:headerReference r:id="rId11" w:type="default"/>
      <w:footerReference r:id="rId12"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等线 Light">
    <w:altName w:val="宋体"/>
    <w:panose1 w:val="02010600030101010101"/>
    <w:charset w:val="86"/>
    <w:family w:val="auto"/>
    <w:pitch w:val="default"/>
    <w:sig w:usb0="00000000" w:usb1="00000000" w:usb2="00000016" w:usb3="00000000" w:csb0="0004000F" w:csb1="00000000"/>
  </w:font>
  <w:font w:name="TimesNewRoman">
    <w:altName w:val="DejaVu Sans"/>
    <w:panose1 w:val="00000000000000000000"/>
    <w:charset w:val="00"/>
    <w:family w:val="roman"/>
    <w:pitch w:val="default"/>
    <w:sig w:usb0="00000000" w:usb1="00000000" w:usb2="00000010" w:usb3="00000000" w:csb0="00040001" w:csb1="00000000"/>
  </w:font>
  <w:font w:name="ˎ̥">
    <w:altName w:val="宋体"/>
    <w:panose1 w:val="00000000000000000000"/>
    <w:charset w:val="00"/>
    <w:family w:val="roman"/>
    <w:pitch w:val="default"/>
    <w:sig w:usb0="00000000" w:usb1="00000000" w:usb2="00000000" w:usb3="00000000" w:csb0="00000000" w:csb1="00000000"/>
  </w:font>
  <w:font w:name="Tahoma">
    <w:altName w:val="Ubuntu"/>
    <w:panose1 w:val="020B0604030504040204"/>
    <w:charset w:val="00"/>
    <w:family w:val="swiss"/>
    <w:pitch w:val="default"/>
    <w:sig w:usb0="00000000" w:usb1="00000000" w:usb2="00000029" w:usb3="00000000" w:csb0="000101FF" w:csb1="00000000"/>
  </w:font>
  <w:font w:name="MS Mincho">
    <w:altName w:val="Droid Sans Japanese"/>
    <w:panose1 w:val="02020609040205080304"/>
    <w:charset w:val="80"/>
    <w:family w:val="modern"/>
    <w:pitch w:val="default"/>
    <w:sig w:usb0="00000000" w:usb1="00000000" w:usb2="08000012" w:usb3="00000000" w:csb0="000200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 w:name="Ubuntu">
    <w:panose1 w:val="020B0604030602030204"/>
    <w:charset w:val="00"/>
    <w:family w:val="auto"/>
    <w:pitch w:val="default"/>
    <w:sig w:usb0="E00002FF" w:usb1="5000205B" w:usb2="00000000" w:usb3="00000000" w:csb0="2000009F" w:csb1="56010000"/>
  </w:font>
  <w:font w:name="Droid Sans Japanese">
    <w:panose1 w:val="020B0502000000000001"/>
    <w:charset w:val="00"/>
    <w:family w:val="auto"/>
    <w:pitch w:val="default"/>
    <w:sig w:usb0="80000000" w:usb1="08070000" w:usb2="00000010" w:usb3="00000000" w:csb0="00000001" w:csb1="00000000"/>
  </w:font>
  <w:font w:name="Microsoft YaHei">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jc w:val="center"/>
      <w:rPr>
        <w:rFonts w:ascii="Times New Roman" w:hAnsi="Times New Roman"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9811805"/>
    </w:sdtPr>
    <w:sdtEndPr>
      <w:rPr>
        <w:rFonts w:ascii="Times New Roman" w:hAnsi="Times New Roman" w:cs="Times New Roman"/>
        <w:sz w:val="21"/>
        <w:szCs w:val="21"/>
      </w:rPr>
    </w:sdtEndPr>
    <w:sdtContent>
      <w:p>
        <w:pPr>
          <w:pStyle w:val="35"/>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I</w:t>
        </w:r>
        <w:r>
          <w:rPr>
            <w:rFonts w:ascii="Times New Roman" w:hAnsi="Times New Roman" w:cs="Times New Roman"/>
            <w:sz w:val="21"/>
            <w:szCs w:val="21"/>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074194520"/>
    </w:sdtPr>
    <w:sdtEndPr>
      <w:rPr>
        <w:rFonts w:ascii="Times New Roman" w:hAnsi="Times New Roman" w:cs="Times New Roman"/>
      </w:rPr>
    </w:sdtEndPr>
    <w:sdtContent>
      <w:p>
        <w:pPr>
          <w:pStyle w:val="35"/>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15</w:t>
        </w:r>
        <w:r>
          <w:rPr>
            <w:rFonts w:ascii="Times New Roman" w:hAnsi="Times New Roman" w:cs="Times New Roman"/>
          </w:rPr>
          <w:fldChar w:fldCharType="end"/>
        </w:r>
      </w:p>
    </w:sdtContent>
  </w:sdt>
  <w:p>
    <w:pPr>
      <w:pStyle w:val="124"/>
      <w:rPr>
        <w:rStyle w:val="6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1423386"/>
    </w:sdtPr>
    <w:sdtContent>
      <w:p>
        <w:pPr>
          <w:pStyle w:val="35"/>
          <w:jc w:val="center"/>
        </w:pPr>
        <w:r>
          <w:fldChar w:fldCharType="begin"/>
        </w:r>
        <w:r>
          <w:instrText xml:space="preserve">PAGE   \* MERGEFORMAT</w:instrText>
        </w:r>
        <w:r>
          <w:fldChar w:fldCharType="separate"/>
        </w:r>
        <w:r>
          <w:rPr>
            <w:lang w:val="zh-CN"/>
          </w:rPr>
          <w:t>16</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4493527"/>
    </w:sdtPr>
    <w:sdtEndPr>
      <w:rPr>
        <w:rFonts w:ascii="Times New Roman" w:hAnsi="Times New Roman" w:cs="Times New Roman"/>
        <w:sz w:val="21"/>
        <w:szCs w:val="21"/>
      </w:rPr>
    </w:sdtEndPr>
    <w:sdtContent>
      <w:p>
        <w:pPr>
          <w:pStyle w:val="35"/>
          <w:jc w:val="right"/>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w:t>
        </w:r>
        <w:r>
          <w:rPr>
            <w:rFonts w:ascii="Times New Roman" w:hAnsi="Times New Roman" w:cs="Times New Roman"/>
            <w:sz w:val="21"/>
            <w:szCs w:val="21"/>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p>
    <w:pPr>
      <w:pStyle w:val="36"/>
      <w:pBdr>
        <w:bottom w:val="none" w:color="auto" w:sz="0" w:space="0"/>
      </w:pBdr>
      <w:jc w:val="right"/>
      <w:rPr>
        <w:rFonts w:ascii="黑体" w:hAnsi="黑体" w:eastAsia="黑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right"/>
      <w:rPr>
        <w:sz w:val="13"/>
      </w:rPr>
    </w:pPr>
    <w:r>
      <w:t xml:space="preserve">DB </w:t>
    </w:r>
    <w:r>
      <w:rPr>
        <w:rFonts w:hint="eastAsia"/>
      </w:rPr>
      <w:t>HN</w:t>
    </w:r>
    <w:r>
      <w:t>LY/T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right"/>
      <w:rPr>
        <w:sz w:val="13"/>
      </w:rPr>
    </w:pPr>
    <w:r>
      <w:t xml:space="preserve">DB </w:t>
    </w:r>
    <w:r>
      <w:rPr>
        <w:rFonts w:hint="eastAsia"/>
      </w:rPr>
      <w:t>HN</w:t>
    </w:r>
    <w:r>
      <w:t>LY/T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left"/>
      <w:rPr>
        <w:sz w:val="13"/>
      </w:rPr>
    </w:pPr>
    <w:r>
      <w:t xml:space="preserve">DB </w:t>
    </w:r>
    <w:r>
      <w:rPr>
        <w:rFonts w:hint="eastAsia"/>
      </w:rPr>
      <w:t>HN</w:t>
    </w:r>
    <w:r>
      <w:t>LY/T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right"/>
      <w:rPr>
        <w:sz w:val="13"/>
      </w:rPr>
    </w:pPr>
    <w:r>
      <w:t xml:space="preserve">DB </w:t>
    </w:r>
    <w:r>
      <w:rPr>
        <w:rFonts w:hint="eastAsia"/>
      </w:rPr>
      <w:t>HN</w:t>
    </w:r>
    <w:r>
      <w:t>LY/T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95B979"/>
    <w:multiLevelType w:val="singleLevel"/>
    <w:tmpl w:val="B595B979"/>
    <w:lvl w:ilvl="0" w:tentative="0">
      <w:start w:val="1"/>
      <w:numFmt w:val="decimal"/>
      <w:suff w:val="nothing"/>
      <w:lvlText w:val="%1）"/>
      <w:lvlJc w:val="left"/>
    </w:lvl>
  </w:abstractNum>
  <w:abstractNum w:abstractNumId="1">
    <w:nsid w:val="DCD95AE8"/>
    <w:multiLevelType w:val="singleLevel"/>
    <w:tmpl w:val="DCD95AE8"/>
    <w:lvl w:ilvl="0" w:tentative="0">
      <w:start w:val="1"/>
      <w:numFmt w:val="decimal"/>
      <w:suff w:val="space"/>
      <w:lvlText w:val="(%1)"/>
      <w:lvlJc w:val="left"/>
    </w:lvl>
  </w:abstractNum>
  <w:abstractNum w:abstractNumId="2">
    <w:nsid w:val="E2F3BDEF"/>
    <w:multiLevelType w:val="singleLevel"/>
    <w:tmpl w:val="E2F3BDEF"/>
    <w:lvl w:ilvl="0" w:tentative="0">
      <w:start w:val="1"/>
      <w:numFmt w:val="decimal"/>
      <w:suff w:val="space"/>
      <w:lvlText w:val="(%1)"/>
      <w:lvlJc w:val="left"/>
    </w:lvl>
  </w:abstractNum>
  <w:abstractNum w:abstractNumId="3">
    <w:nsid w:val="FFFFFF7D"/>
    <w:multiLevelType w:val="singleLevel"/>
    <w:tmpl w:val="FFFFFF7D"/>
    <w:lvl w:ilvl="0" w:tentative="0">
      <w:start w:val="1"/>
      <w:numFmt w:val="decimal"/>
      <w:pStyle w:val="28"/>
      <w:lvlText w:val="%1."/>
      <w:lvlJc w:val="left"/>
      <w:pPr>
        <w:tabs>
          <w:tab w:val="left" w:pos="1620"/>
        </w:tabs>
        <w:ind w:left="1620" w:leftChars="600" w:hanging="360" w:hangingChars="200"/>
      </w:pPr>
    </w:lvl>
  </w:abstractNum>
  <w:abstractNum w:abstractNumId="4">
    <w:nsid w:val="FFFFFF7F"/>
    <w:multiLevelType w:val="singleLevel"/>
    <w:tmpl w:val="FFFFFF7F"/>
    <w:lvl w:ilvl="0" w:tentative="0">
      <w:start w:val="1"/>
      <w:numFmt w:val="decimal"/>
      <w:pStyle w:val="12"/>
      <w:lvlText w:val="%1."/>
      <w:lvlJc w:val="left"/>
      <w:pPr>
        <w:tabs>
          <w:tab w:val="left" w:pos="780"/>
        </w:tabs>
        <w:ind w:left="780" w:leftChars="200" w:hanging="360" w:hangingChars="200"/>
      </w:pPr>
    </w:lvl>
  </w:abstractNum>
  <w:abstractNum w:abstractNumId="5">
    <w:nsid w:val="00000003"/>
    <w:multiLevelType w:val="multilevel"/>
    <w:tmpl w:val="00000003"/>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0" w:firstLine="0"/>
      </w:pPr>
      <w:rPr>
        <w:rFonts w:hint="default" w:ascii="Times New Roman" w:hAnsi="Times New Roman" w:eastAsia="黑体" w:cs="Times New Roman"/>
        <w:b w:val="0"/>
        <w:i w:val="0"/>
        <w:sz w:val="21"/>
      </w:rPr>
    </w:lvl>
    <w:lvl w:ilvl="2" w:tentative="0">
      <w:start w:val="1"/>
      <w:numFmt w:val="decimal"/>
      <w:pStyle w:val="309"/>
      <w:suff w:val="nothing"/>
      <w:lvlText w:val="%1%2.%3　"/>
      <w:lvlJc w:val="left"/>
      <w:pPr>
        <w:ind w:left="0" w:firstLine="0"/>
      </w:pPr>
      <w:rPr>
        <w:rFonts w:hint="default" w:ascii="Times New Roman" w:hAnsi="Times New Roman" w:eastAsia="黑体" w:cs="Times New Roman"/>
        <w:b w:val="0"/>
        <w:i w:val="0"/>
        <w:sz w:val="21"/>
        <w:szCs w:val="21"/>
      </w:rPr>
    </w:lvl>
    <w:lvl w:ilvl="3" w:tentative="0">
      <w:start w:val="1"/>
      <w:numFmt w:val="decimal"/>
      <w:pStyle w:val="308"/>
      <w:suff w:val="nothing"/>
      <w:lvlText w:val="%1%2.%3.%4　"/>
      <w:lvlJc w:val="left"/>
      <w:pPr>
        <w:ind w:left="709" w:firstLine="0"/>
      </w:pPr>
      <w:rPr>
        <w:rFonts w:hint="default" w:ascii="Times New Roman" w:hAnsi="Times New Roman" w:eastAsia="黑体" w:cs="Times New Roman"/>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0000001E"/>
    <w:multiLevelType w:val="multilevel"/>
    <w:tmpl w:val="0000001E"/>
    <w:lvl w:ilvl="0" w:tentative="0">
      <w:start w:val="1"/>
      <w:numFmt w:val="decimal"/>
      <w:pStyle w:val="293"/>
      <w:suff w:val="nothing"/>
      <w:lvlText w:val="SWFS-MD-V1.0-%1"/>
      <w:lvlJc w:val="left"/>
      <w:pPr>
        <w:ind w:left="0" w:firstLine="0"/>
      </w:pPr>
    </w:lvl>
    <w:lvl w:ilvl="1" w:tentative="0">
      <w:start w:val="1"/>
      <w:numFmt w:val="decimal"/>
      <w:suff w:val="space"/>
      <w:lvlText w:val="%1.%2."/>
      <w:lvlJc w:val="left"/>
      <w:pPr>
        <w:ind w:left="576" w:hanging="576"/>
      </w:pPr>
    </w:lvl>
    <w:lvl w:ilvl="2" w:tentative="0">
      <w:start w:val="1"/>
      <w:numFmt w:val="decimal"/>
      <w:suff w:val="space"/>
      <w:lvlText w:val="%1.%2.%3."/>
      <w:lvlJc w:val="left"/>
      <w:pPr>
        <w:ind w:left="720" w:hanging="720"/>
      </w:pPr>
    </w:lvl>
    <w:lvl w:ilvl="3" w:tentative="0">
      <w:start w:val="1"/>
      <w:numFmt w:val="decimal"/>
      <w:suff w:val="space"/>
      <w:lvlText w:val="%1.%2.%3.%4."/>
      <w:lvlJc w:val="left"/>
      <w:pPr>
        <w:ind w:left="864" w:hanging="864"/>
      </w:pPr>
    </w:lvl>
    <w:lvl w:ilvl="4" w:tentative="0">
      <w:start w:val="1"/>
      <w:numFmt w:val="decimal"/>
      <w:suff w:val="space"/>
      <w:lvlText w:val="%1.%2.%3.%4.%5."/>
      <w:lvlJc w:val="left"/>
      <w:pPr>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Restart w:val="0"/>
      <w:suff w:val="nothing"/>
      <w:lvlText w:val="SWFS-MD-V1.0-%8"/>
      <w:lvlJc w:val="left"/>
      <w:pPr>
        <w:ind w:left="1440" w:hanging="1440"/>
      </w:pPr>
      <w:rPr>
        <w:rFonts w:hint="default" w:ascii="Times New Roman" w:hAnsi="Times New Roman"/>
        <w:b w:val="0"/>
        <w:i w:val="0"/>
        <w:spacing w:val="0"/>
        <w:w w:val="100"/>
        <w:kern w:val="0"/>
        <w:position w:val="0"/>
        <w:sz w:val="24"/>
      </w:rPr>
    </w:lvl>
    <w:lvl w:ilvl="8" w:tentative="0">
      <w:start w:val="1"/>
      <w:numFmt w:val="decimal"/>
      <w:lvlRestart w:val="0"/>
      <w:suff w:val="space"/>
      <w:lvlText w:val="Annex---%9."/>
      <w:lvlJc w:val="left"/>
      <w:pPr>
        <w:ind w:left="1584" w:hanging="1584"/>
      </w:pPr>
    </w:lvl>
  </w:abstractNum>
  <w:abstractNum w:abstractNumId="7">
    <w:nsid w:val="00FA28E9"/>
    <w:multiLevelType w:val="multilevel"/>
    <w:tmpl w:val="00FA28E9"/>
    <w:lvl w:ilvl="0" w:tentative="0">
      <w:start w:val="1"/>
      <w:numFmt w:val="decimal"/>
      <w:lvlText w:val="%1"/>
      <w:lvlJc w:val="left"/>
      <w:pPr>
        <w:ind w:left="170" w:hanging="170"/>
      </w:pPr>
      <w:rPr>
        <w:rFonts w:hint="eastAsia"/>
      </w:rPr>
    </w:lvl>
    <w:lvl w:ilvl="1" w:tentative="0">
      <w:start w:val="1"/>
      <w:numFmt w:val="decimal"/>
      <w:lvlText w:val="%1.%2"/>
      <w:lvlJc w:val="left"/>
      <w:pPr>
        <w:ind w:left="992" w:hanging="567"/>
      </w:pPr>
      <w:rPr>
        <w:rFonts w:hint="eastAsia"/>
      </w:rPr>
    </w:lvl>
    <w:lvl w:ilvl="2" w:tentative="0">
      <w:start w:val="1"/>
      <w:numFmt w:val="decimal"/>
      <w:pStyle w:val="110"/>
      <w:lvlText w:val="%1.%2.%3"/>
      <w:lvlJc w:val="left"/>
      <w:pPr>
        <w:ind w:left="1418" w:hanging="567"/>
      </w:pPr>
      <w:rPr>
        <w:rFonts w:hint="eastAsia"/>
      </w:rPr>
    </w:lvl>
    <w:lvl w:ilvl="3" w:tentative="0">
      <w:start w:val="1"/>
      <w:numFmt w:val="decimal"/>
      <w:pStyle w:val="204"/>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06966B16"/>
    <w:multiLevelType w:val="multilevel"/>
    <w:tmpl w:val="06966B16"/>
    <w:lvl w:ilvl="0" w:tentative="0">
      <w:start w:val="1"/>
      <w:numFmt w:val="chineseCountingThousand"/>
      <w:pStyle w:val="281"/>
      <w:lvlText w:val="第%1章."/>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079102AD"/>
    <w:multiLevelType w:val="multilevel"/>
    <w:tmpl w:val="079102AD"/>
    <w:lvl w:ilvl="0" w:tentative="0">
      <w:start w:val="1"/>
      <w:numFmt w:val="decimal"/>
      <w:pStyle w:val="1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0">
    <w:nsid w:val="093C6778"/>
    <w:multiLevelType w:val="multilevel"/>
    <w:tmpl w:val="093C6778"/>
    <w:lvl w:ilvl="0" w:tentative="0">
      <w:start w:val="1"/>
      <w:numFmt w:val="decimal"/>
      <w:pStyle w:val="20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132F1596"/>
    <w:multiLevelType w:val="multilevel"/>
    <w:tmpl w:val="132F159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17166A44"/>
    <w:multiLevelType w:val="multilevel"/>
    <w:tmpl w:val="17166A44"/>
    <w:lvl w:ilvl="0" w:tentative="0">
      <w:start w:val="1"/>
      <w:numFmt w:val="upperLetter"/>
      <w:pStyle w:val="90"/>
      <w:suff w:val="nothing"/>
      <w:lvlText w:val="附　录　%1"/>
      <w:lvlJc w:val="left"/>
      <w:pPr>
        <w:ind w:left="4830" w:firstLine="0"/>
      </w:pPr>
      <w:rPr>
        <w:rFonts w:hint="eastAsia" w:ascii="黑体" w:hAnsi="Times New Roman" w:eastAsia="黑体"/>
        <w:b w:val="0"/>
        <w:i w:val="0"/>
        <w:sz w:val="21"/>
        <w:lang w:val="en-US"/>
      </w:rPr>
    </w:lvl>
    <w:lvl w:ilvl="1" w:tentative="0">
      <w:start w:val="1"/>
      <w:numFmt w:val="decimal"/>
      <w:pStyle w:val="91"/>
      <w:suff w:val="nothing"/>
      <w:lvlText w:val="%1.%2　"/>
      <w:lvlJc w:val="left"/>
      <w:pPr>
        <w:ind w:left="426" w:firstLine="0"/>
      </w:pPr>
      <w:rPr>
        <w:rFonts w:hint="eastAsia" w:ascii="黑体" w:hAnsi="Times New Roman" w:eastAsia="黑体"/>
        <w:b w:val="0"/>
        <w:i w:val="0"/>
        <w:snapToGrid/>
        <w:spacing w:val="0"/>
        <w:w w:val="100"/>
        <w:kern w:val="21"/>
        <w:sz w:val="21"/>
      </w:rPr>
    </w:lvl>
    <w:lvl w:ilvl="2" w:tentative="0">
      <w:start w:val="1"/>
      <w:numFmt w:val="decimal"/>
      <w:pStyle w:val="92"/>
      <w:suff w:val="nothing"/>
      <w:lvlText w:val="%1.%2.%3　"/>
      <w:lvlJc w:val="left"/>
      <w:pPr>
        <w:ind w:left="0"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94"/>
      <w:suff w:val="nothing"/>
      <w:lvlText w:val="%1.%2.%3.%4.%5　"/>
      <w:lvlJc w:val="left"/>
      <w:pPr>
        <w:ind w:left="0" w:firstLine="0"/>
      </w:pPr>
      <w:rPr>
        <w:rFonts w:hint="eastAsia" w:ascii="黑体" w:hAnsi="Times New Roman" w:eastAsia="黑体"/>
        <w:b w:val="0"/>
        <w:i w:val="0"/>
        <w:sz w:val="21"/>
      </w:rPr>
    </w:lvl>
    <w:lvl w:ilvl="5" w:tentative="0">
      <w:start w:val="1"/>
      <w:numFmt w:val="decimal"/>
      <w:pStyle w:val="95"/>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1B177D3D"/>
    <w:multiLevelType w:val="multilevel"/>
    <w:tmpl w:val="1B177D3D"/>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1B1EC2D6"/>
    <w:multiLevelType w:val="singleLevel"/>
    <w:tmpl w:val="1B1EC2D6"/>
    <w:lvl w:ilvl="0" w:tentative="0">
      <w:start w:val="1"/>
      <w:numFmt w:val="decimal"/>
      <w:suff w:val="space"/>
      <w:lvlText w:val="(%1)"/>
      <w:lvlJc w:val="left"/>
    </w:lvl>
  </w:abstractNum>
  <w:abstractNum w:abstractNumId="15">
    <w:nsid w:val="1C3D0E48"/>
    <w:multiLevelType w:val="multilevel"/>
    <w:tmpl w:val="1C3D0E4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1DBF583A"/>
    <w:multiLevelType w:val="multilevel"/>
    <w:tmpl w:val="1DBF583A"/>
    <w:lvl w:ilvl="0" w:tentative="0">
      <w:start w:val="1"/>
      <w:numFmt w:val="decimal"/>
      <w:pStyle w:val="17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1"/>
        </w:tabs>
        <w:ind w:left="1174" w:hanging="630"/>
      </w:pPr>
      <w:rPr>
        <w:rFonts w:hint="eastAsia"/>
        <w:vertAlign w:val="baseline"/>
      </w:rPr>
    </w:lvl>
    <w:lvl w:ilvl="2" w:tentative="0">
      <w:start w:val="1"/>
      <w:numFmt w:val="lowerRoman"/>
      <w:lvlText w:val="%3."/>
      <w:lvlJc w:val="right"/>
      <w:pPr>
        <w:tabs>
          <w:tab w:val="left" w:pos="181"/>
        </w:tabs>
        <w:ind w:left="1174" w:hanging="630"/>
      </w:pPr>
      <w:rPr>
        <w:rFonts w:hint="eastAsia"/>
        <w:vertAlign w:val="baseline"/>
      </w:rPr>
    </w:lvl>
    <w:lvl w:ilvl="3" w:tentative="0">
      <w:start w:val="1"/>
      <w:numFmt w:val="decimal"/>
      <w:lvlText w:val="%4."/>
      <w:lvlJc w:val="left"/>
      <w:pPr>
        <w:tabs>
          <w:tab w:val="left" w:pos="181"/>
        </w:tabs>
        <w:ind w:left="1174" w:hanging="630"/>
      </w:pPr>
      <w:rPr>
        <w:rFonts w:hint="eastAsia"/>
        <w:vertAlign w:val="baseline"/>
      </w:rPr>
    </w:lvl>
    <w:lvl w:ilvl="4" w:tentative="0">
      <w:start w:val="1"/>
      <w:numFmt w:val="lowerLetter"/>
      <w:lvlText w:val="%5)"/>
      <w:lvlJc w:val="left"/>
      <w:pPr>
        <w:tabs>
          <w:tab w:val="left" w:pos="181"/>
        </w:tabs>
        <w:ind w:left="1174" w:hanging="630"/>
      </w:pPr>
      <w:rPr>
        <w:rFonts w:hint="eastAsia"/>
        <w:vertAlign w:val="baseline"/>
      </w:rPr>
    </w:lvl>
    <w:lvl w:ilvl="5" w:tentative="0">
      <w:start w:val="1"/>
      <w:numFmt w:val="lowerRoman"/>
      <w:lvlText w:val="%6."/>
      <w:lvlJc w:val="right"/>
      <w:pPr>
        <w:tabs>
          <w:tab w:val="left" w:pos="181"/>
        </w:tabs>
        <w:ind w:left="1174" w:hanging="630"/>
      </w:pPr>
      <w:rPr>
        <w:rFonts w:hint="eastAsia"/>
        <w:vertAlign w:val="baseline"/>
      </w:rPr>
    </w:lvl>
    <w:lvl w:ilvl="6" w:tentative="0">
      <w:start w:val="1"/>
      <w:numFmt w:val="decimal"/>
      <w:lvlText w:val="%7."/>
      <w:lvlJc w:val="left"/>
      <w:pPr>
        <w:tabs>
          <w:tab w:val="left" w:pos="181"/>
        </w:tabs>
        <w:ind w:left="1174" w:hanging="630"/>
      </w:pPr>
      <w:rPr>
        <w:rFonts w:hint="eastAsia"/>
        <w:vertAlign w:val="baseline"/>
      </w:rPr>
    </w:lvl>
    <w:lvl w:ilvl="7" w:tentative="0">
      <w:start w:val="1"/>
      <w:numFmt w:val="lowerLetter"/>
      <w:lvlText w:val="%8)"/>
      <w:lvlJc w:val="left"/>
      <w:pPr>
        <w:tabs>
          <w:tab w:val="left" w:pos="181"/>
        </w:tabs>
        <w:ind w:left="1174" w:hanging="630"/>
      </w:pPr>
      <w:rPr>
        <w:rFonts w:hint="eastAsia"/>
        <w:vertAlign w:val="baseline"/>
      </w:rPr>
    </w:lvl>
    <w:lvl w:ilvl="8" w:tentative="0">
      <w:start w:val="1"/>
      <w:numFmt w:val="lowerRoman"/>
      <w:lvlText w:val="%9."/>
      <w:lvlJc w:val="right"/>
      <w:pPr>
        <w:tabs>
          <w:tab w:val="left" w:pos="181"/>
        </w:tabs>
        <w:ind w:left="1174" w:hanging="630"/>
      </w:pPr>
      <w:rPr>
        <w:rFonts w:hint="eastAsia"/>
        <w:vertAlign w:val="baseline"/>
      </w:rPr>
    </w:lvl>
  </w:abstractNum>
  <w:abstractNum w:abstractNumId="17">
    <w:nsid w:val="243F4A44"/>
    <w:multiLevelType w:val="multilevel"/>
    <w:tmpl w:val="243F4A44"/>
    <w:lvl w:ilvl="0" w:tentative="0">
      <w:start w:val="1"/>
      <w:numFmt w:val="decimal"/>
      <w:lvlText w:val="%1"/>
      <w:lvlJc w:val="left"/>
      <w:pPr>
        <w:tabs>
          <w:tab w:val="left" w:pos="432"/>
        </w:tabs>
        <w:ind w:left="432" w:hanging="432"/>
      </w:pPr>
    </w:lvl>
    <w:lvl w:ilvl="1" w:tentative="0">
      <w:start w:val="1"/>
      <w:numFmt w:val="decimal"/>
      <w:lvlText w:val="%1.%2"/>
      <w:lvlJc w:val="left"/>
      <w:pPr>
        <w:tabs>
          <w:tab w:val="left" w:pos="576"/>
        </w:tabs>
        <w:ind w:left="576" w:hanging="576"/>
      </w:pPr>
      <w:rPr>
        <w:rFonts w:ascii="黑体" w:hAnsi="黑体" w:eastAsia="黑体"/>
        <w:b w:val="0"/>
        <w:color w:val="auto"/>
        <w:sz w:val="21"/>
        <w:szCs w:val="21"/>
      </w:rPr>
    </w:lvl>
    <w:lvl w:ilvl="2" w:tentative="0">
      <w:start w:val="1"/>
      <w:numFmt w:val="decimal"/>
      <w:lvlText w:val="%1.%2.%3"/>
      <w:lvlJc w:val="left"/>
      <w:pPr>
        <w:tabs>
          <w:tab w:val="left" w:pos="720"/>
        </w:tabs>
        <w:ind w:left="720" w:hanging="720"/>
      </w:pPr>
    </w:lvl>
    <w:lvl w:ilvl="3" w:tentative="0">
      <w:start w:val="1"/>
      <w:numFmt w:val="decimal"/>
      <w:pStyle w:val="5"/>
      <w:lvlText w:val="%1.%2.%3.%4"/>
      <w:lvlJc w:val="left"/>
      <w:pPr>
        <w:tabs>
          <w:tab w:val="left" w:pos="864"/>
        </w:tabs>
        <w:ind w:left="864" w:hanging="864"/>
      </w:pPr>
      <w:rPr>
        <w:rFonts w:hint="eastAsia" w:ascii="黑体" w:eastAsia="黑体"/>
      </w:rPr>
    </w:lvl>
    <w:lvl w:ilvl="4" w:tentative="0">
      <w:start w:val="1"/>
      <w:numFmt w:val="decimal"/>
      <w:pStyle w:val="6"/>
      <w:lvlText w:val="%1.%2.%3.%4.%5"/>
      <w:lvlJc w:val="left"/>
      <w:pPr>
        <w:tabs>
          <w:tab w:val="left" w:pos="1008"/>
        </w:tabs>
        <w:ind w:left="1008" w:hanging="1008"/>
      </w:pPr>
    </w:lvl>
    <w:lvl w:ilvl="5" w:tentative="0">
      <w:start w:val="1"/>
      <w:numFmt w:val="decimal"/>
      <w:pStyle w:val="7"/>
      <w:lvlText w:val="%1.%2.%3.%4.%5.%6"/>
      <w:lvlJc w:val="left"/>
      <w:pPr>
        <w:tabs>
          <w:tab w:val="left" w:pos="1152"/>
        </w:tabs>
        <w:ind w:left="1152" w:hanging="1152"/>
      </w:pPr>
    </w:lvl>
    <w:lvl w:ilvl="6" w:tentative="0">
      <w:start w:val="1"/>
      <w:numFmt w:val="decimal"/>
      <w:pStyle w:val="8"/>
      <w:lvlText w:val="%1.%2.%3.%4.%5.%6.%7"/>
      <w:lvlJc w:val="left"/>
      <w:pPr>
        <w:tabs>
          <w:tab w:val="left" w:pos="1296"/>
        </w:tabs>
        <w:ind w:left="1296" w:hanging="1296"/>
      </w:pPr>
    </w:lvl>
    <w:lvl w:ilvl="7" w:tentative="0">
      <w:start w:val="1"/>
      <w:numFmt w:val="decimal"/>
      <w:pStyle w:val="9"/>
      <w:lvlText w:val="%1.%2.%3.%4.%5.%6.%7.%8"/>
      <w:lvlJc w:val="left"/>
      <w:pPr>
        <w:tabs>
          <w:tab w:val="left" w:pos="1440"/>
        </w:tabs>
        <w:ind w:left="1440" w:hanging="1440"/>
      </w:pPr>
    </w:lvl>
    <w:lvl w:ilvl="8" w:tentative="0">
      <w:start w:val="1"/>
      <w:numFmt w:val="decimal"/>
      <w:pStyle w:val="10"/>
      <w:lvlText w:val="%1.%2.%3.%4.%5.%6.%7.%8.%9"/>
      <w:lvlJc w:val="left"/>
      <w:pPr>
        <w:tabs>
          <w:tab w:val="left" w:pos="1584"/>
        </w:tabs>
        <w:ind w:left="1584" w:hanging="1584"/>
      </w:pPr>
    </w:lvl>
  </w:abstractNum>
  <w:abstractNum w:abstractNumId="18">
    <w:nsid w:val="259E3982"/>
    <w:multiLevelType w:val="singleLevel"/>
    <w:tmpl w:val="259E3982"/>
    <w:lvl w:ilvl="0" w:tentative="0">
      <w:start w:val="1"/>
      <w:numFmt w:val="decimal"/>
      <w:suff w:val="nothing"/>
      <w:lvlText w:val="%1）"/>
      <w:lvlJc w:val="left"/>
    </w:lvl>
  </w:abstractNum>
  <w:abstractNum w:abstractNumId="19">
    <w:nsid w:val="2A8F7113"/>
    <w:multiLevelType w:val="multilevel"/>
    <w:tmpl w:val="2A8F7113"/>
    <w:lvl w:ilvl="0" w:tentative="0">
      <w:start w:val="1"/>
      <w:numFmt w:val="upperLetter"/>
      <w:pStyle w:val="195"/>
      <w:suff w:val="space"/>
      <w:lvlText w:val="%1"/>
      <w:lvlJc w:val="left"/>
      <w:pPr>
        <w:ind w:left="623" w:hanging="425"/>
      </w:pPr>
      <w:rPr>
        <w:rFonts w:hint="eastAsia"/>
      </w:rPr>
    </w:lvl>
    <w:lvl w:ilvl="1" w:tentative="0">
      <w:start w:val="1"/>
      <w:numFmt w:val="decimal"/>
      <w:pStyle w:val="19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0">
    <w:nsid w:val="2C5917C3"/>
    <w:multiLevelType w:val="multilevel"/>
    <w:tmpl w:val="2C5917C3"/>
    <w:lvl w:ilvl="0" w:tentative="0">
      <w:start w:val="1"/>
      <w:numFmt w:val="none"/>
      <w:pStyle w:val="162"/>
      <w:suff w:val="nothing"/>
      <w:lvlText w:val="%1——"/>
      <w:lvlJc w:val="left"/>
      <w:pPr>
        <w:ind w:left="833" w:hanging="408"/>
      </w:pPr>
      <w:rPr>
        <w:rFonts w:hint="eastAsia"/>
      </w:rPr>
    </w:lvl>
    <w:lvl w:ilvl="1" w:tentative="0">
      <w:start w:val="1"/>
      <w:numFmt w:val="bullet"/>
      <w:pStyle w:val="163"/>
      <w:lvlText w:val=""/>
      <w:lvlJc w:val="left"/>
      <w:pPr>
        <w:tabs>
          <w:tab w:val="left" w:pos="760"/>
        </w:tabs>
        <w:ind w:left="1264" w:hanging="413"/>
      </w:pPr>
      <w:rPr>
        <w:rFonts w:hint="default" w:ascii="Symbol" w:hAnsi="Symbol"/>
        <w:color w:val="auto"/>
      </w:rPr>
    </w:lvl>
    <w:lvl w:ilvl="2" w:tentative="0">
      <w:start w:val="1"/>
      <w:numFmt w:val="bullet"/>
      <w:pStyle w:val="17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1">
    <w:nsid w:val="320F25BA"/>
    <w:multiLevelType w:val="multilevel"/>
    <w:tmpl w:val="320F25B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397E504F"/>
    <w:multiLevelType w:val="multilevel"/>
    <w:tmpl w:val="397E504F"/>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3">
    <w:nsid w:val="3D733618"/>
    <w:multiLevelType w:val="multilevel"/>
    <w:tmpl w:val="3D733618"/>
    <w:lvl w:ilvl="0" w:tentative="0">
      <w:start w:val="1"/>
      <w:numFmt w:val="decimal"/>
      <w:pStyle w:val="4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24">
    <w:nsid w:val="3F991828"/>
    <w:multiLevelType w:val="multilevel"/>
    <w:tmpl w:val="3F991828"/>
    <w:lvl w:ilvl="0" w:tentative="0">
      <w:start w:val="1"/>
      <w:numFmt w:val="lowerLetter"/>
      <w:pStyle w:val="278"/>
      <w:lvlText w:val="%1)"/>
      <w:lvlJc w:val="left"/>
      <w:pPr>
        <w:ind w:left="0" w:hanging="420"/>
      </w:p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25">
    <w:nsid w:val="4054103C"/>
    <w:multiLevelType w:val="multilevel"/>
    <w:tmpl w:val="4054103C"/>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6">
    <w:nsid w:val="405AF20D"/>
    <w:multiLevelType w:val="singleLevel"/>
    <w:tmpl w:val="405AF20D"/>
    <w:lvl w:ilvl="0" w:tentative="0">
      <w:start w:val="1"/>
      <w:numFmt w:val="decimal"/>
      <w:suff w:val="nothing"/>
      <w:lvlText w:val="%1）"/>
      <w:lvlJc w:val="left"/>
      <w:pPr>
        <w:ind w:left="-432"/>
      </w:pPr>
    </w:lvl>
  </w:abstractNum>
  <w:abstractNum w:abstractNumId="27">
    <w:nsid w:val="44C50F90"/>
    <w:multiLevelType w:val="multilevel"/>
    <w:tmpl w:val="44C50F90"/>
    <w:lvl w:ilvl="0" w:tentative="0">
      <w:start w:val="1"/>
      <w:numFmt w:val="lowerLetter"/>
      <w:pStyle w:val="17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66"/>
      <w:lvlText w:val="%2)"/>
      <w:lvlJc w:val="left"/>
      <w:pPr>
        <w:tabs>
          <w:tab w:val="left" w:pos="1260"/>
        </w:tabs>
        <w:ind w:left="1259" w:hanging="419"/>
      </w:pPr>
      <w:rPr>
        <w:rFonts w:hint="eastAsia"/>
      </w:rPr>
    </w:lvl>
    <w:lvl w:ilvl="2" w:tentative="0">
      <w:start w:val="1"/>
      <w:numFmt w:val="decimal"/>
      <w:pStyle w:val="17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8">
    <w:nsid w:val="4AB95B5A"/>
    <w:multiLevelType w:val="multilevel"/>
    <w:tmpl w:val="4AB95B5A"/>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9">
    <w:nsid w:val="4B733A5F"/>
    <w:multiLevelType w:val="multilevel"/>
    <w:tmpl w:val="4B733A5F"/>
    <w:lvl w:ilvl="0" w:tentative="0">
      <w:start w:val="1"/>
      <w:numFmt w:val="decimal"/>
      <w:pStyle w:val="21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30">
    <w:nsid w:val="52A41F70"/>
    <w:multiLevelType w:val="multilevel"/>
    <w:tmpl w:val="52A41F70"/>
    <w:lvl w:ilvl="0" w:tentative="0">
      <w:start w:val="1"/>
      <w:numFmt w:val="decimal"/>
      <w:pStyle w:val="287"/>
      <w:suff w:val="space"/>
      <w:lvlText w:val="%1"/>
      <w:lvlJc w:val="left"/>
      <w:pPr>
        <w:tabs>
          <w:tab w:val="left" w:pos="425"/>
        </w:tabs>
        <w:ind w:left="0" w:firstLine="0"/>
      </w:pPr>
    </w:lvl>
    <w:lvl w:ilvl="1" w:tentative="0">
      <w:start w:val="1"/>
      <w:numFmt w:val="decimal"/>
      <w:pStyle w:val="288"/>
      <w:suff w:val="space"/>
      <w:lvlText w:val="%1.%2"/>
      <w:lvlJc w:val="left"/>
      <w:pPr>
        <w:tabs>
          <w:tab w:val="left" w:pos="992"/>
        </w:tabs>
        <w:ind w:left="0" w:firstLine="0"/>
      </w:pPr>
    </w:lvl>
    <w:lvl w:ilvl="2" w:tentative="0">
      <w:start w:val="1"/>
      <w:numFmt w:val="decimal"/>
      <w:pStyle w:val="289"/>
      <w:suff w:val="space"/>
      <w:lvlText w:val="%1.%2.%3"/>
      <w:lvlJc w:val="left"/>
      <w:pPr>
        <w:tabs>
          <w:tab w:val="left" w:pos="1418"/>
        </w:tabs>
        <w:ind w:left="0" w:firstLine="0"/>
      </w:pPr>
    </w:lvl>
    <w:lvl w:ilvl="3" w:tentative="0">
      <w:start w:val="1"/>
      <w:numFmt w:val="decimal"/>
      <w:pStyle w:val="290"/>
      <w:suff w:val="space"/>
      <w:lvlText w:val="%1.%2.%3.%4"/>
      <w:lvlJc w:val="left"/>
      <w:pPr>
        <w:tabs>
          <w:tab w:val="left" w:pos="1984"/>
        </w:tabs>
        <w:ind w:left="0" w:firstLine="0"/>
      </w:pPr>
      <w:rPr>
        <w:rFonts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4" w:tentative="0">
      <w:start w:val="1"/>
      <w:numFmt w:val="decimal"/>
      <w:pStyle w:val="291"/>
      <w:suff w:val="space"/>
      <w:lvlText w:val="%1.%2.%3.%4.%5"/>
      <w:lvlJc w:val="left"/>
      <w:pPr>
        <w:tabs>
          <w:tab w:val="left" w:pos="2551"/>
        </w:tabs>
        <w:ind w:left="0" w:firstLine="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1">
    <w:nsid w:val="557C2AF5"/>
    <w:multiLevelType w:val="multilevel"/>
    <w:tmpl w:val="557C2AF5"/>
    <w:lvl w:ilvl="0" w:tentative="0">
      <w:start w:val="1"/>
      <w:numFmt w:val="decimal"/>
      <w:pStyle w:val="22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56FF386E"/>
    <w:multiLevelType w:val="multilevel"/>
    <w:tmpl w:val="56FF386E"/>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3">
    <w:nsid w:val="58F168D8"/>
    <w:multiLevelType w:val="multilevel"/>
    <w:tmpl w:val="58F168D8"/>
    <w:lvl w:ilvl="0" w:tentative="0">
      <w:start w:val="1"/>
      <w:numFmt w:val="decimal"/>
      <w:lvlText w:val="%1）"/>
      <w:lvlJc w:val="left"/>
      <w:pPr>
        <w:tabs>
          <w:tab w:val="left" w:pos="420"/>
        </w:tabs>
        <w:ind w:left="840" w:hanging="420"/>
      </w:pPr>
      <w:rPr>
        <w:rFonts w:hint="default"/>
      </w:rPr>
    </w:lvl>
    <w:lvl w:ilvl="1" w:tentative="0">
      <w:start w:val="1"/>
      <w:numFmt w:val="lowerLetter"/>
      <w:lvlText w:val="%2)"/>
      <w:lvlJc w:val="left"/>
      <w:pPr>
        <w:tabs>
          <w:tab w:val="left" w:pos="420"/>
        </w:tabs>
        <w:ind w:left="1260" w:hanging="420"/>
      </w:pPr>
    </w:lvl>
    <w:lvl w:ilvl="2" w:tentative="0">
      <w:start w:val="1"/>
      <w:numFmt w:val="lowerRoman"/>
      <w:lvlText w:val="%3."/>
      <w:lvlJc w:val="right"/>
      <w:pPr>
        <w:tabs>
          <w:tab w:val="left" w:pos="420"/>
        </w:tabs>
        <w:ind w:left="1680" w:hanging="420"/>
      </w:pPr>
    </w:lvl>
    <w:lvl w:ilvl="3" w:tentative="0">
      <w:start w:val="1"/>
      <w:numFmt w:val="decimal"/>
      <w:lvlText w:val="%4."/>
      <w:lvlJc w:val="left"/>
      <w:pPr>
        <w:tabs>
          <w:tab w:val="left" w:pos="420"/>
        </w:tabs>
        <w:ind w:left="2100" w:hanging="420"/>
      </w:pPr>
    </w:lvl>
    <w:lvl w:ilvl="4" w:tentative="0">
      <w:start w:val="1"/>
      <w:numFmt w:val="lowerLetter"/>
      <w:lvlText w:val="%5)"/>
      <w:lvlJc w:val="left"/>
      <w:pPr>
        <w:tabs>
          <w:tab w:val="left" w:pos="420"/>
        </w:tabs>
        <w:ind w:left="2520" w:hanging="420"/>
      </w:pPr>
    </w:lvl>
    <w:lvl w:ilvl="5" w:tentative="0">
      <w:start w:val="1"/>
      <w:numFmt w:val="lowerRoman"/>
      <w:lvlText w:val="%6."/>
      <w:lvlJc w:val="right"/>
      <w:pPr>
        <w:tabs>
          <w:tab w:val="left" w:pos="420"/>
        </w:tabs>
        <w:ind w:left="2940" w:hanging="420"/>
      </w:pPr>
    </w:lvl>
    <w:lvl w:ilvl="6" w:tentative="0">
      <w:start w:val="1"/>
      <w:numFmt w:val="decimal"/>
      <w:lvlText w:val="%7."/>
      <w:lvlJc w:val="left"/>
      <w:pPr>
        <w:tabs>
          <w:tab w:val="left" w:pos="420"/>
        </w:tabs>
        <w:ind w:left="3360" w:hanging="420"/>
      </w:pPr>
    </w:lvl>
    <w:lvl w:ilvl="7" w:tentative="0">
      <w:start w:val="1"/>
      <w:numFmt w:val="lowerLetter"/>
      <w:lvlText w:val="%8)"/>
      <w:lvlJc w:val="left"/>
      <w:pPr>
        <w:tabs>
          <w:tab w:val="left" w:pos="420"/>
        </w:tabs>
        <w:ind w:left="3780" w:hanging="420"/>
      </w:pPr>
    </w:lvl>
    <w:lvl w:ilvl="8" w:tentative="0">
      <w:start w:val="1"/>
      <w:numFmt w:val="lowerRoman"/>
      <w:lvlText w:val="%9."/>
      <w:lvlJc w:val="right"/>
      <w:pPr>
        <w:tabs>
          <w:tab w:val="left" w:pos="420"/>
        </w:tabs>
        <w:ind w:left="4200" w:hanging="420"/>
      </w:pPr>
    </w:lvl>
  </w:abstractNum>
  <w:abstractNum w:abstractNumId="34">
    <w:nsid w:val="5A382C42"/>
    <w:multiLevelType w:val="singleLevel"/>
    <w:tmpl w:val="5A382C42"/>
    <w:lvl w:ilvl="0" w:tentative="0">
      <w:start w:val="1"/>
      <w:numFmt w:val="decimal"/>
      <w:suff w:val="space"/>
      <w:lvlText w:val="(%1)"/>
      <w:lvlJc w:val="left"/>
    </w:lvl>
  </w:abstractNum>
  <w:abstractNum w:abstractNumId="35">
    <w:nsid w:val="5D303F83"/>
    <w:multiLevelType w:val="multilevel"/>
    <w:tmpl w:val="5D303F83"/>
    <w:lvl w:ilvl="0" w:tentative="0">
      <w:start w:val="1"/>
      <w:numFmt w:val="decimal"/>
      <w:pStyle w:val="2"/>
      <w:lvlText w:val="%1"/>
      <w:lvlJc w:val="left"/>
      <w:pPr>
        <w:tabs>
          <w:tab w:val="left" w:pos="432"/>
        </w:tabs>
        <w:ind w:left="432" w:hanging="432"/>
      </w:pPr>
      <w:rPr>
        <w:rFonts w:hint="eastAsia"/>
      </w:rPr>
    </w:lvl>
    <w:lvl w:ilvl="1" w:tentative="0">
      <w:start w:val="1"/>
      <w:numFmt w:val="decimal"/>
      <w:pStyle w:val="3"/>
      <w:lvlText w:val="%1.%2"/>
      <w:lvlJc w:val="left"/>
      <w:pPr>
        <w:tabs>
          <w:tab w:val="left" w:pos="576"/>
        </w:tabs>
        <w:ind w:left="576" w:hanging="576"/>
      </w:pPr>
      <w:rPr>
        <w:rFonts w:hint="eastAsia"/>
      </w:rPr>
    </w:lvl>
    <w:lvl w:ilvl="2" w:tentative="0">
      <w:start w:val="1"/>
      <w:numFmt w:val="decimal"/>
      <w:pStyle w:val="4"/>
      <w:suff w:val="nothing"/>
      <w:lvlText w:val="%1.%2.%3"/>
      <w:lvlJc w:val="left"/>
      <w:pPr>
        <w:ind w:left="425" w:hanging="425"/>
      </w:pPr>
      <w:rPr>
        <w:rFonts w:hint="eastAsia" w:ascii="黑体" w:hAnsi="Times New Roman" w:eastAsia="黑体" w:cs="Times New Roman"/>
        <w:b w:val="0"/>
        <w:bCs w:val="0"/>
        <w:i w:val="0"/>
        <w:iCs w:val="0"/>
        <w:caps w:val="0"/>
        <w:smallCaps w:val="0"/>
        <w:strike w:val="0"/>
        <w:dstrike w:val="0"/>
        <w:outline w:val="0"/>
        <w:shadow w:val="0"/>
        <w:emboss w:val="0"/>
        <w:imprint w:val="0"/>
        <w:vanish w:val="0"/>
        <w:color w:val="000000"/>
        <w:spacing w:val="0"/>
        <w:kern w:val="0"/>
        <w:position w:val="0"/>
        <w:sz w:val="21"/>
        <w:szCs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6">
    <w:nsid w:val="60B55DC2"/>
    <w:multiLevelType w:val="multilevel"/>
    <w:tmpl w:val="60B55DC2"/>
    <w:lvl w:ilvl="0" w:tentative="0">
      <w:start w:val="1"/>
      <w:numFmt w:val="upperLetter"/>
      <w:pStyle w:val="186"/>
      <w:lvlText w:val="%1"/>
      <w:lvlJc w:val="left"/>
      <w:pPr>
        <w:tabs>
          <w:tab w:val="left" w:pos="0"/>
        </w:tabs>
        <w:ind w:left="0" w:hanging="425"/>
      </w:pPr>
      <w:rPr>
        <w:rFonts w:hint="eastAsia"/>
      </w:rPr>
    </w:lvl>
    <w:lvl w:ilvl="1" w:tentative="0">
      <w:start w:val="1"/>
      <w:numFmt w:val="decimal"/>
      <w:pStyle w:val="18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7">
    <w:nsid w:val="646260FA"/>
    <w:multiLevelType w:val="multilevel"/>
    <w:tmpl w:val="646260FA"/>
    <w:lvl w:ilvl="0" w:tentative="0">
      <w:start w:val="1"/>
      <w:numFmt w:val="decimal"/>
      <w:pStyle w:val="21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8">
    <w:nsid w:val="6648274C"/>
    <w:multiLevelType w:val="multilevel"/>
    <w:tmpl w:val="6648274C"/>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9">
    <w:nsid w:val="688D48AF"/>
    <w:multiLevelType w:val="multilevel"/>
    <w:tmpl w:val="688D48AF"/>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0">
    <w:nsid w:val="68D7435F"/>
    <w:multiLevelType w:val="multilevel"/>
    <w:tmpl w:val="68D7435F"/>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1">
    <w:nsid w:val="6CEA2025"/>
    <w:multiLevelType w:val="multilevel"/>
    <w:tmpl w:val="6CEA2025"/>
    <w:lvl w:ilvl="0" w:tentative="0">
      <w:start w:val="1"/>
      <w:numFmt w:val="none"/>
      <w:pStyle w:val="111"/>
      <w:suff w:val="nothing"/>
      <w:lvlText w:val="%1"/>
      <w:lvlJc w:val="left"/>
      <w:pPr>
        <w:ind w:left="0" w:firstLine="0"/>
      </w:pPr>
      <w:rPr>
        <w:rFonts w:hint="default" w:ascii="Times New Roman" w:hAnsi="Times New Roman"/>
        <w:b/>
        <w:i w:val="0"/>
        <w:sz w:val="21"/>
      </w:rPr>
    </w:lvl>
    <w:lvl w:ilvl="1" w:tentative="0">
      <w:start w:val="1"/>
      <w:numFmt w:val="decimal"/>
      <w:pStyle w:val="112"/>
      <w:suff w:val="nothing"/>
      <w:lvlText w:val="%1%2　"/>
      <w:lvlJc w:val="left"/>
      <w:pPr>
        <w:ind w:left="0" w:firstLine="0"/>
      </w:pPr>
      <w:rPr>
        <w:rFonts w:hint="eastAsia" w:ascii="黑体" w:hAnsi="Times New Roman" w:eastAsia="黑体"/>
        <w:b w:val="0"/>
        <w:i w:val="0"/>
        <w:sz w:val="21"/>
      </w:rPr>
    </w:lvl>
    <w:lvl w:ilvl="2" w:tentative="0">
      <w:start w:val="1"/>
      <w:numFmt w:val="decimal"/>
      <w:pStyle w:val="113"/>
      <w:suff w:val="nothing"/>
      <w:lvlText w:val="%1%2.%3　"/>
      <w:lvlJc w:val="left"/>
      <w:pPr>
        <w:ind w:left="180" w:firstLine="0"/>
      </w:pPr>
      <w:rPr>
        <w:rFonts w:hint="eastAsia" w:ascii="黑体" w:hAnsi="Times New Roman" w:eastAsia="黑体"/>
        <w:b w:val="0"/>
        <w:i w:val="0"/>
        <w:sz w:val="21"/>
      </w:rPr>
    </w:lvl>
    <w:lvl w:ilvl="3" w:tentative="0">
      <w:start w:val="1"/>
      <w:numFmt w:val="decimal"/>
      <w:pStyle w:val="114"/>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2">
    <w:nsid w:val="6D6C07CD"/>
    <w:multiLevelType w:val="multilevel"/>
    <w:tmpl w:val="6D6C07CD"/>
    <w:lvl w:ilvl="0" w:tentative="0">
      <w:start w:val="1"/>
      <w:numFmt w:val="lowerLetter"/>
      <w:lvlText w:val="%1)"/>
      <w:lvlJc w:val="left"/>
      <w:pPr>
        <w:tabs>
          <w:tab w:val="left" w:pos="839"/>
        </w:tabs>
        <w:ind w:left="839" w:hanging="419"/>
      </w:pPr>
      <w:rPr>
        <w:rFonts w:hint="eastAsia" w:ascii="宋体" w:eastAsia="宋体"/>
        <w:b w:val="0"/>
        <w:i w:val="0"/>
        <w:sz w:val="21"/>
      </w:rPr>
    </w:lvl>
    <w:lvl w:ilvl="1" w:tentative="0">
      <w:start w:val="1"/>
      <w:numFmt w:val="decimal"/>
      <w:pStyle w:val="19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43">
    <w:nsid w:val="75B75225"/>
    <w:multiLevelType w:val="multilevel"/>
    <w:tmpl w:val="75B75225"/>
    <w:lvl w:ilvl="0" w:tentative="0">
      <w:start w:val="1"/>
      <w:numFmt w:val="decimal"/>
      <w:pStyle w:val="170"/>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44">
    <w:nsid w:val="7681061B"/>
    <w:multiLevelType w:val="multilevel"/>
    <w:tmpl w:val="7681061B"/>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5">
    <w:nsid w:val="7A9A48A6"/>
    <w:multiLevelType w:val="multilevel"/>
    <w:tmpl w:val="7A9A48A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5"/>
  </w:num>
  <w:num w:numId="2">
    <w:abstractNumId w:val="17"/>
  </w:num>
  <w:num w:numId="3">
    <w:abstractNumId w:val="4"/>
  </w:num>
  <w:num w:numId="4">
    <w:abstractNumId w:val="3"/>
  </w:num>
  <w:num w:numId="5">
    <w:abstractNumId w:val="23"/>
  </w:num>
  <w:num w:numId="6">
    <w:abstractNumId w:val="12"/>
  </w:num>
  <w:num w:numId="7">
    <w:abstractNumId w:val="7"/>
  </w:num>
  <w:num w:numId="8">
    <w:abstractNumId w:val="41"/>
  </w:num>
  <w:num w:numId="9">
    <w:abstractNumId w:val="20"/>
  </w:num>
  <w:num w:numId="10">
    <w:abstractNumId w:val="27"/>
  </w:num>
  <w:num w:numId="11">
    <w:abstractNumId w:val="9"/>
  </w:num>
  <w:num w:numId="12">
    <w:abstractNumId w:val="43"/>
  </w:num>
  <w:num w:numId="13">
    <w:abstractNumId w:val="16"/>
  </w:num>
  <w:num w:numId="14">
    <w:abstractNumId w:val="36"/>
  </w:num>
  <w:num w:numId="15">
    <w:abstractNumId w:val="42"/>
  </w:num>
  <w:num w:numId="16">
    <w:abstractNumId w:val="19"/>
  </w:num>
  <w:num w:numId="17">
    <w:abstractNumId w:val="10"/>
  </w:num>
  <w:num w:numId="18">
    <w:abstractNumId w:val="29"/>
  </w:num>
  <w:num w:numId="19">
    <w:abstractNumId w:val="28"/>
  </w:num>
  <w:num w:numId="20">
    <w:abstractNumId w:val="37"/>
  </w:num>
  <w:num w:numId="21">
    <w:abstractNumId w:val="31"/>
  </w:num>
  <w:num w:numId="22">
    <w:abstractNumId w:val="24"/>
  </w:num>
  <w:num w:numId="23">
    <w:abstractNumId w:val="8"/>
  </w:num>
  <w:num w:numId="24">
    <w:abstractNumId w:val="30"/>
  </w:num>
  <w:num w:numId="25">
    <w:abstractNumId w:val="6"/>
  </w:num>
  <w:num w:numId="26">
    <w:abstractNumId w:val="5"/>
  </w:num>
  <w:num w:numId="27">
    <w:abstractNumId w:val="18"/>
  </w:num>
  <w:num w:numId="28">
    <w:abstractNumId w:val="0"/>
  </w:num>
  <w:num w:numId="29">
    <w:abstractNumId w:val="44"/>
  </w:num>
  <w:num w:numId="30">
    <w:abstractNumId w:val="26"/>
  </w:num>
  <w:num w:numId="31">
    <w:abstractNumId w:val="21"/>
  </w:num>
  <w:num w:numId="32">
    <w:abstractNumId w:val="39"/>
  </w:num>
  <w:num w:numId="33">
    <w:abstractNumId w:val="14"/>
  </w:num>
  <w:num w:numId="34">
    <w:abstractNumId w:val="1"/>
  </w:num>
  <w:num w:numId="35">
    <w:abstractNumId w:val="22"/>
  </w:num>
  <w:num w:numId="36">
    <w:abstractNumId w:val="2"/>
  </w:num>
  <w:num w:numId="37">
    <w:abstractNumId w:val="32"/>
  </w:num>
  <w:num w:numId="38">
    <w:abstractNumId w:val="34"/>
  </w:num>
  <w:num w:numId="39">
    <w:abstractNumId w:val="25"/>
  </w:num>
  <w:num w:numId="40">
    <w:abstractNumId w:val="13"/>
  </w:num>
  <w:num w:numId="41">
    <w:abstractNumId w:val="40"/>
  </w:num>
  <w:num w:numId="42">
    <w:abstractNumId w:val="45"/>
  </w:num>
  <w:num w:numId="43">
    <w:abstractNumId w:val="38"/>
  </w:num>
  <w:num w:numId="44">
    <w:abstractNumId w:val="33"/>
  </w:num>
  <w:num w:numId="45">
    <w:abstractNumId w:val="15"/>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2M2NjMTRkZTU2ZGYwZDQ1ZDc1OTNiZGRjYWY0OTQifQ=="/>
  </w:docVars>
  <w:rsids>
    <w:rsidRoot w:val="00B65DC1"/>
    <w:rsid w:val="000029AC"/>
    <w:rsid w:val="00011CB4"/>
    <w:rsid w:val="00021FC5"/>
    <w:rsid w:val="000258C8"/>
    <w:rsid w:val="0002626F"/>
    <w:rsid w:val="000267DC"/>
    <w:rsid w:val="000317BA"/>
    <w:rsid w:val="00035000"/>
    <w:rsid w:val="000428F9"/>
    <w:rsid w:val="00056021"/>
    <w:rsid w:val="00064452"/>
    <w:rsid w:val="000722B1"/>
    <w:rsid w:val="00093D3C"/>
    <w:rsid w:val="000A37B8"/>
    <w:rsid w:val="000A3B37"/>
    <w:rsid w:val="000A65D0"/>
    <w:rsid w:val="000B15F2"/>
    <w:rsid w:val="000B43C0"/>
    <w:rsid w:val="000C6BB0"/>
    <w:rsid w:val="000D0B79"/>
    <w:rsid w:val="000D1CB0"/>
    <w:rsid w:val="000D731C"/>
    <w:rsid w:val="000E0349"/>
    <w:rsid w:val="000E278D"/>
    <w:rsid w:val="000E6032"/>
    <w:rsid w:val="000F3504"/>
    <w:rsid w:val="000F7D4D"/>
    <w:rsid w:val="00101DAA"/>
    <w:rsid w:val="001101B2"/>
    <w:rsid w:val="00112743"/>
    <w:rsid w:val="001215C0"/>
    <w:rsid w:val="00121A9F"/>
    <w:rsid w:val="00123C4F"/>
    <w:rsid w:val="0012704E"/>
    <w:rsid w:val="00127878"/>
    <w:rsid w:val="00130A7F"/>
    <w:rsid w:val="00137200"/>
    <w:rsid w:val="0014539D"/>
    <w:rsid w:val="001458CB"/>
    <w:rsid w:val="00146EED"/>
    <w:rsid w:val="0015159F"/>
    <w:rsid w:val="001565AD"/>
    <w:rsid w:val="0015715B"/>
    <w:rsid w:val="00160265"/>
    <w:rsid w:val="001607B7"/>
    <w:rsid w:val="00163D9C"/>
    <w:rsid w:val="0016606F"/>
    <w:rsid w:val="001709B8"/>
    <w:rsid w:val="001734B3"/>
    <w:rsid w:val="00175952"/>
    <w:rsid w:val="00177AD9"/>
    <w:rsid w:val="00181DC9"/>
    <w:rsid w:val="00191796"/>
    <w:rsid w:val="0019580C"/>
    <w:rsid w:val="001A109C"/>
    <w:rsid w:val="001B0862"/>
    <w:rsid w:val="001B48C2"/>
    <w:rsid w:val="001D18FE"/>
    <w:rsid w:val="001E2522"/>
    <w:rsid w:val="001E581B"/>
    <w:rsid w:val="001E6A10"/>
    <w:rsid w:val="001F49B4"/>
    <w:rsid w:val="001F5F0F"/>
    <w:rsid w:val="002133BC"/>
    <w:rsid w:val="002147C7"/>
    <w:rsid w:val="0022327F"/>
    <w:rsid w:val="00236E41"/>
    <w:rsid w:val="002371E6"/>
    <w:rsid w:val="00242804"/>
    <w:rsid w:val="002455FA"/>
    <w:rsid w:val="00254C03"/>
    <w:rsid w:val="00267169"/>
    <w:rsid w:val="00267DAE"/>
    <w:rsid w:val="00272001"/>
    <w:rsid w:val="002816DF"/>
    <w:rsid w:val="00290E83"/>
    <w:rsid w:val="00291E8C"/>
    <w:rsid w:val="002A1AB5"/>
    <w:rsid w:val="002A775C"/>
    <w:rsid w:val="002B0561"/>
    <w:rsid w:val="002B2EAA"/>
    <w:rsid w:val="002B53CA"/>
    <w:rsid w:val="002B5B9B"/>
    <w:rsid w:val="002C0D66"/>
    <w:rsid w:val="002E78BC"/>
    <w:rsid w:val="002F6930"/>
    <w:rsid w:val="00312F7F"/>
    <w:rsid w:val="003151D5"/>
    <w:rsid w:val="00317F69"/>
    <w:rsid w:val="00325058"/>
    <w:rsid w:val="003346EF"/>
    <w:rsid w:val="00346A25"/>
    <w:rsid w:val="00347C94"/>
    <w:rsid w:val="00350C37"/>
    <w:rsid w:val="00351A4E"/>
    <w:rsid w:val="00352664"/>
    <w:rsid w:val="003607F3"/>
    <w:rsid w:val="00360BD0"/>
    <w:rsid w:val="003729D9"/>
    <w:rsid w:val="0037632F"/>
    <w:rsid w:val="00376DF6"/>
    <w:rsid w:val="0037773F"/>
    <w:rsid w:val="003777C2"/>
    <w:rsid w:val="00387B54"/>
    <w:rsid w:val="00392187"/>
    <w:rsid w:val="003A0238"/>
    <w:rsid w:val="003A0718"/>
    <w:rsid w:val="003A1A5D"/>
    <w:rsid w:val="003A3726"/>
    <w:rsid w:val="003A4C4B"/>
    <w:rsid w:val="003B073C"/>
    <w:rsid w:val="003B178C"/>
    <w:rsid w:val="003C5D8D"/>
    <w:rsid w:val="003D3DD7"/>
    <w:rsid w:val="003D6E8A"/>
    <w:rsid w:val="003E03B2"/>
    <w:rsid w:val="003E65AF"/>
    <w:rsid w:val="003E7FC1"/>
    <w:rsid w:val="003F5D89"/>
    <w:rsid w:val="004015E4"/>
    <w:rsid w:val="004021F9"/>
    <w:rsid w:val="00410319"/>
    <w:rsid w:val="00421E2E"/>
    <w:rsid w:val="00423D2C"/>
    <w:rsid w:val="00424487"/>
    <w:rsid w:val="0042483D"/>
    <w:rsid w:val="00426469"/>
    <w:rsid w:val="00427025"/>
    <w:rsid w:val="00430BA7"/>
    <w:rsid w:val="0043538C"/>
    <w:rsid w:val="0043614B"/>
    <w:rsid w:val="00443E48"/>
    <w:rsid w:val="004466C7"/>
    <w:rsid w:val="00451011"/>
    <w:rsid w:val="0045375E"/>
    <w:rsid w:val="00454625"/>
    <w:rsid w:val="00454E51"/>
    <w:rsid w:val="00475BF3"/>
    <w:rsid w:val="0048377C"/>
    <w:rsid w:val="00483F58"/>
    <w:rsid w:val="0048464F"/>
    <w:rsid w:val="00487456"/>
    <w:rsid w:val="004929B7"/>
    <w:rsid w:val="004A2BA6"/>
    <w:rsid w:val="004A62A6"/>
    <w:rsid w:val="004B2F36"/>
    <w:rsid w:val="004C5159"/>
    <w:rsid w:val="004D0997"/>
    <w:rsid w:val="004D4299"/>
    <w:rsid w:val="004D5067"/>
    <w:rsid w:val="004E028C"/>
    <w:rsid w:val="004E0CD6"/>
    <w:rsid w:val="004E3CF5"/>
    <w:rsid w:val="004E5817"/>
    <w:rsid w:val="004E723D"/>
    <w:rsid w:val="004F3AC6"/>
    <w:rsid w:val="00502CE3"/>
    <w:rsid w:val="00515527"/>
    <w:rsid w:val="00522294"/>
    <w:rsid w:val="00525B57"/>
    <w:rsid w:val="0053072B"/>
    <w:rsid w:val="005340EE"/>
    <w:rsid w:val="005407F5"/>
    <w:rsid w:val="0057478B"/>
    <w:rsid w:val="00581F8C"/>
    <w:rsid w:val="00585AA4"/>
    <w:rsid w:val="0059127B"/>
    <w:rsid w:val="005B29C1"/>
    <w:rsid w:val="005B3A9C"/>
    <w:rsid w:val="005B532A"/>
    <w:rsid w:val="005C06C3"/>
    <w:rsid w:val="005C0ED3"/>
    <w:rsid w:val="005C2F75"/>
    <w:rsid w:val="005D096B"/>
    <w:rsid w:val="005D2DAE"/>
    <w:rsid w:val="005F616E"/>
    <w:rsid w:val="00601BA1"/>
    <w:rsid w:val="0060339C"/>
    <w:rsid w:val="006057F1"/>
    <w:rsid w:val="00607E69"/>
    <w:rsid w:val="00622065"/>
    <w:rsid w:val="00623A74"/>
    <w:rsid w:val="00640FCC"/>
    <w:rsid w:val="006425F3"/>
    <w:rsid w:val="00644A84"/>
    <w:rsid w:val="006529B4"/>
    <w:rsid w:val="00653230"/>
    <w:rsid w:val="00655AB1"/>
    <w:rsid w:val="00656888"/>
    <w:rsid w:val="00664717"/>
    <w:rsid w:val="00672689"/>
    <w:rsid w:val="00675FDD"/>
    <w:rsid w:val="006936BE"/>
    <w:rsid w:val="006A066F"/>
    <w:rsid w:val="006A3878"/>
    <w:rsid w:val="006A519F"/>
    <w:rsid w:val="006A657B"/>
    <w:rsid w:val="006B04BB"/>
    <w:rsid w:val="006B2569"/>
    <w:rsid w:val="006C0320"/>
    <w:rsid w:val="006C7448"/>
    <w:rsid w:val="006D4A0C"/>
    <w:rsid w:val="006D6074"/>
    <w:rsid w:val="006E0B17"/>
    <w:rsid w:val="006F2A8D"/>
    <w:rsid w:val="006F2B95"/>
    <w:rsid w:val="006F3989"/>
    <w:rsid w:val="006F555C"/>
    <w:rsid w:val="007000B5"/>
    <w:rsid w:val="0070279C"/>
    <w:rsid w:val="007316FD"/>
    <w:rsid w:val="00735608"/>
    <w:rsid w:val="00737F00"/>
    <w:rsid w:val="0074093F"/>
    <w:rsid w:val="00750887"/>
    <w:rsid w:val="007525EB"/>
    <w:rsid w:val="007530C7"/>
    <w:rsid w:val="007532FE"/>
    <w:rsid w:val="007560D9"/>
    <w:rsid w:val="007614B6"/>
    <w:rsid w:val="00761B00"/>
    <w:rsid w:val="00762081"/>
    <w:rsid w:val="007734AF"/>
    <w:rsid w:val="00773571"/>
    <w:rsid w:val="00775DC1"/>
    <w:rsid w:val="0077756E"/>
    <w:rsid w:val="007A76AE"/>
    <w:rsid w:val="007B3776"/>
    <w:rsid w:val="007B7708"/>
    <w:rsid w:val="007C0E7B"/>
    <w:rsid w:val="007C1749"/>
    <w:rsid w:val="007D7E03"/>
    <w:rsid w:val="007E5631"/>
    <w:rsid w:val="007E6605"/>
    <w:rsid w:val="007F5E99"/>
    <w:rsid w:val="007F6A50"/>
    <w:rsid w:val="00811454"/>
    <w:rsid w:val="00812494"/>
    <w:rsid w:val="008214F6"/>
    <w:rsid w:val="00822B91"/>
    <w:rsid w:val="008356D7"/>
    <w:rsid w:val="0085297E"/>
    <w:rsid w:val="00863EB2"/>
    <w:rsid w:val="00866BA7"/>
    <w:rsid w:val="0086760B"/>
    <w:rsid w:val="0087103D"/>
    <w:rsid w:val="008734A1"/>
    <w:rsid w:val="0088467B"/>
    <w:rsid w:val="00884B97"/>
    <w:rsid w:val="00885B2D"/>
    <w:rsid w:val="00885B77"/>
    <w:rsid w:val="00894C6D"/>
    <w:rsid w:val="008B04EA"/>
    <w:rsid w:val="008B12E0"/>
    <w:rsid w:val="008B4C03"/>
    <w:rsid w:val="008B53AF"/>
    <w:rsid w:val="008B6508"/>
    <w:rsid w:val="008D0653"/>
    <w:rsid w:val="008D13F7"/>
    <w:rsid w:val="008D1BB2"/>
    <w:rsid w:val="008D42CC"/>
    <w:rsid w:val="008F2151"/>
    <w:rsid w:val="008F4ECD"/>
    <w:rsid w:val="00901876"/>
    <w:rsid w:val="00907FCE"/>
    <w:rsid w:val="009215B4"/>
    <w:rsid w:val="009224A7"/>
    <w:rsid w:val="0093136E"/>
    <w:rsid w:val="009350B1"/>
    <w:rsid w:val="009366CE"/>
    <w:rsid w:val="00953DC9"/>
    <w:rsid w:val="00967601"/>
    <w:rsid w:val="0097769B"/>
    <w:rsid w:val="009814BF"/>
    <w:rsid w:val="009822BB"/>
    <w:rsid w:val="009822CD"/>
    <w:rsid w:val="0098332C"/>
    <w:rsid w:val="00984013"/>
    <w:rsid w:val="009A1BB9"/>
    <w:rsid w:val="009A59A5"/>
    <w:rsid w:val="009A72A0"/>
    <w:rsid w:val="009C180B"/>
    <w:rsid w:val="009C1FD1"/>
    <w:rsid w:val="009C23B2"/>
    <w:rsid w:val="009C5045"/>
    <w:rsid w:val="009C74C7"/>
    <w:rsid w:val="009D34BF"/>
    <w:rsid w:val="009D34CC"/>
    <w:rsid w:val="009E0E96"/>
    <w:rsid w:val="009E35CC"/>
    <w:rsid w:val="009E364B"/>
    <w:rsid w:val="009E7416"/>
    <w:rsid w:val="009F3117"/>
    <w:rsid w:val="009F5676"/>
    <w:rsid w:val="00A004E8"/>
    <w:rsid w:val="00A02674"/>
    <w:rsid w:val="00A041C2"/>
    <w:rsid w:val="00A0638C"/>
    <w:rsid w:val="00A06AD9"/>
    <w:rsid w:val="00A077B7"/>
    <w:rsid w:val="00A07BD7"/>
    <w:rsid w:val="00A14B42"/>
    <w:rsid w:val="00A14BD0"/>
    <w:rsid w:val="00A16335"/>
    <w:rsid w:val="00A22EAD"/>
    <w:rsid w:val="00A24C13"/>
    <w:rsid w:val="00A357F7"/>
    <w:rsid w:val="00A377A2"/>
    <w:rsid w:val="00A43F62"/>
    <w:rsid w:val="00A620C0"/>
    <w:rsid w:val="00A671A7"/>
    <w:rsid w:val="00A713F5"/>
    <w:rsid w:val="00A7416E"/>
    <w:rsid w:val="00A825FF"/>
    <w:rsid w:val="00A84B1F"/>
    <w:rsid w:val="00A866D9"/>
    <w:rsid w:val="00AA3031"/>
    <w:rsid w:val="00AA325C"/>
    <w:rsid w:val="00AA7B10"/>
    <w:rsid w:val="00AC09EC"/>
    <w:rsid w:val="00AC110A"/>
    <w:rsid w:val="00AC7FFA"/>
    <w:rsid w:val="00AD1250"/>
    <w:rsid w:val="00AD3619"/>
    <w:rsid w:val="00AD4D9F"/>
    <w:rsid w:val="00AD6DA6"/>
    <w:rsid w:val="00AD7A5F"/>
    <w:rsid w:val="00AE11E7"/>
    <w:rsid w:val="00AE4F38"/>
    <w:rsid w:val="00AF31F0"/>
    <w:rsid w:val="00B04F7D"/>
    <w:rsid w:val="00B13FF8"/>
    <w:rsid w:val="00B2473D"/>
    <w:rsid w:val="00B27CED"/>
    <w:rsid w:val="00B31065"/>
    <w:rsid w:val="00B359C8"/>
    <w:rsid w:val="00B4248C"/>
    <w:rsid w:val="00B4334F"/>
    <w:rsid w:val="00B47083"/>
    <w:rsid w:val="00B55F15"/>
    <w:rsid w:val="00B62268"/>
    <w:rsid w:val="00B64542"/>
    <w:rsid w:val="00B65DC1"/>
    <w:rsid w:val="00B77593"/>
    <w:rsid w:val="00B803BE"/>
    <w:rsid w:val="00B82E1A"/>
    <w:rsid w:val="00B869C3"/>
    <w:rsid w:val="00B92066"/>
    <w:rsid w:val="00BA560C"/>
    <w:rsid w:val="00BA74B1"/>
    <w:rsid w:val="00BA7EB0"/>
    <w:rsid w:val="00BB0FD8"/>
    <w:rsid w:val="00BB2BA4"/>
    <w:rsid w:val="00BB427D"/>
    <w:rsid w:val="00BB58B5"/>
    <w:rsid w:val="00BB67A6"/>
    <w:rsid w:val="00BB7E00"/>
    <w:rsid w:val="00BC23C2"/>
    <w:rsid w:val="00BC53AA"/>
    <w:rsid w:val="00BC6D8F"/>
    <w:rsid w:val="00BC7B47"/>
    <w:rsid w:val="00BE3B0E"/>
    <w:rsid w:val="00BF44E3"/>
    <w:rsid w:val="00C05C3A"/>
    <w:rsid w:val="00C06C26"/>
    <w:rsid w:val="00C17C03"/>
    <w:rsid w:val="00C22025"/>
    <w:rsid w:val="00C23B16"/>
    <w:rsid w:val="00C26113"/>
    <w:rsid w:val="00C26D60"/>
    <w:rsid w:val="00C278E1"/>
    <w:rsid w:val="00C43240"/>
    <w:rsid w:val="00C4331D"/>
    <w:rsid w:val="00C51896"/>
    <w:rsid w:val="00C55E76"/>
    <w:rsid w:val="00C62B48"/>
    <w:rsid w:val="00C62E17"/>
    <w:rsid w:val="00C66037"/>
    <w:rsid w:val="00C771B5"/>
    <w:rsid w:val="00C81D35"/>
    <w:rsid w:val="00C84CD6"/>
    <w:rsid w:val="00C84EFD"/>
    <w:rsid w:val="00C879BE"/>
    <w:rsid w:val="00C95ED0"/>
    <w:rsid w:val="00C97C17"/>
    <w:rsid w:val="00CA1357"/>
    <w:rsid w:val="00CA1BB4"/>
    <w:rsid w:val="00CA6BE8"/>
    <w:rsid w:val="00CB42D2"/>
    <w:rsid w:val="00CC2DE6"/>
    <w:rsid w:val="00CD1F9C"/>
    <w:rsid w:val="00CD35B8"/>
    <w:rsid w:val="00CE3935"/>
    <w:rsid w:val="00CE48D2"/>
    <w:rsid w:val="00CF029E"/>
    <w:rsid w:val="00CF6C5F"/>
    <w:rsid w:val="00D0239C"/>
    <w:rsid w:val="00D0397D"/>
    <w:rsid w:val="00D0456A"/>
    <w:rsid w:val="00D07A28"/>
    <w:rsid w:val="00D22999"/>
    <w:rsid w:val="00D24726"/>
    <w:rsid w:val="00D3127B"/>
    <w:rsid w:val="00D3286B"/>
    <w:rsid w:val="00D34129"/>
    <w:rsid w:val="00D36EF6"/>
    <w:rsid w:val="00D40B53"/>
    <w:rsid w:val="00D417D7"/>
    <w:rsid w:val="00D477F0"/>
    <w:rsid w:val="00D479C0"/>
    <w:rsid w:val="00D508E2"/>
    <w:rsid w:val="00D5132E"/>
    <w:rsid w:val="00D562F2"/>
    <w:rsid w:val="00D57515"/>
    <w:rsid w:val="00D655A1"/>
    <w:rsid w:val="00D70B7B"/>
    <w:rsid w:val="00D75C9F"/>
    <w:rsid w:val="00D810B7"/>
    <w:rsid w:val="00D84F26"/>
    <w:rsid w:val="00D95935"/>
    <w:rsid w:val="00D97674"/>
    <w:rsid w:val="00DA052D"/>
    <w:rsid w:val="00DA3536"/>
    <w:rsid w:val="00DA5563"/>
    <w:rsid w:val="00DB21A1"/>
    <w:rsid w:val="00DB3ED0"/>
    <w:rsid w:val="00DB6738"/>
    <w:rsid w:val="00DC0699"/>
    <w:rsid w:val="00DD7106"/>
    <w:rsid w:val="00DE5F33"/>
    <w:rsid w:val="00DE7585"/>
    <w:rsid w:val="00DF2510"/>
    <w:rsid w:val="00E039FE"/>
    <w:rsid w:val="00E045EC"/>
    <w:rsid w:val="00E10989"/>
    <w:rsid w:val="00E1100C"/>
    <w:rsid w:val="00E128E0"/>
    <w:rsid w:val="00E1681A"/>
    <w:rsid w:val="00E22FC2"/>
    <w:rsid w:val="00E31B49"/>
    <w:rsid w:val="00E3303B"/>
    <w:rsid w:val="00E43293"/>
    <w:rsid w:val="00E44B10"/>
    <w:rsid w:val="00E44C6E"/>
    <w:rsid w:val="00E51A86"/>
    <w:rsid w:val="00E6262C"/>
    <w:rsid w:val="00E73C51"/>
    <w:rsid w:val="00E771AD"/>
    <w:rsid w:val="00E81611"/>
    <w:rsid w:val="00E957F3"/>
    <w:rsid w:val="00EA0028"/>
    <w:rsid w:val="00EA4172"/>
    <w:rsid w:val="00EA5210"/>
    <w:rsid w:val="00EC115B"/>
    <w:rsid w:val="00ED4581"/>
    <w:rsid w:val="00EE20E0"/>
    <w:rsid w:val="00EE3279"/>
    <w:rsid w:val="00EF0470"/>
    <w:rsid w:val="00EF096C"/>
    <w:rsid w:val="00EF37DB"/>
    <w:rsid w:val="00F045A7"/>
    <w:rsid w:val="00F10C81"/>
    <w:rsid w:val="00F1303C"/>
    <w:rsid w:val="00F1365D"/>
    <w:rsid w:val="00F13DD2"/>
    <w:rsid w:val="00F1556F"/>
    <w:rsid w:val="00F23A17"/>
    <w:rsid w:val="00F32605"/>
    <w:rsid w:val="00F3275C"/>
    <w:rsid w:val="00F35A63"/>
    <w:rsid w:val="00F436F2"/>
    <w:rsid w:val="00F43A63"/>
    <w:rsid w:val="00F47022"/>
    <w:rsid w:val="00F47A0C"/>
    <w:rsid w:val="00F5047C"/>
    <w:rsid w:val="00F52745"/>
    <w:rsid w:val="00F53388"/>
    <w:rsid w:val="00F65130"/>
    <w:rsid w:val="00F65417"/>
    <w:rsid w:val="00F714F0"/>
    <w:rsid w:val="00F73F38"/>
    <w:rsid w:val="00F936D9"/>
    <w:rsid w:val="00F973DB"/>
    <w:rsid w:val="00FA066E"/>
    <w:rsid w:val="00FA1036"/>
    <w:rsid w:val="00FA52E2"/>
    <w:rsid w:val="00FB7037"/>
    <w:rsid w:val="00FC7C5E"/>
    <w:rsid w:val="00FD3638"/>
    <w:rsid w:val="00FE0855"/>
    <w:rsid w:val="00FE229C"/>
    <w:rsid w:val="00FF1764"/>
    <w:rsid w:val="00FF34F7"/>
    <w:rsid w:val="012670EA"/>
    <w:rsid w:val="01756218"/>
    <w:rsid w:val="020E6E43"/>
    <w:rsid w:val="025832D3"/>
    <w:rsid w:val="02BD7928"/>
    <w:rsid w:val="030376E3"/>
    <w:rsid w:val="035074E2"/>
    <w:rsid w:val="036839EA"/>
    <w:rsid w:val="03724379"/>
    <w:rsid w:val="037F783A"/>
    <w:rsid w:val="03F51722"/>
    <w:rsid w:val="04941B4A"/>
    <w:rsid w:val="04F11B66"/>
    <w:rsid w:val="05B1452E"/>
    <w:rsid w:val="06B01930"/>
    <w:rsid w:val="07121AA2"/>
    <w:rsid w:val="072B3AEB"/>
    <w:rsid w:val="075E313A"/>
    <w:rsid w:val="084542FA"/>
    <w:rsid w:val="0878647D"/>
    <w:rsid w:val="089E1688"/>
    <w:rsid w:val="08C571E9"/>
    <w:rsid w:val="090547AB"/>
    <w:rsid w:val="09273A00"/>
    <w:rsid w:val="095E48BF"/>
    <w:rsid w:val="09F61AD0"/>
    <w:rsid w:val="0A782413"/>
    <w:rsid w:val="0B4E1717"/>
    <w:rsid w:val="0B776EC0"/>
    <w:rsid w:val="0C0A1AE2"/>
    <w:rsid w:val="0C1225A0"/>
    <w:rsid w:val="0C59380E"/>
    <w:rsid w:val="0C5B233E"/>
    <w:rsid w:val="0C8F3F50"/>
    <w:rsid w:val="0CA11C55"/>
    <w:rsid w:val="0DF4185C"/>
    <w:rsid w:val="0E4017EB"/>
    <w:rsid w:val="1038336E"/>
    <w:rsid w:val="1053332C"/>
    <w:rsid w:val="106519DD"/>
    <w:rsid w:val="108B6BC6"/>
    <w:rsid w:val="10FC06C6"/>
    <w:rsid w:val="1154735C"/>
    <w:rsid w:val="12135469"/>
    <w:rsid w:val="12A165D1"/>
    <w:rsid w:val="12CC269D"/>
    <w:rsid w:val="12FE1C75"/>
    <w:rsid w:val="136E2100"/>
    <w:rsid w:val="13FC4407"/>
    <w:rsid w:val="147F6DE6"/>
    <w:rsid w:val="15264CBF"/>
    <w:rsid w:val="152D5D84"/>
    <w:rsid w:val="15CA5E3E"/>
    <w:rsid w:val="15E50ECA"/>
    <w:rsid w:val="164C726B"/>
    <w:rsid w:val="1719707D"/>
    <w:rsid w:val="1763479D"/>
    <w:rsid w:val="17A8423E"/>
    <w:rsid w:val="17D95B64"/>
    <w:rsid w:val="17F43ABA"/>
    <w:rsid w:val="1833416F"/>
    <w:rsid w:val="18B828C6"/>
    <w:rsid w:val="18BA7150"/>
    <w:rsid w:val="18D53478"/>
    <w:rsid w:val="18F643B3"/>
    <w:rsid w:val="1A8655EE"/>
    <w:rsid w:val="1AA11864"/>
    <w:rsid w:val="1AE654C9"/>
    <w:rsid w:val="1B2E0C1E"/>
    <w:rsid w:val="1B473B2B"/>
    <w:rsid w:val="1B542A6C"/>
    <w:rsid w:val="1B662AAD"/>
    <w:rsid w:val="1B8A22F8"/>
    <w:rsid w:val="1C3404B6"/>
    <w:rsid w:val="1CA05134"/>
    <w:rsid w:val="1CBB1B1D"/>
    <w:rsid w:val="1D0205B4"/>
    <w:rsid w:val="1D70376F"/>
    <w:rsid w:val="1DC67833"/>
    <w:rsid w:val="1E37428D"/>
    <w:rsid w:val="1E4B0A5F"/>
    <w:rsid w:val="1F273E09"/>
    <w:rsid w:val="1FB060A5"/>
    <w:rsid w:val="1FFD700C"/>
    <w:rsid w:val="203B5E14"/>
    <w:rsid w:val="20631369"/>
    <w:rsid w:val="20E8359B"/>
    <w:rsid w:val="20EB098B"/>
    <w:rsid w:val="20F3093F"/>
    <w:rsid w:val="21505D92"/>
    <w:rsid w:val="217556E6"/>
    <w:rsid w:val="217750CC"/>
    <w:rsid w:val="217D38DC"/>
    <w:rsid w:val="21E90CBF"/>
    <w:rsid w:val="21F3724D"/>
    <w:rsid w:val="21FE759C"/>
    <w:rsid w:val="22877591"/>
    <w:rsid w:val="22C630D1"/>
    <w:rsid w:val="22D4654E"/>
    <w:rsid w:val="23563407"/>
    <w:rsid w:val="23904CF4"/>
    <w:rsid w:val="24F9645C"/>
    <w:rsid w:val="25201F1F"/>
    <w:rsid w:val="257B56AD"/>
    <w:rsid w:val="264E1F81"/>
    <w:rsid w:val="26AB75C6"/>
    <w:rsid w:val="26BA0E40"/>
    <w:rsid w:val="279C5F55"/>
    <w:rsid w:val="27A04C51"/>
    <w:rsid w:val="27C34EED"/>
    <w:rsid w:val="280478D6"/>
    <w:rsid w:val="282E3C6D"/>
    <w:rsid w:val="28341F69"/>
    <w:rsid w:val="28D42E04"/>
    <w:rsid w:val="2940493E"/>
    <w:rsid w:val="294D7623"/>
    <w:rsid w:val="2964062C"/>
    <w:rsid w:val="29B37460"/>
    <w:rsid w:val="29B42258"/>
    <w:rsid w:val="29C21847"/>
    <w:rsid w:val="29E74DB9"/>
    <w:rsid w:val="2AA42CAA"/>
    <w:rsid w:val="2AE47B0A"/>
    <w:rsid w:val="2B585F6F"/>
    <w:rsid w:val="2B724BED"/>
    <w:rsid w:val="2C7A3CC3"/>
    <w:rsid w:val="2C8E101A"/>
    <w:rsid w:val="2D7C3388"/>
    <w:rsid w:val="2DAA682A"/>
    <w:rsid w:val="2DB33930"/>
    <w:rsid w:val="2E7F65AD"/>
    <w:rsid w:val="2EBF6305"/>
    <w:rsid w:val="2EF55291"/>
    <w:rsid w:val="2EFA1AD4"/>
    <w:rsid w:val="2EFF2BA5"/>
    <w:rsid w:val="2F9B3407"/>
    <w:rsid w:val="2FF975F4"/>
    <w:rsid w:val="30E20088"/>
    <w:rsid w:val="310E2234"/>
    <w:rsid w:val="31104BF6"/>
    <w:rsid w:val="312406A1"/>
    <w:rsid w:val="31A6555A"/>
    <w:rsid w:val="31D85FEC"/>
    <w:rsid w:val="3442156A"/>
    <w:rsid w:val="346C157F"/>
    <w:rsid w:val="347D07F4"/>
    <w:rsid w:val="352549E8"/>
    <w:rsid w:val="352F6740"/>
    <w:rsid w:val="354C3E46"/>
    <w:rsid w:val="36201D7F"/>
    <w:rsid w:val="36E56469"/>
    <w:rsid w:val="37581EDF"/>
    <w:rsid w:val="37605DBF"/>
    <w:rsid w:val="37703653"/>
    <w:rsid w:val="377759CE"/>
    <w:rsid w:val="37B77B03"/>
    <w:rsid w:val="38056B0C"/>
    <w:rsid w:val="38174ABC"/>
    <w:rsid w:val="3825542A"/>
    <w:rsid w:val="38874502"/>
    <w:rsid w:val="391072E1"/>
    <w:rsid w:val="39882115"/>
    <w:rsid w:val="39A849EE"/>
    <w:rsid w:val="39C26CA9"/>
    <w:rsid w:val="3B2E2848"/>
    <w:rsid w:val="3BCE402B"/>
    <w:rsid w:val="3BE253E0"/>
    <w:rsid w:val="3C2F24BE"/>
    <w:rsid w:val="3CB925E5"/>
    <w:rsid w:val="3DF37D79"/>
    <w:rsid w:val="3EA5704B"/>
    <w:rsid w:val="3F357653"/>
    <w:rsid w:val="3F514AE3"/>
    <w:rsid w:val="3F7D78FA"/>
    <w:rsid w:val="3FBE40FC"/>
    <w:rsid w:val="3FCA4B09"/>
    <w:rsid w:val="3FF658FE"/>
    <w:rsid w:val="3FFF772B"/>
    <w:rsid w:val="400718BA"/>
    <w:rsid w:val="40E570C4"/>
    <w:rsid w:val="41820EFF"/>
    <w:rsid w:val="419E0CFC"/>
    <w:rsid w:val="41EA65E9"/>
    <w:rsid w:val="427A5F20"/>
    <w:rsid w:val="42FE4D96"/>
    <w:rsid w:val="43447715"/>
    <w:rsid w:val="4348021F"/>
    <w:rsid w:val="436112E1"/>
    <w:rsid w:val="4374370A"/>
    <w:rsid w:val="439E0787"/>
    <w:rsid w:val="43F3462F"/>
    <w:rsid w:val="441F0A36"/>
    <w:rsid w:val="447137A5"/>
    <w:rsid w:val="4549052D"/>
    <w:rsid w:val="455865A8"/>
    <w:rsid w:val="45757505"/>
    <w:rsid w:val="459C0CF6"/>
    <w:rsid w:val="45AE7B36"/>
    <w:rsid w:val="45F8417E"/>
    <w:rsid w:val="46116FEE"/>
    <w:rsid w:val="4688743B"/>
    <w:rsid w:val="46C91536"/>
    <w:rsid w:val="47246761"/>
    <w:rsid w:val="475C698F"/>
    <w:rsid w:val="47727F60"/>
    <w:rsid w:val="47F40975"/>
    <w:rsid w:val="48050DD4"/>
    <w:rsid w:val="48485F77"/>
    <w:rsid w:val="48C2624C"/>
    <w:rsid w:val="48FF502F"/>
    <w:rsid w:val="494D1CF0"/>
    <w:rsid w:val="497004D0"/>
    <w:rsid w:val="49A95790"/>
    <w:rsid w:val="49AA31C8"/>
    <w:rsid w:val="4B7B7073"/>
    <w:rsid w:val="4B8B339F"/>
    <w:rsid w:val="4BC251A7"/>
    <w:rsid w:val="4BCD40B9"/>
    <w:rsid w:val="4BCE14DD"/>
    <w:rsid w:val="4BCF3BD3"/>
    <w:rsid w:val="4BFC604B"/>
    <w:rsid w:val="4C251A45"/>
    <w:rsid w:val="4C520416"/>
    <w:rsid w:val="4CCD238C"/>
    <w:rsid w:val="4CF60CEC"/>
    <w:rsid w:val="4D203215"/>
    <w:rsid w:val="4DD86643"/>
    <w:rsid w:val="4E1C4782"/>
    <w:rsid w:val="4EFC63A0"/>
    <w:rsid w:val="4F25045F"/>
    <w:rsid w:val="4F61018C"/>
    <w:rsid w:val="4F7F321A"/>
    <w:rsid w:val="4FA30488"/>
    <w:rsid w:val="502F4C40"/>
    <w:rsid w:val="507C775A"/>
    <w:rsid w:val="50A6410D"/>
    <w:rsid w:val="515F4D2C"/>
    <w:rsid w:val="51E101BC"/>
    <w:rsid w:val="51EE6435"/>
    <w:rsid w:val="522462FB"/>
    <w:rsid w:val="522D3402"/>
    <w:rsid w:val="52A1794C"/>
    <w:rsid w:val="52B14BB5"/>
    <w:rsid w:val="533B5CF7"/>
    <w:rsid w:val="53602EF9"/>
    <w:rsid w:val="53E711D0"/>
    <w:rsid w:val="540D34EB"/>
    <w:rsid w:val="54680721"/>
    <w:rsid w:val="54695134"/>
    <w:rsid w:val="54977258"/>
    <w:rsid w:val="559D59A6"/>
    <w:rsid w:val="560D30A7"/>
    <w:rsid w:val="56A25A40"/>
    <w:rsid w:val="56A30136"/>
    <w:rsid w:val="56B3001C"/>
    <w:rsid w:val="56BD287A"/>
    <w:rsid w:val="56C854A7"/>
    <w:rsid w:val="57C43454"/>
    <w:rsid w:val="57C9597B"/>
    <w:rsid w:val="57CC0EEE"/>
    <w:rsid w:val="587263B1"/>
    <w:rsid w:val="587F24DD"/>
    <w:rsid w:val="58A96655"/>
    <w:rsid w:val="58D26AB1"/>
    <w:rsid w:val="59513E7A"/>
    <w:rsid w:val="5A5676CA"/>
    <w:rsid w:val="5A627BC3"/>
    <w:rsid w:val="5ABA5A4E"/>
    <w:rsid w:val="5ACE5056"/>
    <w:rsid w:val="5B4A7359"/>
    <w:rsid w:val="5B62075A"/>
    <w:rsid w:val="5B9576D6"/>
    <w:rsid w:val="5BF82712"/>
    <w:rsid w:val="5C0B67AD"/>
    <w:rsid w:val="5C2018E1"/>
    <w:rsid w:val="5C9672EC"/>
    <w:rsid w:val="5CA06C8E"/>
    <w:rsid w:val="5D700DD3"/>
    <w:rsid w:val="5E251431"/>
    <w:rsid w:val="5E9143CD"/>
    <w:rsid w:val="5EE74938"/>
    <w:rsid w:val="5F4C2FFA"/>
    <w:rsid w:val="5FFC3BE2"/>
    <w:rsid w:val="5FFE63DD"/>
    <w:rsid w:val="612A3E6B"/>
    <w:rsid w:val="622A170C"/>
    <w:rsid w:val="62467BC8"/>
    <w:rsid w:val="629B7F14"/>
    <w:rsid w:val="62CA25A7"/>
    <w:rsid w:val="638D6D14"/>
    <w:rsid w:val="63C7541B"/>
    <w:rsid w:val="6404672A"/>
    <w:rsid w:val="648B1196"/>
    <w:rsid w:val="649B001C"/>
    <w:rsid w:val="65952DCD"/>
    <w:rsid w:val="659539A6"/>
    <w:rsid w:val="66082D77"/>
    <w:rsid w:val="66993E68"/>
    <w:rsid w:val="6700695C"/>
    <w:rsid w:val="67B16889"/>
    <w:rsid w:val="67E53FEE"/>
    <w:rsid w:val="67E83560"/>
    <w:rsid w:val="68356714"/>
    <w:rsid w:val="683A1F7D"/>
    <w:rsid w:val="685E3EBD"/>
    <w:rsid w:val="68D27727"/>
    <w:rsid w:val="69134D93"/>
    <w:rsid w:val="696175E4"/>
    <w:rsid w:val="6A7D7EB6"/>
    <w:rsid w:val="6C2C14E7"/>
    <w:rsid w:val="6C2E3BA6"/>
    <w:rsid w:val="6D6668C3"/>
    <w:rsid w:val="6DA32372"/>
    <w:rsid w:val="6DEF2754"/>
    <w:rsid w:val="6E374346"/>
    <w:rsid w:val="6ED32675"/>
    <w:rsid w:val="6F0262AB"/>
    <w:rsid w:val="6F174DC6"/>
    <w:rsid w:val="6F2319BD"/>
    <w:rsid w:val="6FB10D76"/>
    <w:rsid w:val="6FDA1996"/>
    <w:rsid w:val="70125274"/>
    <w:rsid w:val="70BD199D"/>
    <w:rsid w:val="71381023"/>
    <w:rsid w:val="71AD1A11"/>
    <w:rsid w:val="72404633"/>
    <w:rsid w:val="72416C26"/>
    <w:rsid w:val="726F7E37"/>
    <w:rsid w:val="72A9667D"/>
    <w:rsid w:val="72CE7890"/>
    <w:rsid w:val="74007F90"/>
    <w:rsid w:val="74181B89"/>
    <w:rsid w:val="7460720F"/>
    <w:rsid w:val="74973B86"/>
    <w:rsid w:val="74AD608B"/>
    <w:rsid w:val="759B7DA8"/>
    <w:rsid w:val="75DA0649"/>
    <w:rsid w:val="77075720"/>
    <w:rsid w:val="77660698"/>
    <w:rsid w:val="777032C5"/>
    <w:rsid w:val="78202F3D"/>
    <w:rsid w:val="78AF606F"/>
    <w:rsid w:val="79320109"/>
    <w:rsid w:val="79B7222B"/>
    <w:rsid w:val="79C05667"/>
    <w:rsid w:val="79C43D9C"/>
    <w:rsid w:val="7A3A4191"/>
    <w:rsid w:val="7A9D0EFB"/>
    <w:rsid w:val="7AC51B7A"/>
    <w:rsid w:val="7ACD0A2E"/>
    <w:rsid w:val="7AD63D87"/>
    <w:rsid w:val="7AFF1FEC"/>
    <w:rsid w:val="7B0C1557"/>
    <w:rsid w:val="7C136915"/>
    <w:rsid w:val="7C6A3363"/>
    <w:rsid w:val="7C945CA8"/>
    <w:rsid w:val="7CBA6913"/>
    <w:rsid w:val="7E6E5606"/>
    <w:rsid w:val="7EC2750D"/>
    <w:rsid w:val="7ECB1729"/>
    <w:rsid w:val="7FE12540"/>
    <w:rsid w:val="9717465F"/>
    <w:rsid w:val="FFDCB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nhideWhenUsed="0" w:uiPriority="0" w:semiHidden="0" w:name="List Number 2"/>
    <w:lsdException w:uiPriority="99" w:name="List Number 3"/>
    <w:lsdException w:qFormat="1" w:uiPriority="0" w:semiHidden="0"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99" w:semiHidden="0" w:name="Balloon Text"/>
    <w:lsdException w:qFormat="1" w:unhideWhenUsed="0" w:uiPriority="0" w:semiHidden="0" w:name="Table Grid"/>
    <w:lsdException w:unhideWhenUsed="0" w:uiPriority="99"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6"/>
    <w:qFormat/>
    <w:uiPriority w:val="0"/>
    <w:pPr>
      <w:keepNext/>
      <w:keepLines/>
      <w:numPr>
        <w:ilvl w:val="0"/>
        <w:numId w:val="1"/>
      </w:numPr>
      <w:spacing w:before="260" w:after="260"/>
      <w:outlineLvl w:val="0"/>
    </w:pPr>
    <w:rPr>
      <w:rFonts w:ascii="黑体" w:hAnsi="宋体" w:eastAsia="黑体" w:cs="宋体"/>
      <w:sz w:val="24"/>
      <w:szCs w:val="24"/>
    </w:rPr>
  </w:style>
  <w:style w:type="paragraph" w:styleId="3">
    <w:name w:val="heading 2"/>
    <w:basedOn w:val="1"/>
    <w:next w:val="1"/>
    <w:link w:val="78"/>
    <w:qFormat/>
    <w:uiPriority w:val="0"/>
    <w:pPr>
      <w:keepNext/>
      <w:keepLines/>
      <w:numPr>
        <w:ilvl w:val="1"/>
        <w:numId w:val="1"/>
      </w:numPr>
      <w:spacing w:before="240" w:after="240"/>
      <w:outlineLvl w:val="1"/>
    </w:pPr>
    <w:rPr>
      <w:rFonts w:ascii="黑体" w:hAnsi="宋体" w:eastAsia="黑体" w:cs="宋体"/>
      <w:bCs/>
      <w:szCs w:val="21"/>
    </w:rPr>
  </w:style>
  <w:style w:type="paragraph" w:styleId="4">
    <w:name w:val="heading 3"/>
    <w:basedOn w:val="1"/>
    <w:next w:val="1"/>
    <w:link w:val="79"/>
    <w:qFormat/>
    <w:uiPriority w:val="0"/>
    <w:pPr>
      <w:keepNext/>
      <w:keepLines/>
      <w:numPr>
        <w:ilvl w:val="2"/>
        <w:numId w:val="1"/>
      </w:numPr>
      <w:tabs>
        <w:tab w:val="left" w:pos="432"/>
      </w:tabs>
      <w:spacing w:before="260" w:after="260" w:line="416" w:lineRule="auto"/>
      <w:outlineLvl w:val="2"/>
    </w:pPr>
    <w:rPr>
      <w:rFonts w:ascii="黑体" w:hAnsi="黑体" w:eastAsia="黑体" w:cs="Times New Roman"/>
      <w:szCs w:val="21"/>
      <w:lang w:val="zh-CN"/>
    </w:rPr>
  </w:style>
  <w:style w:type="paragraph" w:styleId="5">
    <w:name w:val="heading 4"/>
    <w:basedOn w:val="1"/>
    <w:next w:val="1"/>
    <w:link w:val="80"/>
    <w:qFormat/>
    <w:uiPriority w:val="0"/>
    <w:pPr>
      <w:keepNext/>
      <w:keepLines/>
      <w:numPr>
        <w:ilvl w:val="3"/>
        <w:numId w:val="2"/>
      </w:numPr>
      <w:spacing w:before="280" w:after="290" w:line="376" w:lineRule="auto"/>
      <w:outlineLvl w:val="3"/>
    </w:pPr>
    <w:rPr>
      <w:rFonts w:ascii="Arial" w:hAnsi="Arial" w:eastAsia="黑体" w:cs="Times New Roman"/>
      <w:b/>
      <w:bCs/>
      <w:szCs w:val="21"/>
    </w:rPr>
  </w:style>
  <w:style w:type="paragraph" w:styleId="6">
    <w:name w:val="heading 5"/>
    <w:basedOn w:val="1"/>
    <w:next w:val="1"/>
    <w:link w:val="81"/>
    <w:qFormat/>
    <w:uiPriority w:val="0"/>
    <w:pPr>
      <w:keepNext/>
      <w:keepLines/>
      <w:numPr>
        <w:ilvl w:val="4"/>
        <w:numId w:val="2"/>
      </w:numPr>
      <w:tabs>
        <w:tab w:val="left" w:pos="432"/>
      </w:tabs>
      <w:spacing w:before="280" w:after="290" w:line="376" w:lineRule="auto"/>
      <w:outlineLvl w:val="4"/>
    </w:pPr>
    <w:rPr>
      <w:rFonts w:ascii="Times New Roman" w:hAnsi="Times New Roman" w:eastAsia="宋体" w:cs="Times New Roman"/>
      <w:b/>
      <w:bCs/>
      <w:sz w:val="28"/>
      <w:szCs w:val="28"/>
    </w:rPr>
  </w:style>
  <w:style w:type="paragraph" w:styleId="7">
    <w:name w:val="heading 6"/>
    <w:basedOn w:val="1"/>
    <w:next w:val="1"/>
    <w:link w:val="82"/>
    <w:qFormat/>
    <w:uiPriority w:val="0"/>
    <w:pPr>
      <w:keepNext/>
      <w:keepLines/>
      <w:numPr>
        <w:ilvl w:val="5"/>
        <w:numId w:val="2"/>
      </w:numPr>
      <w:spacing w:before="240" w:after="64" w:line="320" w:lineRule="auto"/>
      <w:outlineLvl w:val="5"/>
    </w:pPr>
    <w:rPr>
      <w:rFonts w:ascii="Arial" w:hAnsi="Arial" w:eastAsia="黑体" w:cs="Times New Roman"/>
      <w:b/>
      <w:bCs/>
      <w:sz w:val="24"/>
      <w:szCs w:val="24"/>
    </w:rPr>
  </w:style>
  <w:style w:type="paragraph" w:styleId="8">
    <w:name w:val="heading 7"/>
    <w:basedOn w:val="1"/>
    <w:next w:val="1"/>
    <w:link w:val="83"/>
    <w:qFormat/>
    <w:uiPriority w:val="0"/>
    <w:pPr>
      <w:keepNext/>
      <w:keepLines/>
      <w:numPr>
        <w:ilvl w:val="6"/>
        <w:numId w:val="2"/>
      </w:numPr>
      <w:spacing w:before="240" w:after="64" w:line="320" w:lineRule="auto"/>
      <w:outlineLvl w:val="6"/>
    </w:pPr>
    <w:rPr>
      <w:rFonts w:ascii="Times New Roman" w:hAnsi="Times New Roman" w:eastAsia="宋体" w:cs="Times New Roman"/>
      <w:b/>
      <w:bCs/>
      <w:sz w:val="24"/>
      <w:szCs w:val="24"/>
    </w:rPr>
  </w:style>
  <w:style w:type="paragraph" w:styleId="9">
    <w:name w:val="heading 8"/>
    <w:basedOn w:val="1"/>
    <w:next w:val="1"/>
    <w:link w:val="84"/>
    <w:qFormat/>
    <w:uiPriority w:val="0"/>
    <w:pPr>
      <w:keepNext/>
      <w:keepLines/>
      <w:numPr>
        <w:ilvl w:val="7"/>
        <w:numId w:val="2"/>
      </w:numPr>
      <w:spacing w:before="240" w:after="64" w:line="320" w:lineRule="auto"/>
      <w:outlineLvl w:val="7"/>
    </w:pPr>
    <w:rPr>
      <w:rFonts w:ascii="Arial" w:hAnsi="Arial" w:eastAsia="黑体" w:cs="Times New Roman"/>
      <w:sz w:val="24"/>
      <w:szCs w:val="24"/>
    </w:rPr>
  </w:style>
  <w:style w:type="paragraph" w:styleId="10">
    <w:name w:val="heading 9"/>
    <w:basedOn w:val="1"/>
    <w:next w:val="1"/>
    <w:link w:val="85"/>
    <w:qFormat/>
    <w:uiPriority w:val="0"/>
    <w:pPr>
      <w:keepNext/>
      <w:keepLines/>
      <w:numPr>
        <w:ilvl w:val="8"/>
        <w:numId w:val="2"/>
      </w:numPr>
      <w:spacing w:before="240" w:after="64" w:line="320" w:lineRule="auto"/>
      <w:outlineLvl w:val="8"/>
    </w:pPr>
    <w:rPr>
      <w:rFonts w:ascii="Arial" w:hAnsi="Arial" w:eastAsia="黑体" w:cs="Times New Roman"/>
      <w:szCs w:val="21"/>
    </w:rPr>
  </w:style>
  <w:style w:type="character" w:default="1" w:styleId="57">
    <w:name w:val="Default Paragraph Font"/>
    <w:semiHidden/>
    <w:unhideWhenUsed/>
    <w:qFormat/>
    <w:uiPriority w:val="1"/>
  </w:style>
  <w:style w:type="table" w:default="1" w:styleId="55">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1260"/>
      <w:jc w:val="left"/>
    </w:pPr>
    <w:rPr>
      <w:rFonts w:eastAsiaTheme="minorHAnsi"/>
      <w:sz w:val="18"/>
      <w:szCs w:val="18"/>
    </w:rPr>
  </w:style>
  <w:style w:type="paragraph" w:styleId="12">
    <w:name w:val="List Number 2"/>
    <w:basedOn w:val="1"/>
    <w:qFormat/>
    <w:uiPriority w:val="0"/>
    <w:pPr>
      <w:numPr>
        <w:ilvl w:val="0"/>
        <w:numId w:val="3"/>
      </w:numPr>
    </w:pPr>
    <w:rPr>
      <w:rFonts w:ascii="Times New Roman" w:hAnsi="Times New Roman" w:eastAsia="宋体" w:cs="Times New Roman"/>
      <w:szCs w:val="24"/>
    </w:rPr>
  </w:style>
  <w:style w:type="paragraph" w:styleId="13">
    <w:name w:val="index 8"/>
    <w:basedOn w:val="1"/>
    <w:next w:val="1"/>
    <w:qFormat/>
    <w:uiPriority w:val="0"/>
    <w:pPr>
      <w:ind w:left="1680" w:hanging="210"/>
      <w:jc w:val="left"/>
    </w:pPr>
    <w:rPr>
      <w:rFonts w:ascii="Calibri" w:hAnsi="Calibri" w:eastAsia="宋体" w:cs="Times New Roman"/>
      <w:sz w:val="20"/>
      <w:szCs w:val="20"/>
    </w:rPr>
  </w:style>
  <w:style w:type="paragraph" w:styleId="14">
    <w:name w:val="List Number"/>
    <w:basedOn w:val="12"/>
    <w:next w:val="1"/>
    <w:qFormat/>
    <w:uiPriority w:val="0"/>
    <w:pPr>
      <w:numPr>
        <w:numId w:val="0"/>
      </w:numPr>
      <w:tabs>
        <w:tab w:val="left" w:pos="360"/>
      </w:tabs>
      <w:spacing w:line="360" w:lineRule="auto"/>
      <w:ind w:left="360" w:hanging="360"/>
      <w:jc w:val="left"/>
    </w:pPr>
  </w:style>
  <w:style w:type="paragraph" w:styleId="15">
    <w:name w:val="Normal Indent"/>
    <w:basedOn w:val="1"/>
    <w:link w:val="292"/>
    <w:qFormat/>
    <w:uiPriority w:val="0"/>
    <w:pPr>
      <w:ind w:firstLine="420" w:firstLineChars="200"/>
    </w:pPr>
    <w:rPr>
      <w:rFonts w:ascii="Times New Roman" w:hAnsi="Times New Roman" w:eastAsia="宋体" w:cs="Times New Roman"/>
      <w:szCs w:val="24"/>
    </w:rPr>
  </w:style>
  <w:style w:type="paragraph" w:styleId="16">
    <w:name w:val="caption"/>
    <w:basedOn w:val="1"/>
    <w:next w:val="1"/>
    <w:qFormat/>
    <w:uiPriority w:val="0"/>
    <w:pPr>
      <w:spacing w:before="152" w:after="160"/>
      <w:jc w:val="center"/>
    </w:pPr>
    <w:rPr>
      <w:rFonts w:ascii="黑体" w:hAnsi="黑体" w:eastAsia="黑体" w:cs="Arial"/>
      <w:szCs w:val="21"/>
    </w:rPr>
  </w:style>
  <w:style w:type="paragraph" w:styleId="17">
    <w:name w:val="index 5"/>
    <w:basedOn w:val="1"/>
    <w:next w:val="1"/>
    <w:qFormat/>
    <w:uiPriority w:val="0"/>
    <w:pPr>
      <w:ind w:left="1050" w:hanging="210"/>
      <w:jc w:val="left"/>
    </w:pPr>
    <w:rPr>
      <w:rFonts w:ascii="Calibri" w:hAnsi="Calibri" w:eastAsia="宋体" w:cs="Times New Roman"/>
      <w:sz w:val="20"/>
      <w:szCs w:val="20"/>
    </w:rPr>
  </w:style>
  <w:style w:type="paragraph" w:styleId="18">
    <w:name w:val="Document Map"/>
    <w:basedOn w:val="1"/>
    <w:link w:val="138"/>
    <w:semiHidden/>
    <w:qFormat/>
    <w:uiPriority w:val="0"/>
    <w:pPr>
      <w:shd w:val="clear" w:color="auto" w:fill="000080"/>
    </w:pPr>
    <w:rPr>
      <w:rFonts w:ascii="Times New Roman" w:hAnsi="Times New Roman" w:eastAsia="宋体" w:cs="Times New Roman"/>
      <w:szCs w:val="24"/>
    </w:rPr>
  </w:style>
  <w:style w:type="paragraph" w:styleId="19">
    <w:name w:val="annotation text"/>
    <w:basedOn w:val="1"/>
    <w:link w:val="241"/>
    <w:qFormat/>
    <w:uiPriority w:val="99"/>
    <w:pPr>
      <w:jc w:val="left"/>
    </w:pPr>
    <w:rPr>
      <w:rFonts w:ascii="Times New Roman" w:hAnsi="Times New Roman" w:eastAsia="宋体" w:cs="Times New Roman"/>
      <w:szCs w:val="24"/>
    </w:rPr>
  </w:style>
  <w:style w:type="paragraph" w:styleId="20">
    <w:name w:val="index 6"/>
    <w:basedOn w:val="1"/>
    <w:next w:val="1"/>
    <w:qFormat/>
    <w:uiPriority w:val="0"/>
    <w:pPr>
      <w:ind w:left="1260" w:hanging="210"/>
      <w:jc w:val="left"/>
    </w:pPr>
    <w:rPr>
      <w:rFonts w:ascii="Calibri" w:hAnsi="Calibri" w:eastAsia="宋体" w:cs="Times New Roman"/>
      <w:sz w:val="20"/>
      <w:szCs w:val="20"/>
    </w:rPr>
  </w:style>
  <w:style w:type="paragraph" w:styleId="21">
    <w:name w:val="Body Text"/>
    <w:basedOn w:val="1"/>
    <w:link w:val="102"/>
    <w:qFormat/>
    <w:uiPriority w:val="0"/>
    <w:pPr>
      <w:spacing w:after="120" w:line="360" w:lineRule="auto"/>
      <w:ind w:firstLine="482"/>
    </w:pPr>
    <w:rPr>
      <w:rFonts w:ascii="宋体" w:hAnsi="宋体" w:eastAsia="仿宋_GB2312" w:cs="Times New Roman"/>
      <w:sz w:val="28"/>
      <w:szCs w:val="21"/>
    </w:rPr>
  </w:style>
  <w:style w:type="paragraph" w:styleId="22">
    <w:name w:val="Body Text Indent"/>
    <w:basedOn w:val="1"/>
    <w:link w:val="145"/>
    <w:qFormat/>
    <w:uiPriority w:val="0"/>
    <w:pPr>
      <w:widowControl/>
      <w:spacing w:line="460" w:lineRule="exact"/>
      <w:ind w:firstLine="480"/>
    </w:pPr>
    <w:rPr>
      <w:rFonts w:ascii="Times New Roman" w:hAnsi="Times New Roman" w:eastAsia="仿宋_GB2312" w:cs="Times New Roman"/>
      <w:sz w:val="24"/>
      <w:szCs w:val="20"/>
    </w:rPr>
  </w:style>
  <w:style w:type="paragraph" w:styleId="23">
    <w:name w:val="HTML Address"/>
    <w:basedOn w:val="1"/>
    <w:link w:val="249"/>
    <w:qFormat/>
    <w:uiPriority w:val="0"/>
    <w:pPr>
      <w:tabs>
        <w:tab w:val="left" w:pos="525"/>
      </w:tabs>
      <w:ind w:left="525"/>
    </w:pPr>
    <w:rPr>
      <w:rFonts w:ascii="Times New Roman" w:hAnsi="Times New Roman" w:eastAsia="宋体" w:cs="Times New Roman"/>
      <w:i/>
      <w:iCs/>
      <w:szCs w:val="24"/>
    </w:rPr>
  </w:style>
  <w:style w:type="paragraph" w:styleId="24">
    <w:name w:val="index 4"/>
    <w:basedOn w:val="1"/>
    <w:next w:val="1"/>
    <w:qFormat/>
    <w:uiPriority w:val="0"/>
    <w:pPr>
      <w:ind w:left="840" w:hanging="210"/>
      <w:jc w:val="left"/>
    </w:pPr>
    <w:rPr>
      <w:rFonts w:ascii="Calibri" w:hAnsi="Calibri" w:eastAsia="宋体" w:cs="Times New Roman"/>
      <w:sz w:val="20"/>
      <w:szCs w:val="20"/>
    </w:rPr>
  </w:style>
  <w:style w:type="paragraph" w:styleId="25">
    <w:name w:val="toc 5"/>
    <w:basedOn w:val="1"/>
    <w:next w:val="1"/>
    <w:unhideWhenUsed/>
    <w:qFormat/>
    <w:uiPriority w:val="39"/>
    <w:pPr>
      <w:ind w:left="840"/>
      <w:jc w:val="left"/>
    </w:pPr>
    <w:rPr>
      <w:rFonts w:eastAsiaTheme="minorHAnsi"/>
      <w:sz w:val="18"/>
      <w:szCs w:val="18"/>
    </w:rPr>
  </w:style>
  <w:style w:type="paragraph" w:styleId="26">
    <w:name w:val="toc 3"/>
    <w:basedOn w:val="1"/>
    <w:next w:val="1"/>
    <w:unhideWhenUsed/>
    <w:qFormat/>
    <w:uiPriority w:val="39"/>
    <w:pPr>
      <w:ind w:left="420"/>
      <w:jc w:val="left"/>
    </w:pPr>
    <w:rPr>
      <w:rFonts w:eastAsiaTheme="minorHAnsi"/>
      <w:i/>
      <w:iCs/>
      <w:sz w:val="20"/>
      <w:szCs w:val="20"/>
    </w:rPr>
  </w:style>
  <w:style w:type="paragraph" w:styleId="27">
    <w:name w:val="Plain Text"/>
    <w:basedOn w:val="1"/>
    <w:link w:val="151"/>
    <w:qFormat/>
    <w:uiPriority w:val="0"/>
    <w:rPr>
      <w:rFonts w:ascii="宋体" w:hAnsi="Courier New" w:eastAsia="宋体" w:cs="Courier New"/>
      <w:szCs w:val="21"/>
    </w:rPr>
  </w:style>
  <w:style w:type="paragraph" w:styleId="28">
    <w:name w:val="List Number 4"/>
    <w:basedOn w:val="1"/>
    <w:unhideWhenUsed/>
    <w:qFormat/>
    <w:uiPriority w:val="0"/>
    <w:pPr>
      <w:numPr>
        <w:ilvl w:val="0"/>
        <w:numId w:val="4"/>
      </w:numPr>
      <w:spacing w:line="400" w:lineRule="exact"/>
      <w:contextualSpacing/>
      <w:jc w:val="left"/>
    </w:pPr>
    <w:rPr>
      <w:rFonts w:ascii="Calibri" w:hAnsi="Calibri" w:eastAsia="宋体" w:cs="Times New Roman"/>
      <w:sz w:val="24"/>
    </w:rPr>
  </w:style>
  <w:style w:type="paragraph" w:styleId="29">
    <w:name w:val="toc 8"/>
    <w:basedOn w:val="1"/>
    <w:next w:val="1"/>
    <w:unhideWhenUsed/>
    <w:qFormat/>
    <w:uiPriority w:val="39"/>
    <w:pPr>
      <w:ind w:left="1470"/>
      <w:jc w:val="left"/>
    </w:pPr>
    <w:rPr>
      <w:rFonts w:eastAsiaTheme="minorHAnsi"/>
      <w:sz w:val="18"/>
      <w:szCs w:val="18"/>
    </w:rPr>
  </w:style>
  <w:style w:type="paragraph" w:styleId="30">
    <w:name w:val="index 3"/>
    <w:basedOn w:val="1"/>
    <w:next w:val="1"/>
    <w:qFormat/>
    <w:uiPriority w:val="0"/>
    <w:pPr>
      <w:ind w:left="630" w:hanging="210"/>
      <w:jc w:val="left"/>
    </w:pPr>
    <w:rPr>
      <w:rFonts w:ascii="Calibri" w:hAnsi="Calibri" w:eastAsia="宋体" w:cs="Times New Roman"/>
      <w:sz w:val="20"/>
      <w:szCs w:val="20"/>
    </w:rPr>
  </w:style>
  <w:style w:type="paragraph" w:styleId="31">
    <w:name w:val="Date"/>
    <w:basedOn w:val="1"/>
    <w:next w:val="1"/>
    <w:link w:val="146"/>
    <w:qFormat/>
    <w:uiPriority w:val="0"/>
    <w:pPr>
      <w:ind w:left="100" w:leftChars="2500"/>
    </w:pPr>
    <w:rPr>
      <w:rFonts w:ascii="Times New Roman" w:hAnsi="Times New Roman" w:eastAsia="宋体" w:cs="Times New Roman"/>
      <w:szCs w:val="24"/>
    </w:rPr>
  </w:style>
  <w:style w:type="paragraph" w:styleId="32">
    <w:name w:val="Body Text Indent 2"/>
    <w:basedOn w:val="1"/>
    <w:link w:val="228"/>
    <w:qFormat/>
    <w:uiPriority w:val="0"/>
    <w:pPr>
      <w:adjustRightInd w:val="0"/>
      <w:snapToGrid w:val="0"/>
      <w:spacing w:before="312" w:line="360" w:lineRule="auto"/>
    </w:pPr>
    <w:rPr>
      <w:rFonts w:ascii="仿宋_GB2312" w:hAnsi="Times New Roman" w:eastAsia="仿宋_GB2312" w:cs="Times New Roman"/>
      <w:b/>
      <w:sz w:val="24"/>
      <w:szCs w:val="20"/>
    </w:rPr>
  </w:style>
  <w:style w:type="paragraph" w:styleId="33">
    <w:name w:val="endnote text"/>
    <w:basedOn w:val="1"/>
    <w:link w:val="214"/>
    <w:qFormat/>
    <w:uiPriority w:val="0"/>
    <w:pPr>
      <w:snapToGrid w:val="0"/>
      <w:jc w:val="left"/>
    </w:pPr>
    <w:rPr>
      <w:rFonts w:ascii="Times New Roman" w:hAnsi="Times New Roman" w:eastAsia="宋体" w:cs="Times New Roman"/>
      <w:szCs w:val="24"/>
    </w:rPr>
  </w:style>
  <w:style w:type="paragraph" w:styleId="34">
    <w:name w:val="Balloon Text"/>
    <w:basedOn w:val="1"/>
    <w:link w:val="140"/>
    <w:qFormat/>
    <w:uiPriority w:val="99"/>
    <w:rPr>
      <w:rFonts w:ascii="Times New Roman" w:hAnsi="Times New Roman" w:eastAsia="宋体" w:cs="Times New Roman"/>
      <w:sz w:val="18"/>
      <w:szCs w:val="18"/>
    </w:rPr>
  </w:style>
  <w:style w:type="paragraph" w:styleId="35">
    <w:name w:val="footer"/>
    <w:basedOn w:val="1"/>
    <w:link w:val="74"/>
    <w:unhideWhenUsed/>
    <w:qFormat/>
    <w:uiPriority w:val="99"/>
    <w:pPr>
      <w:tabs>
        <w:tab w:val="center" w:pos="4153"/>
        <w:tab w:val="right" w:pos="8306"/>
      </w:tabs>
      <w:snapToGrid w:val="0"/>
      <w:jc w:val="left"/>
    </w:pPr>
    <w:rPr>
      <w:sz w:val="18"/>
      <w:szCs w:val="18"/>
    </w:rPr>
  </w:style>
  <w:style w:type="paragraph" w:styleId="36">
    <w:name w:val="header"/>
    <w:basedOn w:val="1"/>
    <w:link w:val="73"/>
    <w:unhideWhenUsed/>
    <w:qFormat/>
    <w:uiPriority w:val="0"/>
    <w:pPr>
      <w:pBdr>
        <w:bottom w:val="single" w:color="auto" w:sz="6" w:space="1"/>
      </w:pBdr>
      <w:tabs>
        <w:tab w:val="center" w:pos="4153"/>
        <w:tab w:val="right" w:pos="8306"/>
      </w:tabs>
      <w:snapToGrid w:val="0"/>
      <w:jc w:val="center"/>
    </w:pPr>
    <w:rPr>
      <w:sz w:val="18"/>
      <w:szCs w:val="18"/>
    </w:rPr>
  </w:style>
  <w:style w:type="paragraph" w:styleId="37">
    <w:name w:val="toc 1"/>
    <w:basedOn w:val="1"/>
    <w:next w:val="1"/>
    <w:unhideWhenUsed/>
    <w:qFormat/>
    <w:uiPriority w:val="39"/>
    <w:pPr>
      <w:spacing w:before="120" w:after="120"/>
      <w:jc w:val="left"/>
    </w:pPr>
    <w:rPr>
      <w:rFonts w:eastAsiaTheme="minorHAnsi"/>
      <w:b/>
      <w:bCs/>
      <w:caps/>
      <w:sz w:val="20"/>
      <w:szCs w:val="20"/>
    </w:rPr>
  </w:style>
  <w:style w:type="paragraph" w:styleId="38">
    <w:name w:val="toc 4"/>
    <w:basedOn w:val="1"/>
    <w:next w:val="1"/>
    <w:unhideWhenUsed/>
    <w:qFormat/>
    <w:uiPriority w:val="39"/>
    <w:pPr>
      <w:ind w:left="630"/>
      <w:jc w:val="left"/>
    </w:pPr>
    <w:rPr>
      <w:rFonts w:eastAsiaTheme="minorHAnsi"/>
      <w:sz w:val="18"/>
      <w:szCs w:val="18"/>
    </w:rPr>
  </w:style>
  <w:style w:type="paragraph" w:styleId="39">
    <w:name w:val="index heading"/>
    <w:basedOn w:val="1"/>
    <w:next w:val="40"/>
    <w:qFormat/>
    <w:uiPriority w:val="0"/>
    <w:pPr>
      <w:spacing w:before="120" w:after="120"/>
      <w:jc w:val="center"/>
    </w:pPr>
    <w:rPr>
      <w:rFonts w:ascii="Calibri" w:hAnsi="Calibri" w:eastAsia="宋体" w:cs="Times New Roman"/>
      <w:b/>
      <w:bCs/>
      <w:iCs/>
      <w:szCs w:val="20"/>
    </w:rPr>
  </w:style>
  <w:style w:type="paragraph" w:styleId="40">
    <w:name w:val="index 1"/>
    <w:basedOn w:val="1"/>
    <w:next w:val="41"/>
    <w:qFormat/>
    <w:uiPriority w:val="0"/>
    <w:pPr>
      <w:tabs>
        <w:tab w:val="right" w:leader="dot" w:pos="9299"/>
      </w:tabs>
      <w:jc w:val="left"/>
    </w:pPr>
    <w:rPr>
      <w:rFonts w:ascii="宋体" w:hAnsi="Times New Roman" w:eastAsia="宋体" w:cs="Times New Roman"/>
      <w:szCs w:val="21"/>
    </w:rPr>
  </w:style>
  <w:style w:type="paragraph" w:customStyle="1" w:styleId="41">
    <w:name w:val="段"/>
    <w:link w:val="16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42">
    <w:name w:val="Subtitle"/>
    <w:basedOn w:val="1"/>
    <w:next w:val="1"/>
    <w:link w:val="274"/>
    <w:qFormat/>
    <w:uiPriority w:val="0"/>
    <w:pPr>
      <w:tabs>
        <w:tab w:val="left" w:pos="525"/>
      </w:tabs>
      <w:spacing w:before="240" w:after="60" w:line="312" w:lineRule="auto"/>
      <w:ind w:left="525"/>
      <w:jc w:val="center"/>
      <w:outlineLvl w:val="1"/>
    </w:pPr>
    <w:rPr>
      <w:rFonts w:ascii="Cambria" w:hAnsi="Cambria" w:eastAsia="宋体" w:cs="Times New Roman"/>
      <w:b/>
      <w:bCs/>
      <w:kern w:val="28"/>
      <w:sz w:val="32"/>
      <w:szCs w:val="32"/>
      <w:lang w:val="zh-CN"/>
    </w:rPr>
  </w:style>
  <w:style w:type="paragraph" w:styleId="43">
    <w:name w:val="footnote text"/>
    <w:basedOn w:val="1"/>
    <w:link w:val="200"/>
    <w:qFormat/>
    <w:uiPriority w:val="0"/>
    <w:pPr>
      <w:numPr>
        <w:ilvl w:val="0"/>
        <w:numId w:val="5"/>
      </w:numPr>
      <w:snapToGrid w:val="0"/>
      <w:jc w:val="left"/>
    </w:pPr>
    <w:rPr>
      <w:rFonts w:ascii="宋体" w:hAnsi="Times New Roman" w:eastAsia="宋体" w:cs="Times New Roman"/>
      <w:sz w:val="18"/>
      <w:szCs w:val="18"/>
    </w:rPr>
  </w:style>
  <w:style w:type="paragraph" w:styleId="44">
    <w:name w:val="toc 6"/>
    <w:basedOn w:val="1"/>
    <w:next w:val="1"/>
    <w:unhideWhenUsed/>
    <w:qFormat/>
    <w:uiPriority w:val="39"/>
    <w:pPr>
      <w:ind w:left="1050"/>
      <w:jc w:val="left"/>
    </w:pPr>
    <w:rPr>
      <w:rFonts w:eastAsiaTheme="minorHAnsi"/>
      <w:sz w:val="18"/>
      <w:szCs w:val="18"/>
    </w:rPr>
  </w:style>
  <w:style w:type="paragraph" w:styleId="45">
    <w:name w:val="index 7"/>
    <w:basedOn w:val="1"/>
    <w:next w:val="1"/>
    <w:qFormat/>
    <w:uiPriority w:val="0"/>
    <w:pPr>
      <w:ind w:left="1470" w:hanging="210"/>
      <w:jc w:val="left"/>
    </w:pPr>
    <w:rPr>
      <w:rFonts w:ascii="Calibri" w:hAnsi="Calibri" w:eastAsia="宋体" w:cs="Times New Roman"/>
      <w:sz w:val="20"/>
      <w:szCs w:val="20"/>
    </w:rPr>
  </w:style>
  <w:style w:type="paragraph" w:styleId="46">
    <w:name w:val="index 9"/>
    <w:basedOn w:val="1"/>
    <w:next w:val="1"/>
    <w:qFormat/>
    <w:uiPriority w:val="0"/>
    <w:pPr>
      <w:ind w:left="1890" w:hanging="210"/>
      <w:jc w:val="left"/>
    </w:pPr>
    <w:rPr>
      <w:rFonts w:ascii="Calibri" w:hAnsi="Calibri" w:eastAsia="宋体" w:cs="Times New Roman"/>
      <w:sz w:val="20"/>
      <w:szCs w:val="20"/>
    </w:rPr>
  </w:style>
  <w:style w:type="paragraph" w:styleId="47">
    <w:name w:val="toc 2"/>
    <w:basedOn w:val="1"/>
    <w:next w:val="1"/>
    <w:unhideWhenUsed/>
    <w:qFormat/>
    <w:uiPriority w:val="39"/>
    <w:pPr>
      <w:tabs>
        <w:tab w:val="right" w:leader="dot" w:pos="8296"/>
      </w:tabs>
      <w:spacing w:line="360" w:lineRule="auto"/>
      <w:ind w:left="210"/>
      <w:jc w:val="left"/>
    </w:pPr>
    <w:rPr>
      <w:rFonts w:eastAsiaTheme="minorHAnsi"/>
      <w:smallCaps/>
      <w:sz w:val="20"/>
      <w:szCs w:val="20"/>
    </w:rPr>
  </w:style>
  <w:style w:type="paragraph" w:styleId="48">
    <w:name w:val="toc 9"/>
    <w:basedOn w:val="1"/>
    <w:next w:val="1"/>
    <w:unhideWhenUsed/>
    <w:qFormat/>
    <w:uiPriority w:val="39"/>
    <w:pPr>
      <w:ind w:left="1680"/>
      <w:jc w:val="left"/>
    </w:pPr>
    <w:rPr>
      <w:rFonts w:eastAsiaTheme="minorHAnsi"/>
      <w:sz w:val="18"/>
      <w:szCs w:val="18"/>
    </w:rPr>
  </w:style>
  <w:style w:type="paragraph" w:styleId="49">
    <w:name w:val="HTML Preformatted"/>
    <w:basedOn w:val="1"/>
    <w:link w:val="89"/>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50">
    <w:name w:val="Normal (Web)"/>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styleId="51">
    <w:name w:val="index 2"/>
    <w:basedOn w:val="1"/>
    <w:next w:val="1"/>
    <w:qFormat/>
    <w:uiPriority w:val="0"/>
    <w:pPr>
      <w:ind w:left="420" w:hanging="210"/>
      <w:jc w:val="left"/>
    </w:pPr>
    <w:rPr>
      <w:rFonts w:ascii="Calibri" w:hAnsi="Calibri" w:eastAsia="宋体" w:cs="Times New Roman"/>
      <w:sz w:val="20"/>
      <w:szCs w:val="20"/>
    </w:rPr>
  </w:style>
  <w:style w:type="paragraph" w:styleId="52">
    <w:name w:val="Title"/>
    <w:basedOn w:val="1"/>
    <w:next w:val="1"/>
    <w:link w:val="76"/>
    <w:qFormat/>
    <w:uiPriority w:val="0"/>
    <w:pPr>
      <w:spacing w:before="240" w:after="60"/>
      <w:jc w:val="center"/>
      <w:outlineLvl w:val="0"/>
    </w:pPr>
    <w:rPr>
      <w:rFonts w:asciiTheme="majorHAnsi" w:hAnsiTheme="majorHAnsi" w:eastAsiaTheme="majorEastAsia" w:cstheme="majorBidi"/>
      <w:b/>
      <w:bCs/>
      <w:sz w:val="32"/>
      <w:szCs w:val="32"/>
    </w:rPr>
  </w:style>
  <w:style w:type="paragraph" w:styleId="53">
    <w:name w:val="annotation subject"/>
    <w:basedOn w:val="19"/>
    <w:next w:val="19"/>
    <w:link w:val="242"/>
    <w:qFormat/>
    <w:uiPriority w:val="0"/>
    <w:rPr>
      <w:b/>
      <w:bCs/>
    </w:rPr>
  </w:style>
  <w:style w:type="paragraph" w:styleId="54">
    <w:name w:val="Body Text First Indent"/>
    <w:basedOn w:val="21"/>
    <w:link w:val="158"/>
    <w:qFormat/>
    <w:uiPriority w:val="0"/>
    <w:pPr>
      <w:spacing w:line="240" w:lineRule="auto"/>
      <w:ind w:firstLine="420" w:firstLineChars="100"/>
    </w:pPr>
    <w:rPr>
      <w:rFonts w:ascii="Times New Roman" w:hAnsi="Times New Roman" w:eastAsia="宋体"/>
      <w:sz w:val="21"/>
      <w:szCs w:val="24"/>
    </w:rPr>
  </w:style>
  <w:style w:type="table" w:styleId="56">
    <w:name w:val="Table Grid"/>
    <w:basedOn w:val="5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8">
    <w:name w:val="Strong"/>
    <w:qFormat/>
    <w:uiPriority w:val="22"/>
    <w:rPr>
      <w:b/>
      <w:bCs/>
    </w:rPr>
  </w:style>
  <w:style w:type="character" w:styleId="59">
    <w:name w:val="endnote reference"/>
    <w:qFormat/>
    <w:uiPriority w:val="0"/>
    <w:rPr>
      <w:vertAlign w:val="superscript"/>
    </w:rPr>
  </w:style>
  <w:style w:type="character" w:styleId="60">
    <w:name w:val="page number"/>
    <w:qFormat/>
    <w:uiPriority w:val="0"/>
    <w:rPr>
      <w:rFonts w:ascii="Times New Roman" w:hAnsi="Times New Roman" w:eastAsia="宋体"/>
      <w:sz w:val="18"/>
    </w:rPr>
  </w:style>
  <w:style w:type="character" w:styleId="61">
    <w:name w:val="Emphasis"/>
    <w:basedOn w:val="57"/>
    <w:qFormat/>
    <w:uiPriority w:val="20"/>
    <w:rPr>
      <w:i/>
      <w:iCs/>
    </w:rPr>
  </w:style>
  <w:style w:type="character" w:styleId="62">
    <w:name w:val="HTML Definition"/>
    <w:qFormat/>
    <w:uiPriority w:val="0"/>
    <w:rPr>
      <w:i/>
      <w:iCs/>
    </w:rPr>
  </w:style>
  <w:style w:type="character" w:styleId="63">
    <w:name w:val="HTML Typewriter"/>
    <w:qFormat/>
    <w:uiPriority w:val="0"/>
    <w:rPr>
      <w:rFonts w:ascii="Courier New" w:hAnsi="Courier New"/>
      <w:sz w:val="20"/>
      <w:szCs w:val="20"/>
    </w:rPr>
  </w:style>
  <w:style w:type="character" w:styleId="64">
    <w:name w:val="HTML Acronym"/>
    <w:basedOn w:val="57"/>
    <w:qFormat/>
    <w:uiPriority w:val="0"/>
  </w:style>
  <w:style w:type="character" w:styleId="65">
    <w:name w:val="HTML Variable"/>
    <w:qFormat/>
    <w:uiPriority w:val="0"/>
    <w:rPr>
      <w:i/>
      <w:iCs/>
    </w:rPr>
  </w:style>
  <w:style w:type="character" w:styleId="66">
    <w:name w:val="Hyperlink"/>
    <w:basedOn w:val="57"/>
    <w:unhideWhenUsed/>
    <w:qFormat/>
    <w:uiPriority w:val="99"/>
    <w:rPr>
      <w:color w:val="0000FF"/>
      <w:u w:val="single"/>
    </w:rPr>
  </w:style>
  <w:style w:type="character" w:styleId="67">
    <w:name w:val="HTML Code"/>
    <w:qFormat/>
    <w:uiPriority w:val="0"/>
    <w:rPr>
      <w:rFonts w:ascii="Courier New" w:hAnsi="Courier New"/>
      <w:sz w:val="20"/>
      <w:szCs w:val="20"/>
    </w:rPr>
  </w:style>
  <w:style w:type="character" w:styleId="68">
    <w:name w:val="annotation reference"/>
    <w:basedOn w:val="57"/>
    <w:qFormat/>
    <w:uiPriority w:val="0"/>
    <w:rPr>
      <w:sz w:val="21"/>
      <w:szCs w:val="21"/>
    </w:rPr>
  </w:style>
  <w:style w:type="character" w:styleId="69">
    <w:name w:val="HTML Cite"/>
    <w:qFormat/>
    <w:uiPriority w:val="0"/>
    <w:rPr>
      <w:i/>
      <w:iCs/>
    </w:rPr>
  </w:style>
  <w:style w:type="character" w:styleId="70">
    <w:name w:val="footnote reference"/>
    <w:qFormat/>
    <w:uiPriority w:val="99"/>
    <w:rPr>
      <w:vertAlign w:val="superscript"/>
    </w:rPr>
  </w:style>
  <w:style w:type="character" w:styleId="71">
    <w:name w:val="HTML Keyboard"/>
    <w:qFormat/>
    <w:uiPriority w:val="0"/>
    <w:rPr>
      <w:rFonts w:ascii="Courier New" w:hAnsi="Courier New"/>
      <w:sz w:val="20"/>
      <w:szCs w:val="20"/>
    </w:rPr>
  </w:style>
  <w:style w:type="character" w:styleId="72">
    <w:name w:val="HTML Sample"/>
    <w:qFormat/>
    <w:uiPriority w:val="0"/>
    <w:rPr>
      <w:rFonts w:ascii="Courier New" w:hAnsi="Courier New"/>
    </w:rPr>
  </w:style>
  <w:style w:type="character" w:customStyle="1" w:styleId="73">
    <w:name w:val="页眉 字符"/>
    <w:basedOn w:val="57"/>
    <w:link w:val="36"/>
    <w:qFormat/>
    <w:uiPriority w:val="99"/>
    <w:rPr>
      <w:sz w:val="18"/>
      <w:szCs w:val="18"/>
    </w:rPr>
  </w:style>
  <w:style w:type="character" w:customStyle="1" w:styleId="74">
    <w:name w:val="页脚 字符"/>
    <w:basedOn w:val="57"/>
    <w:link w:val="35"/>
    <w:qFormat/>
    <w:uiPriority w:val="99"/>
    <w:rPr>
      <w:sz w:val="18"/>
      <w:szCs w:val="18"/>
    </w:rPr>
  </w:style>
  <w:style w:type="paragraph" w:styleId="75">
    <w:name w:val="List Paragraph"/>
    <w:basedOn w:val="1"/>
    <w:link w:val="263"/>
    <w:qFormat/>
    <w:uiPriority w:val="0"/>
    <w:pPr>
      <w:ind w:firstLine="420" w:firstLineChars="200"/>
    </w:pPr>
  </w:style>
  <w:style w:type="character" w:customStyle="1" w:styleId="76">
    <w:name w:val="标题 字符"/>
    <w:basedOn w:val="57"/>
    <w:link w:val="52"/>
    <w:qFormat/>
    <w:uiPriority w:val="0"/>
    <w:rPr>
      <w:rFonts w:asciiTheme="majorHAnsi" w:hAnsiTheme="majorHAnsi" w:eastAsiaTheme="majorEastAsia" w:cstheme="majorBidi"/>
      <w:b/>
      <w:bCs/>
      <w:sz w:val="32"/>
      <w:szCs w:val="32"/>
    </w:rPr>
  </w:style>
  <w:style w:type="character" w:customStyle="1" w:styleId="77">
    <w:name w:val="标题 1 字符"/>
    <w:basedOn w:val="57"/>
    <w:qFormat/>
    <w:uiPriority w:val="0"/>
    <w:rPr>
      <w:b/>
      <w:bCs/>
      <w:kern w:val="44"/>
      <w:sz w:val="44"/>
      <w:szCs w:val="44"/>
    </w:rPr>
  </w:style>
  <w:style w:type="character" w:customStyle="1" w:styleId="78">
    <w:name w:val="标题 2 字符"/>
    <w:basedOn w:val="57"/>
    <w:link w:val="3"/>
    <w:qFormat/>
    <w:uiPriority w:val="0"/>
    <w:rPr>
      <w:rFonts w:ascii="黑体" w:hAnsi="宋体" w:eastAsia="黑体" w:cs="宋体"/>
      <w:bCs/>
      <w:kern w:val="2"/>
      <w:sz w:val="21"/>
      <w:szCs w:val="21"/>
    </w:rPr>
  </w:style>
  <w:style w:type="character" w:customStyle="1" w:styleId="79">
    <w:name w:val="标题 3 字符"/>
    <w:basedOn w:val="57"/>
    <w:link w:val="4"/>
    <w:qFormat/>
    <w:uiPriority w:val="0"/>
    <w:rPr>
      <w:rFonts w:ascii="黑体" w:hAnsi="黑体" w:eastAsia="黑体"/>
      <w:kern w:val="2"/>
      <w:sz w:val="21"/>
      <w:szCs w:val="21"/>
      <w:lang w:val="zh-CN"/>
    </w:rPr>
  </w:style>
  <w:style w:type="character" w:customStyle="1" w:styleId="80">
    <w:name w:val="标题 4 字符"/>
    <w:basedOn w:val="57"/>
    <w:link w:val="5"/>
    <w:qFormat/>
    <w:uiPriority w:val="0"/>
    <w:rPr>
      <w:rFonts w:ascii="Arial" w:hAnsi="Arial" w:eastAsia="黑体"/>
      <w:b/>
      <w:bCs/>
      <w:kern w:val="2"/>
      <w:sz w:val="21"/>
      <w:szCs w:val="21"/>
    </w:rPr>
  </w:style>
  <w:style w:type="character" w:customStyle="1" w:styleId="81">
    <w:name w:val="标题 5 字符"/>
    <w:basedOn w:val="57"/>
    <w:link w:val="6"/>
    <w:qFormat/>
    <w:uiPriority w:val="0"/>
    <w:rPr>
      <w:b/>
      <w:bCs/>
      <w:kern w:val="2"/>
      <w:sz w:val="28"/>
      <w:szCs w:val="28"/>
    </w:rPr>
  </w:style>
  <w:style w:type="character" w:customStyle="1" w:styleId="82">
    <w:name w:val="标题 6 字符"/>
    <w:basedOn w:val="57"/>
    <w:link w:val="7"/>
    <w:qFormat/>
    <w:uiPriority w:val="0"/>
    <w:rPr>
      <w:rFonts w:ascii="Arial" w:hAnsi="Arial" w:eastAsia="黑体"/>
      <w:b/>
      <w:bCs/>
      <w:kern w:val="2"/>
      <w:sz w:val="24"/>
      <w:szCs w:val="24"/>
    </w:rPr>
  </w:style>
  <w:style w:type="character" w:customStyle="1" w:styleId="83">
    <w:name w:val="标题 7 字符"/>
    <w:basedOn w:val="57"/>
    <w:link w:val="8"/>
    <w:qFormat/>
    <w:uiPriority w:val="0"/>
    <w:rPr>
      <w:b/>
      <w:bCs/>
      <w:kern w:val="2"/>
      <w:sz w:val="24"/>
      <w:szCs w:val="24"/>
    </w:rPr>
  </w:style>
  <w:style w:type="character" w:customStyle="1" w:styleId="84">
    <w:name w:val="标题 8 字符"/>
    <w:basedOn w:val="57"/>
    <w:link w:val="9"/>
    <w:qFormat/>
    <w:uiPriority w:val="0"/>
    <w:rPr>
      <w:rFonts w:ascii="Arial" w:hAnsi="Arial" w:eastAsia="黑体"/>
      <w:kern w:val="2"/>
      <w:sz w:val="24"/>
      <w:szCs w:val="24"/>
    </w:rPr>
  </w:style>
  <w:style w:type="character" w:customStyle="1" w:styleId="85">
    <w:name w:val="标题 9 字符"/>
    <w:basedOn w:val="57"/>
    <w:link w:val="10"/>
    <w:qFormat/>
    <w:uiPriority w:val="0"/>
    <w:rPr>
      <w:rFonts w:ascii="Arial" w:hAnsi="Arial" w:eastAsia="黑体"/>
      <w:kern w:val="2"/>
      <w:sz w:val="21"/>
      <w:szCs w:val="21"/>
    </w:rPr>
  </w:style>
  <w:style w:type="character" w:customStyle="1" w:styleId="86">
    <w:name w:val="标题 1 字符1"/>
    <w:link w:val="2"/>
    <w:qFormat/>
    <w:uiPriority w:val="0"/>
    <w:rPr>
      <w:rFonts w:ascii="黑体" w:hAnsi="宋体" w:eastAsia="黑体" w:cs="宋体"/>
      <w:kern w:val="2"/>
      <w:sz w:val="24"/>
      <w:szCs w:val="24"/>
    </w:rPr>
  </w:style>
  <w:style w:type="paragraph" w:customStyle="1" w:styleId="87">
    <w:name w:val="标准正文"/>
    <w:basedOn w:val="1"/>
    <w:link w:val="88"/>
    <w:qFormat/>
    <w:uiPriority w:val="0"/>
    <w:pPr>
      <w:spacing w:line="360" w:lineRule="auto"/>
      <w:ind w:firstLine="420" w:firstLineChars="200"/>
      <w:jc w:val="left"/>
    </w:pPr>
    <w:rPr>
      <w:rFonts w:ascii="Times New Roman" w:hAnsi="Times New Roman" w:eastAsia="宋体"/>
      <w:sz w:val="24"/>
    </w:rPr>
  </w:style>
  <w:style w:type="character" w:customStyle="1" w:styleId="88">
    <w:name w:val="标准正文 字符"/>
    <w:basedOn w:val="57"/>
    <w:link w:val="87"/>
    <w:qFormat/>
    <w:uiPriority w:val="0"/>
    <w:rPr>
      <w:rFonts w:ascii="Times New Roman" w:hAnsi="Times New Roman" w:eastAsia="宋体"/>
      <w:sz w:val="24"/>
    </w:rPr>
  </w:style>
  <w:style w:type="character" w:customStyle="1" w:styleId="89">
    <w:name w:val="HTML 预设格式 字符"/>
    <w:basedOn w:val="57"/>
    <w:link w:val="49"/>
    <w:qFormat/>
    <w:uiPriority w:val="0"/>
    <w:rPr>
      <w:rFonts w:ascii="宋体" w:hAnsi="宋体" w:eastAsia="宋体" w:cs="宋体"/>
      <w:kern w:val="0"/>
      <w:sz w:val="24"/>
      <w:szCs w:val="24"/>
    </w:rPr>
  </w:style>
  <w:style w:type="paragraph" w:customStyle="1" w:styleId="90">
    <w:name w:val="附录标识"/>
    <w:basedOn w:val="1"/>
    <w:qFormat/>
    <w:uiPriority w:val="0"/>
    <w:pPr>
      <w:numPr>
        <w:ilvl w:val="0"/>
        <w:numId w:val="6"/>
      </w:numPr>
    </w:pPr>
  </w:style>
  <w:style w:type="paragraph" w:customStyle="1" w:styleId="91">
    <w:name w:val="附录章标题"/>
    <w:basedOn w:val="1"/>
    <w:qFormat/>
    <w:uiPriority w:val="0"/>
    <w:pPr>
      <w:numPr>
        <w:ilvl w:val="1"/>
        <w:numId w:val="6"/>
      </w:numPr>
    </w:pPr>
  </w:style>
  <w:style w:type="paragraph" w:customStyle="1" w:styleId="92">
    <w:name w:val="附录一级条标题"/>
    <w:basedOn w:val="1"/>
    <w:qFormat/>
    <w:uiPriority w:val="0"/>
    <w:pPr>
      <w:numPr>
        <w:ilvl w:val="2"/>
        <w:numId w:val="6"/>
      </w:numPr>
    </w:pPr>
  </w:style>
  <w:style w:type="paragraph" w:customStyle="1" w:styleId="93">
    <w:name w:val="附录二级条标题"/>
    <w:basedOn w:val="1"/>
    <w:qFormat/>
    <w:uiPriority w:val="0"/>
    <w:pPr>
      <w:numPr>
        <w:ilvl w:val="3"/>
        <w:numId w:val="6"/>
      </w:numPr>
    </w:pPr>
  </w:style>
  <w:style w:type="paragraph" w:customStyle="1" w:styleId="94">
    <w:name w:val="附录三级条标题"/>
    <w:basedOn w:val="1"/>
    <w:qFormat/>
    <w:uiPriority w:val="0"/>
    <w:pPr>
      <w:numPr>
        <w:ilvl w:val="4"/>
        <w:numId w:val="6"/>
      </w:numPr>
    </w:pPr>
  </w:style>
  <w:style w:type="paragraph" w:customStyle="1" w:styleId="95">
    <w:name w:val="附录四级条标题"/>
    <w:basedOn w:val="1"/>
    <w:qFormat/>
    <w:uiPriority w:val="0"/>
    <w:pPr>
      <w:numPr>
        <w:ilvl w:val="5"/>
        <w:numId w:val="6"/>
      </w:numPr>
    </w:pPr>
  </w:style>
  <w:style w:type="paragraph" w:customStyle="1" w:styleId="96">
    <w:name w:val="附录五级条标题"/>
    <w:basedOn w:val="1"/>
    <w:qFormat/>
    <w:uiPriority w:val="0"/>
    <w:pPr>
      <w:numPr>
        <w:ilvl w:val="6"/>
        <w:numId w:val="6"/>
      </w:numPr>
    </w:pPr>
  </w:style>
  <w:style w:type="character" w:customStyle="1" w:styleId="97">
    <w:name w:val="发布"/>
    <w:qFormat/>
    <w:uiPriority w:val="0"/>
    <w:rPr>
      <w:rFonts w:ascii="黑体" w:eastAsia="黑体"/>
      <w:spacing w:val="85"/>
      <w:w w:val="100"/>
      <w:position w:val="3"/>
      <w:sz w:val="28"/>
      <w:szCs w:val="28"/>
    </w:rPr>
  </w:style>
  <w:style w:type="paragraph" w:customStyle="1" w:styleId="9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99">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100">
    <w:name w:val="TOC 标题1"/>
    <w:basedOn w:val="2"/>
    <w:next w:val="1"/>
    <w:unhideWhenUsed/>
    <w:qFormat/>
    <w:uiPriority w:val="39"/>
    <w:pPr>
      <w:widowControl/>
      <w:numPr>
        <w:numId w:val="0"/>
      </w:numPr>
      <w:spacing w:before="240" w:after="0" w:line="259" w:lineRule="auto"/>
      <w:jc w:val="left"/>
      <w:outlineLvl w:val="9"/>
    </w:pPr>
    <w:rPr>
      <w:rFonts w:asciiTheme="majorHAnsi" w:hAnsiTheme="majorHAnsi" w:eastAsiaTheme="majorEastAsia" w:cstheme="majorBidi"/>
      <w:b/>
      <w:bCs/>
      <w:color w:val="2F5597" w:themeColor="accent1" w:themeShade="BF"/>
      <w:kern w:val="0"/>
      <w:sz w:val="32"/>
      <w:szCs w:val="32"/>
    </w:rPr>
  </w:style>
  <w:style w:type="character" w:customStyle="1" w:styleId="101">
    <w:name w:val="未处理的提及1"/>
    <w:basedOn w:val="57"/>
    <w:semiHidden/>
    <w:unhideWhenUsed/>
    <w:qFormat/>
    <w:uiPriority w:val="99"/>
    <w:rPr>
      <w:color w:val="605E5C"/>
      <w:shd w:val="clear" w:color="auto" w:fill="E1DFDD"/>
    </w:rPr>
  </w:style>
  <w:style w:type="character" w:customStyle="1" w:styleId="102">
    <w:name w:val="正文文本 字符"/>
    <w:basedOn w:val="57"/>
    <w:link w:val="21"/>
    <w:qFormat/>
    <w:uiPriority w:val="0"/>
    <w:rPr>
      <w:rFonts w:ascii="宋体" w:hAnsi="宋体" w:eastAsia="仿宋_GB2312" w:cs="Times New Roman"/>
      <w:sz w:val="28"/>
      <w:szCs w:val="21"/>
    </w:rPr>
  </w:style>
  <w:style w:type="paragraph" w:customStyle="1" w:styleId="103">
    <w:name w:val="标题1 sosopeng"/>
    <w:basedOn w:val="2"/>
    <w:qFormat/>
    <w:uiPriority w:val="0"/>
    <w:pPr>
      <w:numPr>
        <w:numId w:val="0"/>
      </w:numPr>
      <w:spacing w:line="415" w:lineRule="auto"/>
      <w:jc w:val="left"/>
      <w:outlineLvl w:val="1"/>
    </w:pPr>
    <w:rPr>
      <w:rFonts w:hAnsi="黑体"/>
      <w:b/>
      <w:szCs w:val="32"/>
    </w:rPr>
  </w:style>
  <w:style w:type="paragraph" w:customStyle="1" w:styleId="104">
    <w:name w:val="标题4 sosopeng"/>
    <w:basedOn w:val="5"/>
    <w:link w:val="106"/>
    <w:qFormat/>
    <w:uiPriority w:val="0"/>
    <w:pPr>
      <w:tabs>
        <w:tab w:val="clear" w:pos="864"/>
      </w:tabs>
      <w:spacing w:before="240" w:after="240" w:line="240" w:lineRule="auto"/>
      <w:ind w:left="862" w:hanging="862"/>
    </w:pPr>
    <w:rPr>
      <w:b w:val="0"/>
    </w:rPr>
  </w:style>
  <w:style w:type="paragraph" w:customStyle="1" w:styleId="105">
    <w:name w:val="正文 sosopeng"/>
    <w:basedOn w:val="1"/>
    <w:link w:val="107"/>
    <w:qFormat/>
    <w:uiPriority w:val="0"/>
    <w:pPr>
      <w:adjustRightInd w:val="0"/>
      <w:snapToGrid w:val="0"/>
      <w:spacing w:line="580" w:lineRule="exact"/>
      <w:ind w:firstLine="200" w:firstLineChars="200"/>
    </w:pPr>
    <w:rPr>
      <w:rFonts w:ascii="宋体" w:hAnsi="宋体" w:eastAsia="宋体" w:cs="Times New Roman"/>
      <w:color w:val="000000"/>
      <w:sz w:val="24"/>
      <w:szCs w:val="24"/>
      <w:shd w:val="clear" w:color="auto" w:fill="FFFFFF"/>
    </w:rPr>
  </w:style>
  <w:style w:type="character" w:customStyle="1" w:styleId="106">
    <w:name w:val="标题4 sosopeng 字符"/>
    <w:link w:val="104"/>
    <w:qFormat/>
    <w:uiPriority w:val="0"/>
    <w:rPr>
      <w:rFonts w:ascii="Arial" w:hAnsi="Arial" w:eastAsia="黑体"/>
      <w:bCs/>
      <w:kern w:val="2"/>
      <w:sz w:val="21"/>
      <w:szCs w:val="21"/>
    </w:rPr>
  </w:style>
  <w:style w:type="character" w:customStyle="1" w:styleId="107">
    <w:name w:val="正文 sosopeng Char"/>
    <w:link w:val="105"/>
    <w:qFormat/>
    <w:uiPriority w:val="0"/>
    <w:rPr>
      <w:rFonts w:ascii="宋体" w:hAnsi="宋体" w:eastAsia="宋体" w:cs="Times New Roman"/>
      <w:color w:val="000000"/>
      <w:sz w:val="24"/>
      <w:szCs w:val="24"/>
    </w:rPr>
  </w:style>
  <w:style w:type="character" w:customStyle="1" w:styleId="108">
    <w:name w:val="标题 1 Char"/>
    <w:qFormat/>
    <w:uiPriority w:val="0"/>
    <w:rPr>
      <w:rFonts w:ascii="黑体" w:hAnsi="黑体" w:eastAsia="黑体"/>
      <w:b/>
      <w:bCs/>
      <w:kern w:val="44"/>
      <w:sz w:val="32"/>
      <w:szCs w:val="32"/>
    </w:rPr>
  </w:style>
  <w:style w:type="character" w:customStyle="1" w:styleId="109">
    <w:name w:val="标题3 sosopeng Char"/>
    <w:link w:val="110"/>
    <w:qFormat/>
    <w:uiPriority w:val="0"/>
    <w:rPr>
      <w:rFonts w:ascii="宋体" w:hAnsi="宋体" w:eastAsia="黑体"/>
      <w:b/>
      <w:kern w:val="2"/>
      <w:sz w:val="21"/>
      <w:szCs w:val="21"/>
      <w:lang w:val="zh-CN"/>
    </w:rPr>
  </w:style>
  <w:style w:type="paragraph" w:customStyle="1" w:styleId="110">
    <w:name w:val="标题3 sosopeng"/>
    <w:basedOn w:val="4"/>
    <w:link w:val="109"/>
    <w:qFormat/>
    <w:uiPriority w:val="0"/>
    <w:pPr>
      <w:numPr>
        <w:numId w:val="7"/>
      </w:numPr>
      <w:spacing w:before="240" w:after="240"/>
    </w:pPr>
    <w:rPr>
      <w:rFonts w:ascii="宋体" w:hAnsi="宋体"/>
      <w:b/>
    </w:rPr>
  </w:style>
  <w:style w:type="paragraph" w:customStyle="1" w:styleId="111">
    <w:name w:val="前言、引言标题"/>
    <w:next w:val="1"/>
    <w:qFormat/>
    <w:uiPriority w:val="0"/>
    <w:pPr>
      <w:numPr>
        <w:ilvl w:val="0"/>
        <w:numId w:val="8"/>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2">
    <w:name w:val="章标题"/>
    <w:next w:val="1"/>
    <w:qFormat/>
    <w:uiPriority w:val="0"/>
    <w:pPr>
      <w:numPr>
        <w:ilvl w:val="1"/>
        <w:numId w:val="8"/>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113">
    <w:name w:val="一级条标题"/>
    <w:next w:val="1"/>
    <w:qFormat/>
    <w:uiPriority w:val="0"/>
    <w:pPr>
      <w:numPr>
        <w:ilvl w:val="2"/>
        <w:numId w:val="8"/>
      </w:numPr>
      <w:outlineLvl w:val="2"/>
    </w:pPr>
    <w:rPr>
      <w:rFonts w:ascii="Times New Roman" w:hAnsi="Times New Roman" w:eastAsia="黑体" w:cs="Times New Roman"/>
      <w:sz w:val="21"/>
      <w:lang w:val="en-US" w:eastAsia="zh-CN" w:bidi="ar-SA"/>
    </w:rPr>
  </w:style>
  <w:style w:type="paragraph" w:customStyle="1" w:styleId="114">
    <w:name w:val="二级条标题"/>
    <w:basedOn w:val="113"/>
    <w:next w:val="1"/>
    <w:link w:val="264"/>
    <w:qFormat/>
    <w:uiPriority w:val="0"/>
    <w:pPr>
      <w:numPr>
        <w:ilvl w:val="3"/>
      </w:numPr>
      <w:tabs>
        <w:tab w:val="left" w:pos="360"/>
      </w:tabs>
      <w:outlineLvl w:val="3"/>
    </w:pPr>
  </w:style>
  <w:style w:type="paragraph" w:customStyle="1" w:styleId="115">
    <w:name w:val="标题2"/>
    <w:basedOn w:val="3"/>
    <w:link w:val="116"/>
    <w:qFormat/>
    <w:uiPriority w:val="0"/>
    <w:rPr>
      <w:sz w:val="24"/>
      <w:szCs w:val="24"/>
    </w:rPr>
  </w:style>
  <w:style w:type="character" w:customStyle="1" w:styleId="116">
    <w:name w:val="标题2 字符"/>
    <w:basedOn w:val="78"/>
    <w:link w:val="115"/>
    <w:qFormat/>
    <w:uiPriority w:val="0"/>
    <w:rPr>
      <w:rFonts w:ascii="黑体" w:hAnsi="宋体" w:eastAsia="黑体" w:cs="宋体"/>
      <w:kern w:val="2"/>
      <w:sz w:val="24"/>
      <w:szCs w:val="24"/>
    </w:rPr>
  </w:style>
  <w:style w:type="paragraph" w:customStyle="1" w:styleId="117">
    <w:name w:val="1级标题"/>
    <w:basedOn w:val="2"/>
    <w:qFormat/>
    <w:uiPriority w:val="0"/>
    <w:rPr>
      <w:rFonts w:ascii="宋体"/>
      <w:b/>
      <w:bCs/>
      <w:sz w:val="28"/>
      <w:szCs w:val="20"/>
    </w:rPr>
  </w:style>
  <w:style w:type="paragraph" w:customStyle="1" w:styleId="118">
    <w:name w:val="2级标题"/>
    <w:basedOn w:val="3"/>
    <w:qFormat/>
    <w:uiPriority w:val="0"/>
    <w:rPr>
      <w:rFonts w:ascii="宋体" w:eastAsia="宋体"/>
      <w:b/>
      <w:sz w:val="24"/>
      <w:szCs w:val="20"/>
    </w:rPr>
  </w:style>
  <w:style w:type="paragraph" w:customStyle="1" w:styleId="119">
    <w:name w:val="我用的正文"/>
    <w:basedOn w:val="1"/>
    <w:link w:val="120"/>
    <w:qFormat/>
    <w:uiPriority w:val="0"/>
    <w:pPr>
      <w:ind w:firstLine="420" w:firstLineChars="200"/>
    </w:pPr>
    <w:rPr>
      <w:rFonts w:ascii="Times New Roman" w:hAnsi="Times New Roman" w:eastAsia="宋体" w:cs="宋体"/>
      <w:szCs w:val="20"/>
    </w:rPr>
  </w:style>
  <w:style w:type="character" w:customStyle="1" w:styleId="120">
    <w:name w:val="我用的正文 Char"/>
    <w:link w:val="119"/>
    <w:qFormat/>
    <w:uiPriority w:val="0"/>
    <w:rPr>
      <w:rFonts w:ascii="Times New Roman" w:hAnsi="Times New Roman" w:eastAsia="宋体" w:cs="宋体"/>
      <w:szCs w:val="20"/>
    </w:rPr>
  </w:style>
  <w:style w:type="paragraph" w:customStyle="1" w:styleId="121">
    <w:name w:val="实施日期"/>
    <w:basedOn w:val="1"/>
    <w:qFormat/>
    <w:uiPriority w:val="0"/>
    <w:pPr>
      <w:framePr w:w="4000" w:h="473" w:hRule="exact" w:vSpace="180" w:wrap="around" w:vAnchor="margin" w:hAnchor="margin" w:xAlign="right" w:y="13511" w:anchorLock="1"/>
      <w:widowControl/>
      <w:jc w:val="right"/>
    </w:pPr>
    <w:rPr>
      <w:rFonts w:ascii="Times New Roman" w:hAnsi="Times New Roman" w:eastAsia="黑体" w:cs="Times New Roman"/>
      <w:kern w:val="0"/>
      <w:sz w:val="28"/>
      <w:szCs w:val="20"/>
    </w:rPr>
  </w:style>
  <w:style w:type="paragraph" w:customStyle="1" w:styleId="122">
    <w:name w:val="二级无标题条"/>
    <w:basedOn w:val="1"/>
    <w:qFormat/>
    <w:uiPriority w:val="0"/>
    <w:rPr>
      <w:rFonts w:ascii="Times New Roman" w:hAnsi="Times New Roman" w:eastAsia="宋体" w:cs="Times New Roman"/>
      <w:szCs w:val="24"/>
    </w:rPr>
  </w:style>
  <w:style w:type="paragraph" w:customStyle="1" w:styleId="12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24">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25">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26">
    <w:name w:val="标准书眉一"/>
    <w:qFormat/>
    <w:uiPriority w:val="0"/>
    <w:pPr>
      <w:jc w:val="both"/>
    </w:pPr>
    <w:rPr>
      <w:rFonts w:ascii="Times New Roman" w:hAnsi="Times New Roman" w:eastAsia="宋体" w:cs="Times New Roman"/>
      <w:lang w:val="en-US" w:eastAsia="zh-CN" w:bidi="ar-SA"/>
    </w:rPr>
  </w:style>
  <w:style w:type="paragraph" w:customStyle="1" w:styleId="12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1">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32">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33">
    <w:name w:val="封面正文"/>
    <w:qFormat/>
    <w:uiPriority w:val="0"/>
    <w:pPr>
      <w:jc w:val="both"/>
    </w:pPr>
    <w:rPr>
      <w:rFonts w:ascii="Times New Roman" w:hAnsi="Times New Roman" w:eastAsia="宋体" w:cs="Times New Roman"/>
      <w:lang w:val="en-US" w:eastAsia="zh-CN" w:bidi="ar-SA"/>
    </w:rPr>
  </w:style>
  <w:style w:type="paragraph" w:customStyle="1" w:styleId="134">
    <w:name w:val="目次、标准名称标题"/>
    <w:basedOn w:val="111"/>
    <w:next w:val="41"/>
    <w:qFormat/>
    <w:uiPriority w:val="0"/>
    <w:pPr>
      <w:numPr>
        <w:numId w:val="0"/>
      </w:numPr>
      <w:spacing w:line="460" w:lineRule="exact"/>
    </w:p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3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character" w:customStyle="1" w:styleId="138">
    <w:name w:val="文档结构图 字符"/>
    <w:basedOn w:val="57"/>
    <w:link w:val="18"/>
    <w:semiHidden/>
    <w:qFormat/>
    <w:uiPriority w:val="0"/>
    <w:rPr>
      <w:rFonts w:ascii="Times New Roman" w:hAnsi="Times New Roman" w:eastAsia="宋体" w:cs="Times New Roman"/>
      <w:szCs w:val="24"/>
      <w:shd w:val="clear" w:color="auto" w:fill="000080"/>
    </w:rPr>
  </w:style>
  <w:style w:type="paragraph" w:customStyle="1" w:styleId="139">
    <w:name w:val="三级条标题"/>
    <w:basedOn w:val="114"/>
    <w:next w:val="41"/>
    <w:qFormat/>
    <w:uiPriority w:val="0"/>
    <w:pPr>
      <w:numPr>
        <w:ilvl w:val="0"/>
        <w:numId w:val="0"/>
      </w:numPr>
      <w:outlineLvl w:val="4"/>
    </w:pPr>
  </w:style>
  <w:style w:type="character" w:customStyle="1" w:styleId="140">
    <w:name w:val="批注框文本 字符"/>
    <w:basedOn w:val="57"/>
    <w:link w:val="34"/>
    <w:qFormat/>
    <w:uiPriority w:val="99"/>
    <w:rPr>
      <w:rFonts w:ascii="Times New Roman" w:hAnsi="Times New Roman" w:eastAsia="宋体" w:cs="Times New Roman"/>
      <w:sz w:val="18"/>
      <w:szCs w:val="18"/>
    </w:rPr>
  </w:style>
  <w:style w:type="paragraph" w:customStyle="1" w:styleId="141">
    <w:name w:val="图表脚注"/>
    <w:next w:val="41"/>
    <w:qFormat/>
    <w:uiPriority w:val="0"/>
    <w:pPr>
      <w:ind w:left="300" w:leftChars="200" w:hanging="100" w:hangingChars="100"/>
      <w:jc w:val="both"/>
    </w:pPr>
    <w:rPr>
      <w:rFonts w:ascii="宋体" w:hAnsi="Times New Roman" w:eastAsia="宋体" w:cs="Times New Roman"/>
      <w:sz w:val="18"/>
      <w:lang w:val="en-US" w:eastAsia="zh-CN" w:bidi="ar-SA"/>
    </w:rPr>
  </w:style>
  <w:style w:type="character" w:customStyle="1" w:styleId="142">
    <w:name w:val="样式 (西文) TimesNewRoman (中文) 黑体"/>
    <w:qFormat/>
    <w:uiPriority w:val="0"/>
    <w:rPr>
      <w:rFonts w:ascii="TimesNewRoman" w:hAnsi="TimesNewRoman" w:eastAsia="宋体"/>
      <w:kern w:val="0"/>
      <w:sz w:val="21"/>
    </w:rPr>
  </w:style>
  <w:style w:type="character" w:customStyle="1" w:styleId="143">
    <w:name w:val="样式 (中文) AdobeSongStd-Light-Acro 10 磅 红色"/>
    <w:qFormat/>
    <w:uiPriority w:val="0"/>
    <w:rPr>
      <w:rFonts w:ascii="Times New Roman" w:hAnsi="Times New Roman" w:eastAsia="宋体"/>
      <w:color w:val="FF0000"/>
      <w:kern w:val="0"/>
      <w:sz w:val="21"/>
    </w:rPr>
  </w:style>
  <w:style w:type="character" w:customStyle="1" w:styleId="144">
    <w:name w:val="已访问的超链接1"/>
    <w:qFormat/>
    <w:uiPriority w:val="0"/>
    <w:rPr>
      <w:color w:val="800080"/>
      <w:u w:val="single"/>
    </w:rPr>
  </w:style>
  <w:style w:type="character" w:customStyle="1" w:styleId="145">
    <w:name w:val="正文文本缩进 字符"/>
    <w:basedOn w:val="57"/>
    <w:link w:val="22"/>
    <w:qFormat/>
    <w:uiPriority w:val="0"/>
    <w:rPr>
      <w:rFonts w:ascii="Times New Roman" w:hAnsi="Times New Roman" w:eastAsia="仿宋_GB2312" w:cs="Times New Roman"/>
      <w:sz w:val="24"/>
      <w:szCs w:val="20"/>
    </w:rPr>
  </w:style>
  <w:style w:type="character" w:customStyle="1" w:styleId="146">
    <w:name w:val="日期 字符"/>
    <w:basedOn w:val="57"/>
    <w:link w:val="31"/>
    <w:qFormat/>
    <w:uiPriority w:val="0"/>
    <w:rPr>
      <w:rFonts w:ascii="Times New Roman" w:hAnsi="Times New Roman" w:eastAsia="宋体" w:cs="Times New Roman"/>
      <w:szCs w:val="24"/>
    </w:rPr>
  </w:style>
  <w:style w:type="paragraph" w:customStyle="1" w:styleId="147">
    <w:name w:val="段落"/>
    <w:basedOn w:val="1"/>
    <w:link w:val="148"/>
    <w:qFormat/>
    <w:uiPriority w:val="0"/>
    <w:pPr>
      <w:ind w:firstLine="1079" w:firstLineChars="514"/>
    </w:pPr>
    <w:rPr>
      <w:rFonts w:ascii="Times New Roman" w:hAnsi="Times New Roman" w:eastAsia="宋体" w:cs="Times New Roman"/>
      <w:szCs w:val="24"/>
    </w:rPr>
  </w:style>
  <w:style w:type="character" w:customStyle="1" w:styleId="148">
    <w:name w:val="段落 Char"/>
    <w:link w:val="147"/>
    <w:qFormat/>
    <w:uiPriority w:val="0"/>
    <w:rPr>
      <w:rFonts w:ascii="Times New Roman" w:hAnsi="Times New Roman" w:eastAsia="宋体" w:cs="Times New Roman"/>
      <w:szCs w:val="24"/>
    </w:rPr>
  </w:style>
  <w:style w:type="paragraph" w:customStyle="1" w:styleId="149">
    <w:name w:val="样式 样式 段后: 15.6 磅 行距: 1.5 倍行距 首行缩进:  2 字符 + 段后: 0 磅"/>
    <w:basedOn w:val="1"/>
    <w:qFormat/>
    <w:uiPriority w:val="0"/>
    <w:pPr>
      <w:spacing w:line="360" w:lineRule="auto"/>
      <w:ind w:firstLine="200" w:firstLineChars="200"/>
    </w:pPr>
    <w:rPr>
      <w:rFonts w:ascii="Times New Roman" w:hAnsi="Times New Roman" w:eastAsia="宋体" w:cs="宋体"/>
      <w:szCs w:val="20"/>
    </w:rPr>
  </w:style>
  <w:style w:type="paragraph" w:customStyle="1" w:styleId="150">
    <w:name w:val="样式 标题 3 + 段前: 15.6 磅"/>
    <w:basedOn w:val="4"/>
    <w:qFormat/>
    <w:uiPriority w:val="0"/>
    <w:pPr>
      <w:numPr>
        <w:ilvl w:val="0"/>
        <w:numId w:val="0"/>
      </w:numPr>
      <w:spacing w:before="312" w:after="0" w:line="360" w:lineRule="auto"/>
    </w:pPr>
    <w:rPr>
      <w:rFonts w:ascii="Arial" w:hAnsi="Arial" w:cs="宋体"/>
      <w:b/>
      <w:bCs/>
      <w:szCs w:val="20"/>
      <w:lang w:val="en-US"/>
    </w:rPr>
  </w:style>
  <w:style w:type="character" w:customStyle="1" w:styleId="151">
    <w:name w:val="纯文本 字符"/>
    <w:basedOn w:val="57"/>
    <w:link w:val="27"/>
    <w:qFormat/>
    <w:uiPriority w:val="0"/>
    <w:rPr>
      <w:rFonts w:ascii="宋体" w:hAnsi="Courier New" w:eastAsia="宋体" w:cs="Courier New"/>
      <w:szCs w:val="21"/>
    </w:rPr>
  </w:style>
  <w:style w:type="paragraph" w:customStyle="1" w:styleId="152">
    <w:name w:val="3级标题"/>
    <w:basedOn w:val="4"/>
    <w:qFormat/>
    <w:uiPriority w:val="0"/>
    <w:pPr>
      <w:numPr>
        <w:ilvl w:val="0"/>
        <w:numId w:val="0"/>
      </w:numPr>
      <w:spacing w:before="360" w:after="0" w:line="240" w:lineRule="auto"/>
    </w:pPr>
    <w:rPr>
      <w:rFonts w:hAnsi="Arial" w:eastAsia="宋体" w:cs="宋体"/>
      <w:b/>
      <w:bCs/>
      <w:szCs w:val="20"/>
      <w:lang w:val="en-US"/>
    </w:rPr>
  </w:style>
  <w:style w:type="paragraph" w:customStyle="1" w:styleId="153">
    <w:name w:val="样式 样式 林业信息化索引目录 + 段前: 1 行 + 段前: 1 行"/>
    <w:basedOn w:val="1"/>
    <w:link w:val="155"/>
    <w:qFormat/>
    <w:uiPriority w:val="0"/>
    <w:pPr>
      <w:widowControl/>
      <w:spacing w:before="312" w:beforeLines="100"/>
      <w:outlineLvl w:val="1"/>
    </w:pPr>
    <w:rPr>
      <w:rFonts w:ascii="Times New Roman" w:hAnsi="Times New Roman" w:eastAsia="宋体" w:cs="Times New Roman"/>
      <w:kern w:val="0"/>
      <w:szCs w:val="20"/>
    </w:rPr>
  </w:style>
  <w:style w:type="paragraph" w:customStyle="1" w:styleId="154">
    <w:name w:val="样式 ABCDEf + 小一"/>
    <w:basedOn w:val="1"/>
    <w:qFormat/>
    <w:uiPriority w:val="0"/>
    <w:pPr>
      <w:widowControl/>
      <w:tabs>
        <w:tab w:val="left" w:leader="dot" w:pos="9001"/>
      </w:tabs>
      <w:spacing w:before="260" w:after="260"/>
      <w:jc w:val="center"/>
    </w:pPr>
    <w:rPr>
      <w:rFonts w:ascii="Times New Roman" w:hAnsi="Times New Roman" w:eastAsia="宋体" w:cs="宋体"/>
      <w:bCs/>
      <w:szCs w:val="21"/>
    </w:rPr>
  </w:style>
  <w:style w:type="character" w:customStyle="1" w:styleId="155">
    <w:name w:val="样式 样式 林业信息化索引目录 + 段前: 1 行 + 段前: 1 行 Char Char"/>
    <w:link w:val="153"/>
    <w:qFormat/>
    <w:uiPriority w:val="0"/>
    <w:rPr>
      <w:rFonts w:ascii="Times New Roman" w:hAnsi="Times New Roman" w:eastAsia="宋体" w:cs="Times New Roman"/>
      <w:kern w:val="0"/>
      <w:szCs w:val="20"/>
    </w:rPr>
  </w:style>
  <w:style w:type="character" w:customStyle="1" w:styleId="156">
    <w:name w:val="样式 首行缩进:  0.74 厘米 Char"/>
    <w:link w:val="157"/>
    <w:qFormat/>
    <w:uiPriority w:val="0"/>
  </w:style>
  <w:style w:type="paragraph" w:customStyle="1" w:styleId="157">
    <w:name w:val="样式 首行缩进:  0.74 厘米"/>
    <w:basedOn w:val="1"/>
    <w:link w:val="156"/>
    <w:qFormat/>
    <w:uiPriority w:val="0"/>
    <w:pPr>
      <w:spacing w:line="360" w:lineRule="auto"/>
      <w:ind w:firstLine="420"/>
    </w:pPr>
  </w:style>
  <w:style w:type="character" w:customStyle="1" w:styleId="158">
    <w:name w:val="正文文本首行缩进 字符"/>
    <w:basedOn w:val="102"/>
    <w:link w:val="54"/>
    <w:qFormat/>
    <w:uiPriority w:val="0"/>
    <w:rPr>
      <w:rFonts w:ascii="Times New Roman" w:hAnsi="Times New Roman" w:eastAsia="宋体" w:cs="Times New Roman"/>
      <w:sz w:val="28"/>
      <w:szCs w:val="24"/>
    </w:rPr>
  </w:style>
  <w:style w:type="character" w:customStyle="1" w:styleId="159">
    <w:name w:val="纯文本 Char"/>
    <w:qFormat/>
    <w:uiPriority w:val="0"/>
    <w:rPr>
      <w:rFonts w:ascii="宋体" w:hAnsi="Courier New" w:eastAsia="宋体" w:cs="Courier New"/>
      <w:kern w:val="2"/>
      <w:sz w:val="21"/>
      <w:szCs w:val="21"/>
      <w:lang w:val="en-US" w:eastAsia="zh-CN" w:bidi="ar-SA"/>
    </w:rPr>
  </w:style>
  <w:style w:type="character" w:customStyle="1" w:styleId="160">
    <w:name w:val="段 Char"/>
    <w:link w:val="41"/>
    <w:qFormat/>
    <w:uiPriority w:val="0"/>
    <w:rPr>
      <w:rFonts w:ascii="宋体" w:hAnsi="Times New Roman" w:eastAsia="宋体" w:cs="Times New Roman"/>
      <w:kern w:val="0"/>
      <w:szCs w:val="20"/>
    </w:rPr>
  </w:style>
  <w:style w:type="paragraph" w:customStyle="1" w:styleId="16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62">
    <w:name w:val="列项——（一级）"/>
    <w:qFormat/>
    <w:uiPriority w:val="0"/>
    <w:pPr>
      <w:widowControl w:val="0"/>
      <w:numPr>
        <w:ilvl w:val="0"/>
        <w:numId w:val="9"/>
      </w:numPr>
      <w:jc w:val="both"/>
    </w:pPr>
    <w:rPr>
      <w:rFonts w:ascii="宋体" w:hAnsi="Times New Roman" w:eastAsia="宋体" w:cs="Times New Roman"/>
      <w:sz w:val="21"/>
      <w:lang w:val="en-US" w:eastAsia="zh-CN" w:bidi="ar-SA"/>
    </w:rPr>
  </w:style>
  <w:style w:type="paragraph" w:customStyle="1" w:styleId="163">
    <w:name w:val="列项●（二级）"/>
    <w:qFormat/>
    <w:uiPriority w:val="0"/>
    <w:pPr>
      <w:numPr>
        <w:ilvl w:val="1"/>
        <w:numId w:val="9"/>
      </w:numPr>
      <w:tabs>
        <w:tab w:val="left" w:pos="840"/>
      </w:tabs>
      <w:jc w:val="both"/>
    </w:pPr>
    <w:rPr>
      <w:rFonts w:ascii="宋体" w:hAnsi="Times New Roman" w:eastAsia="宋体" w:cs="Times New Roman"/>
      <w:sz w:val="21"/>
      <w:lang w:val="en-US" w:eastAsia="zh-CN" w:bidi="ar-SA"/>
    </w:rPr>
  </w:style>
  <w:style w:type="paragraph" w:customStyle="1" w:styleId="164">
    <w:name w:val="示例"/>
    <w:next w:val="165"/>
    <w:link w:val="252"/>
    <w:qFormat/>
    <w:uiPriority w:val="0"/>
    <w:pPr>
      <w:widowControl w:val="0"/>
      <w:jc w:val="both"/>
    </w:pPr>
    <w:rPr>
      <w:rFonts w:ascii="宋体" w:hAnsi="Times New Roman" w:eastAsia="宋体" w:cs="Times New Roman"/>
      <w:sz w:val="18"/>
      <w:szCs w:val="18"/>
      <w:lang w:val="en-US" w:eastAsia="zh-CN" w:bidi="ar-SA"/>
    </w:rPr>
  </w:style>
  <w:style w:type="paragraph" w:customStyle="1" w:styleId="16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66">
    <w:name w:val="数字编号列项（二级）"/>
    <w:qFormat/>
    <w:uiPriority w:val="0"/>
    <w:pPr>
      <w:numPr>
        <w:ilvl w:val="1"/>
        <w:numId w:val="10"/>
      </w:numPr>
      <w:jc w:val="both"/>
    </w:pPr>
    <w:rPr>
      <w:rFonts w:ascii="宋体" w:hAnsi="Times New Roman" w:eastAsia="宋体" w:cs="Times New Roman"/>
      <w:sz w:val="21"/>
      <w:lang w:val="en-US" w:eastAsia="zh-CN" w:bidi="ar-SA"/>
    </w:rPr>
  </w:style>
  <w:style w:type="paragraph" w:customStyle="1" w:styleId="167">
    <w:name w:val="四级条标题"/>
    <w:basedOn w:val="139"/>
    <w:next w:val="41"/>
    <w:qFormat/>
    <w:uiPriority w:val="0"/>
    <w:pPr>
      <w:spacing w:before="50" w:beforeLines="50" w:after="50" w:afterLines="50"/>
      <w:outlineLvl w:val="5"/>
    </w:pPr>
    <w:rPr>
      <w:rFonts w:ascii="黑体"/>
      <w:szCs w:val="21"/>
    </w:rPr>
  </w:style>
  <w:style w:type="paragraph" w:customStyle="1" w:styleId="168">
    <w:name w:val="五级条标题"/>
    <w:basedOn w:val="167"/>
    <w:next w:val="41"/>
    <w:qFormat/>
    <w:uiPriority w:val="0"/>
    <w:pPr>
      <w:outlineLvl w:val="6"/>
    </w:pPr>
  </w:style>
  <w:style w:type="paragraph" w:customStyle="1" w:styleId="169">
    <w:name w:val="注："/>
    <w:next w:val="41"/>
    <w:qFormat/>
    <w:uiPriority w:val="0"/>
    <w:pPr>
      <w:widowControl w:val="0"/>
      <w:numPr>
        <w:ilvl w:val="0"/>
        <w:numId w:val="11"/>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70">
    <w:name w:val="注×："/>
    <w:link w:val="258"/>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171">
    <w:name w:val="字母编号列项（一级）"/>
    <w:qFormat/>
    <w:uiPriority w:val="0"/>
    <w:pPr>
      <w:numPr>
        <w:ilvl w:val="0"/>
        <w:numId w:val="10"/>
      </w:numPr>
      <w:jc w:val="both"/>
    </w:pPr>
    <w:rPr>
      <w:rFonts w:ascii="宋体" w:hAnsi="Times New Roman" w:eastAsia="宋体" w:cs="Times New Roman"/>
      <w:sz w:val="21"/>
      <w:lang w:val="en-US" w:eastAsia="zh-CN" w:bidi="ar-SA"/>
    </w:rPr>
  </w:style>
  <w:style w:type="paragraph" w:customStyle="1" w:styleId="172">
    <w:name w:val="列项◆（三级）"/>
    <w:basedOn w:val="1"/>
    <w:qFormat/>
    <w:uiPriority w:val="0"/>
    <w:pPr>
      <w:numPr>
        <w:ilvl w:val="2"/>
        <w:numId w:val="9"/>
      </w:numPr>
    </w:pPr>
    <w:rPr>
      <w:rFonts w:ascii="宋体" w:hAnsi="Times New Roman" w:eastAsia="宋体" w:cs="Times New Roman"/>
      <w:szCs w:val="21"/>
    </w:rPr>
  </w:style>
  <w:style w:type="paragraph" w:customStyle="1" w:styleId="173">
    <w:name w:val="编号列项（三级）"/>
    <w:qFormat/>
    <w:uiPriority w:val="0"/>
    <w:pPr>
      <w:numPr>
        <w:ilvl w:val="2"/>
        <w:numId w:val="10"/>
      </w:numPr>
    </w:pPr>
    <w:rPr>
      <w:rFonts w:ascii="宋体" w:hAnsi="Times New Roman" w:eastAsia="宋体" w:cs="Times New Roman"/>
      <w:sz w:val="21"/>
      <w:lang w:val="en-US" w:eastAsia="zh-CN" w:bidi="ar-SA"/>
    </w:rPr>
  </w:style>
  <w:style w:type="paragraph" w:customStyle="1" w:styleId="174">
    <w:name w:val="示例×："/>
    <w:basedOn w:val="112"/>
    <w:qFormat/>
    <w:uiPriority w:val="0"/>
    <w:pPr>
      <w:numPr>
        <w:ilvl w:val="0"/>
        <w:numId w:val="0"/>
      </w:numPr>
      <w:tabs>
        <w:tab w:val="left" w:pos="780"/>
      </w:tabs>
      <w:spacing w:before="0" w:beforeLines="0" w:after="0" w:afterLines="0"/>
      <w:ind w:left="780" w:leftChars="200" w:hanging="360" w:hangingChars="200"/>
      <w:outlineLvl w:val="9"/>
    </w:pPr>
    <w:rPr>
      <w:rFonts w:ascii="宋体" w:eastAsia="宋体"/>
      <w:sz w:val="18"/>
      <w:szCs w:val="18"/>
    </w:rPr>
  </w:style>
  <w:style w:type="paragraph" w:customStyle="1" w:styleId="175">
    <w:name w:val="二级无"/>
    <w:basedOn w:val="114"/>
    <w:qFormat/>
    <w:uiPriority w:val="0"/>
    <w:pPr>
      <w:numPr>
        <w:ilvl w:val="0"/>
        <w:numId w:val="0"/>
      </w:numPr>
      <w:ind w:hanging="567"/>
    </w:pPr>
    <w:rPr>
      <w:rFonts w:ascii="宋体" w:eastAsia="宋体"/>
      <w:szCs w:val="21"/>
    </w:rPr>
  </w:style>
  <w:style w:type="paragraph" w:customStyle="1" w:styleId="176">
    <w:name w:val="注：（正文）"/>
    <w:basedOn w:val="169"/>
    <w:next w:val="41"/>
    <w:qFormat/>
    <w:uiPriority w:val="0"/>
  </w:style>
  <w:style w:type="paragraph" w:customStyle="1" w:styleId="177">
    <w:name w:val="注×：（正文）"/>
    <w:qFormat/>
    <w:uiPriority w:val="0"/>
    <w:pPr>
      <w:numPr>
        <w:ilvl w:val="0"/>
        <w:numId w:val="13"/>
      </w:numPr>
      <w:jc w:val="both"/>
    </w:pPr>
    <w:rPr>
      <w:rFonts w:ascii="宋体" w:hAnsi="Times New Roman" w:eastAsia="宋体" w:cs="Times New Roman"/>
      <w:sz w:val="18"/>
      <w:szCs w:val="18"/>
      <w:lang w:val="en-US" w:eastAsia="zh-CN" w:bidi="ar-SA"/>
    </w:rPr>
  </w:style>
  <w:style w:type="paragraph" w:customStyle="1" w:styleId="17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7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80">
    <w:name w:val="标准书眉_偶数页"/>
    <w:basedOn w:val="125"/>
    <w:next w:val="1"/>
    <w:qFormat/>
    <w:uiPriority w:val="0"/>
    <w:pPr>
      <w:spacing w:after="220"/>
      <w:jc w:val="left"/>
    </w:pPr>
    <w:rPr>
      <w:rFonts w:ascii="黑体" w:eastAsia="黑体"/>
      <w:szCs w:val="21"/>
    </w:rPr>
  </w:style>
  <w:style w:type="paragraph" w:customStyle="1" w:styleId="181">
    <w:name w:val="参考文献"/>
    <w:basedOn w:val="1"/>
    <w:next w:val="41"/>
    <w:qFormat/>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paragraph" w:customStyle="1" w:styleId="182">
    <w:name w:val="参考文献、索引标题"/>
    <w:basedOn w:val="1"/>
    <w:next w:val="41"/>
    <w:qFormat/>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paragraph" w:customStyle="1" w:styleId="183">
    <w:name w:val="发布部门"/>
    <w:next w:val="4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8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85">
    <w:name w:val="附录标题"/>
    <w:basedOn w:val="41"/>
    <w:next w:val="41"/>
    <w:qFormat/>
    <w:uiPriority w:val="0"/>
    <w:pPr>
      <w:tabs>
        <w:tab w:val="center" w:pos="4201"/>
        <w:tab w:val="right" w:leader="dot" w:pos="9298"/>
      </w:tabs>
      <w:ind w:firstLine="0" w:firstLineChars="0"/>
      <w:jc w:val="center"/>
    </w:pPr>
    <w:rPr>
      <w:rFonts w:ascii="黑体" w:eastAsia="黑体"/>
    </w:rPr>
  </w:style>
  <w:style w:type="paragraph" w:customStyle="1" w:styleId="186">
    <w:name w:val="附录表标号"/>
    <w:basedOn w:val="1"/>
    <w:next w:val="41"/>
    <w:qFormat/>
    <w:uiPriority w:val="0"/>
    <w:pPr>
      <w:numPr>
        <w:ilvl w:val="0"/>
        <w:numId w:val="14"/>
      </w:numPr>
      <w:tabs>
        <w:tab w:val="clear" w:pos="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187">
    <w:name w:val="附录表标题"/>
    <w:basedOn w:val="1"/>
    <w:next w:val="41"/>
    <w:qFormat/>
    <w:uiPriority w:val="0"/>
    <w:pPr>
      <w:numPr>
        <w:ilvl w:val="1"/>
        <w:numId w:val="14"/>
      </w:numPr>
      <w:tabs>
        <w:tab w:val="left" w:pos="180"/>
      </w:tabs>
      <w:spacing w:before="50" w:beforeLines="50" w:after="50" w:afterLines="50"/>
      <w:ind w:left="0" w:firstLine="0"/>
      <w:jc w:val="center"/>
    </w:pPr>
    <w:rPr>
      <w:rFonts w:ascii="黑体" w:hAnsi="Times New Roman" w:eastAsia="黑体" w:cs="Times New Roman"/>
      <w:szCs w:val="21"/>
    </w:rPr>
  </w:style>
  <w:style w:type="paragraph" w:customStyle="1" w:styleId="188">
    <w:name w:val="附录二级无"/>
    <w:basedOn w:val="93"/>
    <w:qFormat/>
    <w:uiPriority w:val="0"/>
    <w:pPr>
      <w:widowControl/>
      <w:wordWrap w:val="0"/>
      <w:overflowPunct w:val="0"/>
      <w:autoSpaceDE w:val="0"/>
      <w:autoSpaceDN w:val="0"/>
      <w:textAlignment w:val="baseline"/>
      <w:outlineLvl w:val="3"/>
    </w:pPr>
    <w:rPr>
      <w:rFonts w:ascii="宋体" w:hAnsi="Times New Roman" w:eastAsia="宋体" w:cs="Times New Roman"/>
      <w:kern w:val="21"/>
      <w:szCs w:val="21"/>
    </w:rPr>
  </w:style>
  <w:style w:type="paragraph" w:customStyle="1" w:styleId="189">
    <w:name w:val="附录公式"/>
    <w:basedOn w:val="41"/>
    <w:next w:val="41"/>
    <w:link w:val="190"/>
    <w:qFormat/>
    <w:uiPriority w:val="0"/>
    <w:pPr>
      <w:tabs>
        <w:tab w:val="center" w:pos="4201"/>
        <w:tab w:val="right" w:leader="dot" w:pos="9298"/>
      </w:tabs>
      <w:ind w:firstLine="420"/>
    </w:pPr>
  </w:style>
  <w:style w:type="character" w:customStyle="1" w:styleId="190">
    <w:name w:val="附录公式 Char"/>
    <w:link w:val="189"/>
    <w:qFormat/>
    <w:uiPriority w:val="0"/>
    <w:rPr>
      <w:rFonts w:ascii="宋体" w:hAnsi="Times New Roman" w:eastAsia="宋体" w:cs="Times New Roman"/>
      <w:kern w:val="0"/>
      <w:szCs w:val="20"/>
    </w:rPr>
  </w:style>
  <w:style w:type="paragraph" w:customStyle="1" w:styleId="191">
    <w:name w:val="附录公式编号制表符"/>
    <w:basedOn w:val="1"/>
    <w:next w:val="41"/>
    <w:qFormat/>
    <w:uiPriority w:val="0"/>
    <w:pPr>
      <w:widowControl/>
      <w:tabs>
        <w:tab w:val="center" w:pos="4201"/>
        <w:tab w:val="right" w:leader="dot" w:pos="9298"/>
      </w:tabs>
      <w:autoSpaceDE w:val="0"/>
      <w:autoSpaceDN w:val="0"/>
    </w:pPr>
    <w:rPr>
      <w:rFonts w:ascii="宋体" w:hAnsi="Times New Roman" w:eastAsia="宋体" w:cs="Times New Roman"/>
      <w:kern w:val="0"/>
      <w:szCs w:val="20"/>
    </w:rPr>
  </w:style>
  <w:style w:type="paragraph" w:customStyle="1" w:styleId="192">
    <w:name w:val="附录三级无"/>
    <w:basedOn w:val="94"/>
    <w:qFormat/>
    <w:uiPriority w:val="0"/>
    <w:pPr>
      <w:widowControl/>
      <w:wordWrap w:val="0"/>
      <w:overflowPunct w:val="0"/>
      <w:autoSpaceDE w:val="0"/>
      <w:autoSpaceDN w:val="0"/>
      <w:textAlignment w:val="baseline"/>
      <w:outlineLvl w:val="4"/>
    </w:pPr>
    <w:rPr>
      <w:rFonts w:ascii="宋体" w:hAnsi="Times New Roman" w:eastAsia="宋体" w:cs="Times New Roman"/>
      <w:kern w:val="21"/>
      <w:szCs w:val="21"/>
    </w:rPr>
  </w:style>
  <w:style w:type="paragraph" w:customStyle="1" w:styleId="193">
    <w:name w:val="附录数字编号列项（二级）"/>
    <w:qFormat/>
    <w:uiPriority w:val="0"/>
    <w:pPr>
      <w:numPr>
        <w:ilvl w:val="1"/>
        <w:numId w:val="15"/>
      </w:numPr>
    </w:pPr>
    <w:rPr>
      <w:rFonts w:ascii="宋体" w:hAnsi="Times New Roman" w:eastAsia="宋体" w:cs="Times New Roman"/>
      <w:sz w:val="21"/>
      <w:lang w:val="en-US" w:eastAsia="zh-CN" w:bidi="ar-SA"/>
    </w:rPr>
  </w:style>
  <w:style w:type="paragraph" w:customStyle="1" w:styleId="194">
    <w:name w:val="附录四级无"/>
    <w:basedOn w:val="95"/>
    <w:qFormat/>
    <w:uiPriority w:val="0"/>
    <w:pPr>
      <w:widowControl/>
      <w:wordWrap w:val="0"/>
      <w:overflowPunct w:val="0"/>
      <w:autoSpaceDE w:val="0"/>
      <w:autoSpaceDN w:val="0"/>
      <w:textAlignment w:val="baseline"/>
      <w:outlineLvl w:val="5"/>
    </w:pPr>
    <w:rPr>
      <w:rFonts w:ascii="宋体" w:hAnsi="Times New Roman" w:eastAsia="宋体" w:cs="Times New Roman"/>
      <w:kern w:val="21"/>
      <w:szCs w:val="21"/>
    </w:rPr>
  </w:style>
  <w:style w:type="paragraph" w:customStyle="1" w:styleId="195">
    <w:name w:val="附录图标号"/>
    <w:basedOn w:val="1"/>
    <w:qFormat/>
    <w:uiPriority w:val="0"/>
    <w:pPr>
      <w:keepNext/>
      <w:pageBreakBefore/>
      <w:widowControl/>
      <w:numPr>
        <w:ilvl w:val="0"/>
        <w:numId w:val="16"/>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196">
    <w:name w:val="附录图标题"/>
    <w:basedOn w:val="1"/>
    <w:next w:val="41"/>
    <w:qFormat/>
    <w:uiPriority w:val="0"/>
    <w:pPr>
      <w:numPr>
        <w:ilvl w:val="1"/>
        <w:numId w:val="16"/>
      </w:numPr>
      <w:tabs>
        <w:tab w:val="left" w:pos="363"/>
      </w:tabs>
      <w:spacing w:before="50" w:beforeLines="50" w:after="50" w:afterLines="50"/>
      <w:ind w:left="0" w:firstLine="0"/>
      <w:jc w:val="center"/>
    </w:pPr>
    <w:rPr>
      <w:rFonts w:ascii="黑体" w:hAnsi="Times New Roman" w:eastAsia="黑体" w:cs="Times New Roman"/>
      <w:szCs w:val="21"/>
    </w:rPr>
  </w:style>
  <w:style w:type="paragraph" w:customStyle="1" w:styleId="197">
    <w:name w:val="附录五级无"/>
    <w:basedOn w:val="96"/>
    <w:qFormat/>
    <w:uiPriority w:val="0"/>
    <w:pPr>
      <w:widowControl/>
      <w:wordWrap w:val="0"/>
      <w:overflowPunct w:val="0"/>
      <w:autoSpaceDE w:val="0"/>
      <w:autoSpaceDN w:val="0"/>
      <w:textAlignment w:val="baseline"/>
      <w:outlineLvl w:val="6"/>
    </w:pPr>
    <w:rPr>
      <w:rFonts w:ascii="宋体" w:hAnsi="Times New Roman" w:eastAsia="宋体" w:cs="Times New Roman"/>
      <w:kern w:val="21"/>
      <w:szCs w:val="21"/>
    </w:rPr>
  </w:style>
  <w:style w:type="paragraph" w:customStyle="1" w:styleId="198">
    <w:name w:val="附录一级无"/>
    <w:basedOn w:val="92"/>
    <w:qFormat/>
    <w:uiPriority w:val="0"/>
    <w:pPr>
      <w:widowControl/>
      <w:wordWrap w:val="0"/>
      <w:overflowPunct w:val="0"/>
      <w:autoSpaceDE w:val="0"/>
      <w:autoSpaceDN w:val="0"/>
      <w:textAlignment w:val="baseline"/>
      <w:outlineLvl w:val="2"/>
    </w:pPr>
    <w:rPr>
      <w:rFonts w:ascii="宋体" w:hAnsi="Times New Roman" w:eastAsia="宋体" w:cs="Times New Roman"/>
      <w:kern w:val="21"/>
      <w:szCs w:val="21"/>
    </w:rPr>
  </w:style>
  <w:style w:type="paragraph" w:customStyle="1" w:styleId="199">
    <w:name w:val="附录字母编号列项（一级）"/>
    <w:basedOn w:val="1"/>
    <w:qFormat/>
    <w:uiPriority w:val="0"/>
    <w:pPr>
      <w:widowControl/>
      <w:spacing w:before="312" w:beforeLines="100"/>
      <w:outlineLvl w:val="1"/>
    </w:pPr>
    <w:rPr>
      <w:rFonts w:ascii="Times New Roman" w:hAnsi="Times New Roman" w:eastAsia="宋体" w:cs="Times New Roman"/>
      <w:kern w:val="0"/>
      <w:szCs w:val="20"/>
    </w:rPr>
  </w:style>
  <w:style w:type="character" w:customStyle="1" w:styleId="200">
    <w:name w:val="脚注文本 字符"/>
    <w:basedOn w:val="57"/>
    <w:link w:val="43"/>
    <w:qFormat/>
    <w:uiPriority w:val="0"/>
    <w:rPr>
      <w:rFonts w:ascii="宋体"/>
      <w:kern w:val="2"/>
      <w:sz w:val="18"/>
      <w:szCs w:val="18"/>
    </w:rPr>
  </w:style>
  <w:style w:type="paragraph" w:customStyle="1" w:styleId="201">
    <w:name w:val="列项说明"/>
    <w:basedOn w:val="1"/>
    <w:qFormat/>
    <w:uiPriority w:val="0"/>
    <w:pPr>
      <w:adjustRightInd w:val="0"/>
      <w:spacing w:line="320" w:lineRule="exact"/>
      <w:ind w:left="400" w:leftChars="200" w:hanging="200" w:hangingChars="200"/>
      <w:jc w:val="left"/>
      <w:textAlignment w:val="baseline"/>
    </w:pPr>
    <w:rPr>
      <w:rFonts w:ascii="宋体" w:hAnsi="Times New Roman" w:eastAsia="宋体" w:cs="Times New Roman"/>
      <w:kern w:val="0"/>
      <w:szCs w:val="20"/>
    </w:rPr>
  </w:style>
  <w:style w:type="paragraph" w:customStyle="1" w:styleId="20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203">
    <w:name w:val="其他标准标志"/>
    <w:basedOn w:val="123"/>
    <w:qFormat/>
    <w:uiPriority w:val="0"/>
    <w:pPr>
      <w:framePr w:w="6101" w:h="1389" w:hRule="exact" w:hSpace="181" w:vSpace="181" w:vAnchor="page" w:hAnchor="page" w:x="4673" w:y="942"/>
    </w:pPr>
    <w:rPr>
      <w:szCs w:val="96"/>
    </w:rPr>
  </w:style>
  <w:style w:type="paragraph" w:customStyle="1" w:styleId="204">
    <w:name w:val="三级无"/>
    <w:basedOn w:val="139"/>
    <w:qFormat/>
    <w:uiPriority w:val="0"/>
    <w:pPr>
      <w:numPr>
        <w:ilvl w:val="3"/>
        <w:numId w:val="7"/>
      </w:numPr>
    </w:pPr>
    <w:rPr>
      <w:rFonts w:ascii="宋体" w:eastAsia="宋体"/>
      <w:szCs w:val="21"/>
    </w:rPr>
  </w:style>
  <w:style w:type="paragraph" w:customStyle="1" w:styleId="205">
    <w:name w:val="示例后文字"/>
    <w:basedOn w:val="41"/>
    <w:next w:val="41"/>
    <w:qFormat/>
    <w:uiPriority w:val="0"/>
    <w:pPr>
      <w:tabs>
        <w:tab w:val="center" w:pos="4201"/>
        <w:tab w:val="right" w:leader="dot" w:pos="9298"/>
      </w:tabs>
      <w:ind w:firstLine="360"/>
    </w:pPr>
    <w:rPr>
      <w:sz w:val="18"/>
    </w:rPr>
  </w:style>
  <w:style w:type="paragraph" w:customStyle="1" w:styleId="206">
    <w:name w:val="首示例"/>
    <w:next w:val="41"/>
    <w:link w:val="207"/>
    <w:qFormat/>
    <w:uiPriority w:val="0"/>
    <w:pPr>
      <w:tabs>
        <w:tab w:val="left" w:pos="360"/>
      </w:tabs>
      <w:ind w:left="833"/>
    </w:pPr>
    <w:rPr>
      <w:rFonts w:ascii="宋体" w:hAnsi="宋体" w:eastAsia="宋体" w:cs="Times New Roman"/>
      <w:kern w:val="2"/>
      <w:sz w:val="18"/>
      <w:szCs w:val="18"/>
      <w:lang w:val="en-US" w:eastAsia="zh-CN" w:bidi="ar-SA"/>
    </w:rPr>
  </w:style>
  <w:style w:type="character" w:customStyle="1" w:styleId="207">
    <w:name w:val="首示例 Char"/>
    <w:link w:val="206"/>
    <w:qFormat/>
    <w:uiPriority w:val="0"/>
    <w:rPr>
      <w:rFonts w:ascii="宋体" w:hAnsi="宋体" w:eastAsia="宋体" w:cs="Times New Roman"/>
      <w:sz w:val="18"/>
      <w:szCs w:val="18"/>
    </w:rPr>
  </w:style>
  <w:style w:type="paragraph" w:customStyle="1" w:styleId="208">
    <w:name w:val="四级无"/>
    <w:basedOn w:val="167"/>
    <w:qFormat/>
    <w:uiPriority w:val="0"/>
    <w:pPr>
      <w:numPr>
        <w:numId w:val="17"/>
      </w:numPr>
      <w:spacing w:before="0" w:beforeLines="0" w:after="0" w:afterLines="0"/>
      <w:ind w:firstLine="0"/>
    </w:pPr>
    <w:rPr>
      <w:rFonts w:ascii="宋体" w:eastAsia="宋体"/>
    </w:rPr>
  </w:style>
  <w:style w:type="paragraph" w:customStyle="1" w:styleId="209">
    <w:name w:val="条文脚注"/>
    <w:basedOn w:val="43"/>
    <w:qFormat/>
    <w:uiPriority w:val="0"/>
    <w:pPr>
      <w:numPr>
        <w:numId w:val="0"/>
      </w:numPr>
      <w:jc w:val="both"/>
    </w:pPr>
  </w:style>
  <w:style w:type="paragraph" w:customStyle="1" w:styleId="210">
    <w:name w:val="图标脚注说明"/>
    <w:basedOn w:val="41"/>
    <w:qFormat/>
    <w:uiPriority w:val="0"/>
    <w:pPr>
      <w:tabs>
        <w:tab w:val="center" w:pos="4201"/>
        <w:tab w:val="right" w:leader="dot" w:pos="9298"/>
      </w:tabs>
      <w:ind w:left="840" w:hanging="420" w:firstLineChars="0"/>
    </w:pPr>
    <w:rPr>
      <w:sz w:val="18"/>
      <w:szCs w:val="18"/>
    </w:rPr>
  </w:style>
  <w:style w:type="paragraph" w:customStyle="1" w:styleId="211">
    <w:name w:val="图表脚注说明"/>
    <w:basedOn w:val="1"/>
    <w:qFormat/>
    <w:uiPriority w:val="0"/>
    <w:pPr>
      <w:numPr>
        <w:ilvl w:val="0"/>
        <w:numId w:val="18"/>
      </w:numPr>
    </w:pPr>
    <w:rPr>
      <w:rFonts w:ascii="宋体" w:hAnsi="Times New Roman" w:eastAsia="宋体" w:cs="Times New Roman"/>
      <w:sz w:val="18"/>
      <w:szCs w:val="18"/>
    </w:rPr>
  </w:style>
  <w:style w:type="paragraph" w:customStyle="1" w:styleId="212">
    <w:name w:val="图的脚注"/>
    <w:next w:val="4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table" w:customStyle="1" w:styleId="213">
    <w:name w:val="网格型1"/>
    <w:basedOn w:val="55"/>
    <w:qFormat/>
    <w:uiPriority w:val="0"/>
    <w:pPr>
      <w:numPr>
        <w:numId w:val="19"/>
      </w:numPr>
      <w:tabs>
        <w:tab w:val="left" w:pos="720"/>
      </w:tabs>
      <w:ind w:left="720" w:hanging="72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214">
    <w:name w:val="尾注文本 字符"/>
    <w:basedOn w:val="57"/>
    <w:link w:val="33"/>
    <w:qFormat/>
    <w:uiPriority w:val="0"/>
    <w:rPr>
      <w:rFonts w:ascii="Times New Roman" w:hAnsi="Times New Roman" w:eastAsia="宋体" w:cs="Times New Roman"/>
      <w:szCs w:val="24"/>
    </w:rPr>
  </w:style>
  <w:style w:type="paragraph" w:customStyle="1" w:styleId="215">
    <w:name w:val="五级无"/>
    <w:basedOn w:val="168"/>
    <w:qFormat/>
    <w:uiPriority w:val="0"/>
    <w:pPr>
      <w:spacing w:before="0" w:beforeLines="0" w:after="0" w:afterLines="0"/>
    </w:pPr>
    <w:rPr>
      <w:rFonts w:ascii="宋体" w:eastAsia="宋体"/>
    </w:rPr>
  </w:style>
  <w:style w:type="paragraph" w:customStyle="1" w:styleId="216">
    <w:name w:val="一级无"/>
    <w:basedOn w:val="113"/>
    <w:qFormat/>
    <w:uiPriority w:val="0"/>
    <w:pPr>
      <w:numPr>
        <w:ilvl w:val="0"/>
        <w:numId w:val="0"/>
      </w:numPr>
      <w:ind w:left="420"/>
    </w:pPr>
    <w:rPr>
      <w:rFonts w:ascii="宋体" w:eastAsia="宋体"/>
      <w:szCs w:val="21"/>
    </w:rPr>
  </w:style>
  <w:style w:type="paragraph" w:customStyle="1" w:styleId="217">
    <w:name w:val="正文表标题"/>
    <w:next w:val="41"/>
    <w:qFormat/>
    <w:uiPriority w:val="0"/>
    <w:pPr>
      <w:tabs>
        <w:tab w:val="left" w:pos="0"/>
        <w:tab w:val="left" w:pos="360"/>
      </w:tabs>
      <w:spacing w:before="156" w:beforeLines="50" w:after="156" w:afterLines="50"/>
      <w:ind w:hanging="425"/>
      <w:jc w:val="center"/>
    </w:pPr>
    <w:rPr>
      <w:rFonts w:ascii="黑体" w:hAnsi="Times New Roman" w:eastAsia="黑体" w:cs="Times New Roman"/>
      <w:sz w:val="21"/>
      <w:lang w:val="en-US" w:eastAsia="zh-CN" w:bidi="ar-SA"/>
    </w:rPr>
  </w:style>
  <w:style w:type="paragraph" w:customStyle="1" w:styleId="218">
    <w:name w:val="正文公式编号制表符"/>
    <w:basedOn w:val="41"/>
    <w:next w:val="41"/>
    <w:qFormat/>
    <w:uiPriority w:val="0"/>
    <w:pPr>
      <w:tabs>
        <w:tab w:val="center" w:pos="4201"/>
        <w:tab w:val="right" w:leader="dot" w:pos="9298"/>
      </w:tabs>
      <w:ind w:firstLine="0" w:firstLineChars="0"/>
    </w:pPr>
  </w:style>
  <w:style w:type="paragraph" w:customStyle="1" w:styleId="219">
    <w:name w:val="正文图标题"/>
    <w:next w:val="41"/>
    <w:qFormat/>
    <w:uiPriority w:val="0"/>
    <w:pPr>
      <w:numPr>
        <w:ilvl w:val="0"/>
        <w:numId w:val="20"/>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220">
    <w:name w:val="终结线"/>
    <w:basedOn w:val="1"/>
    <w:qFormat/>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221">
    <w:name w:val="其他发布日期"/>
    <w:basedOn w:val="98"/>
    <w:qFormat/>
    <w:uiPriority w:val="0"/>
    <w:pPr>
      <w:framePr w:vAnchor="page" w:hAnchor="text" w:x="1419"/>
      <w:numPr>
        <w:ilvl w:val="0"/>
        <w:numId w:val="21"/>
      </w:numPr>
    </w:pPr>
  </w:style>
  <w:style w:type="paragraph" w:customStyle="1" w:styleId="222">
    <w:name w:val="其他实施日期"/>
    <w:basedOn w:val="121"/>
    <w:qFormat/>
    <w:uiPriority w:val="0"/>
    <w:pPr>
      <w:framePr w:w="3997" w:h="471" w:hRule="exact" w:vSpace="181" w:vAnchor="page" w:hAnchor="page" w:x="7089" w:y="14097"/>
    </w:pPr>
  </w:style>
  <w:style w:type="paragraph" w:customStyle="1" w:styleId="223">
    <w:name w:val="封面标准名称2"/>
    <w:basedOn w:val="128"/>
    <w:qFormat/>
    <w:uiPriority w:val="0"/>
    <w:pPr>
      <w:framePr w:w="9639" w:vAnchor="page" w:hAnchor="page" w:y="4469"/>
      <w:spacing w:before="630" w:beforeLines="630"/>
    </w:pPr>
  </w:style>
  <w:style w:type="paragraph" w:customStyle="1" w:styleId="224">
    <w:name w:val="封面标准英文名称2"/>
    <w:basedOn w:val="131"/>
    <w:qFormat/>
    <w:uiPriority w:val="0"/>
    <w:pPr>
      <w:framePr w:w="9639" w:h="6917" w:hRule="exact" w:wrap="around" w:vAnchor="page" w:hAnchor="page" w:xAlign="center" w:y="4469" w:anchorLock="1"/>
      <w:textAlignment w:val="center"/>
    </w:pPr>
    <w:rPr>
      <w:rFonts w:eastAsia="黑体"/>
      <w:szCs w:val="28"/>
    </w:rPr>
  </w:style>
  <w:style w:type="paragraph" w:customStyle="1" w:styleId="225">
    <w:name w:val="封面一致性程度标识2"/>
    <w:basedOn w:val="132"/>
    <w:qFormat/>
    <w:uiPriority w:val="0"/>
    <w:pPr>
      <w:framePr w:w="9639" w:h="6917" w:hRule="exact" w:wrap="around" w:vAnchor="page" w:hAnchor="page" w:xAlign="center" w:y="4469" w:anchorLock="1"/>
      <w:widowControl w:val="0"/>
      <w:textAlignment w:val="center"/>
    </w:pPr>
    <w:rPr>
      <w:szCs w:val="28"/>
    </w:rPr>
  </w:style>
  <w:style w:type="paragraph" w:customStyle="1" w:styleId="226">
    <w:name w:val="封面标准文稿类别2"/>
    <w:basedOn w:val="130"/>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27">
    <w:name w:val="封面标准文稿编辑信息2"/>
    <w:basedOn w:val="129"/>
    <w:qFormat/>
    <w:uiPriority w:val="0"/>
    <w:pPr>
      <w:framePr w:w="9639" w:h="6917" w:hRule="exact" w:wrap="around" w:vAnchor="page" w:hAnchor="page" w:xAlign="center" w:y="4469" w:anchorLock="1"/>
      <w:widowControl w:val="0"/>
      <w:spacing w:after="160"/>
      <w:textAlignment w:val="center"/>
    </w:pPr>
    <w:rPr>
      <w:szCs w:val="28"/>
    </w:rPr>
  </w:style>
  <w:style w:type="character" w:customStyle="1" w:styleId="228">
    <w:name w:val="正文文本缩进 2 字符"/>
    <w:basedOn w:val="57"/>
    <w:link w:val="32"/>
    <w:qFormat/>
    <w:uiPriority w:val="0"/>
    <w:rPr>
      <w:rFonts w:ascii="仿宋_GB2312" w:hAnsi="Times New Roman" w:eastAsia="仿宋_GB2312" w:cs="Times New Roman"/>
      <w:b/>
      <w:sz w:val="24"/>
      <w:szCs w:val="20"/>
    </w:rPr>
  </w:style>
  <w:style w:type="paragraph" w:customStyle="1" w:styleId="229">
    <w:name w:val="段(正文）"/>
    <w:qFormat/>
    <w:uiPriority w:val="0"/>
    <w:pPr>
      <w:autoSpaceDE w:val="0"/>
      <w:autoSpaceDN w:val="0"/>
      <w:ind w:firstLine="420"/>
      <w:jc w:val="both"/>
    </w:pPr>
    <w:rPr>
      <w:rFonts w:ascii="宋体" w:hAnsi="Times New Roman" w:eastAsia="宋体" w:cs="Times New Roman"/>
      <w:sz w:val="21"/>
      <w:szCs w:val="21"/>
      <w:lang w:val="en-US" w:eastAsia="zh-CN" w:bidi="ar-SA"/>
    </w:rPr>
  </w:style>
  <w:style w:type="paragraph" w:customStyle="1" w:styleId="230">
    <w:name w:val="newtext"/>
    <w:basedOn w:val="1"/>
    <w:qFormat/>
    <w:uiPriority w:val="0"/>
    <w:pPr>
      <w:widowControl/>
      <w:spacing w:before="100" w:beforeAutospacing="1" w:after="100" w:afterAutospacing="1" w:line="360" w:lineRule="atLeast"/>
      <w:jc w:val="left"/>
    </w:pPr>
    <w:rPr>
      <w:rFonts w:ascii="宋体" w:hAnsi="宋体" w:eastAsia="宋体" w:cs="宋体"/>
      <w:kern w:val="0"/>
      <w:szCs w:val="21"/>
    </w:rPr>
  </w:style>
  <w:style w:type="paragraph" w:customStyle="1" w:styleId="231">
    <w:name w:val="CM6"/>
    <w:basedOn w:val="1"/>
    <w:next w:val="1"/>
    <w:qFormat/>
    <w:uiPriority w:val="0"/>
    <w:pPr>
      <w:autoSpaceDE w:val="0"/>
      <w:autoSpaceDN w:val="0"/>
      <w:adjustRightInd w:val="0"/>
      <w:spacing w:line="471" w:lineRule="atLeast"/>
      <w:jc w:val="left"/>
    </w:pPr>
    <w:rPr>
      <w:rFonts w:ascii="宋体" w:hAnsi="Times New Roman" w:eastAsia="宋体" w:cs="宋体"/>
      <w:kern w:val="0"/>
      <w:sz w:val="24"/>
      <w:szCs w:val="24"/>
    </w:rPr>
  </w:style>
  <w:style w:type="paragraph" w:customStyle="1" w:styleId="232">
    <w:name w:val="CM7"/>
    <w:basedOn w:val="1"/>
    <w:next w:val="1"/>
    <w:qFormat/>
    <w:uiPriority w:val="0"/>
    <w:pPr>
      <w:autoSpaceDE w:val="0"/>
      <w:autoSpaceDN w:val="0"/>
      <w:adjustRightInd w:val="0"/>
      <w:spacing w:line="471" w:lineRule="atLeast"/>
      <w:jc w:val="left"/>
    </w:pPr>
    <w:rPr>
      <w:rFonts w:ascii="宋体" w:hAnsi="Times New Roman" w:eastAsia="宋体" w:cs="宋体"/>
      <w:kern w:val="0"/>
      <w:sz w:val="24"/>
      <w:szCs w:val="24"/>
    </w:rPr>
  </w:style>
  <w:style w:type="paragraph" w:customStyle="1" w:styleId="233">
    <w:name w:val="CM24"/>
    <w:basedOn w:val="1"/>
    <w:next w:val="1"/>
    <w:qFormat/>
    <w:uiPriority w:val="0"/>
    <w:pPr>
      <w:autoSpaceDE w:val="0"/>
      <w:autoSpaceDN w:val="0"/>
      <w:adjustRightInd w:val="0"/>
      <w:spacing w:after="188"/>
      <w:jc w:val="left"/>
    </w:pPr>
    <w:rPr>
      <w:rFonts w:ascii="宋体" w:hAnsi="Times New Roman" w:eastAsia="宋体" w:cs="宋体"/>
      <w:kern w:val="0"/>
      <w:sz w:val="24"/>
      <w:szCs w:val="24"/>
    </w:rPr>
  </w:style>
  <w:style w:type="paragraph" w:customStyle="1" w:styleId="234">
    <w:name w:val="content"/>
    <w:basedOn w:val="1"/>
    <w:qFormat/>
    <w:uiPriority w:val="0"/>
    <w:pPr>
      <w:widowControl/>
      <w:spacing w:before="100" w:beforeAutospacing="1" w:after="100" w:afterAutospacing="1" w:line="300" w:lineRule="atLeast"/>
      <w:ind w:firstLine="240"/>
      <w:jc w:val="left"/>
    </w:pPr>
    <w:rPr>
      <w:rFonts w:ascii="ˎ̥" w:hAnsi="ˎ̥" w:eastAsia="宋体" w:cs="宋体"/>
      <w:color w:val="000000"/>
      <w:kern w:val="0"/>
      <w:sz w:val="18"/>
      <w:szCs w:val="18"/>
    </w:rPr>
  </w:style>
  <w:style w:type="paragraph" w:customStyle="1" w:styleId="235">
    <w:name w:val="Char Char Char Char Char Char Char Char Char Char Char Char Char Char Char Char Char Char Char Char Char"/>
    <w:basedOn w:val="1"/>
    <w:qFormat/>
    <w:uiPriority w:val="0"/>
    <w:rPr>
      <w:rFonts w:ascii="Tahoma" w:hAnsi="Tahoma" w:eastAsia="宋体" w:cs="Times New Roman"/>
      <w:sz w:val="24"/>
      <w:szCs w:val="20"/>
    </w:rPr>
  </w:style>
  <w:style w:type="paragraph" w:customStyle="1" w:styleId="236">
    <w:name w:val="Char"/>
    <w:basedOn w:val="1"/>
    <w:qFormat/>
    <w:uiPriority w:val="0"/>
    <w:pPr>
      <w:tabs>
        <w:tab w:val="left" w:pos="360"/>
      </w:tabs>
      <w:spacing w:line="360" w:lineRule="auto"/>
      <w:ind w:firstLine="480" w:firstLineChars="200"/>
    </w:pPr>
    <w:rPr>
      <w:rFonts w:ascii="宋体" w:hAnsi="宋体" w:eastAsia="宋体" w:cs="Times New Roman"/>
      <w:kern w:val="0"/>
      <w:sz w:val="24"/>
      <w:szCs w:val="24"/>
    </w:rPr>
  </w:style>
  <w:style w:type="paragraph" w:customStyle="1" w:styleId="237">
    <w:name w:val="z-窗体顶端1"/>
    <w:basedOn w:val="1"/>
    <w:next w:val="1"/>
    <w:link w:val="238"/>
    <w:qFormat/>
    <w:uiPriority w:val="0"/>
    <w:pPr>
      <w:widowControl/>
      <w:pBdr>
        <w:bottom w:val="single" w:color="auto" w:sz="6" w:space="1"/>
      </w:pBdr>
      <w:jc w:val="center"/>
    </w:pPr>
    <w:rPr>
      <w:rFonts w:ascii="Arial" w:hAnsi="Arial" w:eastAsia="宋体" w:cs="Arial"/>
      <w:vanish/>
      <w:kern w:val="0"/>
      <w:sz w:val="16"/>
      <w:szCs w:val="16"/>
    </w:rPr>
  </w:style>
  <w:style w:type="character" w:customStyle="1" w:styleId="238">
    <w:name w:val="z-窗体顶端 字符"/>
    <w:basedOn w:val="57"/>
    <w:link w:val="237"/>
    <w:qFormat/>
    <w:uiPriority w:val="0"/>
    <w:rPr>
      <w:rFonts w:ascii="Arial" w:hAnsi="Arial" w:eastAsia="宋体" w:cs="Arial"/>
      <w:vanish/>
      <w:kern w:val="0"/>
      <w:sz w:val="16"/>
      <w:szCs w:val="16"/>
    </w:rPr>
  </w:style>
  <w:style w:type="paragraph" w:customStyle="1" w:styleId="239">
    <w:name w:val="z-窗体底端1"/>
    <w:basedOn w:val="1"/>
    <w:next w:val="1"/>
    <w:link w:val="240"/>
    <w:qFormat/>
    <w:uiPriority w:val="0"/>
    <w:pPr>
      <w:widowControl/>
      <w:pBdr>
        <w:top w:val="single" w:color="auto" w:sz="6" w:space="1"/>
      </w:pBdr>
      <w:jc w:val="center"/>
    </w:pPr>
    <w:rPr>
      <w:rFonts w:ascii="Arial" w:hAnsi="Arial" w:eastAsia="宋体" w:cs="Arial"/>
      <w:vanish/>
      <w:kern w:val="0"/>
      <w:sz w:val="16"/>
      <w:szCs w:val="16"/>
    </w:rPr>
  </w:style>
  <w:style w:type="character" w:customStyle="1" w:styleId="240">
    <w:name w:val="z-窗体底端 字符"/>
    <w:basedOn w:val="57"/>
    <w:link w:val="239"/>
    <w:qFormat/>
    <w:uiPriority w:val="0"/>
    <w:rPr>
      <w:rFonts w:ascii="Arial" w:hAnsi="Arial" w:eastAsia="宋体" w:cs="Arial"/>
      <w:vanish/>
      <w:kern w:val="0"/>
      <w:sz w:val="16"/>
      <w:szCs w:val="16"/>
    </w:rPr>
  </w:style>
  <w:style w:type="character" w:customStyle="1" w:styleId="241">
    <w:name w:val="批注文字 字符"/>
    <w:basedOn w:val="57"/>
    <w:link w:val="19"/>
    <w:qFormat/>
    <w:uiPriority w:val="99"/>
    <w:rPr>
      <w:rFonts w:ascii="Times New Roman" w:hAnsi="Times New Roman" w:eastAsia="宋体" w:cs="Times New Roman"/>
      <w:szCs w:val="24"/>
    </w:rPr>
  </w:style>
  <w:style w:type="character" w:customStyle="1" w:styleId="242">
    <w:name w:val="批注主题 字符"/>
    <w:basedOn w:val="241"/>
    <w:link w:val="53"/>
    <w:qFormat/>
    <w:uiPriority w:val="0"/>
    <w:rPr>
      <w:rFonts w:ascii="Times New Roman" w:hAnsi="Times New Roman" w:eastAsia="宋体" w:cs="Times New Roman"/>
      <w:b/>
      <w:bCs/>
      <w:szCs w:val="24"/>
    </w:rPr>
  </w:style>
  <w:style w:type="character" w:customStyle="1" w:styleId="243">
    <w:name w:val="未处理的提及2"/>
    <w:basedOn w:val="57"/>
    <w:semiHidden/>
    <w:unhideWhenUsed/>
    <w:qFormat/>
    <w:uiPriority w:val="99"/>
    <w:rPr>
      <w:color w:val="605E5C"/>
      <w:shd w:val="clear" w:color="auto" w:fill="E1DFDD"/>
    </w:rPr>
  </w:style>
  <w:style w:type="table" w:customStyle="1" w:styleId="244">
    <w:name w:val="网格型2"/>
    <w:basedOn w:val="5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5">
    <w:name w:val="标题3"/>
    <w:basedOn w:val="4"/>
    <w:link w:val="246"/>
    <w:qFormat/>
    <w:uiPriority w:val="0"/>
    <w:pPr>
      <w:numPr>
        <w:ilvl w:val="0"/>
        <w:numId w:val="0"/>
      </w:numPr>
      <w:spacing w:before="78" w:beforeLines="25" w:after="78" w:afterLines="25"/>
      <w:jc w:val="left"/>
    </w:pPr>
    <w:rPr>
      <w:b/>
      <w:bCs/>
      <w:sz w:val="28"/>
      <w:szCs w:val="28"/>
      <w:lang w:val="en-US"/>
    </w:rPr>
  </w:style>
  <w:style w:type="character" w:customStyle="1" w:styleId="246">
    <w:name w:val="标题3 Char"/>
    <w:link w:val="245"/>
    <w:qFormat/>
    <w:uiPriority w:val="0"/>
    <w:rPr>
      <w:rFonts w:ascii="黑体" w:hAnsi="黑体" w:eastAsia="黑体" w:cs="Times New Roman"/>
      <w:b/>
      <w:bCs/>
      <w:sz w:val="28"/>
      <w:szCs w:val="28"/>
    </w:rPr>
  </w:style>
  <w:style w:type="paragraph" w:customStyle="1" w:styleId="247">
    <w:name w:val="标准正文样式"/>
    <w:link w:val="248"/>
    <w:qFormat/>
    <w:uiPriority w:val="0"/>
    <w:pPr>
      <w:spacing w:line="360" w:lineRule="auto"/>
      <w:ind w:firstLine="200" w:firstLineChars="200"/>
    </w:pPr>
    <w:rPr>
      <w:rFonts w:ascii="宋体" w:hAnsi="Times New Roman" w:eastAsia="宋体" w:cs="Times New Roman"/>
      <w:sz w:val="21"/>
      <w:lang w:val="en-US" w:eastAsia="zh-CN" w:bidi="ar-SA"/>
    </w:rPr>
  </w:style>
  <w:style w:type="character" w:customStyle="1" w:styleId="248">
    <w:name w:val="标准正文样式 Char"/>
    <w:link w:val="247"/>
    <w:qFormat/>
    <w:uiPriority w:val="0"/>
    <w:rPr>
      <w:rFonts w:ascii="宋体" w:hAnsi="Times New Roman" w:eastAsia="宋体" w:cs="Times New Roman"/>
      <w:kern w:val="0"/>
      <w:szCs w:val="20"/>
    </w:rPr>
  </w:style>
  <w:style w:type="character" w:customStyle="1" w:styleId="249">
    <w:name w:val="HTML 地址 字符"/>
    <w:basedOn w:val="57"/>
    <w:link w:val="23"/>
    <w:qFormat/>
    <w:uiPriority w:val="0"/>
    <w:rPr>
      <w:rFonts w:ascii="Times New Roman" w:hAnsi="Times New Roman" w:eastAsia="宋体" w:cs="Times New Roman"/>
      <w:i/>
      <w:iCs/>
      <w:szCs w:val="24"/>
    </w:rPr>
  </w:style>
  <w:style w:type="character" w:customStyle="1" w:styleId="250">
    <w:name w:val="个人答复风格"/>
    <w:qFormat/>
    <w:uiPriority w:val="0"/>
    <w:rPr>
      <w:rFonts w:ascii="Arial" w:hAnsi="Arial" w:eastAsia="宋体" w:cs="Arial"/>
      <w:color w:val="auto"/>
      <w:sz w:val="20"/>
    </w:rPr>
  </w:style>
  <w:style w:type="character" w:customStyle="1" w:styleId="251">
    <w:name w:val="个人撰写风格"/>
    <w:qFormat/>
    <w:uiPriority w:val="0"/>
    <w:rPr>
      <w:rFonts w:ascii="Arial" w:hAnsi="Arial" w:eastAsia="宋体" w:cs="Arial"/>
      <w:color w:val="auto"/>
      <w:sz w:val="20"/>
    </w:rPr>
  </w:style>
  <w:style w:type="character" w:customStyle="1" w:styleId="252">
    <w:name w:val="示例 Char"/>
    <w:link w:val="164"/>
    <w:qFormat/>
    <w:uiPriority w:val="0"/>
    <w:rPr>
      <w:rFonts w:ascii="宋体" w:hAnsi="Times New Roman" w:eastAsia="宋体" w:cs="Times New Roman"/>
      <w:kern w:val="0"/>
      <w:sz w:val="18"/>
      <w:szCs w:val="18"/>
    </w:rPr>
  </w:style>
  <w:style w:type="paragraph" w:customStyle="1" w:styleId="253">
    <w:name w:val="样式1"/>
    <w:basedOn w:val="139"/>
    <w:qFormat/>
    <w:uiPriority w:val="0"/>
    <w:pPr>
      <w:numPr>
        <w:ilvl w:val="4"/>
      </w:numPr>
      <w:spacing w:line="360" w:lineRule="auto"/>
      <w:outlineLvl w:val="9"/>
    </w:pPr>
    <w:rPr>
      <w:rFonts w:ascii="宋体" w:hAnsi="宋体" w:cs="宋体"/>
      <w:szCs w:val="18"/>
    </w:rPr>
  </w:style>
  <w:style w:type="paragraph" w:customStyle="1" w:styleId="254">
    <w:name w:val="样式2"/>
    <w:basedOn w:val="141"/>
    <w:next w:val="169"/>
    <w:qFormat/>
    <w:uiPriority w:val="0"/>
    <w:pPr>
      <w:ind w:left="600" w:hanging="180"/>
    </w:pPr>
  </w:style>
  <w:style w:type="paragraph" w:customStyle="1" w:styleId="255">
    <w:name w:val="Colum Heading"/>
    <w:qFormat/>
    <w:uiPriority w:val="0"/>
    <w:pPr>
      <w:keepNext/>
      <w:spacing w:before="60" w:after="60"/>
      <w:jc w:val="center"/>
    </w:pPr>
    <w:rPr>
      <w:rFonts w:ascii="Arial" w:hAnsi="Arial" w:eastAsia="MS Mincho" w:cs="Times New Roman"/>
      <w:b/>
      <w:lang w:val="en-US" w:eastAsia="en-US" w:bidi="ar-SA"/>
    </w:rPr>
  </w:style>
  <w:style w:type="paragraph" w:customStyle="1" w:styleId="256">
    <w:name w:val="Table Entry Centered"/>
    <w:basedOn w:val="1"/>
    <w:qFormat/>
    <w:uiPriority w:val="0"/>
    <w:pPr>
      <w:keepNext/>
      <w:widowControl/>
      <w:spacing w:before="60" w:after="60"/>
      <w:jc w:val="center"/>
    </w:pPr>
    <w:rPr>
      <w:rFonts w:ascii="Arial" w:hAnsi="Arial" w:eastAsia="MS Mincho" w:cs="Times New Roman"/>
      <w:kern w:val="0"/>
      <w:sz w:val="20"/>
      <w:szCs w:val="20"/>
      <w:lang w:eastAsia="en-US"/>
    </w:rPr>
  </w:style>
  <w:style w:type="paragraph" w:customStyle="1" w:styleId="257">
    <w:name w:val="Style 章标题 + Before:  0.5 line After:  0.5 line"/>
    <w:basedOn w:val="112"/>
    <w:next w:val="41"/>
    <w:qFormat/>
    <w:uiPriority w:val="0"/>
    <w:pPr>
      <w:numPr>
        <w:ilvl w:val="0"/>
        <w:numId w:val="0"/>
      </w:numPr>
      <w:spacing w:before="156" w:beforeLines="0" w:after="156" w:afterLines="0" w:line="360" w:lineRule="auto"/>
    </w:pPr>
    <w:rPr>
      <w:rFonts w:cs="宋体"/>
    </w:rPr>
  </w:style>
  <w:style w:type="character" w:customStyle="1" w:styleId="258">
    <w:name w:val="注×： Char"/>
    <w:link w:val="170"/>
    <w:qFormat/>
    <w:uiPriority w:val="0"/>
    <w:rPr>
      <w:rFonts w:ascii="宋体"/>
      <w:sz w:val="18"/>
      <w:szCs w:val="18"/>
    </w:rPr>
  </w:style>
  <w:style w:type="paragraph" w:customStyle="1" w:styleId="259">
    <w:name w:val="Char Char Char Char Char"/>
    <w:basedOn w:val="18"/>
    <w:qFormat/>
    <w:uiPriority w:val="0"/>
    <w:rPr>
      <w:szCs w:val="20"/>
    </w:rPr>
  </w:style>
  <w:style w:type="character" w:customStyle="1" w:styleId="260">
    <w:name w:val="st"/>
    <w:qFormat/>
    <w:uiPriority w:val="0"/>
  </w:style>
  <w:style w:type="character" w:customStyle="1" w:styleId="261">
    <w:name w:val="label_list"/>
    <w:qFormat/>
    <w:uiPriority w:val="0"/>
  </w:style>
  <w:style w:type="character" w:customStyle="1" w:styleId="262">
    <w:name w:val="headline-content2"/>
    <w:qFormat/>
    <w:uiPriority w:val="0"/>
  </w:style>
  <w:style w:type="character" w:customStyle="1" w:styleId="263">
    <w:name w:val="列表段落 字符"/>
    <w:link w:val="75"/>
    <w:qFormat/>
    <w:uiPriority w:val="0"/>
  </w:style>
  <w:style w:type="character" w:customStyle="1" w:styleId="264">
    <w:name w:val="二级条标题 Char"/>
    <w:link w:val="114"/>
    <w:qFormat/>
    <w:uiPriority w:val="0"/>
    <w:rPr>
      <w:rFonts w:eastAsia="黑体"/>
      <w:sz w:val="21"/>
    </w:rPr>
  </w:style>
  <w:style w:type="paragraph" w:customStyle="1" w:styleId="265">
    <w:name w:val="正文新"/>
    <w:link w:val="266"/>
    <w:qFormat/>
    <w:uiPriority w:val="0"/>
    <w:pPr>
      <w:autoSpaceDE w:val="0"/>
      <w:autoSpaceDN w:val="0"/>
      <w:spacing w:after="200" w:line="276" w:lineRule="auto"/>
      <w:ind w:firstLine="200" w:firstLineChars="200"/>
      <w:jc w:val="both"/>
    </w:pPr>
    <w:rPr>
      <w:rFonts w:ascii="宋体" w:hAnsi="Calibri" w:eastAsia="宋体" w:cs="Times New Roman"/>
      <w:sz w:val="21"/>
      <w:szCs w:val="22"/>
      <w:lang w:val="en-US" w:eastAsia="zh-CN" w:bidi="ar-SA"/>
    </w:rPr>
  </w:style>
  <w:style w:type="character" w:customStyle="1" w:styleId="266">
    <w:name w:val="正文新 Char"/>
    <w:link w:val="265"/>
    <w:qFormat/>
    <w:uiPriority w:val="0"/>
    <w:rPr>
      <w:rFonts w:ascii="宋体" w:hAnsi="Calibri" w:eastAsia="宋体" w:cs="Times New Roman"/>
      <w:kern w:val="0"/>
    </w:rPr>
  </w:style>
  <w:style w:type="paragraph" w:customStyle="1" w:styleId="267">
    <w:name w:val="Char Char"/>
    <w:basedOn w:val="1"/>
    <w:qFormat/>
    <w:uiPriority w:val="0"/>
    <w:pPr>
      <w:keepNext/>
      <w:keepLines/>
      <w:pageBreakBefore/>
      <w:tabs>
        <w:tab w:val="left" w:pos="855"/>
      </w:tabs>
      <w:ind w:left="855" w:hanging="435"/>
    </w:pPr>
    <w:rPr>
      <w:rFonts w:ascii="Tahoma" w:hAnsi="Tahoma" w:eastAsia="宋体" w:cs="Times New Roman"/>
      <w:sz w:val="24"/>
      <w:szCs w:val="20"/>
    </w:rPr>
  </w:style>
  <w:style w:type="paragraph" w:customStyle="1" w:styleId="268">
    <w:name w:val="标题3新"/>
    <w:basedOn w:val="1"/>
    <w:next w:val="265"/>
    <w:qFormat/>
    <w:uiPriority w:val="0"/>
    <w:pPr>
      <w:widowControl/>
      <w:spacing w:line="276" w:lineRule="auto"/>
      <w:ind w:left="1418"/>
      <w:jc w:val="left"/>
      <w:outlineLvl w:val="3"/>
    </w:pPr>
    <w:rPr>
      <w:rFonts w:ascii="Calibri" w:hAnsi="Calibri" w:eastAsia="黑体" w:cs="Times New Roman"/>
      <w:kern w:val="0"/>
      <w:szCs w:val="20"/>
    </w:rPr>
  </w:style>
  <w:style w:type="character" w:customStyle="1" w:styleId="269">
    <w:name w:val="apple-converted-space"/>
    <w:qFormat/>
    <w:uiPriority w:val="0"/>
  </w:style>
  <w:style w:type="paragraph" w:customStyle="1" w:styleId="270">
    <w:name w:val="a"/>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71">
    <w:name w:val="细化要求 Char"/>
    <w:link w:val="272"/>
    <w:qFormat/>
    <w:locked/>
    <w:uiPriority w:val="99"/>
    <w:rPr>
      <w:rFonts w:ascii="楷体_GB2312" w:hAnsi="Calibri" w:eastAsia="楷体_GB2312"/>
      <w:b/>
      <w:color w:val="FF0000"/>
      <w:sz w:val="24"/>
    </w:rPr>
  </w:style>
  <w:style w:type="paragraph" w:customStyle="1" w:styleId="272">
    <w:name w:val="细化要求"/>
    <w:basedOn w:val="1"/>
    <w:link w:val="271"/>
    <w:qFormat/>
    <w:uiPriority w:val="99"/>
    <w:pPr>
      <w:ind w:firstLine="200" w:firstLineChars="200"/>
    </w:pPr>
    <w:rPr>
      <w:rFonts w:ascii="楷体_GB2312" w:hAnsi="Calibri" w:eastAsia="楷体_GB2312"/>
      <w:b/>
      <w:color w:val="FF0000"/>
      <w:sz w:val="24"/>
    </w:rPr>
  </w:style>
  <w:style w:type="paragraph" w:customStyle="1" w:styleId="273">
    <w:name w:val="Char Char Char Char1 Char Char Char Char Char Char"/>
    <w:basedOn w:val="1"/>
    <w:qFormat/>
    <w:uiPriority w:val="0"/>
    <w:rPr>
      <w:rFonts w:ascii="Tahoma" w:hAnsi="Tahoma" w:eastAsia="宋体" w:cs="Arial"/>
      <w:sz w:val="24"/>
      <w:szCs w:val="20"/>
    </w:rPr>
  </w:style>
  <w:style w:type="character" w:customStyle="1" w:styleId="274">
    <w:name w:val="副标题 字符"/>
    <w:basedOn w:val="57"/>
    <w:link w:val="42"/>
    <w:qFormat/>
    <w:uiPriority w:val="0"/>
    <w:rPr>
      <w:rFonts w:ascii="Cambria" w:hAnsi="Cambria" w:eastAsia="宋体" w:cs="Times New Roman"/>
      <w:b/>
      <w:bCs/>
      <w:kern w:val="28"/>
      <w:sz w:val="32"/>
      <w:szCs w:val="32"/>
      <w:lang w:val="zh-CN" w:eastAsia="zh-CN"/>
    </w:rPr>
  </w:style>
  <w:style w:type="paragraph" w:customStyle="1" w:styleId="275">
    <w:name w:val="样式 目录 3 + 左侧:  2 字符"/>
    <w:basedOn w:val="26"/>
    <w:qFormat/>
    <w:uiPriority w:val="0"/>
    <w:pPr>
      <w:tabs>
        <w:tab w:val="right" w:leader="dot" w:pos="9345"/>
      </w:tabs>
      <w:ind w:left="200" w:leftChars="200"/>
    </w:pPr>
    <w:rPr>
      <w:rFonts w:ascii="Calibri" w:hAnsi="Calibri" w:eastAsia="宋体" w:cs="宋体"/>
      <w:b/>
      <w:bCs/>
      <w:i w:val="0"/>
      <w:iCs w:val="0"/>
      <w:sz w:val="21"/>
    </w:rPr>
  </w:style>
  <w:style w:type="paragraph" w:customStyle="1" w:styleId="276">
    <w:name w:val="样式 目录 3 + 左侧:  2 字符1"/>
    <w:basedOn w:val="26"/>
    <w:qFormat/>
    <w:uiPriority w:val="0"/>
    <w:pPr>
      <w:tabs>
        <w:tab w:val="right" w:leader="dot" w:pos="9345"/>
      </w:tabs>
      <w:ind w:left="200" w:leftChars="200"/>
    </w:pPr>
    <w:rPr>
      <w:rFonts w:ascii="Calibri" w:hAnsi="Calibri" w:eastAsia="宋体" w:cs="宋体"/>
      <w:b/>
      <w:bCs/>
      <w:i w:val="0"/>
      <w:iCs w:val="0"/>
      <w:sz w:val="21"/>
    </w:rPr>
  </w:style>
  <w:style w:type="paragraph" w:customStyle="1" w:styleId="277">
    <w:name w:val="样式 章标题 + 段前: 0.5 行 段后: 0.5 行 行距: 1.5 倍行距"/>
    <w:basedOn w:val="112"/>
    <w:qFormat/>
    <w:uiPriority w:val="0"/>
    <w:pPr>
      <w:numPr>
        <w:ilvl w:val="0"/>
        <w:numId w:val="0"/>
      </w:numPr>
      <w:spacing w:before="0" w:beforeLines="0" w:after="0" w:afterLines="0" w:line="360" w:lineRule="auto"/>
    </w:pPr>
    <w:rPr>
      <w:rFonts w:cs="宋体"/>
    </w:rPr>
  </w:style>
  <w:style w:type="paragraph" w:customStyle="1" w:styleId="278">
    <w:name w:val="缩进标准正文"/>
    <w:basedOn w:val="247"/>
    <w:next w:val="247"/>
    <w:qFormat/>
    <w:uiPriority w:val="0"/>
    <w:pPr>
      <w:numPr>
        <w:ilvl w:val="0"/>
        <w:numId w:val="22"/>
      </w:numPr>
      <w:ind w:firstLine="0" w:firstLineChars="0"/>
    </w:pPr>
  </w:style>
  <w:style w:type="paragraph" w:customStyle="1" w:styleId="279">
    <w:name w:val="a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8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281">
    <w:name w:val="默认段落字体 Para Char Char Char Char Char Char Char Char"/>
    <w:basedOn w:val="1"/>
    <w:qFormat/>
    <w:uiPriority w:val="0"/>
    <w:pPr>
      <w:numPr>
        <w:ilvl w:val="0"/>
        <w:numId w:val="23"/>
      </w:numPr>
    </w:pPr>
    <w:rPr>
      <w:rFonts w:ascii="Tahoma" w:hAnsi="Tahoma" w:eastAsia="宋体" w:cs="Times New Roman"/>
      <w:sz w:val="24"/>
      <w:szCs w:val="20"/>
    </w:rPr>
  </w:style>
  <w:style w:type="table" w:customStyle="1" w:styleId="282">
    <w:name w:val="Light List - Accent 11"/>
    <w:qFormat/>
    <w:uiPriority w:val="0"/>
    <w:rPr>
      <w:rFonts w:ascii="Calibri" w:hAnsi="Calibri"/>
    </w:rPr>
    <w:tblPr>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style>
  <w:style w:type="paragraph" w:customStyle="1" w:styleId="283">
    <w:name w:val="列出段落2"/>
    <w:basedOn w:val="1"/>
    <w:link w:val="302"/>
    <w:qFormat/>
    <w:uiPriority w:val="0"/>
    <w:pPr>
      <w:ind w:firstLine="420" w:firstLineChars="200"/>
    </w:pPr>
    <w:rPr>
      <w:rFonts w:ascii="Calibri" w:hAnsi="Calibri" w:eastAsia="宋体" w:cs="Times New Roman"/>
    </w:rPr>
  </w:style>
  <w:style w:type="character" w:customStyle="1" w:styleId="284">
    <w:name w:val="段 Char Char"/>
    <w:qFormat/>
    <w:uiPriority w:val="0"/>
    <w:rPr>
      <w:rFonts w:ascii="宋体"/>
      <w:sz w:val="21"/>
      <w:lang w:val="en-US" w:eastAsia="zh-CN" w:bidi="ar-SA"/>
    </w:rPr>
  </w:style>
  <w:style w:type="paragraph" w:customStyle="1" w:styleId="285">
    <w:name w:val="列出段落1"/>
    <w:basedOn w:val="1"/>
    <w:qFormat/>
    <w:uiPriority w:val="0"/>
    <w:pPr>
      <w:ind w:firstLine="420" w:firstLineChars="200"/>
    </w:pPr>
    <w:rPr>
      <w:rFonts w:ascii="Times New Roman" w:hAnsi="Times New Roman" w:eastAsia="宋体" w:cs="Times New Roman"/>
      <w:szCs w:val="24"/>
    </w:rPr>
  </w:style>
  <w:style w:type="character" w:customStyle="1" w:styleId="286">
    <w:name w:val="Document Map Char1"/>
    <w:semiHidden/>
    <w:qFormat/>
    <w:uiPriority w:val="0"/>
    <w:rPr>
      <w:rFonts w:cs="Times New Roman"/>
      <w:sz w:val="2"/>
    </w:rPr>
  </w:style>
  <w:style w:type="paragraph" w:customStyle="1" w:styleId="287">
    <w:name w:val="MM Topic 1"/>
    <w:basedOn w:val="2"/>
    <w:qFormat/>
    <w:uiPriority w:val="0"/>
    <w:pPr>
      <w:numPr>
        <w:numId w:val="24"/>
      </w:numPr>
      <w:tabs>
        <w:tab w:val="left" w:pos="360"/>
        <w:tab w:val="left" w:pos="425"/>
      </w:tabs>
      <w:spacing w:before="340" w:after="330" w:line="578" w:lineRule="auto"/>
    </w:pPr>
    <w:rPr>
      <w:rFonts w:ascii="Times New Roman" w:hAnsi="Times New Roman" w:eastAsia="宋体" w:cs="Times New Roman"/>
      <w:b/>
      <w:bCs/>
      <w:kern w:val="44"/>
      <w:sz w:val="44"/>
      <w:szCs w:val="44"/>
      <w:lang w:val="zh-CN"/>
    </w:rPr>
  </w:style>
  <w:style w:type="paragraph" w:customStyle="1" w:styleId="288">
    <w:name w:val="MM Topic 2"/>
    <w:basedOn w:val="3"/>
    <w:qFormat/>
    <w:uiPriority w:val="0"/>
    <w:pPr>
      <w:numPr>
        <w:numId w:val="24"/>
      </w:numPr>
      <w:tabs>
        <w:tab w:val="left" w:pos="360"/>
        <w:tab w:val="left" w:pos="992"/>
      </w:tabs>
      <w:spacing w:before="260" w:after="260" w:line="416" w:lineRule="auto"/>
    </w:pPr>
    <w:rPr>
      <w:rFonts w:ascii="Arial" w:hAnsi="Arial" w:cs="Times New Roman"/>
      <w:b/>
      <w:kern w:val="0"/>
      <w:sz w:val="32"/>
      <w:szCs w:val="32"/>
    </w:rPr>
  </w:style>
  <w:style w:type="paragraph" w:customStyle="1" w:styleId="289">
    <w:name w:val="MM Topic 3"/>
    <w:basedOn w:val="4"/>
    <w:qFormat/>
    <w:uiPriority w:val="0"/>
    <w:pPr>
      <w:numPr>
        <w:numId w:val="24"/>
      </w:numPr>
      <w:tabs>
        <w:tab w:val="left" w:pos="360"/>
        <w:tab w:val="left" w:pos="1418"/>
      </w:tabs>
      <w:ind w:left="1874" w:hanging="200" w:hangingChars="200"/>
    </w:pPr>
    <w:rPr>
      <w:rFonts w:ascii="Times New Roman" w:hAnsi="Times New Roman" w:eastAsia="宋体"/>
      <w:b/>
      <w:bCs/>
      <w:kern w:val="0"/>
      <w:sz w:val="32"/>
      <w:szCs w:val="32"/>
      <w:lang w:val="en-US"/>
    </w:rPr>
  </w:style>
  <w:style w:type="paragraph" w:customStyle="1" w:styleId="290">
    <w:name w:val="MM Topic 4"/>
    <w:basedOn w:val="5"/>
    <w:qFormat/>
    <w:uiPriority w:val="0"/>
    <w:pPr>
      <w:numPr>
        <w:numId w:val="24"/>
      </w:numPr>
      <w:tabs>
        <w:tab w:val="left" w:pos="360"/>
        <w:tab w:val="left" w:pos="1984"/>
      </w:tabs>
      <w:ind w:left="2688" w:hanging="708"/>
    </w:pPr>
    <w:rPr>
      <w:kern w:val="0"/>
      <w:sz w:val="28"/>
      <w:szCs w:val="28"/>
    </w:rPr>
  </w:style>
  <w:style w:type="paragraph" w:customStyle="1" w:styleId="291">
    <w:name w:val="MM Topic 5"/>
    <w:basedOn w:val="6"/>
    <w:qFormat/>
    <w:uiPriority w:val="0"/>
    <w:pPr>
      <w:numPr>
        <w:numId w:val="24"/>
      </w:numPr>
      <w:tabs>
        <w:tab w:val="left" w:pos="-1507"/>
        <w:tab w:val="left" w:pos="360"/>
        <w:tab w:val="left" w:pos="2551"/>
      </w:tabs>
      <w:ind w:left="-2097" w:hanging="850"/>
    </w:pPr>
  </w:style>
  <w:style w:type="character" w:customStyle="1" w:styleId="292">
    <w:name w:val="正文缩进 字符"/>
    <w:link w:val="15"/>
    <w:qFormat/>
    <w:uiPriority w:val="0"/>
    <w:rPr>
      <w:rFonts w:ascii="Times New Roman" w:hAnsi="Times New Roman" w:eastAsia="宋体" w:cs="Times New Roman"/>
      <w:szCs w:val="24"/>
    </w:rPr>
  </w:style>
  <w:style w:type="paragraph" w:customStyle="1" w:styleId="293">
    <w:name w:val="TraceNumber"/>
    <w:next w:val="1"/>
    <w:qFormat/>
    <w:uiPriority w:val="0"/>
    <w:pPr>
      <w:numPr>
        <w:ilvl w:val="0"/>
        <w:numId w:val="25"/>
      </w:numPr>
    </w:pPr>
    <w:rPr>
      <w:rFonts w:ascii="Times New Roman" w:hAnsi="Times New Roman" w:eastAsia="宋体" w:cs="Times New Roman"/>
      <w:sz w:val="24"/>
      <w:lang w:val="en-US" w:eastAsia="en-US" w:bidi="ar-SA"/>
    </w:rPr>
  </w:style>
  <w:style w:type="character" w:customStyle="1" w:styleId="294">
    <w:name w:val="bottom"/>
    <w:basedOn w:val="57"/>
    <w:qFormat/>
    <w:uiPriority w:val="0"/>
  </w:style>
  <w:style w:type="paragraph" w:customStyle="1" w:styleId="295">
    <w:name w:val="样式 段 + 首行缩进:  2 字符"/>
    <w:basedOn w:val="41"/>
    <w:qFormat/>
    <w:uiPriority w:val="0"/>
    <w:pPr>
      <w:spacing w:line="360" w:lineRule="auto"/>
    </w:pPr>
    <w:rPr>
      <w:rFonts w:cs="宋体"/>
    </w:rPr>
  </w:style>
  <w:style w:type="paragraph" w:customStyle="1" w:styleId="29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97">
    <w:name w:val="列出段落3"/>
    <w:basedOn w:val="1"/>
    <w:qFormat/>
    <w:uiPriority w:val="0"/>
    <w:pPr>
      <w:ind w:firstLine="420" w:firstLineChars="200"/>
    </w:pPr>
    <w:rPr>
      <w:rFonts w:ascii="Calibri" w:hAnsi="Calibri" w:eastAsia="宋体" w:cs="Times New Roman"/>
      <w:szCs w:val="24"/>
    </w:rPr>
  </w:style>
  <w:style w:type="character" w:customStyle="1" w:styleId="298">
    <w:name w:val="彩色列表 - 强调文字颜色 1 Char"/>
    <w:qFormat/>
    <w:uiPriority w:val="0"/>
    <w:rPr>
      <w:rFonts w:ascii="Calibri" w:hAnsi="Calibri" w:eastAsia="宋体" w:cs="Times New Roman"/>
    </w:rPr>
  </w:style>
  <w:style w:type="table" w:customStyle="1" w:styleId="299">
    <w:name w:val="彩色列表 - 强调文字颜色 11"/>
    <w:basedOn w:val="55"/>
    <w:qFormat/>
    <w:uiPriority w:val="0"/>
    <w:rPr>
      <w:rFonts w:ascii="Calibri" w:hAnsi="Calibri"/>
    </w:rPr>
    <w:tcPr>
      <w:shd w:val="clear" w:color="auto" w:fill="EDF2F8"/>
    </w:tcPr>
    <w:tblStylePr w:type="firstRow">
      <w:tcPr>
        <w:tcBorders>
          <w:bottom w:val="single" w:color="FFFFFF" w:sz="12" w:space="0"/>
        </w:tcBorders>
        <w:shd w:val="clear" w:color="auto" w:fill="9E3A38"/>
      </w:tcPr>
    </w:tblStylePr>
    <w:tblStylePr w:type="lastRow">
      <w:tcPr>
        <w:tcBorders>
          <w:top w:val="single" w:color="000000" w:sz="12" w:space="0"/>
        </w:tcBorders>
        <w:shd w:val="clear" w:color="auto" w:fill="FFFFFF"/>
      </w:tcPr>
    </w:tblStylePr>
    <w:tblStylePr w:type="band1Vert">
      <w:tcPr>
        <w:tcBorders>
          <w:top w:val="nil"/>
          <w:left w:val="nil"/>
          <w:bottom w:val="nil"/>
          <w:right w:val="nil"/>
          <w:insideH w:val="nil"/>
          <w:insideV w:val="nil"/>
        </w:tcBorders>
        <w:shd w:val="clear" w:color="auto" w:fill="D3DFEE"/>
      </w:tcPr>
    </w:tblStylePr>
    <w:tblStylePr w:type="band1Horz">
      <w:tcPr>
        <w:shd w:val="clear" w:color="auto" w:fill="DBE5F1"/>
      </w:tcPr>
    </w:tblStylePr>
  </w:style>
  <w:style w:type="paragraph" w:customStyle="1" w:styleId="300">
    <w:name w:val="正文首行缩进2"/>
    <w:basedOn w:val="1"/>
    <w:qFormat/>
    <w:uiPriority w:val="0"/>
    <w:pPr>
      <w:spacing w:line="360" w:lineRule="auto"/>
      <w:ind w:firstLine="200" w:firstLineChars="200"/>
      <w:jc w:val="left"/>
    </w:pPr>
    <w:rPr>
      <w:rFonts w:ascii="Times New Roman" w:hAnsi="Times New Roman" w:eastAsia="宋体" w:cs="Calibri"/>
      <w:sz w:val="28"/>
    </w:rPr>
  </w:style>
  <w:style w:type="character" w:customStyle="1" w:styleId="301">
    <w:name w:val="answer-expand-content"/>
    <w:basedOn w:val="57"/>
    <w:qFormat/>
    <w:uiPriority w:val="0"/>
  </w:style>
  <w:style w:type="character" w:customStyle="1" w:styleId="302">
    <w:name w:val="列出段落2 Char"/>
    <w:link w:val="283"/>
    <w:qFormat/>
    <w:uiPriority w:val="0"/>
    <w:rPr>
      <w:rFonts w:ascii="Calibri" w:hAnsi="Calibri" w:eastAsia="宋体" w:cs="Times New Roman"/>
    </w:rPr>
  </w:style>
  <w:style w:type="character" w:customStyle="1" w:styleId="303">
    <w:name w:val="纯文本 Char1"/>
    <w:semiHidden/>
    <w:qFormat/>
    <w:uiPriority w:val="0"/>
    <w:rPr>
      <w:rFonts w:ascii="宋体" w:hAnsi="Courier New" w:cs="Courier New"/>
      <w:kern w:val="2"/>
      <w:sz w:val="21"/>
      <w:szCs w:val="21"/>
    </w:rPr>
  </w:style>
  <w:style w:type="paragraph" w:customStyle="1" w:styleId="304">
    <w:name w:val="G列表样式"/>
    <w:basedOn w:val="1"/>
    <w:qFormat/>
    <w:uiPriority w:val="0"/>
    <w:pPr>
      <w:ind w:left="820"/>
      <w:jc w:val="left"/>
    </w:pPr>
    <w:rPr>
      <w:sz w:val="20"/>
      <w:szCs w:val="28"/>
    </w:rPr>
  </w:style>
  <w:style w:type="paragraph" w:styleId="305">
    <w:name w:val="No Spacing"/>
    <w:qFormat/>
    <w:uiPriority w:val="1"/>
    <w:pPr>
      <w:widowControl w:val="0"/>
      <w:adjustRightInd w:val="0"/>
      <w:jc w:val="both"/>
    </w:pPr>
    <w:rPr>
      <w:rFonts w:ascii="Times New Roman" w:hAnsi="Times New Roman" w:eastAsia="宋体" w:cs="Times New Roman"/>
      <w:kern w:val="2"/>
      <w:sz w:val="21"/>
      <w:lang w:val="en-US" w:eastAsia="zh-CN" w:bidi="ar-SA"/>
    </w:rPr>
  </w:style>
  <w:style w:type="paragraph" w:customStyle="1" w:styleId="306">
    <w:name w:val="标准文件_章标题"/>
    <w:next w:val="307"/>
    <w:qFormat/>
    <w:uiPriority w:val="0"/>
    <w:pPr>
      <w:spacing w:before="156" w:beforeLines="50" w:after="156" w:afterLines="50"/>
      <w:ind w:right="-50" w:rightChars="-50"/>
      <w:jc w:val="both"/>
      <w:outlineLvl w:val="1"/>
    </w:pPr>
    <w:rPr>
      <w:rFonts w:ascii="黑体" w:hAnsi="Times New Roman" w:eastAsia="黑体" w:cs="Times New Roman"/>
      <w:spacing w:val="2"/>
      <w:sz w:val="21"/>
      <w:lang w:val="en-US" w:eastAsia="zh-CN" w:bidi="ar-SA"/>
    </w:rPr>
  </w:style>
  <w:style w:type="paragraph" w:customStyle="1" w:styleId="307">
    <w:name w:val="标准文件_段"/>
    <w:qFormat/>
    <w:uiPriority w:val="0"/>
    <w:pPr>
      <w:widowControl w:val="0"/>
      <w:autoSpaceDE w:val="0"/>
      <w:autoSpaceDN w:val="0"/>
      <w:adjustRightInd w:val="0"/>
      <w:snapToGrid w:val="0"/>
      <w:spacing w:line="360" w:lineRule="exact"/>
      <w:ind w:right="-105" w:rightChars="-50" w:firstLine="428" w:firstLineChars="200"/>
    </w:pPr>
    <w:rPr>
      <w:rFonts w:ascii="宋体" w:hAnsi="宋体" w:eastAsia="宋体" w:cs="Times New Roman"/>
      <w:spacing w:val="2"/>
      <w:sz w:val="21"/>
      <w:lang w:val="en-US" w:eastAsia="zh-CN" w:bidi="ar-SA"/>
    </w:rPr>
  </w:style>
  <w:style w:type="paragraph" w:customStyle="1" w:styleId="308">
    <w:name w:val="标准文件_二级条标题"/>
    <w:basedOn w:val="309"/>
    <w:next w:val="307"/>
    <w:qFormat/>
    <w:uiPriority w:val="0"/>
    <w:pPr>
      <w:numPr>
        <w:ilvl w:val="3"/>
      </w:numPr>
      <w:outlineLvl w:val="3"/>
    </w:pPr>
  </w:style>
  <w:style w:type="paragraph" w:customStyle="1" w:styleId="309">
    <w:name w:val="标准文件_一级条标题"/>
    <w:basedOn w:val="306"/>
    <w:next w:val="307"/>
    <w:qFormat/>
    <w:uiPriority w:val="0"/>
    <w:pPr>
      <w:numPr>
        <w:ilvl w:val="2"/>
        <w:numId w:val="26"/>
      </w:numPr>
      <w:spacing w:before="0" w:beforeLines="0" w:after="0" w:afterLines="0"/>
      <w:outlineLvl w:val="2"/>
    </w:pPr>
  </w:style>
  <w:style w:type="paragraph" w:customStyle="1" w:styleId="310">
    <w:name w:val="Table Paragraph"/>
    <w:basedOn w:val="1"/>
    <w:qFormat/>
    <w:uiPriority w:val="1"/>
    <w:rPr>
      <w:rFonts w:ascii="仿宋" w:hAnsi="仿宋" w:eastAsia="仿宋" w:cs="仿宋"/>
      <w:lang w:val="zh-CN" w:bidi="zh-CN"/>
    </w:rPr>
  </w:style>
  <w:style w:type="paragraph" w:customStyle="1" w:styleId="311">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7.emf"/><Relationship Id="rId23" Type="http://schemas.openxmlformats.org/officeDocument/2006/relationships/oleObject" Target="embeddings/oleObject4.bin"/><Relationship Id="rId22" Type="http://schemas.openxmlformats.org/officeDocument/2006/relationships/image" Target="media/image6.emf"/><Relationship Id="rId21" Type="http://schemas.openxmlformats.org/officeDocument/2006/relationships/oleObject" Target="embeddings/oleObject3.bin"/><Relationship Id="rId20" Type="http://schemas.openxmlformats.org/officeDocument/2006/relationships/image" Target="media/image5.e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emf"/><Relationship Id="rId15" Type="http://schemas.openxmlformats.org/officeDocument/2006/relationships/oleObject" Target="embeddings/oleObject1.bin"/><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1966</Words>
  <Characters>11212</Characters>
  <Lines>93</Lines>
  <Paragraphs>26</Paragraphs>
  <TotalTime>24</TotalTime>
  <ScaleCrop>false</ScaleCrop>
  <LinksUpToDate>false</LinksUpToDate>
  <CharactersWithSpaces>13152</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2022-09-25T19:25:00Z</dcterms:created>
  <dc:creator>huangl@otitan.com</dc:creator>
  <cp:lastModifiedBy>xjkp</cp:lastModifiedBy>
  <cp:lastPrinted>2022-07-21T02:10:00Z</cp:lastPrinted>
  <dcterms:modified xsi:type="dcterms:W3CDTF">2025-11-28T09:29:42Z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8586F9F66C8B4200AC09C062C2D4AE86</vt:lpwstr>
  </property>
</Properties>
</file>