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35.080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L77</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2022</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共享经济灵活用工</w:t>
      </w:r>
      <w:r>
        <w:rPr>
          <w:rFonts w:hint="eastAsia"/>
        </w:rPr>
        <w:t>服务</w:t>
      </w:r>
      <w:r>
        <w:t>平台</w:t>
      </w:r>
      <w:r>
        <w:rPr>
          <w:rFonts w:hint="eastAsia"/>
        </w:rPr>
        <w:t>风险管理</w:t>
      </w:r>
      <w:r>
        <w:t>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Risk management </w:t>
      </w:r>
      <w:r>
        <w:rPr>
          <w:rFonts w:hint="eastAsia" w:eastAsia="黑体"/>
          <w:szCs w:val="28"/>
        </w:rPr>
        <w:t>spe</w:t>
      </w:r>
      <w:r>
        <w:rPr>
          <w:rFonts w:eastAsia="黑体"/>
          <w:szCs w:val="28"/>
        </w:rPr>
        <w:t>cification for the flexible employment service platform in the  sharing economy</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66" w:name="_GoBack"/>
      <w:bookmarkEnd w:id="66"/>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4"/>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"_Toc114736024" </w:instrText>
      </w:r>
      <w:r>
        <w:fldChar w:fldCharType="separate"/>
      </w:r>
      <w:r>
        <w:rPr>
          <w:rStyle w:val="33"/>
          <w:spacing w:val="320"/>
        </w:rPr>
        <w:t>前</w:t>
      </w:r>
      <w:r>
        <w:rPr>
          <w:rStyle w:val="33"/>
        </w:rPr>
        <w:t>言</w:t>
      </w:r>
      <w:r>
        <w:tab/>
      </w:r>
      <w:r>
        <w:fldChar w:fldCharType="begin"/>
      </w:r>
      <w:r>
        <w:instrText xml:space="preserve"> PAGEREF _Toc114736024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"_Toc114736025" </w:instrText>
      </w:r>
      <w:r>
        <w:fldChar w:fldCharType="separate"/>
      </w:r>
      <w:r>
        <w:rPr>
          <w:rStyle w:val="33"/>
        </w:rPr>
        <w:t>1 范围</w:t>
      </w:r>
      <w:r>
        <w:tab/>
      </w:r>
      <w:r>
        <w:fldChar w:fldCharType="begin"/>
      </w:r>
      <w:r>
        <w:instrText xml:space="preserve"> PAGEREF _Toc114736025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"_Toc114736026" </w:instrText>
      </w:r>
      <w:r>
        <w:fldChar w:fldCharType="separate"/>
      </w:r>
      <w:r>
        <w:rPr>
          <w:rStyle w:val="33"/>
        </w:rPr>
        <w:t>2 规范性引用文件</w:t>
      </w:r>
      <w:r>
        <w:tab/>
      </w:r>
      <w:r>
        <w:fldChar w:fldCharType="begin"/>
      </w:r>
      <w:r>
        <w:instrText xml:space="preserve"> PAGEREF _Toc114736026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"_Toc114736027" </w:instrText>
      </w:r>
      <w:r>
        <w:fldChar w:fldCharType="separate"/>
      </w:r>
      <w:r>
        <w:rPr>
          <w:rStyle w:val="33"/>
        </w:rPr>
        <w:t>3 术语和定义</w:t>
      </w:r>
      <w:r>
        <w:tab/>
      </w:r>
      <w:r>
        <w:fldChar w:fldCharType="begin"/>
      </w:r>
      <w:r>
        <w:instrText xml:space="preserve"> PAGEREF _Toc114736027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"_Toc114736028" </w:instrText>
      </w:r>
      <w:r>
        <w:fldChar w:fldCharType="separate"/>
      </w:r>
      <w:r>
        <w:rPr>
          <w:rStyle w:val="33"/>
        </w:rPr>
        <w:t>4 灵活用工业务风险管理原则</w:t>
      </w:r>
      <w:r>
        <w:tab/>
      </w:r>
      <w:r>
        <w:fldChar w:fldCharType="begin"/>
      </w:r>
      <w:r>
        <w:instrText xml:space="preserve"> PAGEREF _Toc114736028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"_Toc114736029" </w:instrText>
      </w:r>
      <w:r>
        <w:fldChar w:fldCharType="separate"/>
      </w:r>
      <w:r>
        <w:rPr>
          <w:rStyle w:val="33"/>
        </w:rPr>
        <w:t>5 灵活用工业务风险管理体系</w:t>
      </w:r>
      <w:r>
        <w:tab/>
      </w:r>
      <w:r>
        <w:fldChar w:fldCharType="begin"/>
      </w:r>
      <w:r>
        <w:instrText xml:space="preserve"> PAGEREF _Toc114736029 \h </w:instrText>
      </w:r>
      <w:r>
        <w:fldChar w:fldCharType="separate"/>
      </w:r>
      <w:r>
        <w:t>5</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"_Toc114736030" </w:instrText>
      </w:r>
      <w:r>
        <w:fldChar w:fldCharType="separate"/>
      </w:r>
      <w:r>
        <w:rPr>
          <w:rStyle w:val="33"/>
          <w14:scene3d>
            <w14:lightRig w14:rig="threePt" w14:dir="t">
              <w14:rot w14:lat="0" w14:lon="0" w14:rev="0"/>
            </w14:lightRig>
          </w14:scene3d>
        </w:rPr>
        <w:t>5.1</w:t>
      </w:r>
      <w:r>
        <w:rPr>
          <w:rStyle w:val="33"/>
        </w:rPr>
        <w:t xml:space="preserve"> 组织建设</w:t>
      </w:r>
      <w:r>
        <w:tab/>
      </w:r>
      <w:r>
        <w:fldChar w:fldCharType="begin"/>
      </w:r>
      <w:r>
        <w:instrText xml:space="preserve"> PAGEREF _Toc114736030 \h </w:instrText>
      </w:r>
      <w:r>
        <w:fldChar w:fldCharType="separate"/>
      </w:r>
      <w:r>
        <w:t>5</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"_Toc114736031" </w:instrText>
      </w:r>
      <w:r>
        <w:fldChar w:fldCharType="separate"/>
      </w:r>
      <w:r>
        <w:rPr>
          <w:rStyle w:val="33"/>
          <w14:scene3d>
            <w14:lightRig w14:rig="threePt" w14:dir="t">
              <w14:rot w14:lat="0" w14:lon="0" w14:rev="0"/>
            </w14:lightRig>
          </w14:scene3d>
        </w:rPr>
        <w:t>5.2</w:t>
      </w:r>
      <w:r>
        <w:rPr>
          <w:rStyle w:val="33"/>
        </w:rPr>
        <w:t xml:space="preserve"> 制度建设</w:t>
      </w:r>
      <w:r>
        <w:tab/>
      </w:r>
      <w:r>
        <w:fldChar w:fldCharType="begin"/>
      </w:r>
      <w:r>
        <w:instrText xml:space="preserve"> PAGEREF _Toc114736031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"_Toc114736032" </w:instrText>
      </w:r>
      <w:r>
        <w:fldChar w:fldCharType="separate"/>
      </w:r>
      <w:r>
        <w:rPr>
          <w:rStyle w:val="33"/>
        </w:rPr>
        <w:t>6 灵活用工业务风险管理过程</w:t>
      </w:r>
      <w:r>
        <w:tab/>
      </w:r>
      <w:r>
        <w:fldChar w:fldCharType="begin"/>
      </w:r>
      <w:r>
        <w:instrText xml:space="preserve"> PAGEREF _Toc114736032 \h </w:instrText>
      </w:r>
      <w:r>
        <w:fldChar w:fldCharType="separate"/>
      </w:r>
      <w:r>
        <w:t>5</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"_Toc114736033" </w:instrText>
      </w:r>
      <w:r>
        <w:fldChar w:fldCharType="separate"/>
      </w:r>
      <w:r>
        <w:rPr>
          <w:rStyle w:val="33"/>
          <w14:scene3d>
            <w14:lightRig w14:rig="threePt" w14:dir="t">
              <w14:rot w14:lat="0" w14:lon="0" w14:rev="0"/>
            </w14:lightRig>
          </w14:scene3d>
        </w:rPr>
        <w:t>6.1</w:t>
      </w:r>
      <w:r>
        <w:rPr>
          <w:rStyle w:val="33"/>
        </w:rPr>
        <w:t xml:space="preserve"> 风险识别</w:t>
      </w:r>
      <w:r>
        <w:tab/>
      </w:r>
      <w:r>
        <w:fldChar w:fldCharType="begin"/>
      </w:r>
      <w:r>
        <w:instrText xml:space="preserve"> PAGEREF _Toc114736033 \h </w:instrText>
      </w:r>
      <w:r>
        <w:fldChar w:fldCharType="separate"/>
      </w:r>
      <w:r>
        <w:t>5</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"_Toc114736034" </w:instrText>
      </w:r>
      <w:r>
        <w:fldChar w:fldCharType="separate"/>
      </w:r>
      <w:r>
        <w:rPr>
          <w:rStyle w:val="33"/>
          <w14:scene3d>
            <w14:lightRig w14:rig="threePt" w14:dir="t">
              <w14:rot w14:lat="0" w14:lon="0" w14:rev="0"/>
            </w14:lightRig>
          </w14:scene3d>
        </w:rPr>
        <w:t>6.2</w:t>
      </w:r>
      <w:r>
        <w:rPr>
          <w:rStyle w:val="33"/>
        </w:rPr>
        <w:t xml:space="preserve"> 风险分析</w:t>
      </w:r>
      <w:r>
        <w:tab/>
      </w:r>
      <w:r>
        <w:fldChar w:fldCharType="begin"/>
      </w:r>
      <w:r>
        <w:instrText xml:space="preserve"> PAGEREF _Toc114736034 \h </w:instrText>
      </w:r>
      <w:r>
        <w:fldChar w:fldCharType="separate"/>
      </w:r>
      <w:r>
        <w:t>6</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"_Toc114736035" </w:instrText>
      </w:r>
      <w:r>
        <w:fldChar w:fldCharType="separate"/>
      </w:r>
      <w:r>
        <w:rPr>
          <w:rStyle w:val="33"/>
          <w14:scene3d>
            <w14:lightRig w14:rig="threePt" w14:dir="t">
              <w14:rot w14:lat="0" w14:lon="0" w14:rev="0"/>
            </w14:lightRig>
          </w14:scene3d>
        </w:rPr>
        <w:t>6.3</w:t>
      </w:r>
      <w:r>
        <w:rPr>
          <w:rStyle w:val="33"/>
        </w:rPr>
        <w:t xml:space="preserve"> 风险评价</w:t>
      </w:r>
      <w:r>
        <w:tab/>
      </w:r>
      <w:r>
        <w:fldChar w:fldCharType="begin"/>
      </w:r>
      <w:r>
        <w:instrText xml:space="preserve"> PAGEREF _Toc114736035 \h </w:instrText>
      </w:r>
      <w:r>
        <w:fldChar w:fldCharType="separate"/>
      </w:r>
      <w:r>
        <w:t>7</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"_Toc114736036" </w:instrText>
      </w:r>
      <w:r>
        <w:fldChar w:fldCharType="separate"/>
      </w:r>
      <w:r>
        <w:rPr>
          <w:rStyle w:val="33"/>
          <w14:scene3d>
            <w14:lightRig w14:rig="threePt" w14:dir="t">
              <w14:rot w14:lat="0" w14:lon="0" w14:rev="0"/>
            </w14:lightRig>
          </w14:scene3d>
        </w:rPr>
        <w:t>6.4</w:t>
      </w:r>
      <w:r>
        <w:rPr>
          <w:rStyle w:val="33"/>
        </w:rPr>
        <w:t xml:space="preserve"> 风险处置</w:t>
      </w:r>
      <w:r>
        <w:tab/>
      </w:r>
      <w:r>
        <w:fldChar w:fldCharType="begin"/>
      </w:r>
      <w:r>
        <w:instrText xml:space="preserve"> PAGEREF _Toc114736036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4"/>
        </w:rPr>
      </w:pPr>
      <w:r>
        <w:fldChar w:fldCharType="begin"/>
      </w:r>
      <w:r>
        <w:instrText xml:space="preserve"> HYPERLINK \l "_Toc114736037" </w:instrText>
      </w:r>
      <w:r>
        <w:fldChar w:fldCharType="separate"/>
      </w:r>
      <w:r>
        <w:rPr>
          <w:rStyle w:val="33"/>
        </w:rPr>
        <w:t>7 灵活用工业务风险管理系统</w:t>
      </w:r>
      <w:r>
        <w:tab/>
      </w:r>
      <w:r>
        <w:fldChar w:fldCharType="begin"/>
      </w:r>
      <w:r>
        <w:instrText xml:space="preserve"> PAGEREF _Toc114736037 \h </w:instrText>
      </w:r>
      <w:r>
        <w:fldChar w:fldCharType="separate"/>
      </w:r>
      <w:r>
        <w:t>8</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"_Toc114736038" </w:instrText>
      </w:r>
      <w:r>
        <w:fldChar w:fldCharType="separate"/>
      </w:r>
      <w:r>
        <w:rPr>
          <w:rStyle w:val="33"/>
          <w14:scene3d>
            <w14:lightRig w14:rig="threePt" w14:dir="t">
              <w14:rot w14:lat="0" w14:lon="0" w14:rev="0"/>
            </w14:lightRig>
          </w14:scene3d>
        </w:rPr>
        <w:t>7.1</w:t>
      </w:r>
      <w:r>
        <w:rPr>
          <w:rStyle w:val="33"/>
        </w:rPr>
        <w:t xml:space="preserve"> 一般要求</w:t>
      </w:r>
      <w:r>
        <w:tab/>
      </w:r>
      <w:r>
        <w:fldChar w:fldCharType="begin"/>
      </w:r>
      <w:r>
        <w:instrText xml:space="preserve"> PAGEREF _Toc114736038 \h </w:instrText>
      </w:r>
      <w:r>
        <w:fldChar w:fldCharType="separate"/>
      </w:r>
      <w:r>
        <w:t>8</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"_Toc114736039" </w:instrText>
      </w:r>
      <w:r>
        <w:fldChar w:fldCharType="separate"/>
      </w:r>
      <w:r>
        <w:rPr>
          <w:rStyle w:val="33"/>
          <w14:scene3d>
            <w14:lightRig w14:rig="threePt" w14:dir="t">
              <w14:rot w14:lat="0" w14:lon="0" w14:rev="0"/>
            </w14:lightRig>
          </w14:scene3d>
        </w:rPr>
        <w:t>7.2</w:t>
      </w:r>
      <w:r>
        <w:rPr>
          <w:rStyle w:val="33"/>
        </w:rPr>
        <w:t xml:space="preserve"> 功能要求</w:t>
      </w:r>
      <w:r>
        <w:tab/>
      </w:r>
      <w:r>
        <w:fldChar w:fldCharType="begin"/>
      </w:r>
      <w:r>
        <w:instrText xml:space="preserve"> PAGEREF _Toc114736039 \h </w:instrText>
      </w:r>
      <w:r>
        <w:fldChar w:fldCharType="separate"/>
      </w:r>
      <w:r>
        <w:t>8</w:t>
      </w:r>
      <w:r>
        <w:fldChar w:fldCharType="end"/>
      </w:r>
      <w:r>
        <w:fldChar w:fldCharType="end"/>
      </w:r>
    </w:p>
    <w:p>
      <w:pPr>
        <w:pStyle w:val="24"/>
        <w:rPr>
          <w:rFonts w:asciiTheme="minorHAnsi" w:hAnsiTheme="minorHAnsi" w:eastAsiaTheme="minorEastAsia" w:cstheme="minorBidi"/>
          <w:szCs w:val="24"/>
        </w:rPr>
      </w:pPr>
      <w:r>
        <w:fldChar w:fldCharType="begin"/>
      </w:r>
      <w:r>
        <w:instrText xml:space="preserve"> HYPERLINK \l "_Toc114736040" </w:instrText>
      </w:r>
      <w:r>
        <w:fldChar w:fldCharType="separate"/>
      </w:r>
      <w:r>
        <w:rPr>
          <w:rStyle w:val="33"/>
          <w14:scene3d>
            <w14:lightRig w14:rig="threePt" w14:dir="t">
              <w14:rot w14:lat="0" w14:lon="0" w14:rev="0"/>
            </w14:lightRig>
          </w14:scene3d>
        </w:rPr>
        <w:t>7.3</w:t>
      </w:r>
      <w:r>
        <w:rPr>
          <w:rStyle w:val="33"/>
        </w:rPr>
        <w:t xml:space="preserve"> 流程要求</w:t>
      </w:r>
      <w:r>
        <w:tab/>
      </w:r>
      <w:r>
        <w:fldChar w:fldCharType="begin"/>
      </w:r>
      <w:r>
        <w:instrText xml:space="preserve"> PAGEREF _Toc114736040 \h </w:instrText>
      </w:r>
      <w:r>
        <w:fldChar w:fldCharType="separate"/>
      </w:r>
      <w:r>
        <w:t>9</w:t>
      </w:r>
      <w:r>
        <w:fldChar w:fldCharType="end"/>
      </w:r>
      <w:r>
        <w:fldChar w:fldCharType="end"/>
      </w:r>
    </w:p>
    <w:p>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2" w:name="_Toc114736024"/>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本文件由湖南省工业和信息化厅提出</w:t>
      </w:r>
      <w:r>
        <w:rPr>
          <w:rFonts w:hint="eastAsia"/>
          <w:lang w:val="en-US" w:eastAsia="zh-CN"/>
        </w:rPr>
        <w:t>并归口</w:t>
      </w:r>
      <w:r>
        <w:rPr>
          <w:rFonts w:hint="eastAsia"/>
        </w:rPr>
        <w:t>。</w:t>
      </w:r>
    </w:p>
    <w:p>
      <w:pPr>
        <w:pStyle w:val="57"/>
        <w:ind w:firstLine="420"/>
      </w:pPr>
      <w:r>
        <w:rPr>
          <w:rFonts w:hint="eastAsia"/>
        </w:rPr>
        <w:t>本文件起草单位：株洲市云享信息技术有限公司，杭州熵减科技有限公司。</w:t>
      </w:r>
    </w:p>
    <w:p>
      <w:pPr>
        <w:pStyle w:val="57"/>
        <w:ind w:firstLine="420"/>
      </w:pPr>
      <w:r>
        <w:rPr>
          <w:rFonts w:hint="eastAsia"/>
        </w:rPr>
        <w:t>本文件主要起草人：唐丽、王利民、张杰、杨帆、王维民、薛明慧、张冬光。</w:t>
      </w: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43033A407E07426897B83793168B01CE"/>
        </w:placeholder>
      </w:sdtPr>
      <w:sdtContent>
        <w:p>
          <w:pPr>
            <w:pStyle w:val="178"/>
            <w:spacing w:before="312" w:beforeLines="100" w:after="686" w:afterLines="220"/>
          </w:pPr>
          <w:bookmarkStart w:id="25" w:name="NEW_STAND_NAME"/>
          <w:r>
            <w:rPr>
              <w:rFonts w:hint="eastAsia"/>
            </w:rPr>
            <w:t>共享经济灵活用工服务平台风险管理规范</w:t>
          </w:r>
        </w:p>
      </w:sdtContent>
    </w:sdt>
    <w:bookmarkEnd w:id="25"/>
    <w:p>
      <w:pPr>
        <w:pStyle w:val="105"/>
        <w:spacing w:before="312" w:after="312"/>
      </w:pPr>
      <w:bookmarkStart w:id="26" w:name="_Toc17233325"/>
      <w:bookmarkStart w:id="27" w:name="_Toc24884211"/>
      <w:bookmarkStart w:id="28" w:name="_Toc26986771"/>
      <w:bookmarkStart w:id="29" w:name="_Toc26986530"/>
      <w:bookmarkStart w:id="30" w:name="_Toc17233333"/>
      <w:bookmarkStart w:id="31" w:name="_Toc114736025"/>
      <w:bookmarkStart w:id="32" w:name="_Toc24884218"/>
      <w:bookmarkStart w:id="33" w:name="_Toc26718930"/>
      <w:bookmarkStart w:id="34" w:name="_Toc26648465"/>
      <w:r>
        <w:rPr>
          <w:rFonts w:hint="eastAsia"/>
        </w:rPr>
        <w:t>范围</w:t>
      </w:r>
      <w:bookmarkEnd w:id="26"/>
      <w:bookmarkEnd w:id="27"/>
      <w:bookmarkEnd w:id="28"/>
      <w:bookmarkEnd w:id="29"/>
      <w:bookmarkEnd w:id="30"/>
      <w:bookmarkEnd w:id="31"/>
      <w:bookmarkEnd w:id="32"/>
      <w:bookmarkEnd w:id="33"/>
      <w:bookmarkEnd w:id="34"/>
    </w:p>
    <w:p>
      <w:pPr>
        <w:pStyle w:val="57"/>
        <w:ind w:firstLine="420"/>
      </w:pPr>
      <w:bookmarkStart w:id="35" w:name="_Toc26648466"/>
      <w:bookmarkStart w:id="36" w:name="_Toc24884219"/>
      <w:bookmarkStart w:id="37" w:name="_Toc24884212"/>
      <w:bookmarkStart w:id="38" w:name="_Toc17233326"/>
      <w:bookmarkStart w:id="39" w:name="_Toc17233334"/>
      <w:r>
        <w:rPr>
          <w:rFonts w:hint="eastAsia"/>
        </w:rPr>
        <w:t>本文件规定了共享经济灵活用工服务平台业务风险管理过程的灵活用工业务风险管理原则、灵活用工业务风险管理体系、灵活用工业务风险管理过程和灵活用工业务风险管理系统等内容。</w:t>
      </w:r>
    </w:p>
    <w:p>
      <w:pPr>
        <w:pStyle w:val="57"/>
        <w:ind w:firstLine="420"/>
      </w:pPr>
      <w:r>
        <w:rPr>
          <w:rFonts w:hint="eastAsia"/>
        </w:rPr>
        <w:t>本文件适用于指导共享经济灵活用工服务平台的业务风险管理工作。</w:t>
      </w:r>
    </w:p>
    <w:p>
      <w:pPr>
        <w:pStyle w:val="105"/>
        <w:spacing w:before="312" w:after="312"/>
      </w:pPr>
      <w:bookmarkStart w:id="40" w:name="_Toc26986772"/>
      <w:bookmarkStart w:id="41" w:name="_Toc114736026"/>
      <w:bookmarkStart w:id="42" w:name="_Toc26986531"/>
      <w:bookmarkStart w:id="43" w:name="_Toc267189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E314477420D843299B7EA46DC2A5A3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 xml:space="preserve">GB/T </w:t>
      </w:r>
      <w:r>
        <w:t>23694</w:t>
      </w:r>
      <w:r>
        <w:rPr>
          <w:rFonts w:hint="eastAsia"/>
        </w:rPr>
        <w:t>—201</w:t>
      </w:r>
      <w:r>
        <w:t>3</w:t>
      </w:r>
      <w:r>
        <w:rPr>
          <w:rFonts w:hint="eastAsia"/>
        </w:rPr>
        <w:t xml:space="preserve"> 风险管理 术语</w:t>
      </w:r>
    </w:p>
    <w:p>
      <w:pPr>
        <w:pStyle w:val="57"/>
        <w:ind w:firstLine="420"/>
      </w:pPr>
      <w:r>
        <w:rPr>
          <w:rFonts w:hint="eastAsia"/>
        </w:rPr>
        <w:t xml:space="preserve">GB/T </w:t>
      </w:r>
      <w:r>
        <w:t>24353</w:t>
      </w:r>
      <w:r>
        <w:rPr>
          <w:rFonts w:hint="eastAsia"/>
        </w:rPr>
        <w:t>—20</w:t>
      </w:r>
      <w:r>
        <w:t>0</w:t>
      </w:r>
      <w:r>
        <w:rPr>
          <w:rFonts w:hint="eastAsia"/>
        </w:rPr>
        <w:t>9 风险管理 原则与实施指南</w:t>
      </w:r>
    </w:p>
    <w:p>
      <w:pPr>
        <w:pStyle w:val="57"/>
        <w:ind w:firstLine="420"/>
      </w:pPr>
      <w:r>
        <w:rPr>
          <w:rFonts w:hint="eastAsia"/>
        </w:rPr>
        <w:t xml:space="preserve">GB/T </w:t>
      </w:r>
      <w:r>
        <w:t>26317</w:t>
      </w:r>
      <w:r>
        <w:rPr>
          <w:rFonts w:hint="eastAsia"/>
        </w:rPr>
        <w:t>—20</w:t>
      </w:r>
      <w:r>
        <w:t>10</w:t>
      </w:r>
      <w:r>
        <w:rPr>
          <w:rFonts w:hint="eastAsia"/>
        </w:rPr>
        <w:t xml:space="preserve"> 公司治理风险管理指南</w:t>
      </w:r>
    </w:p>
    <w:p>
      <w:pPr>
        <w:pStyle w:val="57"/>
        <w:ind w:firstLine="420"/>
      </w:pPr>
      <w:r>
        <w:rPr>
          <w:rFonts w:hint="eastAsia"/>
        </w:rPr>
        <w:t xml:space="preserve">DB43/T </w:t>
      </w:r>
      <w:r>
        <w:t>2286</w:t>
      </w:r>
      <w:r>
        <w:rPr>
          <w:rFonts w:hint="eastAsia"/>
        </w:rPr>
        <w:t>—202</w:t>
      </w:r>
      <w:r>
        <w:t>2</w:t>
      </w:r>
      <w:r>
        <w:rPr>
          <w:rFonts w:hint="eastAsia"/>
        </w:rPr>
        <w:t xml:space="preserve"> 共享经济灵活用工服务平台服务规范</w:t>
      </w:r>
    </w:p>
    <w:p>
      <w:pPr>
        <w:pStyle w:val="57"/>
        <w:ind w:firstLine="420"/>
      </w:pPr>
      <w:bookmarkStart w:id="44" w:name="OLE_LINK6"/>
      <w:bookmarkStart w:id="45" w:name="OLE_LINK5"/>
      <w:r>
        <w:rPr>
          <w:rFonts w:hint="eastAsia"/>
        </w:rPr>
        <w:t xml:space="preserve">DB43/T </w:t>
      </w:r>
      <w:r>
        <w:t>2287</w:t>
      </w:r>
      <w:r>
        <w:rPr>
          <w:rFonts w:hint="eastAsia"/>
        </w:rPr>
        <w:t>—202</w:t>
      </w:r>
      <w:r>
        <w:t>2</w:t>
      </w:r>
      <w:bookmarkEnd w:id="44"/>
      <w:bookmarkEnd w:id="45"/>
      <w:r>
        <w:rPr>
          <w:rFonts w:hint="eastAsia"/>
        </w:rPr>
        <w:t xml:space="preserve"> 共享经济灵活用工服务平台管理规范</w:t>
      </w:r>
    </w:p>
    <w:p>
      <w:pPr>
        <w:pStyle w:val="105"/>
        <w:spacing w:before="312" w:after="312"/>
      </w:pPr>
      <w:bookmarkStart w:id="46" w:name="_Toc114736027"/>
      <w:r>
        <w:rPr>
          <w:rFonts w:hint="eastAsia"/>
          <w:szCs w:val="21"/>
        </w:rPr>
        <w:t>术语和定义</w:t>
      </w:r>
      <w:bookmarkEnd w:id="46"/>
    </w:p>
    <w:sdt>
      <w:sdtPr>
        <w:rPr>
          <w:rFonts w:hint="eastAsia"/>
        </w:rPr>
        <w:id w:val="-1909835108"/>
        <w:placeholder>
          <w:docPart w:val="A456D35E5E24489B868C530FF7C13A2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7"/>
            <w:ind w:firstLine="420"/>
          </w:pPr>
          <w:bookmarkStart w:id="47" w:name="_Toc26986532"/>
          <w:bookmarkEnd w:id="47"/>
          <w:r>
            <w:rPr>
              <w:rFonts w:hint="eastAsia"/>
            </w:rPr>
            <w:t xml:space="preserve">GB/T 23694—2013、GB/T 24353—2009及DB43/T </w:t>
          </w:r>
          <w:r>
            <w:t>2286</w:t>
          </w:r>
          <w:r>
            <w:rPr>
              <w:rFonts w:hint="eastAsia"/>
            </w:rPr>
            <w:t>—202</w:t>
          </w:r>
          <w:r>
            <w:t>2</w:t>
          </w:r>
          <w:r>
            <w:rPr>
              <w:rFonts w:hint="eastAsia"/>
            </w:rPr>
            <w:t>界定的术语和定义适用于本文件。</w:t>
          </w:r>
        </w:p>
      </w:sdtContent>
    </w:sdt>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风险 </w:t>
      </w:r>
      <w:r>
        <w:rPr>
          <w:rFonts w:ascii="黑体" w:hAnsi="黑体" w:eastAsia="黑体"/>
        </w:rPr>
        <w:t>risk</w:t>
      </w:r>
    </w:p>
    <w:p>
      <w:pPr>
        <w:pStyle w:val="57"/>
        <w:ind w:firstLine="420"/>
      </w:pPr>
      <w:r>
        <w:rPr>
          <w:rFonts w:hint="eastAsia"/>
        </w:rPr>
        <w:t>不确定性对目标的影响。</w:t>
      </w:r>
    </w:p>
    <w:p>
      <w:pPr>
        <w:pStyle w:val="57"/>
        <w:ind w:firstLine="360"/>
        <w:rPr>
          <w:sz w:val="18"/>
          <w:szCs w:val="16"/>
        </w:rPr>
      </w:pPr>
      <w:r>
        <w:rPr>
          <w:rFonts w:hint="eastAsia"/>
          <w:sz w:val="18"/>
          <w:szCs w:val="16"/>
        </w:rPr>
        <w:t>注1：影响是指偏离预期，可以是正面的和/或负面的。</w:t>
      </w:r>
    </w:p>
    <w:p>
      <w:pPr>
        <w:pStyle w:val="57"/>
        <w:ind w:firstLine="360"/>
        <w:rPr>
          <w:sz w:val="18"/>
          <w:szCs w:val="16"/>
        </w:rPr>
      </w:pPr>
      <w:r>
        <w:rPr>
          <w:rFonts w:hint="eastAsia"/>
          <w:sz w:val="18"/>
          <w:szCs w:val="16"/>
        </w:rPr>
        <w:t>注2：目标可以是不同方面（如财务、健康与安全、环境等）和层面（如战略、组织、项目、产品和过程等）的目标。</w:t>
      </w:r>
    </w:p>
    <w:p>
      <w:pPr>
        <w:pStyle w:val="57"/>
        <w:ind w:firstLine="360"/>
        <w:rPr>
          <w:sz w:val="18"/>
          <w:szCs w:val="16"/>
        </w:rPr>
      </w:pPr>
      <w:r>
        <w:rPr>
          <w:rFonts w:hint="eastAsia"/>
          <w:sz w:val="18"/>
          <w:szCs w:val="16"/>
        </w:rPr>
        <w:t>注3：通常用潜在事件、后果或者两者的组合来区分风险。</w:t>
      </w:r>
    </w:p>
    <w:p>
      <w:pPr>
        <w:pStyle w:val="57"/>
        <w:ind w:firstLine="360"/>
        <w:rPr>
          <w:sz w:val="18"/>
          <w:szCs w:val="16"/>
        </w:rPr>
      </w:pPr>
      <w:r>
        <w:rPr>
          <w:rFonts w:hint="eastAsia"/>
          <w:sz w:val="18"/>
          <w:szCs w:val="16"/>
        </w:rPr>
        <w:t>注4：通常用事件后果（包括情形的变化）和事件发生可能性的组合来表示风险。</w:t>
      </w:r>
    </w:p>
    <w:p>
      <w:pPr>
        <w:pStyle w:val="57"/>
        <w:ind w:firstLine="360"/>
        <w:rPr>
          <w:sz w:val="18"/>
          <w:szCs w:val="16"/>
        </w:rPr>
      </w:pPr>
      <w:r>
        <w:rPr>
          <w:rFonts w:hint="eastAsia"/>
          <w:sz w:val="18"/>
          <w:szCs w:val="16"/>
        </w:rPr>
        <w:t>注5：不确定性是指对事件及其后果或可能性的信息缺失或了解片面的状态。</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风险管理 ris</w:t>
      </w:r>
      <w:r>
        <w:rPr>
          <w:rFonts w:ascii="黑体" w:hAnsi="黑体" w:eastAsia="黑体"/>
        </w:rPr>
        <w:t>k management</w:t>
      </w:r>
    </w:p>
    <w:p>
      <w:pPr>
        <w:pStyle w:val="57"/>
        <w:ind w:firstLine="420"/>
      </w:pPr>
      <w:r>
        <w:rPr>
          <w:rFonts w:hint="eastAsia"/>
        </w:rPr>
        <w:t>在</w:t>
      </w:r>
      <w:r>
        <w:rPr>
          <w:rFonts w:hint="eastAsia"/>
          <w:b/>
          <w:bCs/>
        </w:rPr>
        <w:t>风险（</w:t>
      </w:r>
      <w:r>
        <w:rPr>
          <w:b/>
          <w:bCs/>
        </w:rPr>
        <w:t>3.1</w:t>
      </w:r>
      <w:r>
        <w:rPr>
          <w:rFonts w:hint="eastAsia"/>
          <w:b/>
          <w:bCs/>
        </w:rPr>
        <w:t>）</w:t>
      </w:r>
      <w:r>
        <w:rPr>
          <w:rFonts w:hint="eastAsia"/>
        </w:rPr>
        <w:t>方面，指导和控制组织的协调活动。</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共享经济 sharing economy</w:t>
      </w:r>
    </w:p>
    <w:p>
      <w:pPr>
        <w:pStyle w:val="57"/>
        <w:ind w:firstLine="420"/>
      </w:pPr>
      <w:r>
        <w:rPr>
          <w:rFonts w:hint="eastAsia"/>
        </w:rPr>
        <w:t>共享经济是指拥有闲置资源的机构或个人，将资源使用权有偿让渡给他人，让渡者获取回报，分享者通过分享他人的闲置资源创造价值。</w:t>
      </w:r>
    </w:p>
    <w:p>
      <w:pPr>
        <w:pStyle w:val="224"/>
        <w:spacing w:before="156" w:beforeLines="50"/>
        <w:ind w:left="420" w:hanging="420" w:hangingChars="200"/>
        <w:rPr>
          <w:rFonts w:ascii="黑体" w:hAnsi="黑体" w:eastAsia="黑体"/>
        </w:rPr>
      </w:pPr>
      <w:r>
        <w:rPr>
          <w:rFonts w:ascii="黑体" w:hAnsi="黑体" w:eastAsia="黑体"/>
        </w:rPr>
        <w:br w:type="textWrapping"/>
      </w:r>
      <w:r>
        <w:rPr>
          <w:rFonts w:hint="eastAsia" w:ascii="黑体" w:hAnsi="黑体" w:eastAsia="黑体"/>
        </w:rPr>
        <w:t>灵活用工 flexible employment</w:t>
      </w:r>
    </w:p>
    <w:p>
      <w:pPr>
        <w:pStyle w:val="57"/>
        <w:ind w:firstLine="420"/>
      </w:pPr>
      <w:r>
        <w:rPr>
          <w:rFonts w:hint="eastAsia"/>
        </w:rPr>
        <w:t>灵活用工是指非全日制用工、劳务派遣用工、业务外包用工和平台型用工四种形态，其中平台型用工是指灵活用工人员与用工企业通过共享经济灵活用工服务平台建立合作关系，而非雇佣关系或劳务关系，双方遵循“风险共担、利益共享”的原则，建立平等的业务承揽合作。</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共享经济灵活用工服务平台（简称：平台） the</w:t>
      </w:r>
      <w:r>
        <w:rPr>
          <w:rFonts w:ascii="黑体" w:hAnsi="黑体" w:eastAsia="黑体"/>
        </w:rPr>
        <w:t xml:space="preserve"> </w:t>
      </w:r>
      <w:bookmarkStart w:id="48" w:name="OLE_LINK2"/>
      <w:bookmarkStart w:id="49" w:name="OLE_LINK1"/>
      <w:r>
        <w:rPr>
          <w:rFonts w:hint="eastAsia" w:ascii="黑体" w:hAnsi="黑体" w:eastAsia="黑体"/>
        </w:rPr>
        <w:t>flexible employment</w:t>
      </w:r>
      <w:r>
        <w:rPr>
          <w:rFonts w:ascii="黑体" w:hAnsi="黑体" w:eastAsia="黑体"/>
        </w:rPr>
        <w:t xml:space="preserve"> </w:t>
      </w:r>
      <w:r>
        <w:rPr>
          <w:rFonts w:hint="eastAsia" w:ascii="黑体" w:hAnsi="黑体" w:eastAsia="黑体"/>
        </w:rPr>
        <w:t xml:space="preserve">service platform </w:t>
      </w:r>
      <w:r>
        <w:rPr>
          <w:rFonts w:ascii="黑体" w:hAnsi="黑体" w:eastAsia="黑体"/>
        </w:rPr>
        <w:t>in</w:t>
      </w:r>
      <w:r>
        <w:rPr>
          <w:rFonts w:hint="eastAsia" w:ascii="黑体" w:hAnsi="黑体" w:eastAsia="黑体"/>
        </w:rPr>
        <w:t xml:space="preserve"> the sharing economy</w:t>
      </w:r>
      <w:bookmarkEnd w:id="48"/>
      <w:bookmarkEnd w:id="49"/>
    </w:p>
    <w:p>
      <w:pPr>
        <w:pStyle w:val="224"/>
        <w:numPr>
          <w:ilvl w:val="0"/>
          <w:numId w:val="0"/>
        </w:numPr>
        <w:ind w:left="420"/>
      </w:pPr>
      <w:r>
        <w:rPr>
          <w:rFonts w:hint="eastAsia"/>
        </w:rPr>
        <w:t>共享经济灵活用工服务平台是基于互联网现代信息技术，为灵活用工人员提供的身份核验、规则宣贯、交易处理、智能报税、灵工保障等共享经济综合服务的网络系统平台。</w:t>
      </w:r>
    </w:p>
    <w:p>
      <w:pPr>
        <w:pStyle w:val="224"/>
        <w:ind w:left="420" w:hanging="420" w:hangingChars="200"/>
        <w:rPr>
          <w:rFonts w:ascii="黑体" w:hAnsi="黑体" w:eastAsia="黑体"/>
        </w:rPr>
      </w:pPr>
    </w:p>
    <w:p>
      <w:pPr>
        <w:pStyle w:val="224"/>
        <w:numPr>
          <w:ilvl w:val="0"/>
          <w:numId w:val="0"/>
        </w:numPr>
        <w:ind w:left="420"/>
        <w:jc w:val="left"/>
        <w:rPr>
          <w:rFonts w:ascii="黑体" w:hAnsi="黑体" w:eastAsia="黑体"/>
        </w:rPr>
      </w:pPr>
      <w:r>
        <w:rPr>
          <w:rFonts w:hint="eastAsia" w:ascii="黑体" w:hAnsi="黑体" w:eastAsia="黑体"/>
        </w:rPr>
        <w:t>共享经济灵活用工服务平台业务风险 （简称：灵活用工业务风险）bus</w:t>
      </w:r>
      <w:r>
        <w:rPr>
          <w:rFonts w:ascii="黑体" w:hAnsi="黑体" w:eastAsia="黑体"/>
        </w:rPr>
        <w:t xml:space="preserve">iness </w:t>
      </w:r>
      <w:r>
        <w:rPr>
          <w:rFonts w:hint="eastAsia" w:ascii="黑体" w:hAnsi="黑体" w:eastAsia="黑体"/>
        </w:rPr>
        <w:t>risk</w:t>
      </w:r>
      <w:r>
        <w:rPr>
          <w:rFonts w:ascii="黑体" w:hAnsi="黑体" w:eastAsia="黑体"/>
        </w:rPr>
        <w:t xml:space="preserve"> of the </w:t>
      </w:r>
      <w:r>
        <w:rPr>
          <w:rFonts w:hint="eastAsia" w:ascii="黑体" w:hAnsi="黑体" w:eastAsia="黑体"/>
        </w:rPr>
        <w:t>flexible employment</w:t>
      </w:r>
      <w:r>
        <w:rPr>
          <w:rFonts w:ascii="黑体" w:hAnsi="黑体" w:eastAsia="黑体"/>
        </w:rPr>
        <w:t xml:space="preserve"> </w:t>
      </w:r>
      <w:r>
        <w:rPr>
          <w:rFonts w:hint="eastAsia" w:ascii="黑体" w:hAnsi="黑体" w:eastAsia="黑体"/>
        </w:rPr>
        <w:t xml:space="preserve">service platform </w:t>
      </w:r>
      <w:r>
        <w:rPr>
          <w:rFonts w:ascii="黑体" w:hAnsi="黑体" w:eastAsia="黑体"/>
        </w:rPr>
        <w:t>in</w:t>
      </w:r>
      <w:r>
        <w:rPr>
          <w:rFonts w:hint="eastAsia" w:ascii="黑体" w:hAnsi="黑体" w:eastAsia="黑体"/>
        </w:rPr>
        <w:t xml:space="preserve"> the sharing economy</w:t>
      </w:r>
    </w:p>
    <w:p>
      <w:pPr>
        <w:pStyle w:val="57"/>
        <w:ind w:firstLine="420"/>
      </w:pPr>
      <w:r>
        <w:rPr>
          <w:rFonts w:hint="eastAsia"/>
        </w:rPr>
        <w:t>共享经济灵活用工服务在经营过程中影响工作目标的不确定性。</w:t>
      </w:r>
    </w:p>
    <w:p>
      <w:pPr>
        <w:pStyle w:val="224"/>
        <w:ind w:left="420" w:hanging="420" w:hangingChars="200"/>
        <w:rPr>
          <w:rFonts w:ascii="黑体" w:hAnsi="黑体" w:eastAsia="黑体"/>
        </w:rPr>
      </w:pPr>
    </w:p>
    <w:p>
      <w:pPr>
        <w:pStyle w:val="224"/>
        <w:numPr>
          <w:ilvl w:val="0"/>
          <w:numId w:val="0"/>
        </w:numPr>
        <w:ind w:left="420"/>
      </w:pPr>
      <w:r>
        <w:rPr>
          <w:rFonts w:hint="eastAsia" w:ascii="黑体" w:hAnsi="黑体" w:eastAsia="黑体"/>
        </w:rPr>
        <w:t>共享经济灵活用工服务平台业务风险管理（简称：灵活用工业务风险管理）b</w:t>
      </w:r>
      <w:r>
        <w:rPr>
          <w:rFonts w:ascii="黑体" w:hAnsi="黑体" w:eastAsia="黑体"/>
        </w:rPr>
        <w:t xml:space="preserve">usiness risk management of the </w:t>
      </w:r>
      <w:r>
        <w:rPr>
          <w:rFonts w:hint="eastAsia" w:ascii="黑体" w:hAnsi="黑体" w:eastAsia="黑体"/>
        </w:rPr>
        <w:t>flexible employment</w:t>
      </w:r>
      <w:r>
        <w:rPr>
          <w:rFonts w:ascii="黑体" w:hAnsi="黑体" w:eastAsia="黑体"/>
        </w:rPr>
        <w:t xml:space="preserve"> </w:t>
      </w:r>
      <w:r>
        <w:rPr>
          <w:rFonts w:hint="eastAsia" w:ascii="黑体" w:hAnsi="黑体" w:eastAsia="黑体"/>
        </w:rPr>
        <w:t xml:space="preserve">service platform </w:t>
      </w:r>
      <w:r>
        <w:rPr>
          <w:rFonts w:ascii="黑体" w:hAnsi="黑体" w:eastAsia="黑体"/>
        </w:rPr>
        <w:t>in</w:t>
      </w:r>
      <w:r>
        <w:rPr>
          <w:rFonts w:hint="eastAsia" w:ascii="黑体" w:hAnsi="黑体" w:eastAsia="黑体"/>
        </w:rPr>
        <w:t xml:space="preserve"> the sharing economy</w:t>
      </w:r>
    </w:p>
    <w:p>
      <w:pPr>
        <w:pStyle w:val="224"/>
        <w:numPr>
          <w:ilvl w:val="0"/>
          <w:numId w:val="0"/>
        </w:numPr>
        <w:ind w:left="420"/>
        <w:rPr>
          <w:rFonts w:ascii="黑体" w:hAnsi="黑体" w:eastAsia="黑体"/>
        </w:rPr>
      </w:pPr>
      <w:r>
        <w:rPr>
          <w:rFonts w:hint="eastAsia"/>
        </w:rPr>
        <w:t>在经营过程中业务风险进行识别、评估、应对和监督的过程性活动。</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企业用户  enterprise user</w:t>
      </w:r>
    </w:p>
    <w:p>
      <w:pPr>
        <w:pStyle w:val="57"/>
        <w:ind w:firstLine="420"/>
      </w:pPr>
      <w:r>
        <w:rPr>
          <w:rFonts w:hint="eastAsia"/>
        </w:rPr>
        <w:t>具备共享经济用工场景的企业在共享经济灵活用工服务平台中的企业身份。</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个人用户  individual user</w:t>
      </w:r>
    </w:p>
    <w:p>
      <w:pPr>
        <w:pStyle w:val="57"/>
        <w:ind w:firstLine="420"/>
      </w:pPr>
      <w:r>
        <w:rPr>
          <w:rFonts w:hint="eastAsia"/>
        </w:rPr>
        <w:t>灵活用工人员在共享经济灵活用工服务平台中的个人身份。</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灵活用工人员 the </w:t>
      </w:r>
      <w:r>
        <w:rPr>
          <w:rFonts w:ascii="黑体" w:hAnsi="黑体" w:eastAsia="黑体"/>
        </w:rPr>
        <w:t>g</w:t>
      </w:r>
      <w:r>
        <w:rPr>
          <w:rFonts w:hint="eastAsia" w:ascii="黑体" w:hAnsi="黑体" w:eastAsia="黑体"/>
        </w:rPr>
        <w:t xml:space="preserve">ig </w:t>
      </w:r>
      <w:r>
        <w:rPr>
          <w:rFonts w:ascii="黑体" w:hAnsi="黑体" w:eastAsia="黑体"/>
        </w:rPr>
        <w:t>w</w:t>
      </w:r>
      <w:r>
        <w:rPr>
          <w:rFonts w:hint="eastAsia" w:ascii="黑体" w:hAnsi="黑体" w:eastAsia="黑体"/>
        </w:rPr>
        <w:t>orker</w:t>
      </w:r>
    </w:p>
    <w:p>
      <w:pPr>
        <w:pStyle w:val="57"/>
        <w:ind w:firstLine="420"/>
      </w:pPr>
      <w:r>
        <w:rPr>
          <w:rFonts w:hint="eastAsia"/>
        </w:rPr>
        <w:t>自我雇佣并以个人身份从事合法合规生产经营活动的具备民事行为能力的市场主体。</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个人信息  personal information</w:t>
      </w:r>
    </w:p>
    <w:p>
      <w:pPr>
        <w:pStyle w:val="57"/>
        <w:ind w:firstLine="420"/>
      </w:pPr>
      <w:r>
        <w:rPr>
          <w:rFonts w:hint="eastAsia"/>
        </w:rPr>
        <w:t>以电子或者其他方式记录的能够单独或者与其他信息结合识别特定自然人身份或者反应特定自然人活动情况的各种信息。</w:t>
      </w:r>
    </w:p>
    <w:p>
      <w:pPr>
        <w:pStyle w:val="180"/>
      </w:pPr>
      <w:r>
        <w:rPr>
          <w:rFonts w:hint="eastAsia"/>
        </w:rPr>
        <w:t>个人信息包括姓名、出生日期、身份证件号码、个人生物识别信息、住址、通信通讯联系方式、通信记录和内容、账号密码、财产信息、征信信息、行踪轨迹、住宿信息、健康生理信息、交易信息等。</w:t>
      </w:r>
    </w:p>
    <w:p>
      <w:pPr>
        <w:pStyle w:val="105"/>
        <w:spacing w:before="312" w:after="312"/>
      </w:pPr>
      <w:bookmarkStart w:id="50" w:name="_Toc114736028"/>
      <w:r>
        <w:rPr>
          <w:rFonts w:hint="eastAsia"/>
        </w:rPr>
        <w:t>灵活用工业务风险管理原则</w:t>
      </w:r>
      <w:bookmarkEnd w:id="50"/>
    </w:p>
    <w:p>
      <w:pPr>
        <w:pStyle w:val="57"/>
        <w:ind w:firstLine="420"/>
      </w:pPr>
      <w:r>
        <w:rPr>
          <w:rFonts w:hint="eastAsia"/>
        </w:rPr>
        <w:t>平台进行灵活用工业务风险管理除了应遵守GB</w:t>
      </w:r>
      <w:r>
        <w:t>/T 24353</w:t>
      </w:r>
      <w:r>
        <w:rPr>
          <w:rFonts w:hint="eastAsia"/>
        </w:rPr>
        <w:t>规定风险管理原则外，还应遵守以下原则：</w:t>
      </w:r>
    </w:p>
    <w:p>
      <w:pPr>
        <w:pStyle w:val="175"/>
      </w:pPr>
      <w:r>
        <w:rPr>
          <w:rFonts w:hint="eastAsia"/>
        </w:rPr>
        <w:t>确保合规原则，应遵循与业务风险管理有关的法律法规，防止因违规而可能造成的法律制裁或监管处罚、重大财务损失或声誉损失等。</w:t>
      </w:r>
    </w:p>
    <w:p>
      <w:pPr>
        <w:pStyle w:val="175"/>
      </w:pPr>
      <w:r>
        <w:rPr>
          <w:rFonts w:hint="eastAsia"/>
        </w:rPr>
        <w:t>全面融入原则，灵活用工业务风险管理发生于平台的经营管理活动，其识别、分析、评价和应对都需要融入经营管理的全过程，贯穿决策、执行、监督、反馈等各个环节。</w:t>
      </w:r>
    </w:p>
    <w:p>
      <w:pPr>
        <w:pStyle w:val="175"/>
      </w:pPr>
      <w:r>
        <w:rPr>
          <w:rFonts w:hint="eastAsia"/>
        </w:rPr>
        <w:t>系统应用原则，系统化、结构化的方法有助于风险管理效率的提升，并产生一致化、可相互比较的结果。</w:t>
      </w:r>
    </w:p>
    <w:p>
      <w:pPr>
        <w:pStyle w:val="175"/>
      </w:pPr>
      <w:r>
        <w:rPr>
          <w:rFonts w:hint="eastAsia"/>
        </w:rPr>
        <w:t>信息完善原则，灵活用工业务风险管理要以有效且完善的信息为基础，可通过数据抽样、反馈、比对、趋势分析、预测和专家判断等多种方式获取，同时也要充分考虑数据抽样、模型和专家判断的局限性。</w:t>
      </w:r>
    </w:p>
    <w:p>
      <w:pPr>
        <w:pStyle w:val="175"/>
      </w:pPr>
      <w:r>
        <w:rPr>
          <w:rFonts w:hint="eastAsia"/>
        </w:rPr>
        <w:t>环境依赖原则，灵活用工业务风险管理取决于平台所处的内部和外部环境以及所承担的风险，对于超出环境限制的风险因素有一定的局限性。</w:t>
      </w:r>
    </w:p>
    <w:p>
      <w:pPr>
        <w:pStyle w:val="105"/>
        <w:spacing w:before="312" w:after="312"/>
      </w:pPr>
      <w:bookmarkStart w:id="51" w:name="_Toc114736029"/>
      <w:r>
        <w:rPr>
          <w:rFonts w:hint="eastAsia"/>
        </w:rPr>
        <w:t>灵活用工业务风险管理体系</w:t>
      </w:r>
      <w:bookmarkEnd w:id="51"/>
    </w:p>
    <w:p>
      <w:pPr>
        <w:pStyle w:val="106"/>
        <w:spacing w:before="156" w:after="156"/>
      </w:pPr>
      <w:bookmarkStart w:id="52" w:name="_Toc114736030"/>
      <w:r>
        <w:rPr>
          <w:rFonts w:hint="eastAsia"/>
        </w:rPr>
        <w:t>组织建设</w:t>
      </w:r>
      <w:bookmarkEnd w:id="52"/>
    </w:p>
    <w:p>
      <w:pPr>
        <w:pStyle w:val="57"/>
        <w:ind w:firstLine="420"/>
      </w:pPr>
      <w:r>
        <w:rPr>
          <w:rFonts w:hint="eastAsia"/>
        </w:rPr>
        <w:t>平台应建立与本机构实际业务相匹配适应的风险管理组织架构，并规范各级组织、部门在灵活用工业务风险管理中承担各自的职责，包括股东（大）会、董事会、总经理、监事会以及相关职能部门。平台应专门设立进行灵活用工业务风险管理的职能部门及其对应岗位，并明确其职责和内容，具体包括但不限于：</w:t>
      </w:r>
    </w:p>
    <w:p>
      <w:pPr>
        <w:pStyle w:val="57"/>
        <w:numPr>
          <w:ilvl w:val="0"/>
          <w:numId w:val="32"/>
        </w:numPr>
        <w:ind w:left="850" w:hanging="425" w:firstLineChars="0"/>
      </w:pPr>
      <w:r>
        <w:rPr>
          <w:rFonts w:hint="eastAsia"/>
        </w:rPr>
        <w:t>明确本机构灵活用工业务风险管理部门或岗位的人员组成，根据内部条件和管理需求，可设置风险管理委员会，从总体上负责平台的业务风险管理工作；</w:t>
      </w:r>
    </w:p>
    <w:p>
      <w:pPr>
        <w:pStyle w:val="57"/>
        <w:numPr>
          <w:ilvl w:val="0"/>
          <w:numId w:val="32"/>
        </w:numPr>
        <w:ind w:left="850" w:hanging="425" w:firstLineChars="0"/>
      </w:pPr>
      <w:r>
        <w:rPr>
          <w:rFonts w:hint="eastAsia"/>
        </w:rPr>
        <w:t>明确内外部灵活用工业务风险管理人员的分工和合作方式；</w:t>
      </w:r>
    </w:p>
    <w:p>
      <w:pPr>
        <w:pStyle w:val="57"/>
        <w:numPr>
          <w:ilvl w:val="0"/>
          <w:numId w:val="32"/>
        </w:numPr>
        <w:ind w:left="850" w:hanging="425" w:firstLineChars="0"/>
      </w:pPr>
      <w:r>
        <w:rPr>
          <w:rFonts w:hint="eastAsia"/>
        </w:rPr>
        <w:t>明确灵活用工业务风险管理体系的制定、实施和维护人员的职责；</w:t>
      </w:r>
    </w:p>
    <w:p>
      <w:pPr>
        <w:pStyle w:val="57"/>
        <w:numPr>
          <w:ilvl w:val="0"/>
          <w:numId w:val="32"/>
        </w:numPr>
        <w:ind w:left="850" w:hanging="425" w:firstLineChars="0"/>
      </w:pPr>
      <w:r>
        <w:rPr>
          <w:rFonts w:hint="eastAsia"/>
        </w:rPr>
        <w:t>对于灵活用工业务风险管理工作建立对应的考核办法及奖惩制度。</w:t>
      </w:r>
    </w:p>
    <w:p>
      <w:pPr>
        <w:pStyle w:val="106"/>
        <w:spacing w:before="156" w:after="156"/>
      </w:pPr>
      <w:bookmarkStart w:id="53" w:name="_Toc114736031"/>
      <w:r>
        <w:rPr>
          <w:rFonts w:hint="eastAsia"/>
        </w:rPr>
        <w:t>制度建设</w:t>
      </w:r>
      <w:bookmarkEnd w:id="53"/>
    </w:p>
    <w:p>
      <w:pPr>
        <w:pStyle w:val="57"/>
        <w:ind w:firstLine="420"/>
      </w:pPr>
      <w:r>
        <w:rPr>
          <w:rFonts w:hint="eastAsia"/>
        </w:rPr>
        <w:t>平台应根据灵活用工业务风险管理的目标，建立完善适当的配套制度和行为规范，确定灵活用工业务风险管理的工作程序，同时结合平台内部控制管理工作纳入到流程控制中，确保灵活用工业务风险管理工作切实融入到企业的日常管理工作中，包括但不限于以下方面：</w:t>
      </w:r>
    </w:p>
    <w:p>
      <w:pPr>
        <w:pStyle w:val="175"/>
        <w:numPr>
          <w:ilvl w:val="0"/>
          <w:numId w:val="33"/>
        </w:numPr>
      </w:pPr>
      <w:r>
        <w:rPr>
          <w:rFonts w:hint="eastAsia"/>
        </w:rPr>
        <w:t>企业用户及灵活用工人员合作标准；</w:t>
      </w:r>
    </w:p>
    <w:p>
      <w:pPr>
        <w:pStyle w:val="175"/>
        <w:numPr>
          <w:ilvl w:val="0"/>
          <w:numId w:val="33"/>
        </w:numPr>
      </w:pPr>
      <w:r>
        <w:rPr>
          <w:rFonts w:hint="eastAsia"/>
        </w:rPr>
        <w:t>企业用户签约流程及认证标准；</w:t>
      </w:r>
    </w:p>
    <w:p>
      <w:pPr>
        <w:pStyle w:val="175"/>
        <w:numPr>
          <w:ilvl w:val="0"/>
          <w:numId w:val="33"/>
        </w:numPr>
      </w:pPr>
      <w:r>
        <w:rPr>
          <w:rFonts w:hint="eastAsia"/>
        </w:rPr>
        <w:t>灵活用工人员签约流程及认证标准；</w:t>
      </w:r>
    </w:p>
    <w:p>
      <w:pPr>
        <w:pStyle w:val="175"/>
      </w:pPr>
      <w:r>
        <w:rPr>
          <w:rFonts w:hint="eastAsia"/>
        </w:rPr>
        <w:t>企业用户分级标准及控制规则；</w:t>
      </w:r>
    </w:p>
    <w:p>
      <w:pPr>
        <w:pStyle w:val="175"/>
      </w:pPr>
      <w:r>
        <w:rPr>
          <w:rFonts w:hint="eastAsia"/>
        </w:rPr>
        <w:t>灵活用工人员分级标准及控制规则；</w:t>
      </w:r>
    </w:p>
    <w:p>
      <w:pPr>
        <w:pStyle w:val="175"/>
      </w:pPr>
      <w:r>
        <w:rPr>
          <w:rFonts w:hint="eastAsia"/>
        </w:rPr>
        <w:t>交付物管理标准；</w:t>
      </w:r>
    </w:p>
    <w:p>
      <w:pPr>
        <w:pStyle w:val="175"/>
      </w:pPr>
      <w:r>
        <w:rPr>
          <w:rFonts w:hint="eastAsia"/>
        </w:rPr>
        <w:t>风险控制巡检标准；</w:t>
      </w:r>
    </w:p>
    <w:p>
      <w:pPr>
        <w:pStyle w:val="175"/>
      </w:pPr>
      <w:r>
        <w:rPr>
          <w:rFonts w:hint="eastAsia"/>
        </w:rPr>
        <w:t>应急预案管理制度。</w:t>
      </w:r>
    </w:p>
    <w:p>
      <w:pPr>
        <w:pStyle w:val="105"/>
        <w:spacing w:before="312" w:after="312"/>
      </w:pPr>
      <w:bookmarkStart w:id="54" w:name="_Toc114736032"/>
      <w:r>
        <w:rPr>
          <w:rFonts w:hint="eastAsia"/>
        </w:rPr>
        <w:t>灵活用工业务风险管理过程</w:t>
      </w:r>
      <w:bookmarkEnd w:id="54"/>
    </w:p>
    <w:p>
      <w:pPr>
        <w:pStyle w:val="106"/>
        <w:spacing w:before="156" w:after="156"/>
      </w:pPr>
      <w:bookmarkStart w:id="55" w:name="_Toc114736033"/>
      <w:r>
        <w:rPr>
          <w:rFonts w:hint="eastAsia"/>
        </w:rPr>
        <w:t>风险识别</w:t>
      </w:r>
      <w:bookmarkEnd w:id="55"/>
    </w:p>
    <w:p>
      <w:pPr>
        <w:pStyle w:val="66"/>
        <w:spacing w:before="156" w:after="156"/>
      </w:pPr>
      <w:r>
        <w:rPr>
          <w:rFonts w:hint="eastAsia"/>
        </w:rPr>
        <w:t>风险识别范围</w:t>
      </w:r>
    </w:p>
    <w:p>
      <w:pPr>
        <w:pStyle w:val="57"/>
        <w:ind w:firstLine="420"/>
      </w:pPr>
      <w:r>
        <w:rPr>
          <w:rFonts w:hint="eastAsia"/>
        </w:rPr>
        <w:t>平台应对以下方面进行风险识别：</w:t>
      </w:r>
    </w:p>
    <w:p>
      <w:pPr>
        <w:pStyle w:val="57"/>
        <w:numPr>
          <w:ilvl w:val="0"/>
          <w:numId w:val="34"/>
        </w:numPr>
        <w:ind w:left="850" w:hanging="425" w:firstLineChars="0"/>
      </w:pPr>
      <w:r>
        <w:rPr>
          <w:rFonts w:hint="eastAsia"/>
        </w:rPr>
        <w:t>企业用户风险识别；</w:t>
      </w:r>
    </w:p>
    <w:p>
      <w:pPr>
        <w:pStyle w:val="57"/>
        <w:numPr>
          <w:ilvl w:val="0"/>
          <w:numId w:val="34"/>
        </w:numPr>
        <w:ind w:left="850" w:hanging="425" w:firstLineChars="0"/>
      </w:pPr>
      <w:r>
        <w:rPr>
          <w:rFonts w:hint="eastAsia"/>
        </w:rPr>
        <w:t>灵活用工人员风险识别；</w:t>
      </w:r>
    </w:p>
    <w:p>
      <w:pPr>
        <w:pStyle w:val="57"/>
        <w:numPr>
          <w:ilvl w:val="0"/>
          <w:numId w:val="34"/>
        </w:numPr>
        <w:ind w:left="850" w:hanging="425" w:firstLineChars="0"/>
      </w:pPr>
      <w:r>
        <w:rPr>
          <w:rFonts w:hint="eastAsia"/>
        </w:rPr>
        <w:t>灵活用工业务内容风险识别。</w:t>
      </w:r>
    </w:p>
    <w:p>
      <w:pPr>
        <w:pStyle w:val="66"/>
        <w:spacing w:before="156" w:after="156"/>
      </w:pPr>
      <w:r>
        <w:rPr>
          <w:rFonts w:hint="eastAsia"/>
        </w:rPr>
        <w:t>风险识别要求</w:t>
      </w:r>
    </w:p>
    <w:p>
      <w:pPr>
        <w:pStyle w:val="57"/>
        <w:ind w:firstLine="420"/>
      </w:pPr>
      <w:r>
        <w:rPr>
          <w:rFonts w:hint="eastAsia"/>
        </w:rPr>
        <w:t>平台</w:t>
      </w:r>
      <w:r>
        <w:t>进行风险识别时要掌握相关的和最新的信息，必要时，需包括适用的背景信息。除了识别可能发生的风险事件外，还要考虑其可能的原因和可能导致的后果，包括所有重要的原因和后果。不论风险事件的风险源是否在组织的控制之下，或其原因是否已知，都应对其进行识别。此外，要关注已经发生的风险事件，特别是新近发生的风险事件。</w:t>
      </w:r>
    </w:p>
    <w:p>
      <w:pPr>
        <w:pStyle w:val="66"/>
        <w:spacing w:before="156" w:after="156"/>
      </w:pPr>
      <w:r>
        <w:rPr>
          <w:rFonts w:hint="eastAsia"/>
        </w:rPr>
        <w:t>风险识别方法</w:t>
      </w:r>
    </w:p>
    <w:p>
      <w:pPr>
        <w:pStyle w:val="57"/>
        <w:ind w:firstLine="420"/>
      </w:pPr>
      <w:r>
        <w:rPr>
          <w:rFonts w:hint="eastAsia"/>
        </w:rPr>
        <w:t>平台应结合自身专业技术和实际业务，采用系统采集、信息核验、问卷调查、访谈调研、数据表分析等方法进行风险识别。</w:t>
      </w:r>
    </w:p>
    <w:p>
      <w:pPr>
        <w:pStyle w:val="106"/>
        <w:spacing w:before="156" w:after="156"/>
      </w:pPr>
      <w:bookmarkStart w:id="56" w:name="_Toc114736034"/>
      <w:r>
        <w:rPr>
          <w:rFonts w:hint="eastAsia"/>
        </w:rPr>
        <w:t>风险分析</w:t>
      </w:r>
      <w:bookmarkEnd w:id="56"/>
    </w:p>
    <w:p>
      <w:pPr>
        <w:pStyle w:val="66"/>
        <w:spacing w:before="156" w:after="156"/>
      </w:pPr>
      <w:r>
        <w:rPr>
          <w:rFonts w:hint="eastAsia"/>
        </w:rPr>
        <w:t>企业用户风险</w:t>
      </w:r>
    </w:p>
    <w:p>
      <w:pPr>
        <w:pStyle w:val="57"/>
        <w:ind w:firstLine="420"/>
      </w:pPr>
      <w:r>
        <w:rPr>
          <w:rFonts w:hint="eastAsia"/>
        </w:rPr>
        <w:t>平台应对企业用户的信息进行审核及分析，包括但不限于以下方面：</w:t>
      </w:r>
    </w:p>
    <w:p>
      <w:pPr>
        <w:pStyle w:val="57"/>
        <w:numPr>
          <w:ilvl w:val="0"/>
          <w:numId w:val="35"/>
        </w:numPr>
        <w:ind w:left="850" w:hanging="425" w:firstLineChars="0"/>
      </w:pPr>
      <w:r>
        <w:rPr>
          <w:rFonts w:hint="eastAsia"/>
        </w:rPr>
        <w:t>应核实企业用户的基本信息，如企业营业执照、营业执照有效期、经营范围、企业资质、关联关系、实际控制人等；</w:t>
      </w:r>
    </w:p>
    <w:p>
      <w:pPr>
        <w:pStyle w:val="57"/>
        <w:numPr>
          <w:ilvl w:val="0"/>
          <w:numId w:val="35"/>
        </w:numPr>
        <w:ind w:left="850" w:hanging="425" w:firstLineChars="0"/>
      </w:pPr>
      <w:r>
        <w:rPr>
          <w:rFonts w:hint="eastAsia"/>
        </w:rPr>
        <w:t>应核实企业用户的主营业务信息，如所属行业、企业经营情况、产品或品牌信息等；</w:t>
      </w:r>
    </w:p>
    <w:p>
      <w:pPr>
        <w:pStyle w:val="57"/>
        <w:numPr>
          <w:ilvl w:val="0"/>
          <w:numId w:val="35"/>
        </w:numPr>
        <w:ind w:left="850" w:hanging="425" w:firstLineChars="0"/>
      </w:pPr>
      <w:r>
        <w:rPr>
          <w:rFonts w:hint="eastAsia"/>
        </w:rPr>
        <w:t>应核实企业用户的业务资料信息，如办公场景照片或视频、官方网站、APP、公众号或小程序、产品介绍资料或宣传册、品牌宣传视频等；</w:t>
      </w:r>
    </w:p>
    <w:p>
      <w:pPr>
        <w:pStyle w:val="57"/>
        <w:numPr>
          <w:ilvl w:val="0"/>
          <w:numId w:val="35"/>
        </w:numPr>
        <w:ind w:left="850" w:hanging="425" w:firstLineChars="0"/>
      </w:pPr>
      <w:r>
        <w:rPr>
          <w:rFonts w:hint="eastAsia"/>
        </w:rPr>
        <w:t>应核实企业用户的经营风险信息，如行政处罚、税务违法、经营异常、涉诉信息及裁判文书、立案信息等；</w:t>
      </w:r>
    </w:p>
    <w:p>
      <w:pPr>
        <w:pStyle w:val="57"/>
        <w:numPr>
          <w:ilvl w:val="0"/>
          <w:numId w:val="35"/>
        </w:numPr>
        <w:ind w:left="850" w:hanging="425" w:firstLineChars="0"/>
      </w:pPr>
      <w:r>
        <w:rPr>
          <w:rFonts w:hint="eastAsia"/>
        </w:rPr>
        <w:t>应核实企业用户的法定代表人、董事、监事及股东是否为失信被执行人或关联限制消费对象；</w:t>
      </w:r>
    </w:p>
    <w:p>
      <w:pPr>
        <w:pStyle w:val="57"/>
        <w:numPr>
          <w:ilvl w:val="0"/>
          <w:numId w:val="35"/>
        </w:numPr>
        <w:ind w:left="850" w:hanging="425" w:firstLineChars="0"/>
      </w:pPr>
      <w:r>
        <w:rPr>
          <w:rFonts w:hint="eastAsia"/>
        </w:rPr>
        <w:t>宜考察企业用户的负面舆情信息，如财务预警、监管预警、群体性投诉等；</w:t>
      </w:r>
    </w:p>
    <w:p>
      <w:pPr>
        <w:pStyle w:val="57"/>
        <w:numPr>
          <w:ilvl w:val="0"/>
          <w:numId w:val="35"/>
        </w:numPr>
        <w:ind w:left="850" w:hanging="425" w:firstLineChars="0"/>
      </w:pPr>
      <w:r>
        <w:rPr>
          <w:rFonts w:hint="eastAsia"/>
        </w:rPr>
        <w:t>宜考察企业用户隶属的集团或实际控制企业的相关信息。</w:t>
      </w:r>
    </w:p>
    <w:p>
      <w:pPr>
        <w:pStyle w:val="66"/>
        <w:spacing w:before="156" w:after="156"/>
      </w:pPr>
      <w:r>
        <w:rPr>
          <w:rFonts w:hint="eastAsia"/>
        </w:rPr>
        <w:t>灵活用工人员风险</w:t>
      </w:r>
    </w:p>
    <w:p>
      <w:pPr>
        <w:pStyle w:val="57"/>
        <w:ind w:firstLine="420"/>
      </w:pPr>
      <w:r>
        <w:rPr>
          <w:rFonts w:hint="eastAsia"/>
        </w:rPr>
        <w:t>平台应对灵活用工人员的信息进行审核及分析，包括但不限于以下方面：</w:t>
      </w:r>
    </w:p>
    <w:p>
      <w:pPr>
        <w:pStyle w:val="57"/>
        <w:numPr>
          <w:ilvl w:val="0"/>
          <w:numId w:val="36"/>
        </w:numPr>
        <w:ind w:left="850" w:hanging="425" w:firstLineChars="0"/>
      </w:pPr>
      <w:r>
        <w:rPr>
          <w:rFonts w:hint="eastAsia"/>
        </w:rPr>
        <w:t>应核实灵活用工人员基本身份信息的真实性和有效性，如姓名、证件类型、证件号码、证件有效期、证件照片、个人生物特征识别信息等；</w:t>
      </w:r>
    </w:p>
    <w:p>
      <w:pPr>
        <w:pStyle w:val="57"/>
        <w:numPr>
          <w:ilvl w:val="0"/>
          <w:numId w:val="36"/>
        </w:numPr>
        <w:ind w:left="850" w:hanging="425" w:firstLineChars="0"/>
      </w:pPr>
      <w:r>
        <w:rPr>
          <w:rFonts w:hint="eastAsia"/>
        </w:rPr>
        <w:t>应核实灵活用工人员银行卡账户信息或第三方支付收款账户信息的真实性和有效性，如是否为本人开立，户名、账号、开户预留手机号、账户有效期是否有效且匹配一致等；</w:t>
      </w:r>
    </w:p>
    <w:p>
      <w:pPr>
        <w:pStyle w:val="57"/>
        <w:numPr>
          <w:ilvl w:val="0"/>
          <w:numId w:val="36"/>
        </w:numPr>
        <w:ind w:left="850" w:hanging="425" w:firstLineChars="0"/>
      </w:pPr>
      <w:r>
        <w:rPr>
          <w:rFonts w:hint="eastAsia"/>
        </w:rPr>
        <w:t>应核实灵活用工人员是否为所服务的企业用户的法定代表人、董事、监事、股东、高管及主要人员；</w:t>
      </w:r>
    </w:p>
    <w:p>
      <w:pPr>
        <w:pStyle w:val="57"/>
        <w:numPr>
          <w:ilvl w:val="0"/>
          <w:numId w:val="36"/>
        </w:numPr>
        <w:ind w:left="850" w:hanging="425" w:firstLineChars="0"/>
      </w:pPr>
      <w:r>
        <w:rPr>
          <w:rFonts w:hint="eastAsia"/>
        </w:rPr>
        <w:t>应核实灵活用工人员是否与所服务的企业用户之间存在劳动关系或劳务关系；</w:t>
      </w:r>
    </w:p>
    <w:p>
      <w:pPr>
        <w:pStyle w:val="57"/>
        <w:numPr>
          <w:ilvl w:val="0"/>
          <w:numId w:val="36"/>
        </w:numPr>
        <w:ind w:left="850" w:hanging="425" w:firstLineChars="0"/>
      </w:pPr>
      <w:r>
        <w:rPr>
          <w:rFonts w:hint="eastAsia"/>
        </w:rPr>
        <w:t>应核实灵活用工人员是否已签署有效的灵活用工人员服务协议；</w:t>
      </w:r>
    </w:p>
    <w:p>
      <w:pPr>
        <w:pStyle w:val="57"/>
        <w:numPr>
          <w:ilvl w:val="0"/>
          <w:numId w:val="36"/>
        </w:numPr>
        <w:ind w:left="850" w:hanging="425" w:firstLineChars="0"/>
      </w:pPr>
      <w:r>
        <w:rPr>
          <w:rFonts w:hint="eastAsia"/>
        </w:rPr>
        <w:t>宜核实灵活用工人员是否为不具备民事能力或不适合从事灵活用工业务的人员，如未成年人员、老人、军人、公职人员等。</w:t>
      </w:r>
    </w:p>
    <w:p>
      <w:pPr>
        <w:pStyle w:val="66"/>
        <w:spacing w:before="156" w:after="156"/>
      </w:pPr>
      <w:r>
        <w:rPr>
          <w:rFonts w:hint="eastAsia"/>
        </w:rPr>
        <w:t>灵活用工业务内容风险</w:t>
      </w:r>
    </w:p>
    <w:p>
      <w:pPr>
        <w:pStyle w:val="57"/>
        <w:ind w:firstLine="420"/>
      </w:pPr>
      <w:r>
        <w:rPr>
          <w:rFonts w:hint="eastAsia"/>
        </w:rPr>
        <w:t>平台应对灵活用工业务内容进行审核及分析，包括但不限于以下方面：</w:t>
      </w:r>
    </w:p>
    <w:p>
      <w:pPr>
        <w:pStyle w:val="57"/>
        <w:numPr>
          <w:ilvl w:val="0"/>
          <w:numId w:val="37"/>
        </w:numPr>
        <w:ind w:left="850" w:hanging="425" w:firstLineChars="0"/>
      </w:pPr>
      <w:r>
        <w:rPr>
          <w:rFonts w:hint="eastAsia"/>
        </w:rPr>
        <w:t>应核实企业用户的灵活用工业务场景信息是否完善，应包含项目描述、用工需求、用工人数、人员要求等信息；</w:t>
      </w:r>
    </w:p>
    <w:p>
      <w:pPr>
        <w:pStyle w:val="57"/>
        <w:numPr>
          <w:ilvl w:val="0"/>
          <w:numId w:val="37"/>
        </w:numPr>
        <w:ind w:left="850" w:hanging="425" w:firstLineChars="0"/>
      </w:pPr>
      <w:r>
        <w:rPr>
          <w:rFonts w:hint="eastAsia"/>
        </w:rPr>
        <w:t>应核实企业用户的灵活用工业务场景信息和发票信息是否相符，如用工需求、结算金额等项目信息与发票税目、发票金额及数量是否一致；</w:t>
      </w:r>
    </w:p>
    <w:p>
      <w:pPr>
        <w:pStyle w:val="57"/>
        <w:numPr>
          <w:ilvl w:val="0"/>
          <w:numId w:val="37"/>
        </w:numPr>
        <w:ind w:left="850" w:hanging="425" w:firstLineChars="0"/>
      </w:pPr>
      <w:r>
        <w:rPr>
          <w:rFonts w:hint="eastAsia"/>
        </w:rPr>
        <w:t>应核实企业用户的业务场景资料是否完善，应包含业务确认单、成果验收单、个人交付物等；</w:t>
      </w:r>
    </w:p>
    <w:p>
      <w:pPr>
        <w:pStyle w:val="57"/>
        <w:numPr>
          <w:ilvl w:val="0"/>
          <w:numId w:val="37"/>
        </w:numPr>
        <w:ind w:left="850" w:hanging="425" w:firstLineChars="0"/>
      </w:pPr>
      <w:r>
        <w:rPr>
          <w:rFonts w:hint="eastAsia"/>
        </w:rPr>
        <w:t>宜评估灵活用工人员的收入信息与承接项目内容是否相符。</w:t>
      </w:r>
    </w:p>
    <w:p>
      <w:pPr>
        <w:pStyle w:val="106"/>
        <w:spacing w:before="156" w:after="156"/>
      </w:pPr>
      <w:bookmarkStart w:id="57" w:name="_Toc114736035"/>
      <w:r>
        <w:rPr>
          <w:rFonts w:hint="eastAsia"/>
        </w:rPr>
        <w:t>风险评价</w:t>
      </w:r>
      <w:bookmarkEnd w:id="57"/>
    </w:p>
    <w:p>
      <w:pPr>
        <w:pStyle w:val="66"/>
        <w:spacing w:before="156" w:after="156"/>
      </w:pPr>
      <w:r>
        <w:rPr>
          <w:rFonts w:hint="eastAsia"/>
        </w:rPr>
        <w:t>评价方法</w:t>
      </w:r>
    </w:p>
    <w:p>
      <w:pPr>
        <w:pStyle w:val="57"/>
        <w:ind w:firstLine="420"/>
      </w:pPr>
      <w:r>
        <w:rPr>
          <w:rFonts w:hint="eastAsia"/>
        </w:rPr>
        <w:t>平台应对灵活用工业务风险管理活动中存在风险进行评价并划分等级，可通过风险事件发生的可能性等级和后果等级进行具体评价。平台的灵活用工业务风险等级宜划分为业务风险</w:t>
      </w:r>
      <w:r>
        <w:t>1</w:t>
      </w:r>
      <w:r>
        <w:rPr>
          <w:rFonts w:hint="eastAsia"/>
        </w:rPr>
        <w:t>级，业务风险</w:t>
      </w:r>
      <w:r>
        <w:t>2</w:t>
      </w:r>
      <w:r>
        <w:rPr>
          <w:rFonts w:hint="eastAsia"/>
        </w:rPr>
        <w:t>级，业务风险</w:t>
      </w:r>
      <w:r>
        <w:t>3</w:t>
      </w:r>
      <w:r>
        <w:rPr>
          <w:rFonts w:hint="eastAsia"/>
        </w:rPr>
        <w:t>级，可参照表1的设定，找到对应风险事件的风险区域；并根据表1中的区域在表2中找到对应的风险等级，以便对应风险等级做出对风险事件的应对策略。</w:t>
      </w:r>
    </w:p>
    <w:p>
      <w:pPr>
        <w:pStyle w:val="57"/>
        <w:ind w:firstLine="0" w:firstLineChars="0"/>
        <w:jc w:val="center"/>
        <w:rPr>
          <w:rFonts w:ascii="黑体" w:hAnsi="黑体" w:eastAsia="黑体"/>
          <w:sz w:val="20"/>
          <w:szCs w:val="18"/>
        </w:rPr>
      </w:pPr>
      <w:r>
        <w:rPr>
          <w:rFonts w:hint="eastAsia" w:ascii="黑体" w:hAnsi="黑体" w:eastAsia="黑体"/>
          <w:sz w:val="20"/>
          <w:szCs w:val="18"/>
        </w:rPr>
        <w:t>表1</w:t>
      </w:r>
      <w:r>
        <w:rPr>
          <w:rFonts w:ascii="黑体" w:hAnsi="黑体" w:eastAsia="黑体"/>
          <w:sz w:val="20"/>
          <w:szCs w:val="18"/>
        </w:rPr>
        <w:t xml:space="preserve"> </w:t>
      </w:r>
      <w:r>
        <w:rPr>
          <w:rFonts w:hint="eastAsia" w:ascii="黑体" w:hAnsi="黑体" w:eastAsia="黑体"/>
          <w:sz w:val="20"/>
          <w:szCs w:val="18"/>
        </w:rPr>
        <w:t>平台业务风险评价矩阵表示例</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57"/>
        <w:gridCol w:w="1557"/>
        <w:gridCol w:w="1557"/>
        <w:gridCol w:w="1557"/>
        <w:gridCol w:w="1558"/>
        <w:gridCol w:w="155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vMerge w:val="restart"/>
            <w:vAlign w:val="center"/>
          </w:tcPr>
          <w:p>
            <w:pPr>
              <w:pStyle w:val="57"/>
              <w:ind w:firstLine="0" w:firstLineChars="0"/>
              <w:jc w:val="center"/>
              <w:rPr>
                <w:rFonts w:hAnsi="宋体"/>
                <w:sz w:val="16"/>
                <w:szCs w:val="16"/>
              </w:rPr>
            </w:pPr>
            <w:r>
              <w:rPr>
                <w:rFonts w:hint="eastAsia" w:hAnsi="宋体"/>
                <w:sz w:val="16"/>
                <w:szCs w:val="16"/>
              </w:rPr>
              <w:t>可能性等级</w:t>
            </w:r>
          </w:p>
        </w:tc>
        <w:tc>
          <w:tcPr>
            <w:tcW w:w="7787" w:type="dxa"/>
            <w:gridSpan w:val="5"/>
          </w:tcPr>
          <w:p>
            <w:pPr>
              <w:pStyle w:val="57"/>
              <w:ind w:firstLine="0" w:firstLineChars="0"/>
              <w:jc w:val="center"/>
              <w:rPr>
                <w:rFonts w:hAnsi="宋体"/>
                <w:sz w:val="16"/>
                <w:szCs w:val="16"/>
              </w:rPr>
            </w:pPr>
            <w:r>
              <w:rPr>
                <w:rFonts w:hint="eastAsia" w:hAnsi="宋体"/>
                <w:sz w:val="16"/>
                <w:szCs w:val="16"/>
              </w:rPr>
              <w:t>后果等级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vMerge w:val="continue"/>
          </w:tcPr>
          <w:p>
            <w:pPr>
              <w:pStyle w:val="57"/>
              <w:ind w:firstLine="0" w:firstLineChars="0"/>
              <w:jc w:val="center"/>
              <w:rPr>
                <w:rFonts w:hAnsi="宋体"/>
                <w:sz w:val="16"/>
                <w:szCs w:val="16"/>
              </w:rPr>
            </w:pPr>
          </w:p>
        </w:tc>
        <w:tc>
          <w:tcPr>
            <w:tcW w:w="1557" w:type="dxa"/>
          </w:tcPr>
          <w:p>
            <w:pPr>
              <w:pStyle w:val="57"/>
              <w:ind w:firstLine="0" w:firstLineChars="0"/>
              <w:jc w:val="center"/>
              <w:rPr>
                <w:rFonts w:hAnsi="宋体"/>
                <w:sz w:val="16"/>
                <w:szCs w:val="16"/>
              </w:rPr>
            </w:pPr>
            <w:r>
              <w:rPr>
                <w:rFonts w:hint="eastAsia" w:hAnsi="宋体"/>
                <w:sz w:val="16"/>
                <w:szCs w:val="16"/>
              </w:rPr>
              <w:t>极低</w:t>
            </w:r>
          </w:p>
          <w:p>
            <w:pPr>
              <w:pStyle w:val="57"/>
              <w:ind w:firstLine="0" w:firstLineChars="0"/>
              <w:jc w:val="center"/>
              <w:rPr>
                <w:rFonts w:hAnsi="宋体"/>
                <w:sz w:val="16"/>
                <w:szCs w:val="16"/>
              </w:rPr>
            </w:pPr>
            <w:r>
              <w:rPr>
                <w:rFonts w:hint="eastAsia" w:hAnsi="宋体"/>
                <w:sz w:val="16"/>
                <w:szCs w:val="16"/>
              </w:rPr>
              <w:t>1</w:t>
            </w:r>
          </w:p>
        </w:tc>
        <w:tc>
          <w:tcPr>
            <w:tcW w:w="1557" w:type="dxa"/>
          </w:tcPr>
          <w:p>
            <w:pPr>
              <w:pStyle w:val="57"/>
              <w:ind w:firstLine="0" w:firstLineChars="0"/>
              <w:jc w:val="center"/>
              <w:rPr>
                <w:rFonts w:hAnsi="宋体"/>
                <w:sz w:val="16"/>
                <w:szCs w:val="16"/>
              </w:rPr>
            </w:pPr>
            <w:r>
              <w:rPr>
                <w:rFonts w:hint="eastAsia" w:hAnsi="宋体"/>
                <w:sz w:val="16"/>
                <w:szCs w:val="16"/>
              </w:rPr>
              <w:t>低</w:t>
            </w:r>
          </w:p>
          <w:p>
            <w:pPr>
              <w:pStyle w:val="57"/>
              <w:ind w:firstLine="0" w:firstLineChars="0"/>
              <w:jc w:val="center"/>
              <w:rPr>
                <w:rFonts w:hAnsi="宋体"/>
                <w:sz w:val="16"/>
                <w:szCs w:val="16"/>
              </w:rPr>
            </w:pPr>
            <w:r>
              <w:rPr>
                <w:rFonts w:hint="eastAsia" w:hAnsi="宋体"/>
                <w:sz w:val="16"/>
                <w:szCs w:val="16"/>
              </w:rPr>
              <w:t>2</w:t>
            </w:r>
          </w:p>
        </w:tc>
        <w:tc>
          <w:tcPr>
            <w:tcW w:w="1557" w:type="dxa"/>
          </w:tcPr>
          <w:p>
            <w:pPr>
              <w:pStyle w:val="57"/>
              <w:ind w:firstLine="0" w:firstLineChars="0"/>
              <w:jc w:val="center"/>
              <w:rPr>
                <w:rFonts w:hAnsi="宋体"/>
                <w:sz w:val="16"/>
                <w:szCs w:val="16"/>
              </w:rPr>
            </w:pPr>
            <w:r>
              <w:rPr>
                <w:rFonts w:hint="eastAsia" w:hAnsi="宋体"/>
                <w:sz w:val="16"/>
                <w:szCs w:val="16"/>
              </w:rPr>
              <w:t>中</w:t>
            </w:r>
          </w:p>
          <w:p>
            <w:pPr>
              <w:pStyle w:val="57"/>
              <w:ind w:firstLine="0" w:firstLineChars="0"/>
              <w:jc w:val="center"/>
              <w:rPr>
                <w:rFonts w:hAnsi="宋体"/>
                <w:sz w:val="16"/>
                <w:szCs w:val="16"/>
              </w:rPr>
            </w:pPr>
            <w:r>
              <w:rPr>
                <w:rFonts w:hint="eastAsia" w:hAnsi="宋体"/>
                <w:sz w:val="16"/>
                <w:szCs w:val="16"/>
              </w:rPr>
              <w:t>3</w:t>
            </w:r>
          </w:p>
        </w:tc>
        <w:tc>
          <w:tcPr>
            <w:tcW w:w="1558" w:type="dxa"/>
          </w:tcPr>
          <w:p>
            <w:pPr>
              <w:pStyle w:val="57"/>
              <w:ind w:firstLine="0" w:firstLineChars="0"/>
              <w:jc w:val="center"/>
              <w:rPr>
                <w:rFonts w:hAnsi="宋体"/>
                <w:sz w:val="16"/>
                <w:szCs w:val="16"/>
              </w:rPr>
            </w:pPr>
            <w:r>
              <w:rPr>
                <w:rFonts w:hint="eastAsia" w:hAnsi="宋体"/>
                <w:sz w:val="16"/>
                <w:szCs w:val="16"/>
              </w:rPr>
              <w:t>高</w:t>
            </w:r>
          </w:p>
          <w:p>
            <w:pPr>
              <w:pStyle w:val="57"/>
              <w:ind w:firstLine="0" w:firstLineChars="0"/>
              <w:jc w:val="center"/>
              <w:rPr>
                <w:rFonts w:hAnsi="宋体"/>
                <w:sz w:val="16"/>
                <w:szCs w:val="16"/>
              </w:rPr>
            </w:pPr>
            <w:r>
              <w:rPr>
                <w:rFonts w:hint="eastAsia" w:hAnsi="宋体"/>
                <w:sz w:val="16"/>
                <w:szCs w:val="16"/>
              </w:rPr>
              <w:t>4</w:t>
            </w:r>
          </w:p>
        </w:tc>
        <w:tc>
          <w:tcPr>
            <w:tcW w:w="1558" w:type="dxa"/>
          </w:tcPr>
          <w:p>
            <w:pPr>
              <w:pStyle w:val="57"/>
              <w:ind w:firstLine="0" w:firstLineChars="0"/>
              <w:jc w:val="center"/>
              <w:rPr>
                <w:rFonts w:hAnsi="宋体"/>
                <w:sz w:val="16"/>
                <w:szCs w:val="16"/>
              </w:rPr>
            </w:pPr>
            <w:r>
              <w:rPr>
                <w:rFonts w:hint="eastAsia" w:hAnsi="宋体"/>
                <w:sz w:val="16"/>
                <w:szCs w:val="16"/>
              </w:rPr>
              <w:t>极高</w:t>
            </w:r>
          </w:p>
          <w:p>
            <w:pPr>
              <w:pStyle w:val="57"/>
              <w:ind w:firstLine="0" w:firstLineChars="0"/>
              <w:jc w:val="center"/>
              <w:rPr>
                <w:rFonts w:hAnsi="宋体"/>
                <w:sz w:val="16"/>
                <w:szCs w:val="16"/>
              </w:rPr>
            </w:pPr>
            <w:r>
              <w:rPr>
                <w:rFonts w:hint="eastAsia" w:hAnsi="宋体"/>
                <w:sz w:val="16"/>
                <w:szCs w:val="16"/>
              </w:rPr>
              <w:t>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tcPr>
          <w:p>
            <w:pPr>
              <w:pStyle w:val="57"/>
              <w:ind w:firstLine="320"/>
              <w:jc w:val="left"/>
              <w:rPr>
                <w:rFonts w:hAnsi="宋体"/>
                <w:sz w:val="16"/>
                <w:szCs w:val="16"/>
              </w:rPr>
            </w:pPr>
            <w:r>
              <w:rPr>
                <w:rFonts w:hint="eastAsia" w:hAnsi="宋体"/>
                <w:sz w:val="16"/>
                <w:szCs w:val="16"/>
              </w:rPr>
              <w:t xml:space="preserve">基本确定 </w:t>
            </w:r>
            <w:r>
              <w:rPr>
                <w:rFonts w:hAnsi="宋体"/>
                <w:sz w:val="16"/>
                <w:szCs w:val="16"/>
              </w:rPr>
              <w:t>5</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5</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0</w:t>
            </w:r>
          </w:p>
        </w:tc>
        <w:tc>
          <w:tcPr>
            <w:tcW w:w="1557" w:type="dxa"/>
            <w:shd w:val="clear" w:color="auto" w:fill="FF00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5</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2</w:t>
            </w:r>
            <w:r>
              <w:rPr>
                <w:rFonts w:hAnsi="宋体"/>
                <w:sz w:val="16"/>
                <w:szCs w:val="16"/>
              </w:rPr>
              <w:t>0</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2</w:t>
            </w:r>
            <w:r>
              <w:rPr>
                <w:rFonts w:hAnsi="宋体"/>
                <w:sz w:val="16"/>
                <w:szCs w:val="16"/>
              </w:rPr>
              <w:t>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tcPr>
          <w:p>
            <w:pPr>
              <w:pStyle w:val="57"/>
              <w:ind w:firstLine="320"/>
              <w:rPr>
                <w:rFonts w:hAnsi="宋体"/>
                <w:sz w:val="16"/>
                <w:szCs w:val="16"/>
              </w:rPr>
            </w:pPr>
            <w:r>
              <w:rPr>
                <w:rFonts w:hint="eastAsia" w:hAnsi="宋体"/>
                <w:sz w:val="16"/>
                <w:szCs w:val="16"/>
              </w:rPr>
              <w:t xml:space="preserve">很可能 </w:t>
            </w:r>
            <w:r>
              <w:rPr>
                <w:rFonts w:hAnsi="宋体"/>
                <w:sz w:val="16"/>
                <w:szCs w:val="16"/>
              </w:rPr>
              <w:t xml:space="preserve">  4</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4</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8</w:t>
            </w:r>
          </w:p>
        </w:tc>
        <w:tc>
          <w:tcPr>
            <w:tcW w:w="1557" w:type="dxa"/>
            <w:shd w:val="clear" w:color="auto" w:fill="FF00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2</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6</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2</w:t>
            </w:r>
            <w:r>
              <w:rPr>
                <w:rFonts w:hAnsi="宋体"/>
                <w:sz w:val="16"/>
                <w:szCs w:val="16"/>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tcPr>
          <w:p>
            <w:pPr>
              <w:pStyle w:val="57"/>
              <w:ind w:firstLine="320"/>
              <w:jc w:val="left"/>
              <w:rPr>
                <w:rFonts w:hAnsi="宋体"/>
                <w:sz w:val="16"/>
                <w:szCs w:val="16"/>
              </w:rPr>
            </w:pPr>
            <w:r>
              <w:rPr>
                <w:rFonts w:hint="eastAsia" w:hAnsi="宋体"/>
                <w:sz w:val="16"/>
                <w:szCs w:val="16"/>
              </w:rPr>
              <w:t xml:space="preserve">有可能 </w:t>
            </w:r>
            <w:r>
              <w:rPr>
                <w:rFonts w:hAnsi="宋体"/>
                <w:sz w:val="16"/>
                <w:szCs w:val="16"/>
              </w:rPr>
              <w:t xml:space="preserve">  3</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3</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6</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9</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2</w:t>
            </w:r>
          </w:p>
        </w:tc>
        <w:tc>
          <w:tcPr>
            <w:tcW w:w="1558" w:type="dxa"/>
            <w:shd w:val="clear" w:color="auto" w:fill="FF00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tcPr>
          <w:p>
            <w:pPr>
              <w:pStyle w:val="57"/>
              <w:ind w:firstLine="320"/>
              <w:jc w:val="left"/>
              <w:rPr>
                <w:rFonts w:hAnsi="宋体"/>
                <w:sz w:val="16"/>
                <w:szCs w:val="16"/>
              </w:rPr>
            </w:pPr>
            <w:r>
              <w:rPr>
                <w:rFonts w:hint="eastAsia" w:hAnsi="宋体"/>
                <w:sz w:val="16"/>
                <w:szCs w:val="16"/>
              </w:rPr>
              <w:t xml:space="preserve">不太可能 </w:t>
            </w:r>
            <w:r>
              <w:rPr>
                <w:rFonts w:hAnsi="宋体"/>
                <w:sz w:val="16"/>
                <w:szCs w:val="16"/>
              </w:rPr>
              <w:t>2</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2</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4</w:t>
            </w:r>
          </w:p>
        </w:tc>
        <w:tc>
          <w:tcPr>
            <w:tcW w:w="1557" w:type="dxa"/>
            <w:shd w:val="clear" w:color="auto" w:fill="FFFF00"/>
          </w:tcPr>
          <w:p>
            <w:pPr>
              <w:pStyle w:val="57"/>
              <w:ind w:firstLine="0" w:firstLineChars="0"/>
              <w:jc w:val="center"/>
              <w:rPr>
                <w:rFonts w:hAnsi="宋体"/>
                <w:sz w:val="16"/>
                <w:szCs w:val="16"/>
              </w:rPr>
            </w:pPr>
            <w:r>
              <w:rPr>
                <w:rFonts w:hint="eastAsia" w:hAnsi="宋体"/>
                <w:sz w:val="16"/>
                <w:szCs w:val="16"/>
              </w:rPr>
              <w:t>6</w:t>
            </w:r>
          </w:p>
        </w:tc>
        <w:tc>
          <w:tcPr>
            <w:tcW w:w="1558" w:type="dxa"/>
            <w:shd w:val="clear" w:color="auto" w:fill="FFFF00"/>
          </w:tcPr>
          <w:p>
            <w:pPr>
              <w:pStyle w:val="57"/>
              <w:ind w:firstLine="0" w:firstLineChars="0"/>
              <w:jc w:val="center"/>
              <w:rPr>
                <w:rFonts w:hAnsi="宋体"/>
                <w:sz w:val="16"/>
                <w:szCs w:val="16"/>
              </w:rPr>
            </w:pPr>
            <w:r>
              <w:rPr>
                <w:rFonts w:hint="eastAsia" w:hAnsi="宋体"/>
                <w:sz w:val="16"/>
                <w:szCs w:val="16"/>
              </w:rPr>
              <w:t>8</w:t>
            </w:r>
          </w:p>
        </w:tc>
        <w:tc>
          <w:tcPr>
            <w:tcW w:w="1558" w:type="dxa"/>
            <w:shd w:val="clear" w:color="auto" w:fill="FFFF00"/>
          </w:tcPr>
          <w:p>
            <w:pPr>
              <w:pStyle w:val="57"/>
              <w:ind w:firstLine="0" w:firstLineChars="0"/>
              <w:jc w:val="center"/>
              <w:rPr>
                <w:rFonts w:hAnsi="宋体"/>
                <w:sz w:val="16"/>
                <w:szCs w:val="16"/>
              </w:rPr>
            </w:pPr>
            <w:r>
              <w:rPr>
                <w:rFonts w:hint="eastAsia" w:hAnsi="宋体"/>
                <w:sz w:val="16"/>
                <w:szCs w:val="16"/>
              </w:rPr>
              <w:t>1</w:t>
            </w:r>
            <w:r>
              <w:rPr>
                <w:rFonts w:hAnsi="宋体"/>
                <w:sz w:val="16"/>
                <w:szCs w:val="16"/>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1557" w:type="dxa"/>
          </w:tcPr>
          <w:p>
            <w:pPr>
              <w:pStyle w:val="57"/>
              <w:ind w:firstLine="320"/>
              <w:jc w:val="left"/>
              <w:rPr>
                <w:rFonts w:hAnsi="宋体"/>
                <w:sz w:val="16"/>
                <w:szCs w:val="16"/>
              </w:rPr>
            </w:pPr>
            <w:r>
              <w:rPr>
                <w:rFonts w:hint="eastAsia" w:hAnsi="宋体"/>
                <w:sz w:val="16"/>
                <w:szCs w:val="16"/>
              </w:rPr>
              <w:t xml:space="preserve">很小 </w:t>
            </w:r>
            <w:r>
              <w:rPr>
                <w:rFonts w:hAnsi="宋体"/>
                <w:sz w:val="16"/>
                <w:szCs w:val="16"/>
              </w:rPr>
              <w:t xml:space="preserve">    1</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1</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2</w:t>
            </w:r>
          </w:p>
        </w:tc>
        <w:tc>
          <w:tcPr>
            <w:tcW w:w="1557"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3</w:t>
            </w:r>
          </w:p>
        </w:tc>
        <w:tc>
          <w:tcPr>
            <w:tcW w:w="1558" w:type="dxa"/>
            <w:shd w:val="clear" w:color="auto" w:fill="A8D08D" w:themeFill="accent6" w:themeFillTint="99"/>
          </w:tcPr>
          <w:p>
            <w:pPr>
              <w:pStyle w:val="57"/>
              <w:ind w:firstLine="0" w:firstLineChars="0"/>
              <w:jc w:val="center"/>
              <w:rPr>
                <w:rFonts w:hAnsi="宋体"/>
                <w:sz w:val="16"/>
                <w:szCs w:val="16"/>
              </w:rPr>
            </w:pPr>
            <w:r>
              <w:rPr>
                <w:rFonts w:hint="eastAsia" w:hAnsi="宋体"/>
                <w:sz w:val="16"/>
                <w:szCs w:val="16"/>
              </w:rPr>
              <w:t>4</w:t>
            </w:r>
          </w:p>
        </w:tc>
        <w:tc>
          <w:tcPr>
            <w:tcW w:w="1558" w:type="dxa"/>
            <w:shd w:val="clear" w:color="auto" w:fill="FFFF00"/>
          </w:tcPr>
          <w:p>
            <w:pPr>
              <w:pStyle w:val="57"/>
              <w:ind w:firstLine="0" w:firstLineChars="0"/>
              <w:jc w:val="center"/>
              <w:rPr>
                <w:rFonts w:hAnsi="宋体"/>
                <w:sz w:val="16"/>
                <w:szCs w:val="16"/>
              </w:rPr>
            </w:pPr>
            <w:r>
              <w:rPr>
                <w:rFonts w:hint="eastAsia" w:hAnsi="宋体"/>
                <w:sz w:val="16"/>
                <w:szCs w:val="16"/>
              </w:rPr>
              <w:t>5</w:t>
            </w:r>
          </w:p>
        </w:tc>
      </w:tr>
    </w:tbl>
    <w:p>
      <w:pPr>
        <w:pStyle w:val="57"/>
        <w:ind w:firstLine="420"/>
      </w:pPr>
      <w:r>
        <w:rPr>
          <w:rFonts w:hint="eastAsia"/>
        </w:rPr>
        <w:t>在业务风险评价矩阵中，红色的颜色区域代表风险问题很严重，属于高危区；黄色的颜色区域代表风险问题其次，绿色的颜色区域代表问题程度要轻一些甚至有些可以忽略，具体如何操作及应对可以根据平台的具体情况而定。</w:t>
      </w:r>
    </w:p>
    <w:p>
      <w:pPr>
        <w:pStyle w:val="57"/>
        <w:ind w:firstLine="0" w:firstLineChars="0"/>
        <w:jc w:val="center"/>
        <w:rPr>
          <w:rFonts w:ascii="黑体" w:hAnsi="黑体" w:eastAsia="黑体"/>
          <w:sz w:val="20"/>
          <w:szCs w:val="18"/>
        </w:rPr>
      </w:pPr>
      <w:r>
        <w:rPr>
          <w:rFonts w:hint="eastAsia" w:ascii="黑体" w:hAnsi="黑体" w:eastAsia="黑体"/>
          <w:sz w:val="20"/>
          <w:szCs w:val="18"/>
        </w:rPr>
        <w:t>表2</w:t>
      </w:r>
      <w:r>
        <w:rPr>
          <w:rFonts w:ascii="黑体" w:hAnsi="黑体" w:eastAsia="黑体"/>
          <w:sz w:val="20"/>
          <w:szCs w:val="18"/>
        </w:rPr>
        <w:t xml:space="preserve"> </w:t>
      </w:r>
      <w:r>
        <w:rPr>
          <w:rFonts w:hint="eastAsia" w:ascii="黑体" w:hAnsi="黑体" w:eastAsia="黑体"/>
          <w:sz w:val="20"/>
          <w:szCs w:val="18"/>
        </w:rPr>
        <w:t>平台业务风险等级表示例</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413"/>
        <w:gridCol w:w="1276"/>
        <w:gridCol w:w="1417"/>
        <w:gridCol w:w="2977"/>
        <w:gridCol w:w="226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1413" w:type="dxa"/>
          </w:tcPr>
          <w:p>
            <w:pPr>
              <w:pStyle w:val="57"/>
              <w:ind w:firstLine="0" w:firstLineChars="0"/>
              <w:jc w:val="center"/>
              <w:rPr>
                <w:sz w:val="18"/>
                <w:szCs w:val="16"/>
              </w:rPr>
            </w:pPr>
            <w:r>
              <w:rPr>
                <w:rFonts w:hint="eastAsia"/>
                <w:sz w:val="18"/>
                <w:szCs w:val="16"/>
              </w:rPr>
              <w:t>业务风险等级</w:t>
            </w:r>
          </w:p>
        </w:tc>
        <w:tc>
          <w:tcPr>
            <w:tcW w:w="1276" w:type="dxa"/>
          </w:tcPr>
          <w:p>
            <w:pPr>
              <w:pStyle w:val="57"/>
              <w:ind w:firstLine="0" w:firstLineChars="0"/>
              <w:jc w:val="center"/>
              <w:rPr>
                <w:sz w:val="18"/>
                <w:szCs w:val="16"/>
              </w:rPr>
            </w:pPr>
            <w:r>
              <w:rPr>
                <w:rFonts w:hint="eastAsia"/>
                <w:sz w:val="18"/>
                <w:szCs w:val="16"/>
              </w:rPr>
              <w:t>风险程度</w:t>
            </w:r>
          </w:p>
        </w:tc>
        <w:tc>
          <w:tcPr>
            <w:tcW w:w="1417" w:type="dxa"/>
          </w:tcPr>
          <w:p>
            <w:pPr>
              <w:pStyle w:val="57"/>
              <w:ind w:firstLine="0" w:firstLineChars="0"/>
              <w:jc w:val="center"/>
              <w:rPr>
                <w:sz w:val="18"/>
                <w:szCs w:val="16"/>
              </w:rPr>
            </w:pPr>
            <w:r>
              <w:rPr>
                <w:rFonts w:hint="eastAsia"/>
                <w:sz w:val="18"/>
                <w:szCs w:val="16"/>
              </w:rPr>
              <w:t>分值</w:t>
            </w:r>
          </w:p>
        </w:tc>
        <w:tc>
          <w:tcPr>
            <w:tcW w:w="2977" w:type="dxa"/>
          </w:tcPr>
          <w:p>
            <w:pPr>
              <w:pStyle w:val="57"/>
              <w:ind w:firstLine="0" w:firstLineChars="0"/>
              <w:jc w:val="center"/>
              <w:rPr>
                <w:sz w:val="18"/>
                <w:szCs w:val="16"/>
              </w:rPr>
            </w:pPr>
            <w:r>
              <w:rPr>
                <w:rFonts w:hint="eastAsia"/>
                <w:sz w:val="18"/>
                <w:szCs w:val="16"/>
              </w:rPr>
              <w:t>说明</w:t>
            </w:r>
          </w:p>
        </w:tc>
        <w:tc>
          <w:tcPr>
            <w:tcW w:w="2261" w:type="dxa"/>
          </w:tcPr>
          <w:p>
            <w:pPr>
              <w:pStyle w:val="57"/>
              <w:ind w:firstLine="0" w:firstLineChars="0"/>
              <w:jc w:val="center"/>
              <w:rPr>
                <w:sz w:val="18"/>
                <w:szCs w:val="16"/>
              </w:rPr>
            </w:pPr>
            <w:r>
              <w:rPr>
                <w:rFonts w:hint="eastAsia"/>
                <w:sz w:val="18"/>
                <w:szCs w:val="16"/>
              </w:rPr>
              <w:t>处置措施</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jc w:val="center"/>
        </w:trPr>
        <w:tc>
          <w:tcPr>
            <w:tcW w:w="1413" w:type="dxa"/>
            <w:vAlign w:val="center"/>
          </w:tcPr>
          <w:p>
            <w:pPr>
              <w:pStyle w:val="57"/>
              <w:ind w:firstLine="0" w:firstLineChars="0"/>
              <w:jc w:val="center"/>
              <w:rPr>
                <w:sz w:val="18"/>
                <w:szCs w:val="16"/>
              </w:rPr>
            </w:pPr>
            <w:r>
              <w:rPr>
                <w:rFonts w:hint="eastAsia"/>
                <w:sz w:val="18"/>
                <w:szCs w:val="16"/>
              </w:rPr>
              <w:t>1</w:t>
            </w:r>
          </w:p>
        </w:tc>
        <w:tc>
          <w:tcPr>
            <w:tcW w:w="1276" w:type="dxa"/>
            <w:vAlign w:val="center"/>
          </w:tcPr>
          <w:p>
            <w:pPr>
              <w:pStyle w:val="57"/>
              <w:ind w:firstLine="0" w:firstLineChars="0"/>
              <w:jc w:val="center"/>
              <w:rPr>
                <w:sz w:val="18"/>
                <w:szCs w:val="16"/>
              </w:rPr>
            </w:pPr>
            <w:r>
              <w:rPr>
                <w:rFonts w:hint="eastAsia"/>
                <w:sz w:val="18"/>
                <w:szCs w:val="16"/>
              </w:rPr>
              <w:t>低度</w:t>
            </w:r>
          </w:p>
        </w:tc>
        <w:tc>
          <w:tcPr>
            <w:tcW w:w="1417" w:type="dxa"/>
            <w:vAlign w:val="center"/>
          </w:tcPr>
          <w:p>
            <w:pPr>
              <w:pStyle w:val="57"/>
              <w:ind w:firstLine="0" w:firstLineChars="0"/>
              <w:jc w:val="center"/>
              <w:rPr>
                <w:sz w:val="18"/>
                <w:szCs w:val="16"/>
              </w:rPr>
            </w:pPr>
            <w:r>
              <w:rPr>
                <w:rFonts w:hint="eastAsia"/>
                <w:sz w:val="18"/>
                <w:szCs w:val="16"/>
              </w:rPr>
              <w:t>1</w:t>
            </w:r>
            <w:r>
              <w:rPr>
                <w:sz w:val="18"/>
                <w:szCs w:val="16"/>
              </w:rPr>
              <w:t xml:space="preserve"> - 4</w:t>
            </w:r>
          </w:p>
        </w:tc>
        <w:tc>
          <w:tcPr>
            <w:tcW w:w="2977" w:type="dxa"/>
            <w:vAlign w:val="center"/>
          </w:tcPr>
          <w:p>
            <w:pPr>
              <w:pStyle w:val="57"/>
              <w:ind w:firstLine="0" w:firstLineChars="0"/>
              <w:jc w:val="left"/>
              <w:rPr>
                <w:sz w:val="18"/>
                <w:szCs w:val="16"/>
              </w:rPr>
            </w:pPr>
            <w:r>
              <w:rPr>
                <w:rFonts w:hint="eastAsia"/>
                <w:sz w:val="18"/>
                <w:szCs w:val="16"/>
              </w:rPr>
              <w:t>风险小，一般不需要重点关注</w:t>
            </w:r>
          </w:p>
        </w:tc>
        <w:tc>
          <w:tcPr>
            <w:tcW w:w="2261" w:type="dxa"/>
            <w:vAlign w:val="center"/>
          </w:tcPr>
          <w:p>
            <w:pPr>
              <w:pStyle w:val="57"/>
              <w:ind w:firstLine="0" w:firstLineChars="0"/>
              <w:jc w:val="left"/>
              <w:rPr>
                <w:sz w:val="18"/>
                <w:szCs w:val="16"/>
              </w:rPr>
            </w:pPr>
            <w:r>
              <w:rPr>
                <w:rFonts w:hint="eastAsia"/>
                <w:sz w:val="18"/>
                <w:szCs w:val="16"/>
              </w:rPr>
              <w:t>应进一步核实情况或忽略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1413" w:type="dxa"/>
            <w:vAlign w:val="center"/>
          </w:tcPr>
          <w:p>
            <w:pPr>
              <w:pStyle w:val="57"/>
              <w:ind w:firstLine="0" w:firstLineChars="0"/>
              <w:jc w:val="center"/>
              <w:rPr>
                <w:sz w:val="18"/>
                <w:szCs w:val="16"/>
              </w:rPr>
            </w:pPr>
            <w:r>
              <w:rPr>
                <w:rFonts w:hint="eastAsia"/>
                <w:sz w:val="18"/>
                <w:szCs w:val="16"/>
              </w:rPr>
              <w:t>2</w:t>
            </w:r>
          </w:p>
        </w:tc>
        <w:tc>
          <w:tcPr>
            <w:tcW w:w="1276" w:type="dxa"/>
            <w:vAlign w:val="center"/>
          </w:tcPr>
          <w:p>
            <w:pPr>
              <w:pStyle w:val="57"/>
              <w:ind w:firstLine="0" w:firstLineChars="0"/>
              <w:jc w:val="center"/>
              <w:rPr>
                <w:sz w:val="18"/>
                <w:szCs w:val="16"/>
              </w:rPr>
            </w:pPr>
            <w:r>
              <w:rPr>
                <w:rFonts w:hint="eastAsia"/>
                <w:sz w:val="18"/>
                <w:szCs w:val="16"/>
              </w:rPr>
              <w:t>中度</w:t>
            </w:r>
          </w:p>
        </w:tc>
        <w:tc>
          <w:tcPr>
            <w:tcW w:w="1417" w:type="dxa"/>
            <w:vAlign w:val="center"/>
          </w:tcPr>
          <w:p>
            <w:pPr>
              <w:pStyle w:val="57"/>
              <w:ind w:firstLine="0" w:firstLineChars="0"/>
              <w:jc w:val="center"/>
              <w:rPr>
                <w:sz w:val="18"/>
                <w:szCs w:val="16"/>
              </w:rPr>
            </w:pPr>
            <w:r>
              <w:rPr>
                <w:sz w:val="18"/>
                <w:szCs w:val="16"/>
              </w:rPr>
              <w:t>5 – 10</w:t>
            </w:r>
          </w:p>
        </w:tc>
        <w:tc>
          <w:tcPr>
            <w:tcW w:w="2977" w:type="dxa"/>
            <w:vAlign w:val="center"/>
          </w:tcPr>
          <w:p>
            <w:pPr>
              <w:pStyle w:val="57"/>
              <w:ind w:firstLine="0" w:firstLineChars="0"/>
              <w:jc w:val="left"/>
              <w:rPr>
                <w:sz w:val="18"/>
                <w:szCs w:val="16"/>
              </w:rPr>
            </w:pPr>
            <w:r>
              <w:rPr>
                <w:rFonts w:hint="eastAsia"/>
                <w:sz w:val="18"/>
                <w:szCs w:val="16"/>
              </w:rPr>
              <w:t>风险中，需要引起一般关注</w:t>
            </w:r>
          </w:p>
        </w:tc>
        <w:tc>
          <w:tcPr>
            <w:tcW w:w="2261" w:type="dxa"/>
            <w:vAlign w:val="center"/>
          </w:tcPr>
          <w:p>
            <w:pPr>
              <w:pStyle w:val="57"/>
              <w:ind w:firstLine="0" w:firstLineChars="0"/>
              <w:jc w:val="left"/>
              <w:rPr>
                <w:sz w:val="18"/>
                <w:szCs w:val="16"/>
              </w:rPr>
            </w:pPr>
            <w:r>
              <w:rPr>
                <w:rFonts w:hint="eastAsia"/>
                <w:sz w:val="18"/>
                <w:szCs w:val="16"/>
              </w:rPr>
              <w:t>应立即进行能力限制、流程调整乃至停止服务或流程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1413" w:type="dxa"/>
            <w:vAlign w:val="center"/>
          </w:tcPr>
          <w:p>
            <w:pPr>
              <w:pStyle w:val="57"/>
              <w:ind w:firstLine="0" w:firstLineChars="0"/>
              <w:jc w:val="center"/>
              <w:rPr>
                <w:sz w:val="18"/>
                <w:szCs w:val="16"/>
              </w:rPr>
            </w:pPr>
            <w:r>
              <w:rPr>
                <w:rFonts w:hint="eastAsia"/>
                <w:sz w:val="18"/>
                <w:szCs w:val="16"/>
              </w:rPr>
              <w:t>3</w:t>
            </w:r>
          </w:p>
        </w:tc>
        <w:tc>
          <w:tcPr>
            <w:tcW w:w="1276" w:type="dxa"/>
            <w:vAlign w:val="center"/>
          </w:tcPr>
          <w:p>
            <w:pPr>
              <w:pStyle w:val="57"/>
              <w:ind w:firstLine="0" w:firstLineChars="0"/>
              <w:jc w:val="center"/>
              <w:rPr>
                <w:sz w:val="18"/>
                <w:szCs w:val="16"/>
              </w:rPr>
            </w:pPr>
            <w:r>
              <w:rPr>
                <w:rFonts w:hint="eastAsia"/>
                <w:sz w:val="18"/>
                <w:szCs w:val="16"/>
              </w:rPr>
              <w:t>高度</w:t>
            </w:r>
          </w:p>
        </w:tc>
        <w:tc>
          <w:tcPr>
            <w:tcW w:w="1417" w:type="dxa"/>
            <w:vAlign w:val="center"/>
          </w:tcPr>
          <w:p>
            <w:pPr>
              <w:pStyle w:val="57"/>
              <w:ind w:firstLine="0" w:firstLineChars="0"/>
              <w:jc w:val="center"/>
              <w:rPr>
                <w:sz w:val="18"/>
                <w:szCs w:val="16"/>
              </w:rPr>
            </w:pPr>
            <w:r>
              <w:rPr>
                <w:sz w:val="18"/>
                <w:szCs w:val="16"/>
              </w:rPr>
              <w:t>12 – 25</w:t>
            </w:r>
          </w:p>
        </w:tc>
        <w:tc>
          <w:tcPr>
            <w:tcW w:w="2977" w:type="dxa"/>
            <w:vAlign w:val="center"/>
          </w:tcPr>
          <w:p>
            <w:pPr>
              <w:pStyle w:val="57"/>
              <w:ind w:firstLine="0" w:firstLineChars="0"/>
              <w:jc w:val="left"/>
              <w:rPr>
                <w:sz w:val="18"/>
                <w:szCs w:val="16"/>
              </w:rPr>
            </w:pPr>
            <w:r>
              <w:rPr>
                <w:rFonts w:hint="eastAsia"/>
                <w:sz w:val="18"/>
                <w:szCs w:val="16"/>
              </w:rPr>
              <w:t>风险大，需要引起极大关注</w:t>
            </w:r>
          </w:p>
        </w:tc>
        <w:tc>
          <w:tcPr>
            <w:tcW w:w="2261" w:type="dxa"/>
            <w:vAlign w:val="center"/>
          </w:tcPr>
          <w:p>
            <w:pPr>
              <w:pStyle w:val="57"/>
              <w:ind w:firstLine="0" w:firstLineChars="0"/>
              <w:jc w:val="left"/>
              <w:rPr>
                <w:sz w:val="18"/>
                <w:szCs w:val="16"/>
              </w:rPr>
            </w:pPr>
            <w:r>
              <w:rPr>
                <w:rFonts w:hint="eastAsia"/>
                <w:sz w:val="18"/>
                <w:szCs w:val="16"/>
              </w:rPr>
              <w:t>应立即停止服务及流程并进行信息上报</w:t>
            </w:r>
          </w:p>
        </w:tc>
      </w:tr>
    </w:tbl>
    <w:p>
      <w:pPr>
        <w:pStyle w:val="175"/>
        <w:numPr>
          <w:ilvl w:val="0"/>
          <w:numId w:val="0"/>
        </w:numPr>
      </w:pPr>
    </w:p>
    <w:p>
      <w:pPr>
        <w:pStyle w:val="106"/>
        <w:spacing w:before="156" w:after="156"/>
      </w:pPr>
      <w:bookmarkStart w:id="58" w:name="_Toc114736036"/>
      <w:r>
        <w:rPr>
          <w:rFonts w:hint="eastAsia"/>
        </w:rPr>
        <w:t>风险处置</w:t>
      </w:r>
      <w:bookmarkEnd w:id="58"/>
    </w:p>
    <w:p>
      <w:pPr>
        <w:pStyle w:val="66"/>
        <w:spacing w:before="156" w:after="156"/>
      </w:pPr>
      <w:r>
        <w:rPr>
          <w:rFonts w:hint="eastAsia"/>
        </w:rPr>
        <w:t>风险处置措施</w:t>
      </w:r>
    </w:p>
    <w:p>
      <w:pPr>
        <w:pStyle w:val="57"/>
        <w:ind w:firstLine="420"/>
      </w:pPr>
      <w:r>
        <w:rPr>
          <w:rFonts w:hint="eastAsia"/>
        </w:rPr>
        <w:t>平台应根据风险评价的结果制定分级处置措施，应包括但不限于风险预警、重点关注、核实信息、通知整改、限制能力、停止服务和信息上报等。</w:t>
      </w:r>
    </w:p>
    <w:p>
      <w:pPr>
        <w:pStyle w:val="66"/>
        <w:spacing w:before="156" w:after="156"/>
      </w:pPr>
      <w:r>
        <w:rPr>
          <w:rFonts w:hint="eastAsia"/>
        </w:rPr>
        <w:t>风险监督和检查</w:t>
      </w:r>
    </w:p>
    <w:p>
      <w:pPr>
        <w:pStyle w:val="57"/>
        <w:ind w:firstLine="420"/>
      </w:pPr>
      <w:r>
        <w:rPr>
          <w:rFonts w:hint="eastAsia"/>
        </w:rPr>
        <w:t xml:space="preserve">平台对于灵活用工业务风险的监督和检查除应符合GB/T </w:t>
      </w:r>
      <w:r>
        <w:t>26317</w:t>
      </w:r>
      <w:r>
        <w:rPr>
          <w:rFonts w:hint="eastAsia"/>
        </w:rPr>
        <w:t>—20</w:t>
      </w:r>
      <w:r>
        <w:t>10</w:t>
      </w:r>
      <w:r>
        <w:rPr>
          <w:rFonts w:hint="eastAsia"/>
        </w:rPr>
        <w:t>的要求外，还应包括但不限于以下方面：</w:t>
      </w:r>
    </w:p>
    <w:p>
      <w:pPr>
        <w:pStyle w:val="175"/>
        <w:numPr>
          <w:ilvl w:val="0"/>
          <w:numId w:val="38"/>
        </w:numPr>
        <w:ind w:left="850" w:hanging="425"/>
      </w:pPr>
      <w:r>
        <w:rPr>
          <w:rFonts w:hint="eastAsia"/>
        </w:rPr>
        <w:t>监测、分析风险的变化和发展趋势；</w:t>
      </w:r>
    </w:p>
    <w:p>
      <w:pPr>
        <w:pStyle w:val="175"/>
        <w:numPr>
          <w:ilvl w:val="0"/>
          <w:numId w:val="38"/>
        </w:numPr>
        <w:ind w:left="850" w:hanging="425"/>
      </w:pPr>
      <w:r>
        <w:rPr>
          <w:rFonts w:hint="eastAsia"/>
        </w:rPr>
        <w:t>持续关注内外部环境的变化，如法律法规、相关政策的出台和变化；</w:t>
      </w:r>
    </w:p>
    <w:p>
      <w:pPr>
        <w:pStyle w:val="175"/>
        <w:numPr>
          <w:ilvl w:val="0"/>
          <w:numId w:val="38"/>
        </w:numPr>
        <w:ind w:left="850" w:hanging="425"/>
      </w:pPr>
      <w:r>
        <w:rPr>
          <w:rFonts w:hint="eastAsia"/>
        </w:rPr>
        <w:t>定期分析和总结历史发生的风险事件，并及时更新修订灵活用工业务风险管理策略。</w:t>
      </w:r>
    </w:p>
    <w:p>
      <w:pPr>
        <w:pStyle w:val="105"/>
        <w:spacing w:before="312" w:after="312"/>
      </w:pPr>
      <w:bookmarkStart w:id="59" w:name="_Toc114736037"/>
      <w:r>
        <w:rPr>
          <w:rFonts w:hint="eastAsia"/>
        </w:rPr>
        <w:t>灵活用工业务风险管理系统</w:t>
      </w:r>
      <w:bookmarkEnd w:id="59"/>
    </w:p>
    <w:p>
      <w:pPr>
        <w:pStyle w:val="106"/>
        <w:spacing w:before="156" w:after="156"/>
      </w:pPr>
      <w:bookmarkStart w:id="60" w:name="_Toc114736038"/>
      <w:r>
        <w:rPr>
          <w:rFonts w:hint="eastAsia"/>
        </w:rPr>
        <w:t>一般要求</w:t>
      </w:r>
      <w:bookmarkEnd w:id="60"/>
    </w:p>
    <w:p>
      <w:pPr>
        <w:pStyle w:val="57"/>
        <w:ind w:firstLine="420"/>
      </w:pPr>
      <w:r>
        <w:rPr>
          <w:rFonts w:hint="eastAsia"/>
        </w:rPr>
        <w:t xml:space="preserve">平台的灵活用工业务风险管理系统除应符合DB43/T </w:t>
      </w:r>
      <w:r>
        <w:t>2287</w:t>
      </w:r>
      <w:r>
        <w:rPr>
          <w:rFonts w:hint="eastAsia"/>
        </w:rPr>
        <w:t>—202</w:t>
      </w:r>
      <w:r>
        <w:t>2</w:t>
      </w:r>
      <w:r>
        <w:rPr>
          <w:rFonts w:hint="eastAsia"/>
        </w:rPr>
        <w:t>的要求以外，还应满足一定的功能要求和流程要求。</w:t>
      </w:r>
    </w:p>
    <w:p>
      <w:pPr>
        <w:pStyle w:val="106"/>
        <w:spacing w:before="156" w:after="156"/>
      </w:pPr>
      <w:bookmarkStart w:id="61" w:name="_Toc114736039"/>
      <w:r>
        <w:rPr>
          <w:rFonts w:hint="eastAsia"/>
        </w:rPr>
        <w:t>功能要求</w:t>
      </w:r>
      <w:bookmarkEnd w:id="61"/>
    </w:p>
    <w:p>
      <w:pPr>
        <w:pStyle w:val="66"/>
        <w:spacing w:before="156" w:after="156"/>
      </w:pPr>
      <w:r>
        <w:rPr>
          <w:rFonts w:hint="eastAsia"/>
        </w:rPr>
        <w:t>灵活用工人员信息实名认证</w:t>
      </w:r>
    </w:p>
    <w:p>
      <w:pPr>
        <w:pStyle w:val="57"/>
        <w:ind w:firstLine="420"/>
      </w:pPr>
      <w:r>
        <w:rPr>
          <w:rFonts w:hint="eastAsia"/>
        </w:rPr>
        <w:t>平台应具备对于灵活用工人员的实名认证功能，包括但不限于对于灵活用工人员生物特征的核验功能、证件图片的机器核验功能、身份信息核验功能，宜在合法授权范围内同第三方数据进行比对校验以提高数据准确性。</w:t>
      </w:r>
    </w:p>
    <w:p>
      <w:pPr>
        <w:pStyle w:val="66"/>
        <w:spacing w:before="156" w:after="156"/>
      </w:pPr>
      <w:r>
        <w:rPr>
          <w:rFonts w:hint="eastAsia"/>
        </w:rPr>
        <w:t>企业用户信息实名认证</w:t>
      </w:r>
    </w:p>
    <w:p>
      <w:pPr>
        <w:pStyle w:val="57"/>
        <w:ind w:firstLine="420"/>
      </w:pPr>
      <w:r>
        <w:rPr>
          <w:rFonts w:hint="eastAsia"/>
        </w:rPr>
        <w:t>平台应具备对于企业用户的实名认证功能，可与第三方大数据核验服务商对接（包括但不限于国家企业征信公示系统、企查查、天眼查、启信宝等）对企业用户信息进行认证，包括但不限于企业的资质信息、营业执照、实际控制人信息、主要人员及股东信息等。</w:t>
      </w:r>
    </w:p>
    <w:p>
      <w:pPr>
        <w:pStyle w:val="66"/>
        <w:spacing w:before="156" w:after="156"/>
      </w:pPr>
      <w:r>
        <w:rPr>
          <w:rFonts w:hint="eastAsia"/>
        </w:rPr>
        <w:t>黑名单管理</w:t>
      </w:r>
    </w:p>
    <w:p>
      <w:pPr>
        <w:pStyle w:val="57"/>
        <w:ind w:firstLine="420"/>
      </w:pPr>
      <w:r>
        <w:rPr>
          <w:rFonts w:hint="eastAsia"/>
        </w:rPr>
        <w:t>平台应具备对于企业用户和灵活用工人员的黑名单管理功能，应支持加入名单、名单标注、移出名单等功能。</w:t>
      </w:r>
    </w:p>
    <w:p>
      <w:pPr>
        <w:pStyle w:val="66"/>
        <w:spacing w:before="156" w:after="156"/>
      </w:pPr>
      <w:r>
        <w:rPr>
          <w:rFonts w:hint="eastAsia"/>
        </w:rPr>
        <w:t>董监高管理</w:t>
      </w:r>
    </w:p>
    <w:p>
      <w:pPr>
        <w:pStyle w:val="57"/>
        <w:ind w:firstLine="420"/>
      </w:pPr>
      <w:r>
        <w:rPr>
          <w:rFonts w:hint="eastAsia"/>
        </w:rPr>
        <w:t>平台应具备对于企业用户的法定代表人、董事、监事、股东、高管及主要人员信息的采集和储存功能，并形成企业用户的“董监高”名单。平台在</w:t>
      </w:r>
      <w:bookmarkStart w:id="62" w:name="OLE_LINK3"/>
      <w:bookmarkStart w:id="63" w:name="OLE_LINK4"/>
      <w:r>
        <w:rPr>
          <w:rFonts w:hint="eastAsia"/>
        </w:rPr>
        <w:t>灵活用工人员</w:t>
      </w:r>
      <w:bookmarkEnd w:id="62"/>
      <w:bookmarkEnd w:id="63"/>
      <w:r>
        <w:rPr>
          <w:rFonts w:hint="eastAsia"/>
        </w:rPr>
        <w:t>进行签约、接包、结算、完税等业务操作时，应对于企业用户信息和灵活用工人员信息进行比对核验，在符合“董监高”名单特征识别时应采取限制服务及其他风险处置措施。</w:t>
      </w:r>
    </w:p>
    <w:p>
      <w:pPr>
        <w:pStyle w:val="66"/>
        <w:spacing w:before="156" w:after="156"/>
      </w:pPr>
      <w:r>
        <w:rPr>
          <w:rFonts w:hint="eastAsia"/>
        </w:rPr>
        <w:t>个人限额限笔管理</w:t>
      </w:r>
    </w:p>
    <w:p>
      <w:pPr>
        <w:pStyle w:val="57"/>
        <w:ind w:firstLine="420"/>
      </w:pPr>
      <w:r>
        <w:rPr>
          <w:rFonts w:hint="eastAsia"/>
        </w:rPr>
        <w:t>平台应具备对于灵活用工人员收入的额度和笔数进行限制管理的功能，包括但不限于按笔、日、周、月、季度、年、连续十二个月份等不同时间维度对收入额度和笔数进行限制。</w:t>
      </w:r>
    </w:p>
    <w:p>
      <w:pPr>
        <w:pStyle w:val="66"/>
        <w:spacing w:before="156" w:after="156"/>
      </w:pPr>
      <w:r>
        <w:rPr>
          <w:rFonts w:hint="eastAsia"/>
        </w:rPr>
        <w:t>企业限额限笔管理</w:t>
      </w:r>
    </w:p>
    <w:p>
      <w:pPr>
        <w:pStyle w:val="57"/>
        <w:ind w:firstLine="420"/>
      </w:pPr>
      <w:r>
        <w:rPr>
          <w:rFonts w:hint="eastAsia"/>
        </w:rPr>
        <w:t>平台应具备对于企业用户付款的额度和笔数进行限制管理的功能，包括但不限于按日、周、月、季度、年等不同时间维度对付款额度和笔数进行限制。</w:t>
      </w:r>
    </w:p>
    <w:p>
      <w:pPr>
        <w:pStyle w:val="66"/>
        <w:spacing w:before="156" w:after="156"/>
      </w:pPr>
      <w:r>
        <w:rPr>
          <w:rFonts w:hint="eastAsia"/>
        </w:rPr>
        <w:t>异常交易管理</w:t>
      </w:r>
    </w:p>
    <w:p>
      <w:pPr>
        <w:pStyle w:val="57"/>
        <w:ind w:firstLine="420"/>
      </w:pPr>
      <w:r>
        <w:rPr>
          <w:rFonts w:hint="eastAsia"/>
        </w:rPr>
        <w:t>平台应具备对于企业用户和灵活用工人员之间异常交易情况的识别及管理功能，包括特殊金额（如整数金额）、特殊交易时间（如2</w:t>
      </w:r>
      <w:r>
        <w:t>3</w:t>
      </w:r>
      <w:r>
        <w:rPr>
          <w:rFonts w:hint="eastAsia"/>
        </w:rPr>
        <w:t>点至次日</w:t>
      </w:r>
      <w:r>
        <w:t>5</w:t>
      </w:r>
      <w:r>
        <w:rPr>
          <w:rFonts w:hint="eastAsia"/>
        </w:rPr>
        <w:t>点）、单个付款批次内付款金额高度一致等，对于异常交易情况应及时核实业务场景后采取对应的风险处置措施。</w:t>
      </w:r>
    </w:p>
    <w:p>
      <w:pPr>
        <w:pStyle w:val="66"/>
        <w:spacing w:before="156" w:after="156"/>
      </w:pPr>
      <w:r>
        <w:rPr>
          <w:rFonts w:hint="eastAsia"/>
        </w:rPr>
        <w:t>年龄限制管理</w:t>
      </w:r>
    </w:p>
    <w:p>
      <w:pPr>
        <w:pStyle w:val="57"/>
        <w:ind w:firstLine="420"/>
      </w:pPr>
      <w:r>
        <w:rPr>
          <w:rFonts w:hint="eastAsia"/>
        </w:rPr>
        <w:t>平台应具备对于灵活用工人员年龄的识别及限制功能，包括对于灵活用工人员年龄设置阈值范围（如1</w:t>
      </w:r>
      <w:r>
        <w:t>8</w:t>
      </w:r>
      <w:r>
        <w:rPr>
          <w:rFonts w:hint="eastAsia"/>
        </w:rPr>
        <w:t>至6</w:t>
      </w:r>
      <w:r>
        <w:t>5</w:t>
      </w:r>
      <w:r>
        <w:rPr>
          <w:rFonts w:hint="eastAsia"/>
        </w:rPr>
        <w:t>周岁），对于超出阈值范围的业务操作，包括但不限于注册、签约、接包、申报收入、上传完工记录等采取警示或拦截操作；宜支持对于众包项目进行年龄阈值设置，并对超出阈值范围的业务操作采取警示或拦截操作。</w:t>
      </w:r>
    </w:p>
    <w:p>
      <w:pPr>
        <w:pStyle w:val="66"/>
        <w:spacing w:before="156" w:after="156"/>
      </w:pPr>
      <w:r>
        <w:rPr>
          <w:rFonts w:hint="eastAsia"/>
        </w:rPr>
        <w:t>可信第三方风险控制评估管理</w:t>
      </w:r>
    </w:p>
    <w:p>
      <w:pPr>
        <w:pStyle w:val="57"/>
        <w:ind w:firstLine="420"/>
      </w:pPr>
      <w:r>
        <w:rPr>
          <w:rFonts w:hint="eastAsia"/>
        </w:rPr>
        <w:t>平台宜通过对接可信第三方风险控制评估服务（如蚂蚁金服的“零工盾”预警及监控系统）对已识别的风险事件进行核验，并通过数据比对、电话回访、资料收集等方式进一步核实信息以及实施进一步风险处置措施。</w:t>
      </w:r>
    </w:p>
    <w:p>
      <w:pPr>
        <w:pStyle w:val="106"/>
        <w:spacing w:before="156" w:after="156"/>
      </w:pPr>
      <w:bookmarkStart w:id="64" w:name="_Toc114736040"/>
      <w:r>
        <w:rPr>
          <w:rFonts w:hint="eastAsia"/>
        </w:rPr>
        <w:t>流程要求</w:t>
      </w:r>
      <w:bookmarkEnd w:id="64"/>
    </w:p>
    <w:bookmarkEnd w:id="24"/>
    <w:p>
      <w:pPr>
        <w:pStyle w:val="66"/>
        <w:spacing w:before="156" w:after="156"/>
      </w:pPr>
      <w:bookmarkStart w:id="65" w:name="BookMark6"/>
      <w:r>
        <w:rPr>
          <w:rFonts w:hint="eastAsia"/>
        </w:rPr>
        <w:t>企业用户入网审核</w:t>
      </w:r>
    </w:p>
    <w:p>
      <w:pPr>
        <w:pStyle w:val="163"/>
        <w:numPr>
          <w:ilvl w:val="0"/>
          <w:numId w:val="0"/>
        </w:numPr>
        <w:ind w:firstLine="420" w:firstLineChars="200"/>
      </w:pPr>
      <w:r>
        <w:rPr>
          <w:rFonts w:hint="eastAsia"/>
        </w:rPr>
        <w:t>平台应具备对于企业用户的准入审核机制和资质管理流程，应包括但不限于以下方面：</w:t>
      </w:r>
    </w:p>
    <w:p>
      <w:pPr>
        <w:pStyle w:val="163"/>
        <w:numPr>
          <w:ilvl w:val="0"/>
          <w:numId w:val="39"/>
        </w:numPr>
      </w:pPr>
      <w:r>
        <w:rPr>
          <w:rFonts w:hint="eastAsia"/>
        </w:rPr>
        <w:t>企业资质影印资料、经营范围、营业执照有效期、实际控制人等基本信息；</w:t>
      </w:r>
    </w:p>
    <w:p>
      <w:pPr>
        <w:pStyle w:val="163"/>
        <w:numPr>
          <w:ilvl w:val="0"/>
          <w:numId w:val="39"/>
        </w:numPr>
      </w:pPr>
      <w:r>
        <w:rPr>
          <w:rFonts w:hint="eastAsia"/>
        </w:rPr>
        <w:t>企业主营业务范围、近一年主营业务营收情况、所处行业及市场份额等经营信息；</w:t>
      </w:r>
    </w:p>
    <w:p>
      <w:pPr>
        <w:pStyle w:val="163"/>
        <w:numPr>
          <w:ilvl w:val="0"/>
          <w:numId w:val="39"/>
        </w:numPr>
      </w:pPr>
      <w:r>
        <w:rPr>
          <w:rFonts w:hint="eastAsia"/>
        </w:rPr>
        <w:t>企业税收处罚、司法案件、行政处罚、经营异常等经营风险信息；</w:t>
      </w:r>
    </w:p>
    <w:p>
      <w:pPr>
        <w:pStyle w:val="163"/>
        <w:numPr>
          <w:ilvl w:val="0"/>
          <w:numId w:val="39"/>
        </w:numPr>
      </w:pPr>
      <w:r>
        <w:rPr>
          <w:rFonts w:hint="eastAsia"/>
        </w:rPr>
        <w:t>企业网络舆情、负面报道及其他负面舆情信息。</w:t>
      </w:r>
    </w:p>
    <w:p>
      <w:pPr>
        <w:pStyle w:val="66"/>
        <w:spacing w:before="156" w:after="156"/>
      </w:pPr>
      <w:r>
        <w:rPr>
          <w:rFonts w:hint="eastAsia"/>
        </w:rPr>
        <w:t>灵活用工众包项目审核</w:t>
      </w:r>
    </w:p>
    <w:p>
      <w:pPr>
        <w:pStyle w:val="163"/>
        <w:numPr>
          <w:ilvl w:val="0"/>
          <w:numId w:val="0"/>
        </w:numPr>
        <w:ind w:firstLine="420" w:firstLineChars="200"/>
      </w:pPr>
      <w:r>
        <w:rPr>
          <w:rFonts w:hint="eastAsia"/>
        </w:rPr>
        <w:t>平台应具备对于企业用户的众包项目信息的审核管理流程，应包括但不限于以下方面：</w:t>
      </w:r>
    </w:p>
    <w:p>
      <w:pPr>
        <w:pStyle w:val="163"/>
        <w:numPr>
          <w:ilvl w:val="0"/>
          <w:numId w:val="40"/>
        </w:numPr>
        <w:ind w:left="850" w:hanging="425"/>
      </w:pPr>
      <w:r>
        <w:rPr>
          <w:rFonts w:hint="eastAsia"/>
        </w:rPr>
        <w:t>所属行业是否属于灵活用工应规避的高风险行业；</w:t>
      </w:r>
    </w:p>
    <w:p>
      <w:pPr>
        <w:pStyle w:val="163"/>
        <w:numPr>
          <w:ilvl w:val="0"/>
          <w:numId w:val="40"/>
        </w:numPr>
        <w:ind w:left="850" w:hanging="425"/>
      </w:pPr>
      <w:r>
        <w:rPr>
          <w:rFonts w:hint="eastAsia"/>
        </w:rPr>
        <w:t>灵活用工业务场景信息是否完善，是否包含项目信息、人员要求等内容；</w:t>
      </w:r>
    </w:p>
    <w:p>
      <w:pPr>
        <w:pStyle w:val="163"/>
        <w:numPr>
          <w:ilvl w:val="0"/>
          <w:numId w:val="40"/>
        </w:numPr>
        <w:ind w:left="850" w:hanging="425"/>
      </w:pPr>
      <w:r>
        <w:rPr>
          <w:rFonts w:hint="eastAsia"/>
        </w:rPr>
        <w:t>计价说明及结算方式是否完善，是否符合基本逻辑。</w:t>
      </w:r>
    </w:p>
    <w:p>
      <w:pPr>
        <w:pStyle w:val="66"/>
        <w:spacing w:before="156" w:after="156"/>
      </w:pPr>
      <w:r>
        <w:rPr>
          <w:rFonts w:hint="eastAsia"/>
        </w:rPr>
        <w:t>交付物审核</w:t>
      </w:r>
    </w:p>
    <w:p>
      <w:pPr>
        <w:pStyle w:val="163"/>
        <w:numPr>
          <w:ilvl w:val="0"/>
          <w:numId w:val="0"/>
        </w:numPr>
        <w:ind w:firstLine="420" w:firstLineChars="200"/>
      </w:pPr>
      <w:r>
        <w:rPr>
          <w:rFonts w:hint="eastAsia"/>
        </w:rPr>
        <w:t>平台应具备对于灵活用工人员交付物的审核管理流程，应包括但不限于以下方面：</w:t>
      </w:r>
    </w:p>
    <w:p>
      <w:pPr>
        <w:pStyle w:val="163"/>
        <w:numPr>
          <w:ilvl w:val="0"/>
          <w:numId w:val="41"/>
        </w:numPr>
        <w:ind w:left="850" w:hanging="425"/>
      </w:pPr>
      <w:r>
        <w:rPr>
          <w:rFonts w:hint="eastAsia"/>
        </w:rPr>
        <w:t>交付物信息是否完善，是否包含计价说明、佐证材料等；</w:t>
      </w:r>
    </w:p>
    <w:p>
      <w:pPr>
        <w:pStyle w:val="163"/>
        <w:numPr>
          <w:ilvl w:val="0"/>
          <w:numId w:val="41"/>
        </w:numPr>
        <w:ind w:left="850" w:hanging="425"/>
      </w:pPr>
      <w:r>
        <w:rPr>
          <w:rFonts w:hint="eastAsia"/>
        </w:rPr>
        <w:t>佐证材料是否符合基本逻辑，是否匹配对应的个人收入信息；</w:t>
      </w:r>
    </w:p>
    <w:p>
      <w:pPr>
        <w:pStyle w:val="163"/>
        <w:numPr>
          <w:ilvl w:val="0"/>
          <w:numId w:val="41"/>
        </w:numPr>
        <w:ind w:left="850" w:hanging="425"/>
      </w:pPr>
      <w:r>
        <w:rPr>
          <w:rFonts w:hint="eastAsia"/>
        </w:rPr>
        <w:t>佐证材料是否存在明显的套用、冒用和批量复制情况；</w:t>
      </w:r>
    </w:p>
    <w:p>
      <w:pPr>
        <w:pStyle w:val="163"/>
        <w:numPr>
          <w:ilvl w:val="0"/>
          <w:numId w:val="41"/>
        </w:numPr>
        <w:ind w:left="850" w:hanging="425"/>
      </w:pPr>
      <w:r>
        <w:rPr>
          <w:rFonts w:hint="eastAsia"/>
        </w:rPr>
        <w:t>是否与灵活用工人员回访结果匹配。</w:t>
      </w:r>
    </w:p>
    <w:p>
      <w:pPr>
        <w:pStyle w:val="66"/>
        <w:spacing w:before="156" w:after="156"/>
      </w:pPr>
      <w:r>
        <w:rPr>
          <w:rFonts w:hint="eastAsia"/>
        </w:rPr>
        <w:t>企业用户巡检流程</w:t>
      </w:r>
    </w:p>
    <w:p>
      <w:pPr>
        <w:pStyle w:val="57"/>
        <w:ind w:firstLine="420"/>
      </w:pPr>
      <w:r>
        <w:rPr>
          <w:rFonts w:hint="eastAsia"/>
        </w:rPr>
        <w:t>平台应定期对企业用户进行巡检管理，应包括但不限于以下方面：</w:t>
      </w:r>
    </w:p>
    <w:p>
      <w:pPr>
        <w:pStyle w:val="57"/>
        <w:numPr>
          <w:ilvl w:val="0"/>
          <w:numId w:val="42"/>
        </w:numPr>
        <w:ind w:left="850" w:hanging="425" w:firstLineChars="0"/>
      </w:pPr>
      <w:r>
        <w:rPr>
          <w:rFonts w:hint="eastAsia"/>
        </w:rPr>
        <w:t>企业用户的交易数据是否与众包项目信息匹配一致；</w:t>
      </w:r>
    </w:p>
    <w:p>
      <w:pPr>
        <w:pStyle w:val="57"/>
        <w:numPr>
          <w:ilvl w:val="0"/>
          <w:numId w:val="42"/>
        </w:numPr>
        <w:ind w:left="850" w:hanging="425" w:firstLineChars="0"/>
      </w:pPr>
      <w:r>
        <w:rPr>
          <w:rFonts w:hint="eastAsia"/>
        </w:rPr>
        <w:t>为企业用户提供服务的灵活用工人员的收入数据是否与众包项目信息匹配一致；</w:t>
      </w:r>
    </w:p>
    <w:p>
      <w:pPr>
        <w:pStyle w:val="57"/>
        <w:numPr>
          <w:ilvl w:val="0"/>
          <w:numId w:val="42"/>
        </w:numPr>
        <w:ind w:left="850" w:hanging="425" w:firstLineChars="0"/>
      </w:pPr>
      <w:r>
        <w:rPr>
          <w:rFonts w:hint="eastAsia"/>
        </w:rPr>
        <w:t>为企业用户提供服务的灵活用工人员的回访结果是否与众包项目信息匹配一致；</w:t>
      </w:r>
    </w:p>
    <w:p>
      <w:pPr>
        <w:pStyle w:val="57"/>
        <w:numPr>
          <w:ilvl w:val="0"/>
          <w:numId w:val="42"/>
        </w:numPr>
        <w:ind w:left="850" w:hanging="425" w:firstLineChars="0"/>
      </w:pPr>
      <w:r>
        <w:rPr>
          <w:rFonts w:hint="eastAsia"/>
        </w:rPr>
        <w:t>企业用户的发票数据是否与众包项目信息匹配一致。</w:t>
      </w:r>
    </w:p>
    <w:p>
      <w:pPr>
        <w:pStyle w:val="66"/>
        <w:spacing w:before="156" w:after="156"/>
      </w:pPr>
      <w:r>
        <w:rPr>
          <w:rFonts w:hint="eastAsia"/>
        </w:rPr>
        <w:t>灵活用工人员回访流程</w:t>
      </w:r>
    </w:p>
    <w:p>
      <w:pPr>
        <w:pStyle w:val="57"/>
        <w:ind w:firstLine="420"/>
      </w:pPr>
      <w:r>
        <w:rPr>
          <w:rFonts w:hint="eastAsia"/>
        </w:rPr>
        <w:t>平台应定期对灵活用工人员抽样进行回访管理，应包括但不限于以下方面：</w:t>
      </w:r>
    </w:p>
    <w:p>
      <w:pPr>
        <w:pStyle w:val="57"/>
        <w:numPr>
          <w:ilvl w:val="0"/>
          <w:numId w:val="43"/>
        </w:numPr>
        <w:ind w:left="850" w:hanging="425" w:firstLineChars="0"/>
      </w:pPr>
      <w:r>
        <w:rPr>
          <w:rFonts w:hint="eastAsia"/>
        </w:rPr>
        <w:t>灵活用工人员的收入信息是否与众包项目信息匹配一致；</w:t>
      </w:r>
    </w:p>
    <w:p>
      <w:pPr>
        <w:pStyle w:val="57"/>
        <w:numPr>
          <w:ilvl w:val="0"/>
          <w:numId w:val="43"/>
        </w:numPr>
        <w:ind w:left="850" w:hanging="425" w:firstLineChars="0"/>
      </w:pPr>
      <w:r>
        <w:rPr>
          <w:rFonts w:hint="eastAsia"/>
        </w:rPr>
        <w:t>灵活用工人员与提供服务的企业用户之间是否存在劳动关系或劳务关系。</w:t>
      </w:r>
    </w:p>
    <w:p>
      <w:pPr>
        <w:pStyle w:val="163"/>
        <w:numPr>
          <w:ilvl w:val="0"/>
          <w:numId w:val="0"/>
        </w:numPr>
      </w:pPr>
    </w:p>
    <w:p>
      <w:pPr>
        <w:pStyle w:val="57"/>
        <w:ind w:firstLine="0" w:firstLineChars="0"/>
      </w:pPr>
    </w:p>
    <w:bookmarkEnd w:id="65"/>
    <w:p>
      <w:pPr>
        <w:pStyle w:val="57"/>
        <w:ind w:firstLine="42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642485"/>
    <w:multiLevelType w:val="multilevel"/>
    <w:tmpl w:val="0B64248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54A714C"/>
    <w:multiLevelType w:val="multilevel"/>
    <w:tmpl w:val="154A714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179308B2"/>
    <w:multiLevelType w:val="multilevel"/>
    <w:tmpl w:val="179308B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1ACB1ED2"/>
    <w:multiLevelType w:val="multilevel"/>
    <w:tmpl w:val="1ACB1ED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1F9422DA"/>
    <w:multiLevelType w:val="multilevel"/>
    <w:tmpl w:val="1F9422D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28C40F6F"/>
    <w:multiLevelType w:val="multilevel"/>
    <w:tmpl w:val="28C40F6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2CE16403"/>
    <w:multiLevelType w:val="multilevel"/>
    <w:tmpl w:val="2CE16403"/>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3157154D"/>
    <w:multiLevelType w:val="multilevel"/>
    <w:tmpl w:val="3157154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0">
    <w:nsid w:val="33A74310"/>
    <w:multiLevelType w:val="multilevel"/>
    <w:tmpl w:val="33A7431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0">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1">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2">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7C54206"/>
    <w:multiLevelType w:val="multilevel"/>
    <w:tmpl w:val="67C5420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5">
    <w:nsid w:val="6C0A1AA4"/>
    <w:multiLevelType w:val="multilevel"/>
    <w:tmpl w:val="6C0A1AA4"/>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8"/>
  </w:num>
  <w:num w:numId="3">
    <w:abstractNumId w:val="6"/>
  </w:num>
  <w:num w:numId="4">
    <w:abstractNumId w:val="32"/>
  </w:num>
  <w:num w:numId="5">
    <w:abstractNumId w:val="27"/>
  </w:num>
  <w:num w:numId="6">
    <w:abstractNumId w:val="22"/>
  </w:num>
  <w:num w:numId="7">
    <w:abstractNumId w:val="12"/>
  </w:num>
  <w:num w:numId="8">
    <w:abstractNumId w:val="3"/>
  </w:num>
  <w:num w:numId="9">
    <w:abstractNumId w:val="13"/>
  </w:num>
  <w:num w:numId="10">
    <w:abstractNumId w:val="25"/>
  </w:num>
  <w:num w:numId="11">
    <w:abstractNumId w:val="36"/>
  </w:num>
  <w:num w:numId="12">
    <w:abstractNumId w:val="19"/>
  </w:num>
  <w:num w:numId="13">
    <w:abstractNumId w:val="21"/>
  </w:num>
  <w:num w:numId="14">
    <w:abstractNumId w:val="11"/>
  </w:num>
  <w:num w:numId="15">
    <w:abstractNumId w:val="28"/>
  </w:num>
  <w:num w:numId="16">
    <w:abstractNumId w:val="30"/>
  </w:num>
  <w:num w:numId="17">
    <w:abstractNumId w:val="26"/>
  </w:num>
  <w:num w:numId="18">
    <w:abstractNumId w:val="40"/>
  </w:num>
  <w:num w:numId="19">
    <w:abstractNumId w:val="24"/>
  </w:num>
  <w:num w:numId="20">
    <w:abstractNumId w:val="1"/>
  </w:num>
  <w:num w:numId="21">
    <w:abstractNumId w:val="16"/>
  </w:num>
  <w:num w:numId="22">
    <w:abstractNumId w:val="41"/>
  </w:num>
  <w:num w:numId="23">
    <w:abstractNumId w:val="29"/>
  </w:num>
  <w:num w:numId="24">
    <w:abstractNumId w:val="7"/>
  </w:num>
  <w:num w:numId="25">
    <w:abstractNumId w:val="37"/>
  </w:num>
  <w:num w:numId="26">
    <w:abstractNumId w:val="39"/>
  </w:num>
  <w:num w:numId="27">
    <w:abstractNumId w:val="2"/>
  </w:num>
  <w:num w:numId="28">
    <w:abstractNumId w:val="4"/>
  </w:num>
  <w:num w:numId="29">
    <w:abstractNumId w:val="23"/>
  </w:num>
  <w:num w:numId="30">
    <w:abstractNumId w:val="34"/>
  </w:num>
  <w:num w:numId="31">
    <w:abstractNumId w:val="31"/>
  </w:num>
  <w:num w:numId="32">
    <w:abstractNumId w:val="20"/>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
  </w:num>
  <w:num w:numId="36">
    <w:abstractNumId w:val="15"/>
  </w:num>
  <w:num w:numId="37">
    <w:abstractNumId w:val="14"/>
  </w:num>
  <w:num w:numId="38">
    <w:abstractNumId w:val="35"/>
  </w:num>
  <w:num w:numId="39">
    <w:abstractNumId w:val="33"/>
  </w:num>
  <w:num w:numId="40">
    <w:abstractNumId w:val="10"/>
  </w:num>
  <w:num w:numId="41">
    <w:abstractNumId w:val="5"/>
  </w:num>
  <w:num w:numId="42">
    <w:abstractNumId w:val="18"/>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stHuMy5iBIvNTrk98IN7LCJsJ/Jam9FchKJh4jPZMVMsDm656VSioxfC8Ti9iKidHHdFHGvOpq+2X0r6Q8OcWw==" w:salt="iivgVnPK0tageyQeorb6O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1YjQxMjJmNDhjM2VmM2ZhM2IzOGE0MzZlYzg1ZTMifQ=="/>
  </w:docVars>
  <w:rsids>
    <w:rsidRoot w:val="000B2F58"/>
    <w:rsid w:val="000003A8"/>
    <w:rsid w:val="0000040A"/>
    <w:rsid w:val="00000A94"/>
    <w:rsid w:val="00001972"/>
    <w:rsid w:val="00001D9A"/>
    <w:rsid w:val="00007B3A"/>
    <w:rsid w:val="000107E0"/>
    <w:rsid w:val="00011712"/>
    <w:rsid w:val="00011FDE"/>
    <w:rsid w:val="00012FFD"/>
    <w:rsid w:val="00014162"/>
    <w:rsid w:val="00014340"/>
    <w:rsid w:val="00014997"/>
    <w:rsid w:val="00016A9C"/>
    <w:rsid w:val="000200EF"/>
    <w:rsid w:val="00022184"/>
    <w:rsid w:val="00022762"/>
    <w:rsid w:val="00022B46"/>
    <w:rsid w:val="0002322B"/>
    <w:rsid w:val="000238E0"/>
    <w:rsid w:val="000249DB"/>
    <w:rsid w:val="00024EEF"/>
    <w:rsid w:val="0002563F"/>
    <w:rsid w:val="0002595E"/>
    <w:rsid w:val="000303C3"/>
    <w:rsid w:val="000331D3"/>
    <w:rsid w:val="000346A5"/>
    <w:rsid w:val="000359C3"/>
    <w:rsid w:val="00035A7D"/>
    <w:rsid w:val="000365ED"/>
    <w:rsid w:val="00040134"/>
    <w:rsid w:val="00041AEB"/>
    <w:rsid w:val="0004249A"/>
    <w:rsid w:val="00043282"/>
    <w:rsid w:val="00044286"/>
    <w:rsid w:val="00045854"/>
    <w:rsid w:val="00047F28"/>
    <w:rsid w:val="000503AA"/>
    <w:rsid w:val="000506A1"/>
    <w:rsid w:val="000515DD"/>
    <w:rsid w:val="0005265A"/>
    <w:rsid w:val="00052959"/>
    <w:rsid w:val="000539DD"/>
    <w:rsid w:val="00053BD3"/>
    <w:rsid w:val="000556ED"/>
    <w:rsid w:val="00055939"/>
    <w:rsid w:val="00055C0E"/>
    <w:rsid w:val="00055FE2"/>
    <w:rsid w:val="0005616F"/>
    <w:rsid w:val="00057CCA"/>
    <w:rsid w:val="00060C2E"/>
    <w:rsid w:val="00061033"/>
    <w:rsid w:val="000619E9"/>
    <w:rsid w:val="000622D4"/>
    <w:rsid w:val="00062A03"/>
    <w:rsid w:val="0006357D"/>
    <w:rsid w:val="00067A26"/>
    <w:rsid w:val="00067F1E"/>
    <w:rsid w:val="00071CC0"/>
    <w:rsid w:val="00072D47"/>
    <w:rsid w:val="00073C8C"/>
    <w:rsid w:val="00077B64"/>
    <w:rsid w:val="00080A1C"/>
    <w:rsid w:val="00082317"/>
    <w:rsid w:val="00083D2C"/>
    <w:rsid w:val="00083D51"/>
    <w:rsid w:val="00086AA1"/>
    <w:rsid w:val="00087A77"/>
    <w:rsid w:val="00087F4D"/>
    <w:rsid w:val="00090CA6"/>
    <w:rsid w:val="00092B8A"/>
    <w:rsid w:val="00092FB0"/>
    <w:rsid w:val="000934C5"/>
    <w:rsid w:val="00093D25"/>
    <w:rsid w:val="00093DAB"/>
    <w:rsid w:val="00094D73"/>
    <w:rsid w:val="000956E6"/>
    <w:rsid w:val="00095D63"/>
    <w:rsid w:val="00096D63"/>
    <w:rsid w:val="000A0B60"/>
    <w:rsid w:val="000A0EB8"/>
    <w:rsid w:val="000A19FC"/>
    <w:rsid w:val="000A296B"/>
    <w:rsid w:val="000A391A"/>
    <w:rsid w:val="000A7311"/>
    <w:rsid w:val="000B060F"/>
    <w:rsid w:val="000B1592"/>
    <w:rsid w:val="000B1FF2"/>
    <w:rsid w:val="000B2F58"/>
    <w:rsid w:val="000B3CDA"/>
    <w:rsid w:val="000B6A0B"/>
    <w:rsid w:val="000B7A37"/>
    <w:rsid w:val="000C0F6C"/>
    <w:rsid w:val="000C11DB"/>
    <w:rsid w:val="000C1492"/>
    <w:rsid w:val="000C2FBD"/>
    <w:rsid w:val="000C3215"/>
    <w:rsid w:val="000C422A"/>
    <w:rsid w:val="000C4B41"/>
    <w:rsid w:val="000C57D6"/>
    <w:rsid w:val="000C6362"/>
    <w:rsid w:val="000C7666"/>
    <w:rsid w:val="000D0A9C"/>
    <w:rsid w:val="000D1795"/>
    <w:rsid w:val="000D2BA5"/>
    <w:rsid w:val="000D329A"/>
    <w:rsid w:val="000D4B9C"/>
    <w:rsid w:val="000D4EB6"/>
    <w:rsid w:val="000D6968"/>
    <w:rsid w:val="000D753B"/>
    <w:rsid w:val="000E0ED3"/>
    <w:rsid w:val="000E1088"/>
    <w:rsid w:val="000E4275"/>
    <w:rsid w:val="000E4664"/>
    <w:rsid w:val="000E4C9E"/>
    <w:rsid w:val="000E5284"/>
    <w:rsid w:val="000E6919"/>
    <w:rsid w:val="000E6A56"/>
    <w:rsid w:val="000E6FD7"/>
    <w:rsid w:val="000F06E1"/>
    <w:rsid w:val="000F0E3C"/>
    <w:rsid w:val="000F19D5"/>
    <w:rsid w:val="000F4AEA"/>
    <w:rsid w:val="000F633F"/>
    <w:rsid w:val="000F67E9"/>
    <w:rsid w:val="000F7986"/>
    <w:rsid w:val="00102083"/>
    <w:rsid w:val="00102BF6"/>
    <w:rsid w:val="00103FE8"/>
    <w:rsid w:val="00104926"/>
    <w:rsid w:val="00111526"/>
    <w:rsid w:val="00113B1E"/>
    <w:rsid w:val="0011711C"/>
    <w:rsid w:val="00117410"/>
    <w:rsid w:val="0012059C"/>
    <w:rsid w:val="00123D81"/>
    <w:rsid w:val="00124E4F"/>
    <w:rsid w:val="001260B7"/>
    <w:rsid w:val="001265CB"/>
    <w:rsid w:val="00131FCE"/>
    <w:rsid w:val="001321C6"/>
    <w:rsid w:val="001325C4"/>
    <w:rsid w:val="00133010"/>
    <w:rsid w:val="001338EE"/>
    <w:rsid w:val="00133AAE"/>
    <w:rsid w:val="00135323"/>
    <w:rsid w:val="001356C4"/>
    <w:rsid w:val="00140F86"/>
    <w:rsid w:val="00141114"/>
    <w:rsid w:val="0014218B"/>
    <w:rsid w:val="00142969"/>
    <w:rsid w:val="00143B63"/>
    <w:rsid w:val="001446C2"/>
    <w:rsid w:val="001457E7"/>
    <w:rsid w:val="00145D9D"/>
    <w:rsid w:val="00146388"/>
    <w:rsid w:val="001529E5"/>
    <w:rsid w:val="00153C7E"/>
    <w:rsid w:val="00156054"/>
    <w:rsid w:val="00156B25"/>
    <w:rsid w:val="00156E1A"/>
    <w:rsid w:val="00157894"/>
    <w:rsid w:val="00157B55"/>
    <w:rsid w:val="00160624"/>
    <w:rsid w:val="00162B17"/>
    <w:rsid w:val="001642FA"/>
    <w:rsid w:val="001649EB"/>
    <w:rsid w:val="00164BAF"/>
    <w:rsid w:val="00164FA8"/>
    <w:rsid w:val="00165065"/>
    <w:rsid w:val="00165434"/>
    <w:rsid w:val="0016580B"/>
    <w:rsid w:val="00165F49"/>
    <w:rsid w:val="00166883"/>
    <w:rsid w:val="00166B88"/>
    <w:rsid w:val="0016770A"/>
    <w:rsid w:val="001703B2"/>
    <w:rsid w:val="00170804"/>
    <w:rsid w:val="001708E9"/>
    <w:rsid w:val="0017340B"/>
    <w:rsid w:val="00173FB1"/>
    <w:rsid w:val="00175407"/>
    <w:rsid w:val="00176DFD"/>
    <w:rsid w:val="00177E8B"/>
    <w:rsid w:val="001852C9"/>
    <w:rsid w:val="00190087"/>
    <w:rsid w:val="001913C4"/>
    <w:rsid w:val="00191DA3"/>
    <w:rsid w:val="0019306A"/>
    <w:rsid w:val="0019348F"/>
    <w:rsid w:val="00193506"/>
    <w:rsid w:val="00193A07"/>
    <w:rsid w:val="00194C95"/>
    <w:rsid w:val="00195C34"/>
    <w:rsid w:val="00196EF5"/>
    <w:rsid w:val="001A19A6"/>
    <w:rsid w:val="001A1A53"/>
    <w:rsid w:val="001A234A"/>
    <w:rsid w:val="001A4CF3"/>
    <w:rsid w:val="001B06E8"/>
    <w:rsid w:val="001B5490"/>
    <w:rsid w:val="001B71D0"/>
    <w:rsid w:val="001B71EE"/>
    <w:rsid w:val="001C01A9"/>
    <w:rsid w:val="001C04A8"/>
    <w:rsid w:val="001C059B"/>
    <w:rsid w:val="001C2C03"/>
    <w:rsid w:val="001C3061"/>
    <w:rsid w:val="001C42F7"/>
    <w:rsid w:val="001C49E5"/>
    <w:rsid w:val="001C5ADD"/>
    <w:rsid w:val="001C672A"/>
    <w:rsid w:val="001C680C"/>
    <w:rsid w:val="001C6877"/>
    <w:rsid w:val="001C7FEA"/>
    <w:rsid w:val="001D0499"/>
    <w:rsid w:val="001D0BBE"/>
    <w:rsid w:val="001D0ED4"/>
    <w:rsid w:val="001D16BB"/>
    <w:rsid w:val="001D212F"/>
    <w:rsid w:val="001D29D7"/>
    <w:rsid w:val="001D2DE7"/>
    <w:rsid w:val="001D411C"/>
    <w:rsid w:val="001E1B6A"/>
    <w:rsid w:val="001E2177"/>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5C6"/>
    <w:rsid w:val="00202AA4"/>
    <w:rsid w:val="002031F7"/>
    <w:rsid w:val="002040E6"/>
    <w:rsid w:val="0020527B"/>
    <w:rsid w:val="00205F2C"/>
    <w:rsid w:val="00210B15"/>
    <w:rsid w:val="00213923"/>
    <w:rsid w:val="002142EA"/>
    <w:rsid w:val="00215634"/>
    <w:rsid w:val="002204BB"/>
    <w:rsid w:val="0022085C"/>
    <w:rsid w:val="00221B79"/>
    <w:rsid w:val="00221C6B"/>
    <w:rsid w:val="002253A1"/>
    <w:rsid w:val="00225CF8"/>
    <w:rsid w:val="00226429"/>
    <w:rsid w:val="0022794E"/>
    <w:rsid w:val="0023058D"/>
    <w:rsid w:val="00233D64"/>
    <w:rsid w:val="0023482A"/>
    <w:rsid w:val="002359CB"/>
    <w:rsid w:val="002377A1"/>
    <w:rsid w:val="00240B10"/>
    <w:rsid w:val="00243540"/>
    <w:rsid w:val="0024497B"/>
    <w:rsid w:val="00244C37"/>
    <w:rsid w:val="0024515B"/>
    <w:rsid w:val="00246021"/>
    <w:rsid w:val="0024666E"/>
    <w:rsid w:val="00247F52"/>
    <w:rsid w:val="00250B25"/>
    <w:rsid w:val="00250BBE"/>
    <w:rsid w:val="002515C2"/>
    <w:rsid w:val="0025194F"/>
    <w:rsid w:val="00251C87"/>
    <w:rsid w:val="00254ACB"/>
    <w:rsid w:val="00255A5F"/>
    <w:rsid w:val="00260775"/>
    <w:rsid w:val="0026148A"/>
    <w:rsid w:val="00262696"/>
    <w:rsid w:val="00263D25"/>
    <w:rsid w:val="002643C3"/>
    <w:rsid w:val="00264A0C"/>
    <w:rsid w:val="00266EEB"/>
    <w:rsid w:val="00267EF4"/>
    <w:rsid w:val="00270CB8"/>
    <w:rsid w:val="002711CF"/>
    <w:rsid w:val="002722DB"/>
    <w:rsid w:val="00272A65"/>
    <w:rsid w:val="00272B08"/>
    <w:rsid w:val="00274E5C"/>
    <w:rsid w:val="00280951"/>
    <w:rsid w:val="00281BB8"/>
    <w:rsid w:val="00281E9E"/>
    <w:rsid w:val="00282405"/>
    <w:rsid w:val="00285170"/>
    <w:rsid w:val="00285361"/>
    <w:rsid w:val="00292D60"/>
    <w:rsid w:val="00293B30"/>
    <w:rsid w:val="00294271"/>
    <w:rsid w:val="00294D34"/>
    <w:rsid w:val="00294E3B"/>
    <w:rsid w:val="00296193"/>
    <w:rsid w:val="00296C66"/>
    <w:rsid w:val="00296EBE"/>
    <w:rsid w:val="002974E3"/>
    <w:rsid w:val="00297710"/>
    <w:rsid w:val="00297E9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E18"/>
    <w:rsid w:val="002B7332"/>
    <w:rsid w:val="002B7F51"/>
    <w:rsid w:val="002C029E"/>
    <w:rsid w:val="002C09E7"/>
    <w:rsid w:val="002C1E06"/>
    <w:rsid w:val="002C1E1C"/>
    <w:rsid w:val="002C1EB9"/>
    <w:rsid w:val="002C3DBE"/>
    <w:rsid w:val="002C3F07"/>
    <w:rsid w:val="002C5278"/>
    <w:rsid w:val="002C7EBB"/>
    <w:rsid w:val="002D06C1"/>
    <w:rsid w:val="002D42B5"/>
    <w:rsid w:val="002D4F1A"/>
    <w:rsid w:val="002D6EC6"/>
    <w:rsid w:val="002D79AC"/>
    <w:rsid w:val="002E039D"/>
    <w:rsid w:val="002E07E0"/>
    <w:rsid w:val="002E4D5A"/>
    <w:rsid w:val="002E6326"/>
    <w:rsid w:val="002E6FF3"/>
    <w:rsid w:val="002E7572"/>
    <w:rsid w:val="002F30E0"/>
    <w:rsid w:val="002F35E4"/>
    <w:rsid w:val="002F3730"/>
    <w:rsid w:val="002F38E1"/>
    <w:rsid w:val="002F7147"/>
    <w:rsid w:val="002F7AF6"/>
    <w:rsid w:val="00300E63"/>
    <w:rsid w:val="00302F5F"/>
    <w:rsid w:val="0030441D"/>
    <w:rsid w:val="003046A7"/>
    <w:rsid w:val="00306063"/>
    <w:rsid w:val="003115E5"/>
    <w:rsid w:val="003133F4"/>
    <w:rsid w:val="00313B85"/>
    <w:rsid w:val="00317988"/>
    <w:rsid w:val="003221B4"/>
    <w:rsid w:val="0032258D"/>
    <w:rsid w:val="00322E62"/>
    <w:rsid w:val="00324D13"/>
    <w:rsid w:val="00324D2A"/>
    <w:rsid w:val="00324EDD"/>
    <w:rsid w:val="003254AF"/>
    <w:rsid w:val="003331E4"/>
    <w:rsid w:val="00333F50"/>
    <w:rsid w:val="0033612D"/>
    <w:rsid w:val="00336C64"/>
    <w:rsid w:val="00337068"/>
    <w:rsid w:val="00337162"/>
    <w:rsid w:val="0034194F"/>
    <w:rsid w:val="00344605"/>
    <w:rsid w:val="003474AA"/>
    <w:rsid w:val="00350D1D"/>
    <w:rsid w:val="00352C83"/>
    <w:rsid w:val="00356079"/>
    <w:rsid w:val="003615D2"/>
    <w:rsid w:val="003626DE"/>
    <w:rsid w:val="00363658"/>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704"/>
    <w:rsid w:val="00387ADC"/>
    <w:rsid w:val="00390020"/>
    <w:rsid w:val="003903D6"/>
    <w:rsid w:val="00390EE6"/>
    <w:rsid w:val="0039118F"/>
    <w:rsid w:val="0039173D"/>
    <w:rsid w:val="00392AD7"/>
    <w:rsid w:val="003938D9"/>
    <w:rsid w:val="00394376"/>
    <w:rsid w:val="003943FF"/>
    <w:rsid w:val="00395700"/>
    <w:rsid w:val="003974EB"/>
    <w:rsid w:val="003976A5"/>
    <w:rsid w:val="00397CC5"/>
    <w:rsid w:val="003A1582"/>
    <w:rsid w:val="003A4077"/>
    <w:rsid w:val="003B09AD"/>
    <w:rsid w:val="003B1B8A"/>
    <w:rsid w:val="003B1F18"/>
    <w:rsid w:val="003B309E"/>
    <w:rsid w:val="003B30A1"/>
    <w:rsid w:val="003B5BF0"/>
    <w:rsid w:val="003B60BF"/>
    <w:rsid w:val="003B6BE3"/>
    <w:rsid w:val="003B7A13"/>
    <w:rsid w:val="003C010C"/>
    <w:rsid w:val="003C0A6C"/>
    <w:rsid w:val="003C13EA"/>
    <w:rsid w:val="003C14F8"/>
    <w:rsid w:val="003C5A43"/>
    <w:rsid w:val="003C7779"/>
    <w:rsid w:val="003D0519"/>
    <w:rsid w:val="003D0FF6"/>
    <w:rsid w:val="003D262C"/>
    <w:rsid w:val="003D6915"/>
    <w:rsid w:val="003D6D61"/>
    <w:rsid w:val="003E091D"/>
    <w:rsid w:val="003E1C53"/>
    <w:rsid w:val="003E2A69"/>
    <w:rsid w:val="003E2D49"/>
    <w:rsid w:val="003E2FD4"/>
    <w:rsid w:val="003E49F6"/>
    <w:rsid w:val="003E54C1"/>
    <w:rsid w:val="003E660F"/>
    <w:rsid w:val="003F0841"/>
    <w:rsid w:val="003F0865"/>
    <w:rsid w:val="003F23D3"/>
    <w:rsid w:val="003F3F08"/>
    <w:rsid w:val="003F445E"/>
    <w:rsid w:val="003F49F1"/>
    <w:rsid w:val="003F54C9"/>
    <w:rsid w:val="003F6272"/>
    <w:rsid w:val="00400E72"/>
    <w:rsid w:val="00401400"/>
    <w:rsid w:val="00401604"/>
    <w:rsid w:val="00404869"/>
    <w:rsid w:val="00405884"/>
    <w:rsid w:val="00407D39"/>
    <w:rsid w:val="0041477A"/>
    <w:rsid w:val="00415FD7"/>
    <w:rsid w:val="004167A3"/>
    <w:rsid w:val="0043142D"/>
    <w:rsid w:val="00432DAA"/>
    <w:rsid w:val="00434305"/>
    <w:rsid w:val="00435DF7"/>
    <w:rsid w:val="0044083F"/>
    <w:rsid w:val="00441AE7"/>
    <w:rsid w:val="00445574"/>
    <w:rsid w:val="0044616A"/>
    <w:rsid w:val="004467FB"/>
    <w:rsid w:val="004500F1"/>
    <w:rsid w:val="00452D6B"/>
    <w:rsid w:val="00454484"/>
    <w:rsid w:val="0045517B"/>
    <w:rsid w:val="00462ABB"/>
    <w:rsid w:val="004639F6"/>
    <w:rsid w:val="00463B77"/>
    <w:rsid w:val="00463C7B"/>
    <w:rsid w:val="004644A6"/>
    <w:rsid w:val="00465916"/>
    <w:rsid w:val="004659BD"/>
    <w:rsid w:val="00470775"/>
    <w:rsid w:val="004730C4"/>
    <w:rsid w:val="004746B1"/>
    <w:rsid w:val="0047583F"/>
    <w:rsid w:val="00475DE8"/>
    <w:rsid w:val="004802F3"/>
    <w:rsid w:val="00481C44"/>
    <w:rsid w:val="00484936"/>
    <w:rsid w:val="00485C89"/>
    <w:rsid w:val="00486BE3"/>
    <w:rsid w:val="004905E4"/>
    <w:rsid w:val="00490A89"/>
    <w:rsid w:val="00490AB4"/>
    <w:rsid w:val="00491411"/>
    <w:rsid w:val="00491E3D"/>
    <w:rsid w:val="00492F02"/>
    <w:rsid w:val="004939AE"/>
    <w:rsid w:val="00495915"/>
    <w:rsid w:val="004A12DF"/>
    <w:rsid w:val="004A17E6"/>
    <w:rsid w:val="004A1BA8"/>
    <w:rsid w:val="004A265C"/>
    <w:rsid w:val="004A3C0F"/>
    <w:rsid w:val="004A4232"/>
    <w:rsid w:val="004A4B57"/>
    <w:rsid w:val="004A5529"/>
    <w:rsid w:val="004A63FA"/>
    <w:rsid w:val="004B0272"/>
    <w:rsid w:val="004B2701"/>
    <w:rsid w:val="004B2E1B"/>
    <w:rsid w:val="004B3AA8"/>
    <w:rsid w:val="004B3E93"/>
    <w:rsid w:val="004B6D8D"/>
    <w:rsid w:val="004C1FBC"/>
    <w:rsid w:val="004C3DB0"/>
    <w:rsid w:val="004C3F1D"/>
    <w:rsid w:val="004C458D"/>
    <w:rsid w:val="004C7556"/>
    <w:rsid w:val="004C7E8B"/>
    <w:rsid w:val="004C7E9D"/>
    <w:rsid w:val="004C7F67"/>
    <w:rsid w:val="004D076D"/>
    <w:rsid w:val="004D0EF1"/>
    <w:rsid w:val="004D2253"/>
    <w:rsid w:val="004D4406"/>
    <w:rsid w:val="004D7C42"/>
    <w:rsid w:val="004E0465"/>
    <w:rsid w:val="004E0601"/>
    <w:rsid w:val="004E127B"/>
    <w:rsid w:val="004E1C0A"/>
    <w:rsid w:val="004E2B06"/>
    <w:rsid w:val="004E30C5"/>
    <w:rsid w:val="004E4AA5"/>
    <w:rsid w:val="004E4AEE"/>
    <w:rsid w:val="004E5000"/>
    <w:rsid w:val="004E59E3"/>
    <w:rsid w:val="004E67C0"/>
    <w:rsid w:val="004F0D66"/>
    <w:rsid w:val="004F33B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C0F"/>
    <w:rsid w:val="00516088"/>
    <w:rsid w:val="00516B0B"/>
    <w:rsid w:val="00521007"/>
    <w:rsid w:val="005220EC"/>
    <w:rsid w:val="00523F95"/>
    <w:rsid w:val="00524D65"/>
    <w:rsid w:val="00525B16"/>
    <w:rsid w:val="0052743C"/>
    <w:rsid w:val="00533D04"/>
    <w:rsid w:val="00534804"/>
    <w:rsid w:val="00534BDF"/>
    <w:rsid w:val="005354EA"/>
    <w:rsid w:val="0053585F"/>
    <w:rsid w:val="00535EC4"/>
    <w:rsid w:val="00535ED9"/>
    <w:rsid w:val="0053692B"/>
    <w:rsid w:val="0053734E"/>
    <w:rsid w:val="00541641"/>
    <w:rsid w:val="00541853"/>
    <w:rsid w:val="0054190D"/>
    <w:rsid w:val="00543BDA"/>
    <w:rsid w:val="005441CC"/>
    <w:rsid w:val="00546E26"/>
    <w:rsid w:val="0054729B"/>
    <w:rsid w:val="005479DA"/>
    <w:rsid w:val="005479FA"/>
    <w:rsid w:val="00547BCC"/>
    <w:rsid w:val="0055013B"/>
    <w:rsid w:val="00551F6F"/>
    <w:rsid w:val="00551FDD"/>
    <w:rsid w:val="00555044"/>
    <w:rsid w:val="00555971"/>
    <w:rsid w:val="0055775F"/>
    <w:rsid w:val="00561475"/>
    <w:rsid w:val="00562AB2"/>
    <w:rsid w:val="0056487B"/>
    <w:rsid w:val="00564FB9"/>
    <w:rsid w:val="00566A03"/>
    <w:rsid w:val="00573D9E"/>
    <w:rsid w:val="00575336"/>
    <w:rsid w:val="0057798E"/>
    <w:rsid w:val="005801E3"/>
    <w:rsid w:val="00581802"/>
    <w:rsid w:val="005836A8"/>
    <w:rsid w:val="00583FF5"/>
    <w:rsid w:val="0058409C"/>
    <w:rsid w:val="00584262"/>
    <w:rsid w:val="00586630"/>
    <w:rsid w:val="00587ADD"/>
    <w:rsid w:val="005918A9"/>
    <w:rsid w:val="00591E27"/>
    <w:rsid w:val="0059200D"/>
    <w:rsid w:val="00596160"/>
    <w:rsid w:val="005966E2"/>
    <w:rsid w:val="00597007"/>
    <w:rsid w:val="0059744C"/>
    <w:rsid w:val="005A0966"/>
    <w:rsid w:val="005A11B7"/>
    <w:rsid w:val="005A260B"/>
    <w:rsid w:val="005A4A1B"/>
    <w:rsid w:val="005A61CB"/>
    <w:rsid w:val="005A7830"/>
    <w:rsid w:val="005A7FCE"/>
    <w:rsid w:val="005B0BE0"/>
    <w:rsid w:val="005B0F3F"/>
    <w:rsid w:val="005B2819"/>
    <w:rsid w:val="005B4903"/>
    <w:rsid w:val="005B4F04"/>
    <w:rsid w:val="005B51CE"/>
    <w:rsid w:val="005B5885"/>
    <w:rsid w:val="005B5CD7"/>
    <w:rsid w:val="005B6CF6"/>
    <w:rsid w:val="005B6DF4"/>
    <w:rsid w:val="005B7422"/>
    <w:rsid w:val="005C1D78"/>
    <w:rsid w:val="005C29B8"/>
    <w:rsid w:val="005C4588"/>
    <w:rsid w:val="005C5F21"/>
    <w:rsid w:val="005C7156"/>
    <w:rsid w:val="005D0C75"/>
    <w:rsid w:val="005D1928"/>
    <w:rsid w:val="005D22EB"/>
    <w:rsid w:val="005D4171"/>
    <w:rsid w:val="005D6A95"/>
    <w:rsid w:val="005D6B2C"/>
    <w:rsid w:val="005D6D9C"/>
    <w:rsid w:val="005E2335"/>
    <w:rsid w:val="005E34CA"/>
    <w:rsid w:val="005E3C18"/>
    <w:rsid w:val="005E6812"/>
    <w:rsid w:val="005E7881"/>
    <w:rsid w:val="005E78E0"/>
    <w:rsid w:val="005F0D9C"/>
    <w:rsid w:val="005F0F4C"/>
    <w:rsid w:val="005F284E"/>
    <w:rsid w:val="005F2B91"/>
    <w:rsid w:val="005F4712"/>
    <w:rsid w:val="00600845"/>
    <w:rsid w:val="006015CE"/>
    <w:rsid w:val="006028EA"/>
    <w:rsid w:val="0060386E"/>
    <w:rsid w:val="00604784"/>
    <w:rsid w:val="00606419"/>
    <w:rsid w:val="00607012"/>
    <w:rsid w:val="00607D29"/>
    <w:rsid w:val="00612952"/>
    <w:rsid w:val="00614443"/>
    <w:rsid w:val="0061489A"/>
    <w:rsid w:val="00614CC1"/>
    <w:rsid w:val="00615A9D"/>
    <w:rsid w:val="00616830"/>
    <w:rsid w:val="00617387"/>
    <w:rsid w:val="006205D6"/>
    <w:rsid w:val="006252D8"/>
    <w:rsid w:val="006259BC"/>
    <w:rsid w:val="0062636B"/>
    <w:rsid w:val="006305E8"/>
    <w:rsid w:val="00632182"/>
    <w:rsid w:val="00632AE0"/>
    <w:rsid w:val="00633C17"/>
    <w:rsid w:val="00634D9E"/>
    <w:rsid w:val="00636E3E"/>
    <w:rsid w:val="006379F7"/>
    <w:rsid w:val="00637E4D"/>
    <w:rsid w:val="00640620"/>
    <w:rsid w:val="00641A1F"/>
    <w:rsid w:val="0064357A"/>
    <w:rsid w:val="00644A6A"/>
    <w:rsid w:val="00645904"/>
    <w:rsid w:val="00647004"/>
    <w:rsid w:val="00651ACB"/>
    <w:rsid w:val="00651C47"/>
    <w:rsid w:val="00652AB2"/>
    <w:rsid w:val="00653FED"/>
    <w:rsid w:val="00654B4F"/>
    <w:rsid w:val="00654EC0"/>
    <w:rsid w:val="0065525B"/>
    <w:rsid w:val="00655D4F"/>
    <w:rsid w:val="00656D29"/>
    <w:rsid w:val="006640E5"/>
    <w:rsid w:val="00664179"/>
    <w:rsid w:val="006646F1"/>
    <w:rsid w:val="00664929"/>
    <w:rsid w:val="00664F62"/>
    <w:rsid w:val="006655E1"/>
    <w:rsid w:val="0067086B"/>
    <w:rsid w:val="00672060"/>
    <w:rsid w:val="00672AFD"/>
    <w:rsid w:val="00672BFD"/>
    <w:rsid w:val="006749D8"/>
    <w:rsid w:val="006770F4"/>
    <w:rsid w:val="00677A84"/>
    <w:rsid w:val="0068026D"/>
    <w:rsid w:val="00680A27"/>
    <w:rsid w:val="006816A4"/>
    <w:rsid w:val="006819B8"/>
    <w:rsid w:val="006840A6"/>
    <w:rsid w:val="00684234"/>
    <w:rsid w:val="006850CD"/>
    <w:rsid w:val="00685AAB"/>
    <w:rsid w:val="00695D22"/>
    <w:rsid w:val="006A07AA"/>
    <w:rsid w:val="006A25E5"/>
    <w:rsid w:val="006A2B46"/>
    <w:rsid w:val="006A336D"/>
    <w:rsid w:val="006A37B9"/>
    <w:rsid w:val="006B2672"/>
    <w:rsid w:val="006B3187"/>
    <w:rsid w:val="006B387D"/>
    <w:rsid w:val="006B439B"/>
    <w:rsid w:val="006B54BF"/>
    <w:rsid w:val="006B5F44"/>
    <w:rsid w:val="006B5F90"/>
    <w:rsid w:val="006B62E4"/>
    <w:rsid w:val="006B6A33"/>
    <w:rsid w:val="006C1751"/>
    <w:rsid w:val="006C1BBA"/>
    <w:rsid w:val="006C2079"/>
    <w:rsid w:val="006C56BF"/>
    <w:rsid w:val="006C5A62"/>
    <w:rsid w:val="006C5D68"/>
    <w:rsid w:val="006C6976"/>
    <w:rsid w:val="006C6DD0"/>
    <w:rsid w:val="006D04EA"/>
    <w:rsid w:val="006D16C4"/>
    <w:rsid w:val="006D3E96"/>
    <w:rsid w:val="006D4515"/>
    <w:rsid w:val="006D4BB1"/>
    <w:rsid w:val="006D6593"/>
    <w:rsid w:val="006D7D52"/>
    <w:rsid w:val="006E23EA"/>
    <w:rsid w:val="006F03A8"/>
    <w:rsid w:val="006F2ACA"/>
    <w:rsid w:val="006F2ADC"/>
    <w:rsid w:val="006F2BFE"/>
    <w:rsid w:val="006F31E9"/>
    <w:rsid w:val="006F6284"/>
    <w:rsid w:val="007002C5"/>
    <w:rsid w:val="00700393"/>
    <w:rsid w:val="00704387"/>
    <w:rsid w:val="00707669"/>
    <w:rsid w:val="007105EC"/>
    <w:rsid w:val="00711CBA"/>
    <w:rsid w:val="00711E31"/>
    <w:rsid w:val="00711FB5"/>
    <w:rsid w:val="00712A01"/>
    <w:rsid w:val="00714F58"/>
    <w:rsid w:val="00722475"/>
    <w:rsid w:val="00722FBF"/>
    <w:rsid w:val="00722FC2"/>
    <w:rsid w:val="00723C78"/>
    <w:rsid w:val="00724879"/>
    <w:rsid w:val="00724E1B"/>
    <w:rsid w:val="007254BD"/>
    <w:rsid w:val="00725949"/>
    <w:rsid w:val="00727FA2"/>
    <w:rsid w:val="007322D9"/>
    <w:rsid w:val="00732BC0"/>
    <w:rsid w:val="00733B86"/>
    <w:rsid w:val="00734FC8"/>
    <w:rsid w:val="00736D9B"/>
    <w:rsid w:val="0073720F"/>
    <w:rsid w:val="007372BA"/>
    <w:rsid w:val="00737796"/>
    <w:rsid w:val="00737885"/>
    <w:rsid w:val="0074165C"/>
    <w:rsid w:val="00741EB8"/>
    <w:rsid w:val="0074224F"/>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000"/>
    <w:rsid w:val="00762C97"/>
    <w:rsid w:val="00765323"/>
    <w:rsid w:val="007654EC"/>
    <w:rsid w:val="00765C43"/>
    <w:rsid w:val="00765EFB"/>
    <w:rsid w:val="00766BE6"/>
    <w:rsid w:val="00766E07"/>
    <w:rsid w:val="007671CA"/>
    <w:rsid w:val="00767C61"/>
    <w:rsid w:val="0077008A"/>
    <w:rsid w:val="00771670"/>
    <w:rsid w:val="007739E3"/>
    <w:rsid w:val="00773C1F"/>
    <w:rsid w:val="00774DA4"/>
    <w:rsid w:val="0077617C"/>
    <w:rsid w:val="00776599"/>
    <w:rsid w:val="0078114B"/>
    <w:rsid w:val="00781DD2"/>
    <w:rsid w:val="00783ECF"/>
    <w:rsid w:val="0078413A"/>
    <w:rsid w:val="007845E0"/>
    <w:rsid w:val="00785F19"/>
    <w:rsid w:val="00790637"/>
    <w:rsid w:val="007906C3"/>
    <w:rsid w:val="00793C74"/>
    <w:rsid w:val="007959E8"/>
    <w:rsid w:val="00795E9C"/>
    <w:rsid w:val="007A0521"/>
    <w:rsid w:val="007A2E12"/>
    <w:rsid w:val="007A3475"/>
    <w:rsid w:val="007A41C8"/>
    <w:rsid w:val="007A54CE"/>
    <w:rsid w:val="007A6FD9"/>
    <w:rsid w:val="007A7FFA"/>
    <w:rsid w:val="007B04EB"/>
    <w:rsid w:val="007B0D4F"/>
    <w:rsid w:val="007B5004"/>
    <w:rsid w:val="007B5A3D"/>
    <w:rsid w:val="007B5B95"/>
    <w:rsid w:val="007B5EDA"/>
    <w:rsid w:val="007B68EA"/>
    <w:rsid w:val="007B7453"/>
    <w:rsid w:val="007C1E8B"/>
    <w:rsid w:val="007C2D89"/>
    <w:rsid w:val="007C3324"/>
    <w:rsid w:val="007C4593"/>
    <w:rsid w:val="007C5309"/>
    <w:rsid w:val="007C6069"/>
    <w:rsid w:val="007C78DD"/>
    <w:rsid w:val="007D06C4"/>
    <w:rsid w:val="007D1352"/>
    <w:rsid w:val="007D1F52"/>
    <w:rsid w:val="007D2508"/>
    <w:rsid w:val="007D346A"/>
    <w:rsid w:val="007D4A53"/>
    <w:rsid w:val="007D6518"/>
    <w:rsid w:val="007D67A0"/>
    <w:rsid w:val="007D76BD"/>
    <w:rsid w:val="007E0BF1"/>
    <w:rsid w:val="007E1733"/>
    <w:rsid w:val="007E44F8"/>
    <w:rsid w:val="007E5995"/>
    <w:rsid w:val="007F0ED8"/>
    <w:rsid w:val="007F0F63"/>
    <w:rsid w:val="007F5F6B"/>
    <w:rsid w:val="007F75CE"/>
    <w:rsid w:val="008013A4"/>
    <w:rsid w:val="008027CE"/>
    <w:rsid w:val="00802F42"/>
    <w:rsid w:val="00804383"/>
    <w:rsid w:val="00804BB7"/>
    <w:rsid w:val="00804D41"/>
    <w:rsid w:val="00807144"/>
    <w:rsid w:val="00810257"/>
    <w:rsid w:val="008104F5"/>
    <w:rsid w:val="00811072"/>
    <w:rsid w:val="008112E9"/>
    <w:rsid w:val="00811369"/>
    <w:rsid w:val="00811E9F"/>
    <w:rsid w:val="00815419"/>
    <w:rsid w:val="008163C8"/>
    <w:rsid w:val="008164A1"/>
    <w:rsid w:val="00817325"/>
    <w:rsid w:val="00817F35"/>
    <w:rsid w:val="008209E6"/>
    <w:rsid w:val="00823303"/>
    <w:rsid w:val="008233B2"/>
    <w:rsid w:val="00823A9F"/>
    <w:rsid w:val="00823C85"/>
    <w:rsid w:val="00825138"/>
    <w:rsid w:val="00825C02"/>
    <w:rsid w:val="008269DD"/>
    <w:rsid w:val="00830621"/>
    <w:rsid w:val="00832071"/>
    <w:rsid w:val="0083348C"/>
    <w:rsid w:val="00837081"/>
    <w:rsid w:val="008373D3"/>
    <w:rsid w:val="00840617"/>
    <w:rsid w:val="0084085E"/>
    <w:rsid w:val="00840F84"/>
    <w:rsid w:val="00842A47"/>
    <w:rsid w:val="00843C13"/>
    <w:rsid w:val="008454F8"/>
    <w:rsid w:val="008475DE"/>
    <w:rsid w:val="0085173A"/>
    <w:rsid w:val="00853071"/>
    <w:rsid w:val="00853CDE"/>
    <w:rsid w:val="008541AB"/>
    <w:rsid w:val="00856316"/>
    <w:rsid w:val="008603CE"/>
    <w:rsid w:val="008620FC"/>
    <w:rsid w:val="008627A5"/>
    <w:rsid w:val="00863E05"/>
    <w:rsid w:val="00864328"/>
    <w:rsid w:val="00865ACA"/>
    <w:rsid w:val="00865D28"/>
    <w:rsid w:val="00865F85"/>
    <w:rsid w:val="00867C10"/>
    <w:rsid w:val="00870439"/>
    <w:rsid w:val="00870DA1"/>
    <w:rsid w:val="00881509"/>
    <w:rsid w:val="00883F93"/>
    <w:rsid w:val="00884DB3"/>
    <w:rsid w:val="00885A9D"/>
    <w:rsid w:val="00886102"/>
    <w:rsid w:val="008864F6"/>
    <w:rsid w:val="0089049D"/>
    <w:rsid w:val="00892537"/>
    <w:rsid w:val="008928C9"/>
    <w:rsid w:val="008928EA"/>
    <w:rsid w:val="008930CB"/>
    <w:rsid w:val="008934E0"/>
    <w:rsid w:val="008938DC"/>
    <w:rsid w:val="00893FD1"/>
    <w:rsid w:val="00894836"/>
    <w:rsid w:val="00895172"/>
    <w:rsid w:val="00895680"/>
    <w:rsid w:val="00896DFF"/>
    <w:rsid w:val="0089762C"/>
    <w:rsid w:val="008A04B1"/>
    <w:rsid w:val="008A1893"/>
    <w:rsid w:val="008A3215"/>
    <w:rsid w:val="008A57E6"/>
    <w:rsid w:val="008A6F81"/>
    <w:rsid w:val="008A7631"/>
    <w:rsid w:val="008A769A"/>
    <w:rsid w:val="008B0C9C"/>
    <w:rsid w:val="008B166D"/>
    <w:rsid w:val="008B17F4"/>
    <w:rsid w:val="008B3615"/>
    <w:rsid w:val="008B4AC4"/>
    <w:rsid w:val="008B50C8"/>
    <w:rsid w:val="008B5281"/>
    <w:rsid w:val="008B7E05"/>
    <w:rsid w:val="008C1797"/>
    <w:rsid w:val="008C219C"/>
    <w:rsid w:val="008C254C"/>
    <w:rsid w:val="008C475E"/>
    <w:rsid w:val="008C5CEF"/>
    <w:rsid w:val="008C60CC"/>
    <w:rsid w:val="008C619A"/>
    <w:rsid w:val="008D0196"/>
    <w:rsid w:val="008D0CE8"/>
    <w:rsid w:val="008D2D1D"/>
    <w:rsid w:val="008D453D"/>
    <w:rsid w:val="008D53AD"/>
    <w:rsid w:val="008D562B"/>
    <w:rsid w:val="008D5733"/>
    <w:rsid w:val="008D622B"/>
    <w:rsid w:val="008D666C"/>
    <w:rsid w:val="008D7B54"/>
    <w:rsid w:val="008E030C"/>
    <w:rsid w:val="008E0C9D"/>
    <w:rsid w:val="008E1491"/>
    <w:rsid w:val="008E1648"/>
    <w:rsid w:val="008E1B3E"/>
    <w:rsid w:val="008E2319"/>
    <w:rsid w:val="008E4BB6"/>
    <w:rsid w:val="008E5518"/>
    <w:rsid w:val="008E5D47"/>
    <w:rsid w:val="008E607F"/>
    <w:rsid w:val="008E6A84"/>
    <w:rsid w:val="008E7ADA"/>
    <w:rsid w:val="008F0CDC"/>
    <w:rsid w:val="008F17A3"/>
    <w:rsid w:val="008F1ED3"/>
    <w:rsid w:val="008F23A5"/>
    <w:rsid w:val="008F4C29"/>
    <w:rsid w:val="008F65C0"/>
    <w:rsid w:val="008F70BD"/>
    <w:rsid w:val="008F788F"/>
    <w:rsid w:val="008F7EA2"/>
    <w:rsid w:val="00902722"/>
    <w:rsid w:val="009027BC"/>
    <w:rsid w:val="00903897"/>
    <w:rsid w:val="009062E6"/>
    <w:rsid w:val="00911BE5"/>
    <w:rsid w:val="00913CA9"/>
    <w:rsid w:val="009145AE"/>
    <w:rsid w:val="009146CE"/>
    <w:rsid w:val="00914CA7"/>
    <w:rsid w:val="00915C3E"/>
    <w:rsid w:val="009161A8"/>
    <w:rsid w:val="0091671B"/>
    <w:rsid w:val="00916A6F"/>
    <w:rsid w:val="00920229"/>
    <w:rsid w:val="009245F5"/>
    <w:rsid w:val="009249EC"/>
    <w:rsid w:val="009273B3"/>
    <w:rsid w:val="009305B5"/>
    <w:rsid w:val="00931023"/>
    <w:rsid w:val="009429D5"/>
    <w:rsid w:val="00942BF1"/>
    <w:rsid w:val="00942FA3"/>
    <w:rsid w:val="0094305A"/>
    <w:rsid w:val="0094321F"/>
    <w:rsid w:val="009435B6"/>
    <w:rsid w:val="00945180"/>
    <w:rsid w:val="00945428"/>
    <w:rsid w:val="0094607B"/>
    <w:rsid w:val="0094663F"/>
    <w:rsid w:val="00952940"/>
    <w:rsid w:val="00953604"/>
    <w:rsid w:val="00954904"/>
    <w:rsid w:val="0095496B"/>
    <w:rsid w:val="009610DC"/>
    <w:rsid w:val="00961490"/>
    <w:rsid w:val="0096381A"/>
    <w:rsid w:val="00965E04"/>
    <w:rsid w:val="009674AD"/>
    <w:rsid w:val="00970CDC"/>
    <w:rsid w:val="0097382A"/>
    <w:rsid w:val="009766DA"/>
    <w:rsid w:val="00976E61"/>
    <w:rsid w:val="00977010"/>
    <w:rsid w:val="00977D02"/>
    <w:rsid w:val="009809BB"/>
    <w:rsid w:val="0098364B"/>
    <w:rsid w:val="009870AF"/>
    <w:rsid w:val="009875E1"/>
    <w:rsid w:val="009911AF"/>
    <w:rsid w:val="00991875"/>
    <w:rsid w:val="00991F92"/>
    <w:rsid w:val="00992985"/>
    <w:rsid w:val="00993889"/>
    <w:rsid w:val="0099551B"/>
    <w:rsid w:val="0099698F"/>
    <w:rsid w:val="00997BF1"/>
    <w:rsid w:val="009A089C"/>
    <w:rsid w:val="009A118E"/>
    <w:rsid w:val="009A21CD"/>
    <w:rsid w:val="009A278C"/>
    <w:rsid w:val="009A2BC2"/>
    <w:rsid w:val="009A42C1"/>
    <w:rsid w:val="009A5429"/>
    <w:rsid w:val="009A72AD"/>
    <w:rsid w:val="009B09E0"/>
    <w:rsid w:val="009B0BC5"/>
    <w:rsid w:val="009B0EB7"/>
    <w:rsid w:val="009B1247"/>
    <w:rsid w:val="009B3C7C"/>
    <w:rsid w:val="009B6029"/>
    <w:rsid w:val="009B6971"/>
    <w:rsid w:val="009C27F1"/>
    <w:rsid w:val="009C3152"/>
    <w:rsid w:val="009C4CFA"/>
    <w:rsid w:val="009C5070"/>
    <w:rsid w:val="009C6A79"/>
    <w:rsid w:val="009C7E86"/>
    <w:rsid w:val="009D0DC9"/>
    <w:rsid w:val="009D112C"/>
    <w:rsid w:val="009D37CB"/>
    <w:rsid w:val="009D47F4"/>
    <w:rsid w:val="009D47FA"/>
    <w:rsid w:val="009D4C5B"/>
    <w:rsid w:val="009D50D2"/>
    <w:rsid w:val="009D6BCA"/>
    <w:rsid w:val="009E0F62"/>
    <w:rsid w:val="009E4754"/>
    <w:rsid w:val="009E4A58"/>
    <w:rsid w:val="009E5956"/>
    <w:rsid w:val="009E5A2D"/>
    <w:rsid w:val="009E5AB2"/>
    <w:rsid w:val="009E6219"/>
    <w:rsid w:val="009F03B3"/>
    <w:rsid w:val="009F0D55"/>
    <w:rsid w:val="009F4205"/>
    <w:rsid w:val="009F6469"/>
    <w:rsid w:val="00A0096C"/>
    <w:rsid w:val="00A01757"/>
    <w:rsid w:val="00A01B29"/>
    <w:rsid w:val="00A028C0"/>
    <w:rsid w:val="00A02BAE"/>
    <w:rsid w:val="00A0373C"/>
    <w:rsid w:val="00A04DA2"/>
    <w:rsid w:val="00A066BD"/>
    <w:rsid w:val="00A068DB"/>
    <w:rsid w:val="00A06A6B"/>
    <w:rsid w:val="00A07E47"/>
    <w:rsid w:val="00A129A4"/>
    <w:rsid w:val="00A129D0"/>
    <w:rsid w:val="00A12C33"/>
    <w:rsid w:val="00A138BA"/>
    <w:rsid w:val="00A14C8E"/>
    <w:rsid w:val="00A153D9"/>
    <w:rsid w:val="00A15F09"/>
    <w:rsid w:val="00A169B6"/>
    <w:rsid w:val="00A2271D"/>
    <w:rsid w:val="00A237D5"/>
    <w:rsid w:val="00A30EFC"/>
    <w:rsid w:val="00A31984"/>
    <w:rsid w:val="00A32D73"/>
    <w:rsid w:val="00A32E17"/>
    <w:rsid w:val="00A32E32"/>
    <w:rsid w:val="00A3367B"/>
    <w:rsid w:val="00A35153"/>
    <w:rsid w:val="00A3597D"/>
    <w:rsid w:val="00A36DD1"/>
    <w:rsid w:val="00A4006C"/>
    <w:rsid w:val="00A40091"/>
    <w:rsid w:val="00A4030F"/>
    <w:rsid w:val="00A41C79"/>
    <w:rsid w:val="00A41CB5"/>
    <w:rsid w:val="00A42CDF"/>
    <w:rsid w:val="00A43542"/>
    <w:rsid w:val="00A43D86"/>
    <w:rsid w:val="00A4452E"/>
    <w:rsid w:val="00A4472C"/>
    <w:rsid w:val="00A44E69"/>
    <w:rsid w:val="00A4661E"/>
    <w:rsid w:val="00A5560B"/>
    <w:rsid w:val="00A55BD6"/>
    <w:rsid w:val="00A55D50"/>
    <w:rsid w:val="00A56A11"/>
    <w:rsid w:val="00A57142"/>
    <w:rsid w:val="00A61AE0"/>
    <w:rsid w:val="00A648CD"/>
    <w:rsid w:val="00A6537A"/>
    <w:rsid w:val="00A67380"/>
    <w:rsid w:val="00A67866"/>
    <w:rsid w:val="00A70B07"/>
    <w:rsid w:val="00A71367"/>
    <w:rsid w:val="00A72054"/>
    <w:rsid w:val="00A723F8"/>
    <w:rsid w:val="00A77641"/>
    <w:rsid w:val="00A77CCB"/>
    <w:rsid w:val="00A83D8D"/>
    <w:rsid w:val="00A8446B"/>
    <w:rsid w:val="00A8473F"/>
    <w:rsid w:val="00A862D6"/>
    <w:rsid w:val="00A86A25"/>
    <w:rsid w:val="00A8715E"/>
    <w:rsid w:val="00A9295B"/>
    <w:rsid w:val="00A93B09"/>
    <w:rsid w:val="00A94247"/>
    <w:rsid w:val="00A952D7"/>
    <w:rsid w:val="00A963F7"/>
    <w:rsid w:val="00A96AD8"/>
    <w:rsid w:val="00A96F24"/>
    <w:rsid w:val="00AA052C"/>
    <w:rsid w:val="00AA06D1"/>
    <w:rsid w:val="00AA0B07"/>
    <w:rsid w:val="00AA1C14"/>
    <w:rsid w:val="00AA1E45"/>
    <w:rsid w:val="00AA4286"/>
    <w:rsid w:val="00AA456B"/>
    <w:rsid w:val="00AA57F5"/>
    <w:rsid w:val="00AA648B"/>
    <w:rsid w:val="00AA672E"/>
    <w:rsid w:val="00AA6EC9"/>
    <w:rsid w:val="00AB373F"/>
    <w:rsid w:val="00AB41D5"/>
    <w:rsid w:val="00AB4EF3"/>
    <w:rsid w:val="00AB6309"/>
    <w:rsid w:val="00AB6C5F"/>
    <w:rsid w:val="00AB6D01"/>
    <w:rsid w:val="00AB6EA2"/>
    <w:rsid w:val="00AB7129"/>
    <w:rsid w:val="00AC27A6"/>
    <w:rsid w:val="00AC30F7"/>
    <w:rsid w:val="00AC3A5A"/>
    <w:rsid w:val="00AC4D95"/>
    <w:rsid w:val="00AC5DF4"/>
    <w:rsid w:val="00AD0AEF"/>
    <w:rsid w:val="00AD11B7"/>
    <w:rsid w:val="00AD11D4"/>
    <w:rsid w:val="00AD1A94"/>
    <w:rsid w:val="00AD1C05"/>
    <w:rsid w:val="00AD3968"/>
    <w:rsid w:val="00AD4126"/>
    <w:rsid w:val="00AD421C"/>
    <w:rsid w:val="00AD446C"/>
    <w:rsid w:val="00AD44FA"/>
    <w:rsid w:val="00AE06B8"/>
    <w:rsid w:val="00AE070A"/>
    <w:rsid w:val="00AE101C"/>
    <w:rsid w:val="00AE37E5"/>
    <w:rsid w:val="00AE5EB4"/>
    <w:rsid w:val="00AF06DD"/>
    <w:rsid w:val="00AF0C18"/>
    <w:rsid w:val="00AF0E3E"/>
    <w:rsid w:val="00AF47C5"/>
    <w:rsid w:val="00AF5398"/>
    <w:rsid w:val="00AF614F"/>
    <w:rsid w:val="00B02B50"/>
    <w:rsid w:val="00B049AF"/>
    <w:rsid w:val="00B06A5F"/>
    <w:rsid w:val="00B07242"/>
    <w:rsid w:val="00B10534"/>
    <w:rsid w:val="00B10E9B"/>
    <w:rsid w:val="00B113DB"/>
    <w:rsid w:val="00B11D8A"/>
    <w:rsid w:val="00B12981"/>
    <w:rsid w:val="00B13ED7"/>
    <w:rsid w:val="00B147DD"/>
    <w:rsid w:val="00B156FD"/>
    <w:rsid w:val="00B15E47"/>
    <w:rsid w:val="00B16D47"/>
    <w:rsid w:val="00B21F61"/>
    <w:rsid w:val="00B2237E"/>
    <w:rsid w:val="00B23954"/>
    <w:rsid w:val="00B24783"/>
    <w:rsid w:val="00B261F1"/>
    <w:rsid w:val="00B265BC"/>
    <w:rsid w:val="00B31FB1"/>
    <w:rsid w:val="00B33952"/>
    <w:rsid w:val="00B33C5E"/>
    <w:rsid w:val="00B342F4"/>
    <w:rsid w:val="00B34369"/>
    <w:rsid w:val="00B34DC2"/>
    <w:rsid w:val="00B378E5"/>
    <w:rsid w:val="00B4102F"/>
    <w:rsid w:val="00B4346D"/>
    <w:rsid w:val="00B440F4"/>
    <w:rsid w:val="00B447A5"/>
    <w:rsid w:val="00B4654C"/>
    <w:rsid w:val="00B46DE9"/>
    <w:rsid w:val="00B47293"/>
    <w:rsid w:val="00B504A5"/>
    <w:rsid w:val="00B50610"/>
    <w:rsid w:val="00B50A89"/>
    <w:rsid w:val="00B50E50"/>
    <w:rsid w:val="00B517CE"/>
    <w:rsid w:val="00B52120"/>
    <w:rsid w:val="00B54ABC"/>
    <w:rsid w:val="00B54DDE"/>
    <w:rsid w:val="00B56FBE"/>
    <w:rsid w:val="00B60ACF"/>
    <w:rsid w:val="00B60CA0"/>
    <w:rsid w:val="00B62B58"/>
    <w:rsid w:val="00B62CB2"/>
    <w:rsid w:val="00B64D5C"/>
    <w:rsid w:val="00B65149"/>
    <w:rsid w:val="00B66567"/>
    <w:rsid w:val="00B66F52"/>
    <w:rsid w:val="00B66FE5"/>
    <w:rsid w:val="00B70A6E"/>
    <w:rsid w:val="00B72880"/>
    <w:rsid w:val="00B73E01"/>
    <w:rsid w:val="00B758BF"/>
    <w:rsid w:val="00B77EC8"/>
    <w:rsid w:val="00B827A6"/>
    <w:rsid w:val="00B831CE"/>
    <w:rsid w:val="00B86677"/>
    <w:rsid w:val="00B87131"/>
    <w:rsid w:val="00B910FF"/>
    <w:rsid w:val="00B91A9B"/>
    <w:rsid w:val="00B92C7E"/>
    <w:rsid w:val="00B939B1"/>
    <w:rsid w:val="00B960F7"/>
    <w:rsid w:val="00B96414"/>
    <w:rsid w:val="00B96D40"/>
    <w:rsid w:val="00B97386"/>
    <w:rsid w:val="00BA263B"/>
    <w:rsid w:val="00BA42B2"/>
    <w:rsid w:val="00BA58D4"/>
    <w:rsid w:val="00BA5B9E"/>
    <w:rsid w:val="00BA6988"/>
    <w:rsid w:val="00BA74A3"/>
    <w:rsid w:val="00BA7C9A"/>
    <w:rsid w:val="00BB5F8F"/>
    <w:rsid w:val="00BB657A"/>
    <w:rsid w:val="00BC1A45"/>
    <w:rsid w:val="00BC1A4E"/>
    <w:rsid w:val="00BC5DC7"/>
    <w:rsid w:val="00BC6835"/>
    <w:rsid w:val="00BC6B8B"/>
    <w:rsid w:val="00BC73D8"/>
    <w:rsid w:val="00BD52D7"/>
    <w:rsid w:val="00BD5AD2"/>
    <w:rsid w:val="00BE22F3"/>
    <w:rsid w:val="00BE5B52"/>
    <w:rsid w:val="00BE7B8D"/>
    <w:rsid w:val="00BE7EEE"/>
    <w:rsid w:val="00BF0993"/>
    <w:rsid w:val="00BF10A9"/>
    <w:rsid w:val="00BF1703"/>
    <w:rsid w:val="00BF231C"/>
    <w:rsid w:val="00BF51E5"/>
    <w:rsid w:val="00BF74A6"/>
    <w:rsid w:val="00BF78C6"/>
    <w:rsid w:val="00C003CB"/>
    <w:rsid w:val="00C013AD"/>
    <w:rsid w:val="00C03A7A"/>
    <w:rsid w:val="00C03EFE"/>
    <w:rsid w:val="00C04904"/>
    <w:rsid w:val="00C056B3"/>
    <w:rsid w:val="00C103E5"/>
    <w:rsid w:val="00C110DF"/>
    <w:rsid w:val="00C12C7C"/>
    <w:rsid w:val="00C13319"/>
    <w:rsid w:val="00C13EE9"/>
    <w:rsid w:val="00C150A6"/>
    <w:rsid w:val="00C21540"/>
    <w:rsid w:val="00C21906"/>
    <w:rsid w:val="00C21BFA"/>
    <w:rsid w:val="00C22148"/>
    <w:rsid w:val="00C23503"/>
    <w:rsid w:val="00C24C8D"/>
    <w:rsid w:val="00C25495"/>
    <w:rsid w:val="00C25FE2"/>
    <w:rsid w:val="00C26B53"/>
    <w:rsid w:val="00C279B2"/>
    <w:rsid w:val="00C33E50"/>
    <w:rsid w:val="00C34C20"/>
    <w:rsid w:val="00C35A3E"/>
    <w:rsid w:val="00C37883"/>
    <w:rsid w:val="00C4105E"/>
    <w:rsid w:val="00C42130"/>
    <w:rsid w:val="00C423A4"/>
    <w:rsid w:val="00C42C82"/>
    <w:rsid w:val="00C44BF5"/>
    <w:rsid w:val="00C4614B"/>
    <w:rsid w:val="00C46D76"/>
    <w:rsid w:val="00C521D6"/>
    <w:rsid w:val="00C55232"/>
    <w:rsid w:val="00C553A4"/>
    <w:rsid w:val="00C55A06"/>
    <w:rsid w:val="00C55D03"/>
    <w:rsid w:val="00C601BC"/>
    <w:rsid w:val="00C61684"/>
    <w:rsid w:val="00C6329F"/>
    <w:rsid w:val="00C63340"/>
    <w:rsid w:val="00C643F9"/>
    <w:rsid w:val="00C64E95"/>
    <w:rsid w:val="00C679C0"/>
    <w:rsid w:val="00C71372"/>
    <w:rsid w:val="00C7206D"/>
    <w:rsid w:val="00C72410"/>
    <w:rsid w:val="00C7287F"/>
    <w:rsid w:val="00C760D8"/>
    <w:rsid w:val="00C76A86"/>
    <w:rsid w:val="00C80CB8"/>
    <w:rsid w:val="00C8169D"/>
    <w:rsid w:val="00C819F8"/>
    <w:rsid w:val="00C8248C"/>
    <w:rsid w:val="00C84E33"/>
    <w:rsid w:val="00C86D6F"/>
    <w:rsid w:val="00C905FC"/>
    <w:rsid w:val="00C90A8B"/>
    <w:rsid w:val="00C92D03"/>
    <w:rsid w:val="00C9319C"/>
    <w:rsid w:val="00C9435D"/>
    <w:rsid w:val="00C94DF2"/>
    <w:rsid w:val="00C96741"/>
    <w:rsid w:val="00CA2D1B"/>
    <w:rsid w:val="00CA375D"/>
    <w:rsid w:val="00CA662A"/>
    <w:rsid w:val="00CA684C"/>
    <w:rsid w:val="00CA75F0"/>
    <w:rsid w:val="00CA78B6"/>
    <w:rsid w:val="00CA7AFD"/>
    <w:rsid w:val="00CA7C3C"/>
    <w:rsid w:val="00CB0189"/>
    <w:rsid w:val="00CB0BA2"/>
    <w:rsid w:val="00CB0C1A"/>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B70"/>
    <w:rsid w:val="00CC7EC1"/>
    <w:rsid w:val="00CD2808"/>
    <w:rsid w:val="00CD28BF"/>
    <w:rsid w:val="00CD3965"/>
    <w:rsid w:val="00CD3AE6"/>
    <w:rsid w:val="00CD4092"/>
    <w:rsid w:val="00CD4A20"/>
    <w:rsid w:val="00CD50A1"/>
    <w:rsid w:val="00CD519E"/>
    <w:rsid w:val="00CD6690"/>
    <w:rsid w:val="00CE0C4F"/>
    <w:rsid w:val="00CE24F1"/>
    <w:rsid w:val="00CE30EA"/>
    <w:rsid w:val="00CE77D7"/>
    <w:rsid w:val="00CF048A"/>
    <w:rsid w:val="00CF155A"/>
    <w:rsid w:val="00CF2947"/>
    <w:rsid w:val="00CF686F"/>
    <w:rsid w:val="00CF6E60"/>
    <w:rsid w:val="00CF7BCA"/>
    <w:rsid w:val="00CF7CCC"/>
    <w:rsid w:val="00D008FD"/>
    <w:rsid w:val="00D03128"/>
    <w:rsid w:val="00D0321C"/>
    <w:rsid w:val="00D035EC"/>
    <w:rsid w:val="00D03B77"/>
    <w:rsid w:val="00D06AB1"/>
    <w:rsid w:val="00D072ED"/>
    <w:rsid w:val="00D07A16"/>
    <w:rsid w:val="00D1067E"/>
    <w:rsid w:val="00D10F50"/>
    <w:rsid w:val="00D11272"/>
    <w:rsid w:val="00D126F5"/>
    <w:rsid w:val="00D1489E"/>
    <w:rsid w:val="00D20737"/>
    <w:rsid w:val="00D21E81"/>
    <w:rsid w:val="00D223DE"/>
    <w:rsid w:val="00D259A3"/>
    <w:rsid w:val="00D25E37"/>
    <w:rsid w:val="00D2661A"/>
    <w:rsid w:val="00D26BF1"/>
    <w:rsid w:val="00D27582"/>
    <w:rsid w:val="00D27902"/>
    <w:rsid w:val="00D27EC4"/>
    <w:rsid w:val="00D31FB9"/>
    <w:rsid w:val="00D32719"/>
    <w:rsid w:val="00D33333"/>
    <w:rsid w:val="00D33457"/>
    <w:rsid w:val="00D352A2"/>
    <w:rsid w:val="00D3701C"/>
    <w:rsid w:val="00D37A3D"/>
    <w:rsid w:val="00D4162B"/>
    <w:rsid w:val="00D4514F"/>
    <w:rsid w:val="00D451E2"/>
    <w:rsid w:val="00D4581C"/>
    <w:rsid w:val="00D45E89"/>
    <w:rsid w:val="00D45E8D"/>
    <w:rsid w:val="00D466AE"/>
    <w:rsid w:val="00D4734F"/>
    <w:rsid w:val="00D51BF3"/>
    <w:rsid w:val="00D55A1C"/>
    <w:rsid w:val="00D57172"/>
    <w:rsid w:val="00D66846"/>
    <w:rsid w:val="00D675FB"/>
    <w:rsid w:val="00D70650"/>
    <w:rsid w:val="00D70C43"/>
    <w:rsid w:val="00D71F25"/>
    <w:rsid w:val="00D726D8"/>
    <w:rsid w:val="00D72A9C"/>
    <w:rsid w:val="00D72B12"/>
    <w:rsid w:val="00D76483"/>
    <w:rsid w:val="00D77031"/>
    <w:rsid w:val="00D84941"/>
    <w:rsid w:val="00D84FA1"/>
    <w:rsid w:val="00D851F0"/>
    <w:rsid w:val="00D85400"/>
    <w:rsid w:val="00D86DB7"/>
    <w:rsid w:val="00D91A71"/>
    <w:rsid w:val="00D926D0"/>
    <w:rsid w:val="00D93030"/>
    <w:rsid w:val="00D950E1"/>
    <w:rsid w:val="00D952A6"/>
    <w:rsid w:val="00D97F99"/>
    <w:rsid w:val="00DA1A2F"/>
    <w:rsid w:val="00DA1E08"/>
    <w:rsid w:val="00DA24A9"/>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061D"/>
    <w:rsid w:val="00DC2C27"/>
    <w:rsid w:val="00DC3067"/>
    <w:rsid w:val="00DC370B"/>
    <w:rsid w:val="00DC5B90"/>
    <w:rsid w:val="00DD00FF"/>
    <w:rsid w:val="00DD0418"/>
    <w:rsid w:val="00DD0619"/>
    <w:rsid w:val="00DD07FB"/>
    <w:rsid w:val="00DD129D"/>
    <w:rsid w:val="00DD25C6"/>
    <w:rsid w:val="00DD4F3B"/>
    <w:rsid w:val="00DD4FE5"/>
    <w:rsid w:val="00DD54B0"/>
    <w:rsid w:val="00DD57EE"/>
    <w:rsid w:val="00DD6BCC"/>
    <w:rsid w:val="00DE0A4B"/>
    <w:rsid w:val="00DE2410"/>
    <w:rsid w:val="00DE2939"/>
    <w:rsid w:val="00DE327B"/>
    <w:rsid w:val="00DE404D"/>
    <w:rsid w:val="00DE6E81"/>
    <w:rsid w:val="00DE703F"/>
    <w:rsid w:val="00DE7595"/>
    <w:rsid w:val="00DF135E"/>
    <w:rsid w:val="00DF1961"/>
    <w:rsid w:val="00DF2011"/>
    <w:rsid w:val="00DF44DE"/>
    <w:rsid w:val="00DF5F11"/>
    <w:rsid w:val="00DF7926"/>
    <w:rsid w:val="00DF7B08"/>
    <w:rsid w:val="00E009ED"/>
    <w:rsid w:val="00E00A36"/>
    <w:rsid w:val="00E01138"/>
    <w:rsid w:val="00E02528"/>
    <w:rsid w:val="00E02DFB"/>
    <w:rsid w:val="00E030F9"/>
    <w:rsid w:val="00E0311A"/>
    <w:rsid w:val="00E03138"/>
    <w:rsid w:val="00E054A9"/>
    <w:rsid w:val="00E06404"/>
    <w:rsid w:val="00E06E08"/>
    <w:rsid w:val="00E075F5"/>
    <w:rsid w:val="00E11A85"/>
    <w:rsid w:val="00E11CDD"/>
    <w:rsid w:val="00E12495"/>
    <w:rsid w:val="00E15CCD"/>
    <w:rsid w:val="00E15E2A"/>
    <w:rsid w:val="00E202EF"/>
    <w:rsid w:val="00E205CC"/>
    <w:rsid w:val="00E20F04"/>
    <w:rsid w:val="00E210B5"/>
    <w:rsid w:val="00E23D99"/>
    <w:rsid w:val="00E23EF3"/>
    <w:rsid w:val="00E2552F"/>
    <w:rsid w:val="00E3137A"/>
    <w:rsid w:val="00E32CCF"/>
    <w:rsid w:val="00E34A98"/>
    <w:rsid w:val="00E35D1E"/>
    <w:rsid w:val="00E364F9"/>
    <w:rsid w:val="00E365FA"/>
    <w:rsid w:val="00E36789"/>
    <w:rsid w:val="00E36BF7"/>
    <w:rsid w:val="00E41646"/>
    <w:rsid w:val="00E44A83"/>
    <w:rsid w:val="00E474DD"/>
    <w:rsid w:val="00E501DA"/>
    <w:rsid w:val="00E502C1"/>
    <w:rsid w:val="00E502DD"/>
    <w:rsid w:val="00E50D3A"/>
    <w:rsid w:val="00E51387"/>
    <w:rsid w:val="00E51E68"/>
    <w:rsid w:val="00E52EFD"/>
    <w:rsid w:val="00E5408A"/>
    <w:rsid w:val="00E56800"/>
    <w:rsid w:val="00E60C63"/>
    <w:rsid w:val="00E62AD3"/>
    <w:rsid w:val="00E62FF9"/>
    <w:rsid w:val="00E635D6"/>
    <w:rsid w:val="00E639BC"/>
    <w:rsid w:val="00E654A1"/>
    <w:rsid w:val="00E664CC"/>
    <w:rsid w:val="00E70388"/>
    <w:rsid w:val="00E70F92"/>
    <w:rsid w:val="00E72701"/>
    <w:rsid w:val="00E74C54"/>
    <w:rsid w:val="00E758A5"/>
    <w:rsid w:val="00E77A03"/>
    <w:rsid w:val="00E77C8C"/>
    <w:rsid w:val="00E822E8"/>
    <w:rsid w:val="00E82554"/>
    <w:rsid w:val="00E82606"/>
    <w:rsid w:val="00E84357"/>
    <w:rsid w:val="00E846C8"/>
    <w:rsid w:val="00E84957"/>
    <w:rsid w:val="00E84A55"/>
    <w:rsid w:val="00E85150"/>
    <w:rsid w:val="00E85BFF"/>
    <w:rsid w:val="00E870BE"/>
    <w:rsid w:val="00E90391"/>
    <w:rsid w:val="00E906C2"/>
    <w:rsid w:val="00E90AB5"/>
    <w:rsid w:val="00E91130"/>
    <w:rsid w:val="00E9311F"/>
    <w:rsid w:val="00E934D1"/>
    <w:rsid w:val="00E9374F"/>
    <w:rsid w:val="00E94180"/>
    <w:rsid w:val="00E94AF0"/>
    <w:rsid w:val="00E95D13"/>
    <w:rsid w:val="00E95DD3"/>
    <w:rsid w:val="00E969D5"/>
    <w:rsid w:val="00EA13EF"/>
    <w:rsid w:val="00EA3911"/>
    <w:rsid w:val="00EA44EB"/>
    <w:rsid w:val="00EA58D1"/>
    <w:rsid w:val="00EA61BC"/>
    <w:rsid w:val="00EA681A"/>
    <w:rsid w:val="00EA735B"/>
    <w:rsid w:val="00EB17DE"/>
    <w:rsid w:val="00EB1E69"/>
    <w:rsid w:val="00EB2086"/>
    <w:rsid w:val="00EB43EB"/>
    <w:rsid w:val="00EB5EDF"/>
    <w:rsid w:val="00EB60FE"/>
    <w:rsid w:val="00EB74DB"/>
    <w:rsid w:val="00EC4FA9"/>
    <w:rsid w:val="00EC526B"/>
    <w:rsid w:val="00EC5359"/>
    <w:rsid w:val="00EC562A"/>
    <w:rsid w:val="00EC61D8"/>
    <w:rsid w:val="00ED067A"/>
    <w:rsid w:val="00ED2B50"/>
    <w:rsid w:val="00ED6B6F"/>
    <w:rsid w:val="00ED7C02"/>
    <w:rsid w:val="00EE0350"/>
    <w:rsid w:val="00EE0719"/>
    <w:rsid w:val="00EE0E80"/>
    <w:rsid w:val="00EE4842"/>
    <w:rsid w:val="00EE54A6"/>
    <w:rsid w:val="00EE613F"/>
    <w:rsid w:val="00EE638B"/>
    <w:rsid w:val="00EE7295"/>
    <w:rsid w:val="00EE7869"/>
    <w:rsid w:val="00EF054A"/>
    <w:rsid w:val="00EF3235"/>
    <w:rsid w:val="00EF3794"/>
    <w:rsid w:val="00EF7B41"/>
    <w:rsid w:val="00EF7E72"/>
    <w:rsid w:val="00F003BB"/>
    <w:rsid w:val="00F01806"/>
    <w:rsid w:val="00F04335"/>
    <w:rsid w:val="00F06D37"/>
    <w:rsid w:val="00F07170"/>
    <w:rsid w:val="00F07B9D"/>
    <w:rsid w:val="00F1044D"/>
    <w:rsid w:val="00F11586"/>
    <w:rsid w:val="00F1183B"/>
    <w:rsid w:val="00F11C9F"/>
    <w:rsid w:val="00F12263"/>
    <w:rsid w:val="00F1409D"/>
    <w:rsid w:val="00F14214"/>
    <w:rsid w:val="00F157A9"/>
    <w:rsid w:val="00F25BB6"/>
    <w:rsid w:val="00F26B7E"/>
    <w:rsid w:val="00F27A3B"/>
    <w:rsid w:val="00F32C5E"/>
    <w:rsid w:val="00F33668"/>
    <w:rsid w:val="00F33817"/>
    <w:rsid w:val="00F36FBD"/>
    <w:rsid w:val="00F420D5"/>
    <w:rsid w:val="00F451EA"/>
    <w:rsid w:val="00F45447"/>
    <w:rsid w:val="00F456C6"/>
    <w:rsid w:val="00F4577B"/>
    <w:rsid w:val="00F46496"/>
    <w:rsid w:val="00F474D0"/>
    <w:rsid w:val="00F50179"/>
    <w:rsid w:val="00F515EE"/>
    <w:rsid w:val="00F56511"/>
    <w:rsid w:val="00F608AC"/>
    <w:rsid w:val="00F6194E"/>
    <w:rsid w:val="00F623AC"/>
    <w:rsid w:val="00F6412A"/>
    <w:rsid w:val="00F65893"/>
    <w:rsid w:val="00F66126"/>
    <w:rsid w:val="00F66A4A"/>
    <w:rsid w:val="00F709FA"/>
    <w:rsid w:val="00F71E22"/>
    <w:rsid w:val="00F72142"/>
    <w:rsid w:val="00F72AE7"/>
    <w:rsid w:val="00F81141"/>
    <w:rsid w:val="00F82CAB"/>
    <w:rsid w:val="00F833BA"/>
    <w:rsid w:val="00F84058"/>
    <w:rsid w:val="00F84FD0"/>
    <w:rsid w:val="00F859A8"/>
    <w:rsid w:val="00F86D87"/>
    <w:rsid w:val="00F9108B"/>
    <w:rsid w:val="00F91349"/>
    <w:rsid w:val="00F92286"/>
    <w:rsid w:val="00F93A8A"/>
    <w:rsid w:val="00F95248"/>
    <w:rsid w:val="00F956A9"/>
    <w:rsid w:val="00F963ED"/>
    <w:rsid w:val="00F966CF"/>
    <w:rsid w:val="00F96CAE"/>
    <w:rsid w:val="00F97C99"/>
    <w:rsid w:val="00FA4D9E"/>
    <w:rsid w:val="00FA4DAC"/>
    <w:rsid w:val="00FA662D"/>
    <w:rsid w:val="00FA73B1"/>
    <w:rsid w:val="00FB0CB9"/>
    <w:rsid w:val="00FB0FE5"/>
    <w:rsid w:val="00FB231D"/>
    <w:rsid w:val="00FB34CA"/>
    <w:rsid w:val="00FB45E2"/>
    <w:rsid w:val="00FB45F1"/>
    <w:rsid w:val="00FB4A72"/>
    <w:rsid w:val="00FB54E8"/>
    <w:rsid w:val="00FB7054"/>
    <w:rsid w:val="00FC17B7"/>
    <w:rsid w:val="00FC2CB7"/>
    <w:rsid w:val="00FC4090"/>
    <w:rsid w:val="00FC55B4"/>
    <w:rsid w:val="00FD00E6"/>
    <w:rsid w:val="00FD0527"/>
    <w:rsid w:val="00FD09A1"/>
    <w:rsid w:val="00FD2A7C"/>
    <w:rsid w:val="00FD4D1A"/>
    <w:rsid w:val="00FD59EB"/>
    <w:rsid w:val="00FD7299"/>
    <w:rsid w:val="00FD7D20"/>
    <w:rsid w:val="00FE0354"/>
    <w:rsid w:val="00FE1FBE"/>
    <w:rsid w:val="00FE3901"/>
    <w:rsid w:val="00FE39D3"/>
    <w:rsid w:val="00FE4BCE"/>
    <w:rsid w:val="00FE54AE"/>
    <w:rsid w:val="00FE576A"/>
    <w:rsid w:val="00FE7E79"/>
    <w:rsid w:val="00FF3E7D"/>
    <w:rsid w:val="00FF5A17"/>
    <w:rsid w:val="00FF5B99"/>
    <w:rsid w:val="00FF730C"/>
    <w:rsid w:val="00FF73F4"/>
    <w:rsid w:val="00FF7CE4"/>
    <w:rsid w:val="00FF7E39"/>
    <w:rsid w:val="10D43D2C"/>
    <w:rsid w:val="1F9E25BB"/>
    <w:rsid w:val="4D8E18CA"/>
    <w:rsid w:val="50136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3033A407E07426897B83793168B01CE"/>
        <w:style w:val=""/>
        <w:category>
          <w:name w:val="常规"/>
          <w:gallery w:val="placeholder"/>
        </w:category>
        <w:types>
          <w:type w:val="bbPlcHdr"/>
        </w:types>
        <w:behaviors>
          <w:behavior w:val="content"/>
        </w:behaviors>
        <w:description w:val=""/>
        <w:guid w:val="{B9319E81-4193-4A09-9ACE-3F0BE6D4D290}"/>
      </w:docPartPr>
      <w:docPartBody>
        <w:p>
          <w:pPr>
            <w:pStyle w:val="5"/>
          </w:pPr>
          <w:r>
            <w:rPr>
              <w:rStyle w:val="4"/>
              <w:rFonts w:hint="eastAsia"/>
            </w:rPr>
            <w:t>单击或点击此处输入文字。</w:t>
          </w:r>
        </w:p>
      </w:docPartBody>
    </w:docPart>
    <w:docPart>
      <w:docPartPr>
        <w:name w:val="E314477420D843299B7EA46DC2A5A3E7"/>
        <w:style w:val=""/>
        <w:category>
          <w:name w:val="常规"/>
          <w:gallery w:val="placeholder"/>
        </w:category>
        <w:types>
          <w:type w:val="bbPlcHdr"/>
        </w:types>
        <w:behaviors>
          <w:behavior w:val="content"/>
        </w:behaviors>
        <w:description w:val=""/>
        <w:guid w:val="{2BE841D7-244E-48AD-9D2F-DDB3657E5EF6}"/>
      </w:docPartPr>
      <w:docPartBody>
        <w:p>
          <w:pPr>
            <w:pStyle w:val="6"/>
          </w:pPr>
          <w:r>
            <w:rPr>
              <w:rStyle w:val="4"/>
              <w:rFonts w:hint="eastAsia"/>
            </w:rPr>
            <w:t>选择一项。</w:t>
          </w:r>
        </w:p>
      </w:docPartBody>
    </w:docPart>
    <w:docPart>
      <w:docPartPr>
        <w:name w:val="A456D35E5E24489B868C530FF7C13A27"/>
        <w:style w:val=""/>
        <w:category>
          <w:name w:val="常规"/>
          <w:gallery w:val="placeholder"/>
        </w:category>
        <w:types>
          <w:type w:val="bbPlcHdr"/>
        </w:types>
        <w:behaviors>
          <w:behavior w:val="content"/>
        </w:behaviors>
        <w:description w:val=""/>
        <w:guid w:val="{24EE6B0C-D6C4-44C1-A1A0-83365AAE114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5E2"/>
    <w:rsid w:val="002103B8"/>
    <w:rsid w:val="00213C07"/>
    <w:rsid w:val="002E65E5"/>
    <w:rsid w:val="00304B9C"/>
    <w:rsid w:val="003438A6"/>
    <w:rsid w:val="004240E1"/>
    <w:rsid w:val="004375E2"/>
    <w:rsid w:val="004C440B"/>
    <w:rsid w:val="00644239"/>
    <w:rsid w:val="006A047F"/>
    <w:rsid w:val="00750258"/>
    <w:rsid w:val="008044F5"/>
    <w:rsid w:val="008C1F94"/>
    <w:rsid w:val="00924AFC"/>
    <w:rsid w:val="00957575"/>
    <w:rsid w:val="00994F5A"/>
    <w:rsid w:val="00AB0821"/>
    <w:rsid w:val="00C9724F"/>
    <w:rsid w:val="00CA5939"/>
    <w:rsid w:val="00D3213E"/>
    <w:rsid w:val="00D95A8D"/>
    <w:rsid w:val="00ED658B"/>
    <w:rsid w:val="00F47A75"/>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3033A407E07426897B83793168B01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314477420D843299B7EA46DC2A5A3E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456D35E5E24489B868C530FF7C13A2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Company>PCMI</Company>
  <Pages>11</Pages>
  <Words>6114</Words>
  <Characters>6647</Characters>
  <Lines>60</Lines>
  <Paragraphs>17</Paragraphs>
  <TotalTime>123</TotalTime>
  <ScaleCrop>false</ScaleCrop>
  <LinksUpToDate>false</LinksUpToDate>
  <CharactersWithSpaces>6802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2022-09-20T02:32:00Z</dcterms:created>
  <dc:creator>姜</dc:creator>
  <dc:description>&lt;config cover="true" show_menu="true" version="1.0.0" doctype="SDKXY"&gt;_x000d_
&lt;/config&gt;</dc:description>
  <cp:lastModifiedBy>Follow Heart</cp:lastModifiedBy>
  <cp:lastPrinted>2022-09-20T02:32:00Z</cp:lastPrinted>
  <dcterms:modified xsi:type="dcterms:W3CDTF">2022-09-23T09:25:56Z</dcterms:modified>
  <dc:title>地方标准</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2052-11.1.0.12358</vt:lpwstr>
  </property>
  <property fmtid="{D5CDD505-2E9C-101B-9397-08002B2CF9AE}" pid="15" name="ICV">
    <vt:lpwstr>AE66EA5EEC8246FFAF62928DF1C50322</vt:lpwstr>
  </property>
</Properties>
</file>