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pStyle w:val="14"/>
        <w:framePr w:w="9638" w:h="2243" w:hRule="exact" w:wrap="around" w:vAnchor="page" w:hAnchor="page" w:x="1332" w:y="5922"/>
        <w:widowControl/>
        <w:rPr>
          <w:rFonts w:hint="default"/>
        </w:rPr>
      </w:pPr>
      <w:r>
        <w:t>中底兼用网板制作技术规范</w:t>
      </w:r>
    </w:p>
    <w:p>
      <w:pPr>
        <w:pStyle w:val="14"/>
        <w:framePr w:w="9638" w:h="2243" w:hRule="exact" w:wrap="around" w:vAnchor="page" w:hAnchor="page" w:x="1332" w:y="5922"/>
        <w:widowControl/>
        <w:rPr>
          <w:rFonts w:hint="default"/>
        </w:rPr>
      </w:pPr>
      <w:r>
        <w:t>（征求意见稿）</w:t>
      </w:r>
    </w:p>
    <w:p>
      <w:pPr>
        <w:pStyle w:val="14"/>
        <w:framePr w:w="9638" w:h="2243" w:hRule="exact" w:wrap="around" w:vAnchor="page" w:hAnchor="page" w:x="1332" w:y="5922"/>
        <w:widowControl/>
        <w:rPr>
          <w:rFonts w:hint="default"/>
        </w:rPr>
      </w:pPr>
      <w:r>
        <w:t>编制说明</w:t>
      </w: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jc w:val="center"/>
        <w:rPr>
          <w:rFonts w:ascii="黑体" w:hAnsi="宋体" w:eastAsia="黑体" w:cs="黑体"/>
          <w:sz w:val="28"/>
          <w:szCs w:val="28"/>
          <w:lang w:bidi="ar"/>
        </w:rPr>
      </w:pPr>
      <w:r>
        <w:rPr>
          <w:rFonts w:hint="eastAsia" w:ascii="黑体" w:hAnsi="宋体" w:eastAsia="黑体" w:cs="黑体"/>
          <w:sz w:val="28"/>
          <w:szCs w:val="28"/>
          <w:lang w:bidi="ar"/>
        </w:rPr>
        <w:t>湖南鑫海股份有限公司</w:t>
      </w:r>
    </w:p>
    <w:p>
      <w:pPr>
        <w:adjustRightInd w:val="0"/>
        <w:spacing w:line="400" w:lineRule="exact"/>
        <w:jc w:val="center"/>
        <w:rPr>
          <w:rFonts w:ascii="黑体" w:hAnsi="宋体" w:eastAsia="黑体" w:cs="黑体"/>
          <w:sz w:val="28"/>
          <w:szCs w:val="28"/>
          <w:lang w:bidi="ar"/>
        </w:rPr>
      </w:pPr>
      <w:r>
        <w:rPr>
          <w:rFonts w:hint="eastAsia" w:ascii="黑体" w:hAnsi="宋体" w:eastAsia="黑体" w:cs="黑体"/>
          <w:sz w:val="28"/>
          <w:szCs w:val="28"/>
          <w:lang w:bidi="ar"/>
        </w:rPr>
        <w:t>中国水产科学研究院东海水产研究所</w:t>
      </w:r>
    </w:p>
    <w:p>
      <w:pPr>
        <w:adjustRightInd w:val="0"/>
        <w:spacing w:line="400" w:lineRule="exact"/>
        <w:jc w:val="center"/>
        <w:rPr>
          <w:rFonts w:ascii="黑体" w:hAnsi="宋体" w:eastAsia="黑体" w:cs="黑体"/>
          <w:sz w:val="28"/>
          <w:szCs w:val="28"/>
        </w:rPr>
      </w:pPr>
      <w:r>
        <w:rPr>
          <w:rFonts w:hint="eastAsia" w:ascii="黑体" w:hAnsi="宋体" w:eastAsia="黑体" w:cs="黑体"/>
          <w:sz w:val="28"/>
          <w:szCs w:val="28"/>
          <w:lang w:bidi="ar"/>
        </w:rPr>
        <w:t>浙江海洋大学</w:t>
      </w:r>
    </w:p>
    <w:p>
      <w:pPr>
        <w:adjustRightInd w:val="0"/>
        <w:spacing w:line="400" w:lineRule="exact"/>
        <w:jc w:val="center"/>
        <w:rPr>
          <w:rFonts w:ascii="黑体" w:hAnsi="宋体" w:eastAsia="黑体" w:cs="黑体"/>
          <w:sz w:val="28"/>
          <w:szCs w:val="28"/>
        </w:rPr>
      </w:pPr>
      <w:r>
        <w:rPr>
          <w:rFonts w:hint="eastAsia" w:ascii="黑体" w:hAnsi="宋体" w:eastAsia="黑体" w:cs="黑体"/>
          <w:sz w:val="28"/>
          <w:szCs w:val="28"/>
          <w:lang w:bidi="ar"/>
        </w:rPr>
        <w:t>二零二二年九月</w:t>
      </w:r>
    </w:p>
    <w:p>
      <w:pPr>
        <w:pStyle w:val="6"/>
        <w:tabs>
          <w:tab w:val="right" w:leader="dot" w:pos="8630"/>
        </w:tabs>
        <w:rPr>
          <w:szCs w:val="22"/>
        </w:rPr>
      </w:pPr>
      <w:r>
        <w:rPr>
          <w:rFonts w:hint="eastAsia"/>
        </w:rPr>
        <w:fldChar w:fldCharType="begin"/>
      </w:r>
      <w:r>
        <w:instrText xml:space="preserve">TOC \o "1-2" \h \u </w:instrText>
      </w:r>
      <w:r>
        <w:rPr>
          <w:rFonts w:hint="eastAsia"/>
        </w:rPr>
        <w:fldChar w:fldCharType="separate"/>
      </w:r>
      <w:r>
        <w:fldChar w:fldCharType="begin"/>
      </w:r>
      <w:r>
        <w:instrText xml:space="preserve"> HYPERLINK \l "_Toc114576053" </w:instrText>
      </w:r>
      <w:r>
        <w:fldChar w:fldCharType="separate"/>
      </w:r>
      <w:r>
        <w:rPr>
          <w:rStyle w:val="12"/>
          <w:rFonts w:cs="黑体"/>
        </w:rPr>
        <w:t>1</w:t>
      </w:r>
      <w:r>
        <w:rPr>
          <w:rStyle w:val="12"/>
          <w:rFonts w:hint="eastAsia"/>
        </w:rPr>
        <w:t xml:space="preserve"> 编制背景</w:t>
      </w:r>
      <w:r>
        <w:tab/>
      </w:r>
      <w:r>
        <w:fldChar w:fldCharType="begin"/>
      </w:r>
      <w:r>
        <w:instrText xml:space="preserve"> PAGEREF _Toc114576053 \h </w:instrText>
      </w:r>
      <w:r>
        <w:fldChar w:fldCharType="separate"/>
      </w:r>
      <w:r>
        <w:t>1</w:t>
      </w:r>
      <w:r>
        <w:fldChar w:fldCharType="end"/>
      </w:r>
      <w:r>
        <w:fldChar w:fldCharType="end"/>
      </w:r>
    </w:p>
    <w:p>
      <w:pPr>
        <w:pStyle w:val="6"/>
        <w:tabs>
          <w:tab w:val="right" w:leader="dot" w:pos="8630"/>
        </w:tabs>
        <w:rPr>
          <w:szCs w:val="22"/>
        </w:rPr>
      </w:pPr>
      <w:r>
        <w:fldChar w:fldCharType="begin"/>
      </w:r>
      <w:r>
        <w:instrText xml:space="preserve"> HYPERLINK \l "_Toc114576054" </w:instrText>
      </w:r>
      <w:r>
        <w:fldChar w:fldCharType="separate"/>
      </w:r>
      <w:r>
        <w:rPr>
          <w:rStyle w:val="12"/>
          <w:rFonts w:cs="黑体"/>
        </w:rPr>
        <w:t>2</w:t>
      </w:r>
      <w:r>
        <w:rPr>
          <w:rStyle w:val="12"/>
          <w:rFonts w:hint="eastAsia"/>
        </w:rPr>
        <w:t xml:space="preserve"> 编制意义</w:t>
      </w:r>
      <w:r>
        <w:tab/>
      </w:r>
      <w:r>
        <w:fldChar w:fldCharType="begin"/>
      </w:r>
      <w:r>
        <w:instrText xml:space="preserve"> PAGEREF _Toc114576054 \h </w:instrText>
      </w:r>
      <w:r>
        <w:fldChar w:fldCharType="separate"/>
      </w:r>
      <w:r>
        <w:t>1</w:t>
      </w:r>
      <w:r>
        <w:fldChar w:fldCharType="end"/>
      </w:r>
      <w:r>
        <w:fldChar w:fldCharType="end"/>
      </w:r>
    </w:p>
    <w:p>
      <w:pPr>
        <w:pStyle w:val="6"/>
        <w:tabs>
          <w:tab w:val="right" w:leader="dot" w:pos="8630"/>
        </w:tabs>
        <w:rPr>
          <w:szCs w:val="22"/>
        </w:rPr>
      </w:pPr>
      <w:r>
        <w:fldChar w:fldCharType="begin"/>
      </w:r>
      <w:r>
        <w:instrText xml:space="preserve"> HYPERLINK \l "_Toc114576055" </w:instrText>
      </w:r>
      <w:r>
        <w:fldChar w:fldCharType="separate"/>
      </w:r>
      <w:r>
        <w:rPr>
          <w:rStyle w:val="12"/>
          <w:rFonts w:cs="黑体"/>
        </w:rPr>
        <w:t>3</w:t>
      </w:r>
      <w:r>
        <w:rPr>
          <w:rStyle w:val="12"/>
          <w:rFonts w:hint="eastAsia"/>
        </w:rPr>
        <w:t xml:space="preserve"> 项目来源</w:t>
      </w:r>
      <w:r>
        <w:tab/>
      </w:r>
      <w:r>
        <w:fldChar w:fldCharType="begin"/>
      </w:r>
      <w:r>
        <w:instrText xml:space="preserve"> PAGEREF _Toc114576055 \h </w:instrText>
      </w:r>
      <w:r>
        <w:fldChar w:fldCharType="separate"/>
      </w:r>
      <w:r>
        <w:t>1</w:t>
      </w:r>
      <w:r>
        <w:fldChar w:fldCharType="end"/>
      </w:r>
      <w:r>
        <w:fldChar w:fldCharType="end"/>
      </w:r>
    </w:p>
    <w:p>
      <w:pPr>
        <w:pStyle w:val="6"/>
        <w:tabs>
          <w:tab w:val="right" w:leader="dot" w:pos="8630"/>
        </w:tabs>
        <w:rPr>
          <w:szCs w:val="22"/>
        </w:rPr>
      </w:pPr>
      <w:r>
        <w:fldChar w:fldCharType="begin"/>
      </w:r>
      <w:r>
        <w:instrText xml:space="preserve"> HYPERLINK \l "_Toc114576056" </w:instrText>
      </w:r>
      <w:r>
        <w:fldChar w:fldCharType="separate"/>
      </w:r>
      <w:r>
        <w:rPr>
          <w:rStyle w:val="12"/>
          <w:rFonts w:cs="黑体"/>
        </w:rPr>
        <w:t>4</w:t>
      </w:r>
      <w:r>
        <w:rPr>
          <w:rStyle w:val="12"/>
          <w:rFonts w:hint="eastAsia"/>
        </w:rPr>
        <w:t xml:space="preserve"> 起草单位及起草人</w:t>
      </w:r>
      <w:r>
        <w:tab/>
      </w:r>
      <w:r>
        <w:fldChar w:fldCharType="begin"/>
      </w:r>
      <w:r>
        <w:instrText xml:space="preserve"> PAGEREF _Toc114576056 \h </w:instrText>
      </w:r>
      <w:r>
        <w:fldChar w:fldCharType="separate"/>
      </w:r>
      <w:r>
        <w:t>2</w:t>
      </w:r>
      <w:r>
        <w:fldChar w:fldCharType="end"/>
      </w:r>
      <w:r>
        <w:fldChar w:fldCharType="end"/>
      </w:r>
    </w:p>
    <w:p>
      <w:pPr>
        <w:pStyle w:val="6"/>
        <w:tabs>
          <w:tab w:val="right" w:leader="dot" w:pos="8630"/>
        </w:tabs>
        <w:rPr>
          <w:szCs w:val="22"/>
        </w:rPr>
      </w:pPr>
      <w:r>
        <w:fldChar w:fldCharType="begin"/>
      </w:r>
      <w:r>
        <w:instrText xml:space="preserve"> HYPERLINK \l "_Toc114576057" </w:instrText>
      </w:r>
      <w:r>
        <w:fldChar w:fldCharType="separate"/>
      </w:r>
      <w:r>
        <w:rPr>
          <w:rStyle w:val="12"/>
          <w:rFonts w:cs="黑体"/>
        </w:rPr>
        <w:t>5</w:t>
      </w:r>
      <w:r>
        <w:rPr>
          <w:rStyle w:val="12"/>
          <w:rFonts w:hint="eastAsia"/>
        </w:rPr>
        <w:t xml:space="preserve"> 编制原则和依据</w:t>
      </w:r>
      <w:r>
        <w:tab/>
      </w:r>
      <w:r>
        <w:fldChar w:fldCharType="begin"/>
      </w:r>
      <w:r>
        <w:instrText xml:space="preserve"> PAGEREF _Toc114576057 \h </w:instrText>
      </w:r>
      <w:r>
        <w:fldChar w:fldCharType="separate"/>
      </w:r>
      <w:r>
        <w:t>2</w:t>
      </w:r>
      <w:r>
        <w:fldChar w:fldCharType="end"/>
      </w:r>
      <w:r>
        <w:fldChar w:fldCharType="end"/>
      </w:r>
    </w:p>
    <w:p>
      <w:pPr>
        <w:pStyle w:val="7"/>
        <w:tabs>
          <w:tab w:val="right" w:leader="dot" w:pos="8630"/>
        </w:tabs>
        <w:rPr>
          <w:szCs w:val="22"/>
        </w:rPr>
      </w:pPr>
      <w:r>
        <w:fldChar w:fldCharType="begin"/>
      </w:r>
      <w:r>
        <w:instrText xml:space="preserve"> HYPERLINK \l "_Toc114576058" </w:instrText>
      </w:r>
      <w:r>
        <w:fldChar w:fldCharType="separate"/>
      </w:r>
      <w:r>
        <w:rPr>
          <w:rStyle w:val="12"/>
        </w:rPr>
        <w:t>5.1</w:t>
      </w:r>
      <w:r>
        <w:rPr>
          <w:rStyle w:val="12"/>
          <w:rFonts w:hint="eastAsia"/>
        </w:rPr>
        <w:t xml:space="preserve"> 编制原则</w:t>
      </w:r>
      <w:r>
        <w:tab/>
      </w:r>
      <w:r>
        <w:fldChar w:fldCharType="begin"/>
      </w:r>
      <w:r>
        <w:instrText xml:space="preserve"> PAGEREF _Toc114576058 \h </w:instrText>
      </w:r>
      <w:r>
        <w:fldChar w:fldCharType="separate"/>
      </w:r>
      <w:r>
        <w:t>2</w:t>
      </w:r>
      <w:r>
        <w:fldChar w:fldCharType="end"/>
      </w:r>
      <w:r>
        <w:fldChar w:fldCharType="end"/>
      </w:r>
    </w:p>
    <w:p>
      <w:pPr>
        <w:pStyle w:val="7"/>
        <w:tabs>
          <w:tab w:val="right" w:leader="dot" w:pos="8630"/>
        </w:tabs>
        <w:rPr>
          <w:szCs w:val="22"/>
        </w:rPr>
      </w:pPr>
      <w:r>
        <w:fldChar w:fldCharType="begin"/>
      </w:r>
      <w:r>
        <w:instrText xml:space="preserve"> HYPERLINK \l "_Toc114576059" </w:instrText>
      </w:r>
      <w:r>
        <w:fldChar w:fldCharType="separate"/>
      </w:r>
      <w:r>
        <w:rPr>
          <w:rStyle w:val="12"/>
        </w:rPr>
        <w:t>5.2</w:t>
      </w:r>
      <w:r>
        <w:rPr>
          <w:rStyle w:val="12"/>
          <w:rFonts w:hint="eastAsia"/>
        </w:rPr>
        <w:t xml:space="preserve"> 编制依据</w:t>
      </w:r>
      <w:r>
        <w:tab/>
      </w:r>
      <w:r>
        <w:fldChar w:fldCharType="begin"/>
      </w:r>
      <w:r>
        <w:instrText xml:space="preserve"> PAGEREF _Toc114576059 \h </w:instrText>
      </w:r>
      <w:r>
        <w:fldChar w:fldCharType="separate"/>
      </w:r>
      <w:r>
        <w:t>2</w:t>
      </w:r>
      <w:r>
        <w:fldChar w:fldCharType="end"/>
      </w:r>
      <w:r>
        <w:fldChar w:fldCharType="end"/>
      </w:r>
    </w:p>
    <w:p>
      <w:pPr>
        <w:pStyle w:val="6"/>
        <w:tabs>
          <w:tab w:val="right" w:leader="dot" w:pos="8630"/>
        </w:tabs>
        <w:rPr>
          <w:szCs w:val="22"/>
        </w:rPr>
      </w:pPr>
      <w:r>
        <w:fldChar w:fldCharType="begin"/>
      </w:r>
      <w:r>
        <w:instrText xml:space="preserve"> HYPERLINK \l "_Toc114576060" </w:instrText>
      </w:r>
      <w:r>
        <w:fldChar w:fldCharType="separate"/>
      </w:r>
      <w:r>
        <w:rPr>
          <w:rStyle w:val="12"/>
          <w:rFonts w:cs="黑体"/>
        </w:rPr>
        <w:t>6</w:t>
      </w:r>
      <w:r>
        <w:rPr>
          <w:rStyle w:val="12"/>
          <w:rFonts w:hint="eastAsia"/>
        </w:rPr>
        <w:t xml:space="preserve"> 编制过程</w:t>
      </w:r>
      <w:r>
        <w:tab/>
      </w:r>
      <w:r>
        <w:fldChar w:fldCharType="begin"/>
      </w:r>
      <w:r>
        <w:instrText xml:space="preserve"> PAGEREF _Toc114576060 \h </w:instrText>
      </w:r>
      <w:r>
        <w:fldChar w:fldCharType="separate"/>
      </w:r>
      <w:r>
        <w:t>3</w:t>
      </w:r>
      <w:r>
        <w:fldChar w:fldCharType="end"/>
      </w:r>
      <w:r>
        <w:fldChar w:fldCharType="end"/>
      </w:r>
    </w:p>
    <w:p>
      <w:pPr>
        <w:pStyle w:val="7"/>
        <w:tabs>
          <w:tab w:val="right" w:leader="dot" w:pos="8630"/>
        </w:tabs>
        <w:rPr>
          <w:szCs w:val="22"/>
        </w:rPr>
      </w:pPr>
      <w:r>
        <w:fldChar w:fldCharType="begin"/>
      </w:r>
      <w:r>
        <w:instrText xml:space="preserve"> HYPERLINK \l "_Toc114576061" </w:instrText>
      </w:r>
      <w:r>
        <w:fldChar w:fldCharType="separate"/>
      </w:r>
      <w:r>
        <w:rPr>
          <w:rStyle w:val="12"/>
        </w:rPr>
        <w:t>6.1</w:t>
      </w:r>
      <w:r>
        <w:rPr>
          <w:rStyle w:val="12"/>
          <w:rFonts w:hint="eastAsia"/>
        </w:rPr>
        <w:t xml:space="preserve"> 筹备阶段</w:t>
      </w:r>
      <w:r>
        <w:tab/>
      </w:r>
      <w:r>
        <w:fldChar w:fldCharType="begin"/>
      </w:r>
      <w:r>
        <w:instrText xml:space="preserve"> PAGEREF _Toc114576061 \h </w:instrText>
      </w:r>
      <w:r>
        <w:fldChar w:fldCharType="separate"/>
      </w:r>
      <w:r>
        <w:t>3</w:t>
      </w:r>
      <w:r>
        <w:fldChar w:fldCharType="end"/>
      </w:r>
      <w:r>
        <w:fldChar w:fldCharType="end"/>
      </w:r>
    </w:p>
    <w:p>
      <w:pPr>
        <w:pStyle w:val="7"/>
        <w:tabs>
          <w:tab w:val="right" w:leader="dot" w:pos="8630"/>
        </w:tabs>
        <w:rPr>
          <w:szCs w:val="22"/>
        </w:rPr>
      </w:pPr>
      <w:r>
        <w:fldChar w:fldCharType="begin"/>
      </w:r>
      <w:r>
        <w:instrText xml:space="preserve"> HYPERLINK \l "_Toc114576062" </w:instrText>
      </w:r>
      <w:r>
        <w:fldChar w:fldCharType="separate"/>
      </w:r>
      <w:r>
        <w:rPr>
          <w:rStyle w:val="12"/>
        </w:rPr>
        <w:t>6.2</w:t>
      </w:r>
      <w:r>
        <w:rPr>
          <w:rStyle w:val="12"/>
          <w:rFonts w:hint="eastAsia"/>
        </w:rPr>
        <w:t xml:space="preserve"> 标准立项（</w:t>
      </w:r>
      <w:r>
        <w:rPr>
          <w:rStyle w:val="12"/>
        </w:rPr>
        <w:t>2022</w:t>
      </w:r>
      <w:r>
        <w:rPr>
          <w:rStyle w:val="12"/>
          <w:rFonts w:hint="eastAsia"/>
        </w:rPr>
        <w:t>年</w:t>
      </w:r>
      <w:r>
        <w:rPr>
          <w:rStyle w:val="12"/>
        </w:rPr>
        <w:t>2</w:t>
      </w:r>
      <w:r>
        <w:rPr>
          <w:rStyle w:val="12"/>
          <w:rFonts w:hint="eastAsia"/>
        </w:rPr>
        <w:t>月</w:t>
      </w:r>
      <w:r>
        <w:rPr>
          <w:rStyle w:val="12"/>
        </w:rPr>
        <w:t>-2022</w:t>
      </w:r>
      <w:r>
        <w:rPr>
          <w:rStyle w:val="12"/>
          <w:rFonts w:hint="eastAsia"/>
        </w:rPr>
        <w:t>年</w:t>
      </w:r>
      <w:r>
        <w:rPr>
          <w:rStyle w:val="12"/>
        </w:rPr>
        <w:t>6</w:t>
      </w:r>
      <w:r>
        <w:rPr>
          <w:rStyle w:val="12"/>
          <w:rFonts w:hint="eastAsia"/>
        </w:rPr>
        <w:t>月）</w:t>
      </w:r>
      <w:r>
        <w:tab/>
      </w:r>
      <w:r>
        <w:fldChar w:fldCharType="begin"/>
      </w:r>
      <w:r>
        <w:instrText xml:space="preserve"> PAGEREF _Toc114576062 \h </w:instrText>
      </w:r>
      <w:r>
        <w:fldChar w:fldCharType="separate"/>
      </w:r>
      <w:r>
        <w:t>3</w:t>
      </w:r>
      <w:r>
        <w:fldChar w:fldCharType="end"/>
      </w:r>
      <w:r>
        <w:fldChar w:fldCharType="end"/>
      </w:r>
    </w:p>
    <w:p>
      <w:pPr>
        <w:pStyle w:val="7"/>
        <w:tabs>
          <w:tab w:val="right" w:leader="dot" w:pos="8630"/>
        </w:tabs>
        <w:rPr>
          <w:szCs w:val="22"/>
        </w:rPr>
      </w:pPr>
      <w:r>
        <w:fldChar w:fldCharType="begin"/>
      </w:r>
      <w:r>
        <w:instrText xml:space="preserve"> HYPERLINK \l "_Toc114576063" </w:instrText>
      </w:r>
      <w:r>
        <w:fldChar w:fldCharType="separate"/>
      </w:r>
      <w:r>
        <w:rPr>
          <w:rStyle w:val="12"/>
        </w:rPr>
        <w:t>6.3</w:t>
      </w:r>
      <w:r>
        <w:rPr>
          <w:rStyle w:val="12"/>
          <w:rFonts w:hint="eastAsia"/>
        </w:rPr>
        <w:t xml:space="preserve"> 标准起草过程（</w:t>
      </w:r>
      <w:r>
        <w:rPr>
          <w:rStyle w:val="12"/>
        </w:rPr>
        <w:t>2022</w:t>
      </w:r>
      <w:r>
        <w:rPr>
          <w:rStyle w:val="12"/>
          <w:rFonts w:hint="eastAsia"/>
        </w:rPr>
        <w:t>年</w:t>
      </w:r>
      <w:r>
        <w:rPr>
          <w:rStyle w:val="12"/>
        </w:rPr>
        <w:t>6</w:t>
      </w:r>
      <w:r>
        <w:rPr>
          <w:rStyle w:val="12"/>
          <w:rFonts w:hint="eastAsia"/>
        </w:rPr>
        <w:t>月</w:t>
      </w:r>
      <w:r>
        <w:rPr>
          <w:rStyle w:val="12"/>
        </w:rPr>
        <w:t>-2022</w:t>
      </w:r>
      <w:r>
        <w:rPr>
          <w:rStyle w:val="12"/>
          <w:rFonts w:hint="eastAsia"/>
        </w:rPr>
        <w:t>年</w:t>
      </w:r>
      <w:r>
        <w:rPr>
          <w:rStyle w:val="12"/>
        </w:rPr>
        <w:t>8</w:t>
      </w:r>
      <w:r>
        <w:rPr>
          <w:rStyle w:val="12"/>
          <w:rFonts w:hint="eastAsia"/>
        </w:rPr>
        <w:t>月）</w:t>
      </w:r>
      <w:r>
        <w:tab/>
      </w:r>
      <w:r>
        <w:fldChar w:fldCharType="begin"/>
      </w:r>
      <w:r>
        <w:instrText xml:space="preserve"> PAGEREF _Toc114576063 \h </w:instrText>
      </w:r>
      <w:r>
        <w:fldChar w:fldCharType="separate"/>
      </w:r>
      <w:r>
        <w:t>3</w:t>
      </w:r>
      <w:r>
        <w:fldChar w:fldCharType="end"/>
      </w:r>
      <w:r>
        <w:fldChar w:fldCharType="end"/>
      </w:r>
    </w:p>
    <w:p>
      <w:pPr>
        <w:pStyle w:val="7"/>
        <w:tabs>
          <w:tab w:val="right" w:leader="dot" w:pos="8630"/>
        </w:tabs>
        <w:rPr>
          <w:szCs w:val="22"/>
        </w:rPr>
      </w:pPr>
      <w:r>
        <w:fldChar w:fldCharType="begin"/>
      </w:r>
      <w:r>
        <w:instrText xml:space="preserve"> HYPERLINK \l "_Toc114576064" </w:instrText>
      </w:r>
      <w:r>
        <w:fldChar w:fldCharType="separate"/>
      </w:r>
      <w:r>
        <w:rPr>
          <w:rStyle w:val="12"/>
        </w:rPr>
        <w:t>6.4</w:t>
      </w:r>
      <w:r>
        <w:rPr>
          <w:rStyle w:val="12"/>
          <w:rFonts w:hint="eastAsia"/>
        </w:rPr>
        <w:t xml:space="preserve"> 调研环节（</w:t>
      </w:r>
      <w:r>
        <w:rPr>
          <w:rStyle w:val="12"/>
        </w:rPr>
        <w:t>2022</w:t>
      </w:r>
      <w:r>
        <w:rPr>
          <w:rStyle w:val="12"/>
          <w:rFonts w:hint="eastAsia"/>
        </w:rPr>
        <w:t>年</w:t>
      </w:r>
      <w:r>
        <w:rPr>
          <w:rStyle w:val="12"/>
        </w:rPr>
        <w:t>8</w:t>
      </w:r>
      <w:r>
        <w:rPr>
          <w:rStyle w:val="12"/>
          <w:rFonts w:hint="eastAsia"/>
        </w:rPr>
        <w:t>月</w:t>
      </w:r>
      <w:r>
        <w:rPr>
          <w:rStyle w:val="12"/>
        </w:rPr>
        <w:t>-2022</w:t>
      </w:r>
      <w:r>
        <w:rPr>
          <w:rStyle w:val="12"/>
          <w:rFonts w:hint="eastAsia"/>
        </w:rPr>
        <w:t>年</w:t>
      </w:r>
      <w:r>
        <w:rPr>
          <w:rStyle w:val="12"/>
        </w:rPr>
        <w:t>9</w:t>
      </w:r>
      <w:r>
        <w:rPr>
          <w:rStyle w:val="12"/>
          <w:rFonts w:hint="eastAsia"/>
        </w:rPr>
        <w:t>月）</w:t>
      </w:r>
      <w:r>
        <w:tab/>
      </w:r>
      <w:r>
        <w:fldChar w:fldCharType="begin"/>
      </w:r>
      <w:r>
        <w:instrText xml:space="preserve"> PAGEREF _Toc114576064 \h </w:instrText>
      </w:r>
      <w:r>
        <w:fldChar w:fldCharType="separate"/>
      </w:r>
      <w:r>
        <w:t>3</w:t>
      </w:r>
      <w:r>
        <w:fldChar w:fldCharType="end"/>
      </w:r>
      <w:r>
        <w:fldChar w:fldCharType="end"/>
      </w:r>
    </w:p>
    <w:p>
      <w:pPr>
        <w:pStyle w:val="6"/>
        <w:tabs>
          <w:tab w:val="right" w:leader="dot" w:pos="8630"/>
        </w:tabs>
        <w:rPr>
          <w:szCs w:val="22"/>
        </w:rPr>
      </w:pPr>
      <w:r>
        <w:fldChar w:fldCharType="begin"/>
      </w:r>
      <w:r>
        <w:instrText xml:space="preserve"> HYPERLINK \l "_Toc114576065" </w:instrText>
      </w:r>
      <w:r>
        <w:fldChar w:fldCharType="separate"/>
      </w:r>
      <w:r>
        <w:rPr>
          <w:rStyle w:val="12"/>
          <w:rFonts w:cs="黑体"/>
        </w:rPr>
        <w:t>7</w:t>
      </w:r>
      <w:r>
        <w:rPr>
          <w:rStyle w:val="12"/>
          <w:rFonts w:hint="eastAsia"/>
        </w:rPr>
        <w:t xml:space="preserve"> 主要技术内容说明</w:t>
      </w:r>
      <w:r>
        <w:tab/>
      </w:r>
      <w:r>
        <w:fldChar w:fldCharType="begin"/>
      </w:r>
      <w:r>
        <w:instrText xml:space="preserve"> PAGEREF _Toc114576065 \h </w:instrText>
      </w:r>
      <w:r>
        <w:fldChar w:fldCharType="separate"/>
      </w:r>
      <w:r>
        <w:t>3</w:t>
      </w:r>
      <w:r>
        <w:fldChar w:fldCharType="end"/>
      </w:r>
      <w:r>
        <w:fldChar w:fldCharType="end"/>
      </w:r>
    </w:p>
    <w:p>
      <w:pPr>
        <w:pStyle w:val="7"/>
        <w:tabs>
          <w:tab w:val="right" w:leader="dot" w:pos="8630"/>
        </w:tabs>
        <w:rPr>
          <w:szCs w:val="22"/>
        </w:rPr>
      </w:pPr>
      <w:r>
        <w:fldChar w:fldCharType="begin"/>
      </w:r>
      <w:r>
        <w:instrText xml:space="preserve"> HYPERLINK \l "_Toc114576066" </w:instrText>
      </w:r>
      <w:r>
        <w:fldChar w:fldCharType="separate"/>
      </w:r>
      <w:r>
        <w:rPr>
          <w:rStyle w:val="12"/>
        </w:rPr>
        <w:t>7.1</w:t>
      </w:r>
      <w:r>
        <w:rPr>
          <w:rStyle w:val="12"/>
          <w:rFonts w:hint="eastAsia"/>
        </w:rPr>
        <w:t xml:space="preserve"> 框架结构</w:t>
      </w:r>
      <w:r>
        <w:tab/>
      </w:r>
      <w:r>
        <w:fldChar w:fldCharType="begin"/>
      </w:r>
      <w:r>
        <w:instrText xml:space="preserve"> PAGEREF _Toc114576066 \h </w:instrText>
      </w:r>
      <w:r>
        <w:fldChar w:fldCharType="separate"/>
      </w:r>
      <w:r>
        <w:t>3</w:t>
      </w:r>
      <w:r>
        <w:fldChar w:fldCharType="end"/>
      </w:r>
      <w:r>
        <w:fldChar w:fldCharType="end"/>
      </w:r>
    </w:p>
    <w:p>
      <w:pPr>
        <w:pStyle w:val="7"/>
        <w:tabs>
          <w:tab w:val="right" w:leader="dot" w:pos="8630"/>
        </w:tabs>
        <w:rPr>
          <w:szCs w:val="22"/>
        </w:rPr>
      </w:pPr>
      <w:r>
        <w:fldChar w:fldCharType="begin"/>
      </w:r>
      <w:r>
        <w:instrText xml:space="preserve"> HYPERLINK \l "_Toc114576067" </w:instrText>
      </w:r>
      <w:r>
        <w:fldChar w:fldCharType="separate"/>
      </w:r>
      <w:r>
        <w:rPr>
          <w:rStyle w:val="12"/>
        </w:rPr>
        <w:t>7.2</w:t>
      </w:r>
      <w:r>
        <w:rPr>
          <w:rStyle w:val="12"/>
          <w:rFonts w:hint="eastAsia"/>
        </w:rPr>
        <w:t xml:space="preserve"> 主要技术内容说明</w:t>
      </w:r>
      <w:r>
        <w:tab/>
      </w:r>
      <w:r>
        <w:fldChar w:fldCharType="begin"/>
      </w:r>
      <w:r>
        <w:instrText xml:space="preserve"> PAGEREF _Toc114576067 \h </w:instrText>
      </w:r>
      <w:r>
        <w:fldChar w:fldCharType="separate"/>
      </w:r>
      <w:r>
        <w:t>3</w:t>
      </w:r>
      <w:r>
        <w:fldChar w:fldCharType="end"/>
      </w:r>
      <w:r>
        <w:fldChar w:fldCharType="end"/>
      </w:r>
    </w:p>
    <w:p>
      <w:pPr>
        <w:pStyle w:val="6"/>
        <w:tabs>
          <w:tab w:val="right" w:leader="dot" w:pos="8630"/>
        </w:tabs>
        <w:rPr>
          <w:szCs w:val="22"/>
        </w:rPr>
      </w:pPr>
      <w:r>
        <w:fldChar w:fldCharType="begin"/>
      </w:r>
      <w:r>
        <w:instrText xml:space="preserve"> HYPERLINK \l "_Toc114576068" </w:instrText>
      </w:r>
      <w:r>
        <w:fldChar w:fldCharType="separate"/>
      </w:r>
      <w:r>
        <w:rPr>
          <w:rStyle w:val="12"/>
          <w:rFonts w:cs="黑体"/>
        </w:rPr>
        <w:t>8</w:t>
      </w:r>
      <w:r>
        <w:rPr>
          <w:rStyle w:val="12"/>
          <w:rFonts w:hint="eastAsia"/>
        </w:rPr>
        <w:t xml:space="preserve"> 采用国际标准和国外先进标准的程度，与国际、国外同类标准水平的对比情况或与测试的国外样品、样机的有关数据对比情况</w:t>
      </w:r>
      <w:r>
        <w:tab/>
      </w:r>
      <w:r>
        <w:fldChar w:fldCharType="begin"/>
      </w:r>
      <w:r>
        <w:instrText xml:space="preserve"> PAGEREF _Toc114576068 \h </w:instrText>
      </w:r>
      <w:r>
        <w:fldChar w:fldCharType="separate"/>
      </w:r>
      <w:r>
        <w:t>4</w:t>
      </w:r>
      <w:r>
        <w:fldChar w:fldCharType="end"/>
      </w:r>
      <w:r>
        <w:fldChar w:fldCharType="end"/>
      </w:r>
    </w:p>
    <w:p>
      <w:pPr>
        <w:pStyle w:val="6"/>
        <w:tabs>
          <w:tab w:val="right" w:leader="dot" w:pos="8630"/>
        </w:tabs>
        <w:rPr>
          <w:szCs w:val="22"/>
        </w:rPr>
      </w:pPr>
      <w:r>
        <w:fldChar w:fldCharType="begin"/>
      </w:r>
      <w:r>
        <w:instrText xml:space="preserve"> HYPERLINK \l "_Toc114576069" </w:instrText>
      </w:r>
      <w:r>
        <w:fldChar w:fldCharType="separate"/>
      </w:r>
      <w:r>
        <w:rPr>
          <w:rStyle w:val="12"/>
          <w:rFonts w:cs="黑体"/>
        </w:rPr>
        <w:t>9</w:t>
      </w:r>
      <w:r>
        <w:rPr>
          <w:rStyle w:val="12"/>
          <w:rFonts w:hint="eastAsia"/>
        </w:rPr>
        <w:t xml:space="preserve"> 与有关的现行法律、法规和强制性标准的关系</w:t>
      </w:r>
      <w:r>
        <w:tab/>
      </w:r>
      <w:r>
        <w:fldChar w:fldCharType="begin"/>
      </w:r>
      <w:r>
        <w:instrText xml:space="preserve"> PAGEREF _Toc114576069 \h </w:instrText>
      </w:r>
      <w:r>
        <w:fldChar w:fldCharType="separate"/>
      </w:r>
      <w:r>
        <w:t>4</w:t>
      </w:r>
      <w:r>
        <w:fldChar w:fldCharType="end"/>
      </w:r>
      <w:r>
        <w:fldChar w:fldCharType="end"/>
      </w:r>
    </w:p>
    <w:p>
      <w:pPr>
        <w:pStyle w:val="6"/>
        <w:tabs>
          <w:tab w:val="right" w:leader="dot" w:pos="8630"/>
        </w:tabs>
        <w:rPr>
          <w:szCs w:val="22"/>
        </w:rPr>
      </w:pPr>
      <w:r>
        <w:fldChar w:fldCharType="begin"/>
      </w:r>
      <w:r>
        <w:instrText xml:space="preserve"> HYPERLINK \l "_Toc114576070" </w:instrText>
      </w:r>
      <w:r>
        <w:fldChar w:fldCharType="separate"/>
      </w:r>
      <w:r>
        <w:rPr>
          <w:rStyle w:val="12"/>
          <w:rFonts w:cs="黑体"/>
        </w:rPr>
        <w:t>10</w:t>
      </w:r>
      <w:r>
        <w:rPr>
          <w:rStyle w:val="12"/>
          <w:rFonts w:hint="eastAsia"/>
        </w:rPr>
        <w:t xml:space="preserve"> 重大分歧意见的处理经过和依据</w:t>
      </w:r>
      <w:r>
        <w:tab/>
      </w:r>
      <w:r>
        <w:fldChar w:fldCharType="begin"/>
      </w:r>
      <w:r>
        <w:instrText xml:space="preserve"> PAGEREF _Toc114576070 \h </w:instrText>
      </w:r>
      <w:r>
        <w:fldChar w:fldCharType="separate"/>
      </w:r>
      <w:r>
        <w:t>4</w:t>
      </w:r>
      <w:r>
        <w:fldChar w:fldCharType="end"/>
      </w:r>
      <w:r>
        <w:fldChar w:fldCharType="end"/>
      </w:r>
    </w:p>
    <w:p>
      <w:pPr>
        <w:pStyle w:val="6"/>
        <w:tabs>
          <w:tab w:val="right" w:leader="dot" w:pos="8630"/>
        </w:tabs>
        <w:rPr>
          <w:szCs w:val="22"/>
        </w:rPr>
      </w:pPr>
      <w:r>
        <w:fldChar w:fldCharType="begin"/>
      </w:r>
      <w:r>
        <w:instrText xml:space="preserve"> HYPERLINK \l "_Toc114576071" </w:instrText>
      </w:r>
      <w:r>
        <w:fldChar w:fldCharType="separate"/>
      </w:r>
      <w:r>
        <w:rPr>
          <w:rStyle w:val="12"/>
          <w:rFonts w:cs="黑体"/>
        </w:rPr>
        <w:t>11</w:t>
      </w:r>
      <w:r>
        <w:rPr>
          <w:rStyle w:val="12"/>
          <w:rFonts w:hint="eastAsia"/>
        </w:rPr>
        <w:t xml:space="preserve"> 实施地方标准要求和措施建议</w:t>
      </w:r>
      <w:r>
        <w:tab/>
      </w:r>
      <w:r>
        <w:fldChar w:fldCharType="begin"/>
      </w:r>
      <w:r>
        <w:instrText xml:space="preserve"> PAGEREF _Toc114576071 \h </w:instrText>
      </w:r>
      <w:r>
        <w:fldChar w:fldCharType="separate"/>
      </w:r>
      <w:r>
        <w:t>4</w:t>
      </w:r>
      <w:r>
        <w:fldChar w:fldCharType="end"/>
      </w:r>
      <w:r>
        <w:fldChar w:fldCharType="end"/>
      </w:r>
    </w:p>
    <w:p>
      <w:pPr>
        <w:pStyle w:val="16"/>
        <w:ind w:firstLine="0" w:firstLineChars="0"/>
        <w:rPr>
          <w:rFonts w:hint="default"/>
        </w:rPr>
        <w:sectPr>
          <w:pgSz w:w="12240" w:h="15840"/>
          <w:pgMar w:top="1440" w:right="1800" w:bottom="1440" w:left="1800" w:header="720" w:footer="720" w:gutter="0"/>
          <w:cols w:space="425" w:num="1"/>
          <w:docGrid w:type="lines" w:linePitch="312" w:charSpace="0"/>
        </w:sectPr>
      </w:pPr>
      <w:r>
        <w:fldChar w:fldCharType="end"/>
      </w:r>
    </w:p>
    <w:p>
      <w:pPr>
        <w:pStyle w:val="18"/>
        <w:spacing w:before="312" w:after="312"/>
        <w:rPr>
          <w:rFonts w:hint="default"/>
        </w:rPr>
      </w:pPr>
      <w:bookmarkStart w:id="0" w:name="_Toc114576053"/>
      <w:r>
        <w:t>编制背景</w:t>
      </w:r>
      <w:bookmarkEnd w:id="0"/>
    </w:p>
    <w:p>
      <w:pPr>
        <w:pStyle w:val="16"/>
        <w:ind w:firstLine="420"/>
      </w:pPr>
      <w:r>
        <w:t>我国西非过洋性拖网渔业中，捕虾渔船采用双支架作业方式使用矩形平面宽拖铁网板；捕捞头足类包括章鱼、乌贼、鱿鱼为主，兼捕底杂鱼的渔船采用椭圆形曲面开缝网板。作业主要在西非大西洋西岸国家的近海50 m以浅水域拖网生产，渔船功率441kW～735kW，网具为六片式结构形式。由于沿岸近海渔业资源变动，亟需开发外海深水鱼类，拓展新渔场资源，促进我国西非过洋渔业的可持续发展。</w:t>
      </w:r>
    </w:p>
    <w:p>
      <w:pPr>
        <w:pStyle w:val="16"/>
        <w:ind w:firstLine="420"/>
      </w:pPr>
      <w:r>
        <w:t>我国曾对西非沿岸有关国家的外海深水做过多年的渔业资源调查，以及参阅FAO调查资料表明，西非海域50～150 m等深线内栖息有较丰富的头足类和鳕鱼等底杂鱼，目前主要为欧盟的渔船所捕捞。因受渔船、渔具装备等方面的制约，我国未能涉足外海深水区拖网生产，远洋渔业企业的经济效益得不到应有的提升。</w:t>
      </w:r>
    </w:p>
    <w:p>
      <w:pPr>
        <w:pStyle w:val="16"/>
        <w:ind w:firstLine="420"/>
      </w:pPr>
      <w:r>
        <w:t>近年来，我国相继批量建造了882 kW～1470 kW较大功率的单拖渔船，为走向外海深水提供了保障。根据外海深水底质环境条件和主要捕捞对象，研制了矩形曲面双开缝中底两用型网板，并与四片式网具相匹配。通过对曳纲固结点或网板叉纲固结点的上下移动，可调整网板所处水层，因此，本网板既能底层作业，也能用于近底层作业。本设计网板在南京航空航天大学风洞实验室进行了模型风洞试验，试验结果达到设计要求。</w:t>
      </w:r>
    </w:p>
    <w:p>
      <w:pPr>
        <w:pStyle w:val="16"/>
        <w:ind w:firstLine="420"/>
      </w:pPr>
      <w:r>
        <w:t>本标准为2019年蓝色粮仓项目制定的标准项目。本标准由中国水产科学研究院东海水产研究所、湖南鑫海网具有限公司、浙江海洋大学负责起草，本标准主要起草人：冯春雷，刘洋，朱文斌，王鲁民，王磊，王玲，刘旺，周爱忠，郁岳峰。</w:t>
      </w:r>
    </w:p>
    <w:p>
      <w:pPr>
        <w:pStyle w:val="16"/>
        <w:ind w:firstLine="420"/>
        <w:rPr>
          <w:rFonts w:hint="default"/>
        </w:rPr>
      </w:pPr>
      <w:r>
        <w:t>本标准任务下达后，项目承担单位即成立了标准起草小组。标准起草小组对我国网板相关项目、标准、论著、手册、技术规范和研究报告等收集整理，在综合用户、生产企业和科研院校等多方面的基础上，试验论证和归纳总结，最后形成标准的征求意见稿。</w:t>
      </w:r>
    </w:p>
    <w:p>
      <w:pPr>
        <w:pStyle w:val="18"/>
        <w:spacing w:before="312" w:after="312"/>
        <w:rPr>
          <w:rFonts w:hint="default"/>
        </w:rPr>
      </w:pPr>
      <w:bookmarkStart w:id="1" w:name="_Toc114576054"/>
      <w:r>
        <w:t>编制意义</w:t>
      </w:r>
      <w:bookmarkEnd w:id="1"/>
    </w:p>
    <w:p>
      <w:pPr>
        <w:pStyle w:val="16"/>
        <w:ind w:firstLine="420"/>
      </w:pPr>
      <w:r>
        <w:t>我国西非过洋性渔业逐步从浅水区向深水区发展、矩形曲面双开缝中底两用网板的需求量也随之加大，为统一新型网板产品的生产、质量评判、执法管理、产品出口等，推动我国网板设计制造的技术进步，满足渔业装备与质量安全需求与执法管理需要，制定《中底兼用网板制作技术规范》十分必要。如果缺少相关行业标准规范，那么行业无法对其执法管理，若矩形曲面双开缝网板制作技术达不到要求，还会给网板在生产中带来很大的隐患与损失，因此，必须按拖网生产要求等制定《中底兼用网板制作技术规范》行业或地方标准。</w:t>
      </w:r>
    </w:p>
    <w:p>
      <w:pPr>
        <w:pStyle w:val="16"/>
        <w:ind w:firstLine="420"/>
      </w:pPr>
      <w:r>
        <w:t>我国不但是世界第一渔业大国，也是世界第一网具、网板及材料生产国，年生产网具、网板、渔具材料（包括绳索、网片、网线、网具、网板等）产值200亿以上，其中网板产值约1.5亿。我国的网板、网具等除内需外，还外销数十个国家和地区。《中底兼用网板制作技术规范》标准的立项制定，将有利于加快我国网板产品与国际现代化渔业接轨的步伐，既能为渔具产品的生产、技术交流、执法管理、经济贸易和质量安全管理等提供科学依据，又能完善执法标准，推动渔业节能减排，发展低碳渔业，助力我国过洋性渔业可持续健康发展。</w:t>
      </w:r>
    </w:p>
    <w:p>
      <w:pPr>
        <w:pStyle w:val="16"/>
        <w:ind w:firstLine="420"/>
        <w:rPr>
          <w:rFonts w:hint="default"/>
        </w:rPr>
      </w:pPr>
      <w:r>
        <w:t>因此，本文件的编制具有重要意义。</w:t>
      </w:r>
    </w:p>
    <w:p>
      <w:pPr>
        <w:pStyle w:val="18"/>
        <w:spacing w:before="312" w:after="312"/>
        <w:rPr>
          <w:rFonts w:hint="default"/>
        </w:rPr>
      </w:pPr>
      <w:bookmarkStart w:id="2" w:name="_Toc114576055"/>
      <w:r>
        <w:t>项目来源</w:t>
      </w:r>
      <w:bookmarkEnd w:id="2"/>
    </w:p>
    <w:p>
      <w:pPr>
        <w:pStyle w:val="16"/>
        <w:ind w:firstLine="420"/>
        <w:rPr>
          <w:rFonts w:hint="default"/>
        </w:rPr>
      </w:pPr>
      <w:bookmarkStart w:id="3" w:name="_Toc114576056"/>
      <w:r>
        <w:t>2022年</w:t>
      </w:r>
      <w:r>
        <w:rPr>
          <w:rFonts w:hint="eastAsia"/>
          <w:lang w:val="en-US" w:eastAsia="zh-CN"/>
        </w:rPr>
        <w:t>9</w:t>
      </w:r>
      <w:r>
        <w:t>月1</w:t>
      </w:r>
      <w:r>
        <w:rPr>
          <w:rFonts w:hint="eastAsia"/>
          <w:lang w:val="en-US" w:eastAsia="zh-CN"/>
        </w:rPr>
        <w:t>6</w:t>
      </w:r>
      <w:r>
        <w:t>日，经湖南省市场监督管理局《湖南省市场监督管理局关于下达 2022 年</w:t>
      </w:r>
      <w:r>
        <w:rPr>
          <w:rFonts w:hint="eastAsia"/>
          <w:lang w:val="en-US" w:eastAsia="zh-CN"/>
        </w:rPr>
        <w:t>度地方标准制修订项目第2批增补立项计划</w:t>
      </w:r>
      <w:r>
        <w:t>的通知》（湘市监标函〔2022〕</w:t>
      </w:r>
      <w:r>
        <w:rPr>
          <w:rFonts w:hint="eastAsia"/>
          <w:lang w:val="en-US" w:eastAsia="zh-CN"/>
        </w:rPr>
        <w:t>156</w:t>
      </w:r>
      <w:r>
        <w:t xml:space="preserve"> 号）审查批准，《</w:t>
      </w:r>
      <w:r>
        <w:rPr>
          <w:rFonts w:hint="eastAsia"/>
          <w:lang w:val="en-US" w:eastAsia="zh-CN"/>
        </w:rPr>
        <w:t>中底兼用网板制作技术规范</w:t>
      </w:r>
      <w:r>
        <w:t>》列入2022年湖南地方标准制修订项目</w:t>
      </w:r>
      <w:r>
        <w:rPr>
          <w:rFonts w:hint="eastAsia"/>
          <w:lang w:val="en-US" w:eastAsia="zh-CN"/>
        </w:rPr>
        <w:t>第2批增补立项</w:t>
      </w:r>
      <w:r>
        <w:t>计划，项目编序号为</w:t>
      </w:r>
      <w:r>
        <w:rPr>
          <w:rFonts w:hint="eastAsia"/>
          <w:lang w:val="en-US" w:eastAsia="zh-CN"/>
        </w:rPr>
        <w:t>4</w:t>
      </w:r>
      <w:r>
        <w:t>。</w:t>
      </w:r>
    </w:p>
    <w:p>
      <w:pPr>
        <w:pStyle w:val="16"/>
        <w:ind w:firstLine="420"/>
        <w:rPr>
          <w:rFonts w:hint="default"/>
        </w:rPr>
      </w:pPr>
      <w:r>
        <w:t>本标准是首次制订，按照NB/T47004-2009规则起草，由湖南省工业和信息化厅提出并归口。</w:t>
      </w:r>
    </w:p>
    <w:p>
      <w:pPr>
        <w:pStyle w:val="18"/>
        <w:spacing w:before="312" w:after="312"/>
        <w:rPr>
          <w:rFonts w:hint="default"/>
        </w:rPr>
      </w:pPr>
      <w:r>
        <w:t>起草单位及起草人</w:t>
      </w:r>
      <w:bookmarkEnd w:id="3"/>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65"/>
        <w:gridCol w:w="2165"/>
        <w:gridCol w:w="2165"/>
        <w:gridCol w:w="21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65" w:type="dxa"/>
            <w:tcBorders>
              <w:top w:val="single" w:color="auto" w:sz="8" w:space="0"/>
              <w:left w:val="single" w:color="auto" w:sz="8" w:space="0"/>
              <w:bottom w:val="single" w:color="auto" w:sz="8" w:space="0"/>
              <w:right w:val="single" w:color="auto" w:sz="4" w:space="0"/>
            </w:tcBorders>
            <w:shd w:val="clear" w:color="auto" w:fill="auto"/>
            <w:vAlign w:val="center"/>
          </w:tcPr>
          <w:p>
            <w:pPr>
              <w:pStyle w:val="15"/>
              <w:rPr>
                <w:rFonts w:hint="default"/>
              </w:rPr>
            </w:pPr>
            <w:r>
              <w:t>姓名</w:t>
            </w:r>
          </w:p>
        </w:tc>
        <w:tc>
          <w:tcPr>
            <w:tcW w:w="2165" w:type="dxa"/>
            <w:tcBorders>
              <w:top w:val="single" w:color="auto" w:sz="8" w:space="0"/>
              <w:left w:val="single" w:color="auto" w:sz="4" w:space="0"/>
              <w:bottom w:val="single" w:color="auto" w:sz="8" w:space="0"/>
              <w:right w:val="single" w:color="auto" w:sz="4" w:space="0"/>
            </w:tcBorders>
            <w:shd w:val="clear" w:color="auto" w:fill="auto"/>
            <w:vAlign w:val="center"/>
          </w:tcPr>
          <w:p>
            <w:pPr>
              <w:pStyle w:val="15"/>
              <w:rPr>
                <w:rFonts w:hint="default"/>
              </w:rPr>
            </w:pPr>
            <w:r>
              <w:t>职务/职称</w:t>
            </w:r>
          </w:p>
        </w:tc>
        <w:tc>
          <w:tcPr>
            <w:tcW w:w="2165" w:type="dxa"/>
            <w:tcBorders>
              <w:top w:val="single" w:color="auto" w:sz="8" w:space="0"/>
              <w:left w:val="single" w:color="auto" w:sz="4" w:space="0"/>
              <w:bottom w:val="single" w:color="auto" w:sz="8" w:space="0"/>
              <w:right w:val="single" w:color="auto" w:sz="4" w:space="0"/>
            </w:tcBorders>
            <w:shd w:val="clear" w:color="auto" w:fill="auto"/>
            <w:vAlign w:val="center"/>
          </w:tcPr>
          <w:p>
            <w:pPr>
              <w:pStyle w:val="15"/>
              <w:rPr>
                <w:rFonts w:hint="default"/>
              </w:rPr>
            </w:pPr>
            <w:r>
              <w:t>所在单位</w:t>
            </w:r>
          </w:p>
        </w:tc>
        <w:tc>
          <w:tcPr>
            <w:tcW w:w="2165" w:type="dxa"/>
            <w:tcBorders>
              <w:top w:val="single" w:color="auto" w:sz="8" w:space="0"/>
              <w:left w:val="single" w:color="auto" w:sz="4" w:space="0"/>
              <w:bottom w:val="single" w:color="auto" w:sz="8" w:space="0"/>
              <w:right w:val="single" w:color="auto" w:sz="8" w:space="0"/>
            </w:tcBorders>
            <w:shd w:val="clear" w:color="auto" w:fill="auto"/>
            <w:vAlign w:val="center"/>
          </w:tcPr>
          <w:p>
            <w:pPr>
              <w:pStyle w:val="15"/>
              <w:rPr>
                <w:rFonts w:hint="default"/>
              </w:rPr>
            </w:pPr>
            <w:r>
              <w:t>任务分工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8" w:space="0"/>
              <w:left w:val="single" w:color="auto" w:sz="8" w:space="0"/>
              <w:bottom w:val="single" w:color="auto" w:sz="4" w:space="0"/>
              <w:right w:val="single" w:color="auto" w:sz="4" w:space="0"/>
            </w:tcBorders>
            <w:shd w:val="clear" w:color="auto" w:fill="auto"/>
          </w:tcPr>
          <w:p>
            <w:pPr>
              <w:pStyle w:val="15"/>
              <w:rPr>
                <w:rFonts w:hint="default"/>
              </w:rPr>
            </w:pPr>
            <w:r>
              <w:t>冯春雷</w:t>
            </w:r>
          </w:p>
        </w:tc>
        <w:tc>
          <w:tcPr>
            <w:tcW w:w="2165" w:type="dxa"/>
            <w:tcBorders>
              <w:top w:val="single" w:color="auto" w:sz="8"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副研究员</w:t>
            </w:r>
          </w:p>
        </w:tc>
        <w:tc>
          <w:tcPr>
            <w:tcW w:w="2165" w:type="dxa"/>
            <w:tcBorders>
              <w:top w:val="single" w:color="auto" w:sz="8"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中国水产科学研究院东海水产研究所</w:t>
            </w:r>
          </w:p>
        </w:tc>
        <w:tc>
          <w:tcPr>
            <w:tcW w:w="2165" w:type="dxa"/>
            <w:tcBorders>
              <w:top w:val="single" w:color="auto" w:sz="8" w:space="0"/>
              <w:left w:val="single" w:color="auto" w:sz="4" w:space="0"/>
              <w:bottom w:val="single" w:color="auto" w:sz="4" w:space="0"/>
              <w:right w:val="single" w:color="auto" w:sz="8" w:space="0"/>
            </w:tcBorders>
            <w:shd w:val="clear" w:color="auto" w:fill="auto"/>
            <w:vAlign w:val="center"/>
          </w:tcPr>
          <w:p>
            <w:pPr>
              <w:pStyle w:val="15"/>
              <w:rPr>
                <w:rFonts w:hint="default"/>
              </w:rPr>
            </w:pPr>
            <w:r>
              <w:t>主要编写人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4" w:space="0"/>
              <w:left w:val="single" w:color="auto" w:sz="8" w:space="0"/>
              <w:bottom w:val="single" w:color="auto" w:sz="4" w:space="0"/>
              <w:right w:val="single" w:color="auto" w:sz="4" w:space="0"/>
            </w:tcBorders>
            <w:shd w:val="clear" w:color="auto" w:fill="auto"/>
          </w:tcPr>
          <w:p>
            <w:pPr>
              <w:pStyle w:val="15"/>
              <w:rPr>
                <w:rFonts w:hint="default"/>
              </w:rPr>
            </w:pPr>
            <w:r>
              <w:t>刘洋</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t>总经理</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t>湖南鑫海股份有限公司</w:t>
            </w:r>
          </w:p>
        </w:tc>
        <w:tc>
          <w:tcPr>
            <w:tcW w:w="2165" w:type="dxa"/>
            <w:tcBorders>
              <w:top w:val="single" w:color="auto" w:sz="4" w:space="0"/>
              <w:left w:val="single" w:color="auto" w:sz="4" w:space="0"/>
              <w:bottom w:val="single" w:color="auto" w:sz="4" w:space="0"/>
              <w:right w:val="single" w:color="auto" w:sz="8" w:space="0"/>
            </w:tcBorders>
            <w:shd w:val="clear" w:color="auto" w:fill="auto"/>
            <w:vAlign w:val="center"/>
          </w:tcPr>
          <w:p>
            <w:pPr>
              <w:pStyle w:val="15"/>
              <w:rPr>
                <w:rFonts w:hint="default"/>
              </w:rPr>
            </w:pPr>
            <w:r>
              <w:t>主要编写人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4" w:space="0"/>
              <w:left w:val="single" w:color="auto" w:sz="8" w:space="0"/>
              <w:bottom w:val="single" w:color="auto" w:sz="4" w:space="0"/>
              <w:right w:val="single" w:color="auto" w:sz="4" w:space="0"/>
            </w:tcBorders>
            <w:shd w:val="clear" w:color="auto" w:fill="auto"/>
          </w:tcPr>
          <w:p>
            <w:pPr>
              <w:pStyle w:val="15"/>
              <w:rPr>
                <w:rFonts w:hint="default"/>
              </w:rPr>
            </w:pPr>
            <w:r>
              <w:t>朱文斌</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副研究员</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t>浙江海洋大学</w:t>
            </w:r>
          </w:p>
        </w:tc>
        <w:tc>
          <w:tcPr>
            <w:tcW w:w="2165" w:type="dxa"/>
            <w:tcBorders>
              <w:top w:val="single" w:color="auto" w:sz="4" w:space="0"/>
              <w:left w:val="single" w:color="auto" w:sz="4" w:space="0"/>
              <w:bottom w:val="single" w:color="auto" w:sz="4" w:space="0"/>
              <w:right w:val="single" w:color="auto" w:sz="8" w:space="0"/>
            </w:tcBorders>
            <w:shd w:val="clear" w:color="auto" w:fill="auto"/>
            <w:vAlign w:val="center"/>
          </w:tcPr>
          <w:p>
            <w:pPr>
              <w:pStyle w:val="15"/>
              <w:rPr>
                <w:rFonts w:hint="default"/>
              </w:rPr>
            </w:pPr>
            <w:r>
              <w:t>主要编写人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4" w:space="0"/>
              <w:left w:val="single" w:color="auto" w:sz="8" w:space="0"/>
              <w:bottom w:val="single" w:color="auto" w:sz="4" w:space="0"/>
              <w:right w:val="single" w:color="auto" w:sz="4" w:space="0"/>
            </w:tcBorders>
            <w:shd w:val="clear" w:color="auto" w:fill="auto"/>
          </w:tcPr>
          <w:p>
            <w:pPr>
              <w:pStyle w:val="15"/>
              <w:rPr>
                <w:rFonts w:hint="default"/>
              </w:rPr>
            </w:pPr>
            <w:r>
              <w:t>王鲁民</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副所长</w:t>
            </w:r>
            <w:r>
              <w:t>/研究员</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中国水产科学研究院东海水产研究所</w:t>
            </w:r>
          </w:p>
        </w:tc>
        <w:tc>
          <w:tcPr>
            <w:tcW w:w="2165" w:type="dxa"/>
            <w:tcBorders>
              <w:top w:val="single" w:color="auto" w:sz="4" w:space="0"/>
              <w:left w:val="single" w:color="auto" w:sz="4" w:space="0"/>
              <w:bottom w:val="single" w:color="auto" w:sz="4" w:space="0"/>
              <w:right w:val="single" w:color="auto" w:sz="8" w:space="0"/>
            </w:tcBorders>
            <w:shd w:val="clear" w:color="auto" w:fill="auto"/>
            <w:vAlign w:val="center"/>
          </w:tcPr>
          <w:p>
            <w:pPr>
              <w:pStyle w:val="15"/>
              <w:rPr>
                <w:rFonts w:hint="default"/>
              </w:rPr>
            </w:pPr>
            <w:r>
              <w:t>技术顾问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4" w:space="0"/>
              <w:left w:val="single" w:color="auto" w:sz="8" w:space="0"/>
              <w:bottom w:val="single" w:color="auto" w:sz="4" w:space="0"/>
              <w:right w:val="single" w:color="auto" w:sz="4" w:space="0"/>
            </w:tcBorders>
            <w:shd w:val="clear" w:color="auto" w:fill="auto"/>
          </w:tcPr>
          <w:p>
            <w:pPr>
              <w:pStyle w:val="15"/>
              <w:rPr>
                <w:rFonts w:hint="default"/>
              </w:rPr>
            </w:pPr>
            <w:r>
              <w:t>王磊</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副研究员</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中国水产科学研究院东海水产研究所</w:t>
            </w:r>
          </w:p>
        </w:tc>
        <w:tc>
          <w:tcPr>
            <w:tcW w:w="2165" w:type="dxa"/>
            <w:tcBorders>
              <w:top w:val="single" w:color="auto" w:sz="4" w:space="0"/>
              <w:left w:val="single" w:color="auto" w:sz="4" w:space="0"/>
              <w:bottom w:val="single" w:color="auto" w:sz="4" w:space="0"/>
              <w:right w:val="single" w:color="auto" w:sz="8" w:space="0"/>
            </w:tcBorders>
            <w:shd w:val="clear" w:color="auto" w:fill="auto"/>
            <w:vAlign w:val="center"/>
          </w:tcPr>
          <w:p>
            <w:pPr>
              <w:pStyle w:val="15"/>
              <w:rPr>
                <w:rFonts w:hint="default"/>
              </w:rPr>
            </w:pPr>
            <w:r>
              <w:t>参与编写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4" w:space="0"/>
              <w:left w:val="single" w:color="auto" w:sz="8" w:space="0"/>
              <w:bottom w:val="single" w:color="auto" w:sz="4" w:space="0"/>
              <w:right w:val="single" w:color="auto" w:sz="4" w:space="0"/>
            </w:tcBorders>
            <w:shd w:val="clear" w:color="auto" w:fill="auto"/>
          </w:tcPr>
          <w:p>
            <w:pPr>
              <w:pStyle w:val="15"/>
              <w:rPr>
                <w:rFonts w:hint="default"/>
              </w:rPr>
            </w:pPr>
            <w:r>
              <w:t>王玲</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经理</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t>湖南鑫海股份有限公司</w:t>
            </w:r>
          </w:p>
        </w:tc>
        <w:tc>
          <w:tcPr>
            <w:tcW w:w="2165" w:type="dxa"/>
            <w:tcBorders>
              <w:top w:val="single" w:color="auto" w:sz="4" w:space="0"/>
              <w:left w:val="single" w:color="auto" w:sz="4" w:space="0"/>
              <w:bottom w:val="single" w:color="auto" w:sz="4" w:space="0"/>
              <w:right w:val="single" w:color="auto" w:sz="8" w:space="0"/>
            </w:tcBorders>
            <w:shd w:val="clear" w:color="auto" w:fill="auto"/>
            <w:vAlign w:val="center"/>
          </w:tcPr>
          <w:p>
            <w:pPr>
              <w:pStyle w:val="15"/>
              <w:rPr>
                <w:rFonts w:hint="default"/>
              </w:rPr>
            </w:pPr>
            <w:r>
              <w:t>参与编写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4" w:space="0"/>
              <w:left w:val="single" w:color="auto" w:sz="8" w:space="0"/>
              <w:bottom w:val="single" w:color="auto" w:sz="4" w:space="0"/>
              <w:right w:val="single" w:color="auto" w:sz="4" w:space="0"/>
            </w:tcBorders>
            <w:shd w:val="clear" w:color="auto" w:fill="auto"/>
          </w:tcPr>
          <w:p>
            <w:pPr>
              <w:pStyle w:val="15"/>
              <w:rPr>
                <w:rFonts w:hint="default"/>
              </w:rPr>
            </w:pPr>
            <w:r>
              <w:t>刘旺</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t>总经理</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t>湖南鑫海股份有限公司</w:t>
            </w:r>
          </w:p>
        </w:tc>
        <w:tc>
          <w:tcPr>
            <w:tcW w:w="2165" w:type="dxa"/>
            <w:tcBorders>
              <w:top w:val="single" w:color="auto" w:sz="4" w:space="0"/>
              <w:left w:val="single" w:color="auto" w:sz="4" w:space="0"/>
              <w:bottom w:val="single" w:color="auto" w:sz="4" w:space="0"/>
              <w:right w:val="single" w:color="auto" w:sz="8" w:space="0"/>
            </w:tcBorders>
            <w:shd w:val="clear" w:color="auto" w:fill="auto"/>
            <w:vAlign w:val="center"/>
          </w:tcPr>
          <w:p>
            <w:pPr>
              <w:pStyle w:val="15"/>
              <w:rPr>
                <w:rFonts w:hint="default"/>
              </w:rPr>
            </w:pPr>
            <w:r>
              <w:t>参与编写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4" w:space="0"/>
              <w:left w:val="single" w:color="auto" w:sz="8" w:space="0"/>
              <w:bottom w:val="single" w:color="auto" w:sz="4" w:space="0"/>
              <w:right w:val="single" w:color="auto" w:sz="4" w:space="0"/>
            </w:tcBorders>
            <w:shd w:val="clear" w:color="auto" w:fill="auto"/>
          </w:tcPr>
          <w:p>
            <w:pPr>
              <w:pStyle w:val="15"/>
              <w:rPr>
                <w:rFonts w:hint="default"/>
              </w:rPr>
            </w:pPr>
            <w:r>
              <w:t>周爱忠</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助理研究员</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中国水产科学研究院东海水产研究所</w:t>
            </w:r>
          </w:p>
        </w:tc>
        <w:tc>
          <w:tcPr>
            <w:tcW w:w="2165" w:type="dxa"/>
            <w:tcBorders>
              <w:top w:val="single" w:color="auto" w:sz="4" w:space="0"/>
              <w:left w:val="single" w:color="auto" w:sz="4" w:space="0"/>
              <w:bottom w:val="single" w:color="auto" w:sz="4" w:space="0"/>
              <w:right w:val="single" w:color="auto" w:sz="8" w:space="0"/>
            </w:tcBorders>
            <w:shd w:val="clear" w:color="auto" w:fill="auto"/>
            <w:vAlign w:val="center"/>
          </w:tcPr>
          <w:p>
            <w:pPr>
              <w:pStyle w:val="15"/>
              <w:rPr>
                <w:rFonts w:hint="default"/>
              </w:rPr>
            </w:pPr>
            <w:r>
              <w:t>参与编写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4" w:space="0"/>
              <w:left w:val="single" w:color="auto" w:sz="8" w:space="0"/>
              <w:bottom w:val="single" w:color="auto" w:sz="8" w:space="0"/>
              <w:right w:val="single" w:color="auto" w:sz="4" w:space="0"/>
            </w:tcBorders>
            <w:shd w:val="clear" w:color="auto" w:fill="auto"/>
          </w:tcPr>
          <w:p>
            <w:pPr>
              <w:pStyle w:val="15"/>
              <w:rPr>
                <w:rFonts w:hint="default"/>
              </w:rPr>
            </w:pPr>
            <w:r>
              <w:t>郁岳峰</w:t>
            </w:r>
          </w:p>
        </w:tc>
        <w:tc>
          <w:tcPr>
            <w:tcW w:w="2165" w:type="dxa"/>
            <w:tcBorders>
              <w:top w:val="single" w:color="auto" w:sz="4" w:space="0"/>
              <w:left w:val="single" w:color="auto" w:sz="4" w:space="0"/>
              <w:bottom w:val="single" w:color="auto" w:sz="8" w:space="0"/>
              <w:right w:val="single" w:color="auto" w:sz="4" w:space="0"/>
            </w:tcBorders>
            <w:shd w:val="clear" w:color="auto" w:fill="auto"/>
            <w:vAlign w:val="center"/>
          </w:tcPr>
          <w:p>
            <w:pPr>
              <w:pStyle w:val="15"/>
              <w:rPr>
                <w:rFonts w:hint="default"/>
              </w:rPr>
            </w:pPr>
            <w:r>
              <w:t>研究员</w:t>
            </w:r>
          </w:p>
        </w:tc>
        <w:tc>
          <w:tcPr>
            <w:tcW w:w="2165" w:type="dxa"/>
            <w:tcBorders>
              <w:top w:val="single" w:color="auto" w:sz="4" w:space="0"/>
              <w:left w:val="single" w:color="auto" w:sz="4" w:space="0"/>
              <w:bottom w:val="single" w:color="auto" w:sz="8" w:space="0"/>
              <w:right w:val="single" w:color="auto" w:sz="4" w:space="0"/>
            </w:tcBorders>
            <w:shd w:val="clear" w:color="auto" w:fill="auto"/>
            <w:vAlign w:val="center"/>
          </w:tcPr>
          <w:p>
            <w:pPr>
              <w:pStyle w:val="15"/>
              <w:rPr>
                <w:rFonts w:hint="default"/>
              </w:rPr>
            </w:pPr>
            <w:r>
              <w:rPr>
                <w:rFonts w:hint="default"/>
              </w:rPr>
              <w:t>中国水产科学研究院东海水产研究所</w:t>
            </w:r>
          </w:p>
        </w:tc>
        <w:tc>
          <w:tcPr>
            <w:tcW w:w="2165" w:type="dxa"/>
            <w:tcBorders>
              <w:top w:val="single" w:color="auto" w:sz="4" w:space="0"/>
              <w:left w:val="single" w:color="auto" w:sz="4" w:space="0"/>
              <w:bottom w:val="single" w:color="auto" w:sz="8" w:space="0"/>
              <w:right w:val="single" w:color="auto" w:sz="8" w:space="0"/>
            </w:tcBorders>
            <w:shd w:val="clear" w:color="auto" w:fill="auto"/>
            <w:vAlign w:val="center"/>
          </w:tcPr>
          <w:p>
            <w:pPr>
              <w:pStyle w:val="15"/>
              <w:rPr>
                <w:rFonts w:hint="default" w:eastAsia="宋体"/>
                <w:lang w:val="en-US" w:eastAsia="zh-CN"/>
              </w:rPr>
            </w:pPr>
            <w:r>
              <w:rPr>
                <w:rFonts w:hint="eastAsia"/>
                <w:lang w:val="en-US" w:eastAsia="zh-CN"/>
              </w:rPr>
              <w:t>技术指导</w:t>
            </w:r>
          </w:p>
        </w:tc>
      </w:tr>
    </w:tbl>
    <w:p>
      <w:pPr>
        <w:pStyle w:val="18"/>
        <w:spacing w:before="312" w:after="312"/>
        <w:rPr>
          <w:rFonts w:hint="default"/>
        </w:rPr>
      </w:pPr>
      <w:bookmarkStart w:id="4" w:name="_Toc114576057"/>
      <w:r>
        <w:t>编制原则和依据</w:t>
      </w:r>
      <w:bookmarkEnd w:id="4"/>
    </w:p>
    <w:p>
      <w:pPr>
        <w:pStyle w:val="19"/>
        <w:spacing w:before="156" w:after="156"/>
        <w:rPr>
          <w:rFonts w:hint="default"/>
        </w:rPr>
      </w:pPr>
      <w:bookmarkStart w:id="5" w:name="_Toc114576058"/>
      <w:r>
        <w:t>编制原则</w:t>
      </w:r>
      <w:bookmarkEnd w:id="5"/>
    </w:p>
    <w:p>
      <w:pPr>
        <w:pStyle w:val="20"/>
        <w:rPr>
          <w:rFonts w:hint="default"/>
        </w:rPr>
      </w:pPr>
      <w:r>
        <w:t>在编制的过程中，起草规则严格遵循GB/T 1.1-2020《标准化工作导则 第1部分：标准化文件的结构和起草规则》的要求。</w:t>
      </w:r>
    </w:p>
    <w:p>
      <w:pPr>
        <w:pStyle w:val="20"/>
        <w:rPr>
          <w:rFonts w:hint="default"/>
        </w:rPr>
      </w:pPr>
      <w:r>
        <w:t>必须与现有国家、省内的政策、法规和标准等相关文件要求保持一致，与现行有效标准相协调，同时结合我国现有在非洲从事拖网作业实际情况编写，通过基础设计、模型优化试验、生产应用等程序，遵循科学、可操作原则，结构合理，条例清晰，内容完整。</w:t>
      </w:r>
    </w:p>
    <w:p>
      <w:pPr>
        <w:pStyle w:val="20"/>
        <w:rPr>
          <w:rFonts w:hint="default"/>
        </w:rPr>
      </w:pPr>
      <w:r>
        <w:t>本标准按照规范性原则、高效性原则、易操作性原则、安全性原则编制，旨在规范网板制作技术，并提出具有可操作性的证实方法，从而可提高标准化网板的生产效率和产品质量。</w:t>
      </w:r>
    </w:p>
    <w:p>
      <w:pPr>
        <w:pStyle w:val="19"/>
        <w:spacing w:before="156" w:after="156"/>
        <w:rPr>
          <w:rFonts w:hint="default"/>
        </w:rPr>
      </w:pPr>
      <w:bookmarkStart w:id="6" w:name="_Toc114576059"/>
      <w:r>
        <w:t>编制依据</w:t>
      </w:r>
      <w:bookmarkEnd w:id="6"/>
    </w:p>
    <w:p>
      <w:pPr>
        <w:pStyle w:val="16"/>
        <w:ind w:firstLine="420"/>
        <w:rPr>
          <w:rFonts w:hint="default"/>
        </w:rPr>
      </w:pPr>
      <w:r>
        <w:t>本标准制定过程中主要参考了以下标准或文件：</w:t>
      </w:r>
    </w:p>
    <w:p>
      <w:pPr>
        <w:pStyle w:val="16"/>
        <w:ind w:firstLine="420"/>
      </w:pPr>
      <w:r>
        <w:t>SC/T 4001-2021 渔具基本术语</w:t>
      </w:r>
    </w:p>
    <w:p>
      <w:pPr>
        <w:pStyle w:val="16"/>
        <w:ind w:firstLine="420"/>
        <w:rPr>
          <w:rFonts w:hint="default"/>
        </w:rPr>
      </w:pPr>
      <w:r>
        <w:t>GB/T 6963-2006 渔具与渔具材料量、单位及符号</w:t>
      </w:r>
    </w:p>
    <w:p>
      <w:pPr>
        <w:pStyle w:val="18"/>
        <w:spacing w:before="312" w:after="312"/>
        <w:rPr>
          <w:rFonts w:hint="default"/>
        </w:rPr>
      </w:pPr>
      <w:bookmarkStart w:id="7" w:name="_Toc114576060"/>
      <w:r>
        <w:t>编制过程</w:t>
      </w:r>
      <w:bookmarkEnd w:id="7"/>
    </w:p>
    <w:p>
      <w:pPr>
        <w:pStyle w:val="19"/>
        <w:spacing w:before="156" w:after="156"/>
        <w:rPr>
          <w:rFonts w:hint="default"/>
        </w:rPr>
      </w:pPr>
      <w:bookmarkStart w:id="8" w:name="_Toc114576061"/>
      <w:r>
        <w:t>筹备阶段</w:t>
      </w:r>
      <w:bookmarkEnd w:id="8"/>
    </w:p>
    <w:p>
      <w:pPr>
        <w:pStyle w:val="16"/>
        <w:widowControl/>
        <w:ind w:left="0" w:firstLine="420"/>
        <w:rPr>
          <w:rFonts w:hint="default"/>
          <w:color w:val="auto"/>
        </w:rPr>
      </w:pPr>
      <w:bookmarkStart w:id="9" w:name="_Toc114576062"/>
      <w:r>
        <w:rPr>
          <w:color w:val="auto"/>
        </w:rPr>
        <w:t>2020年-2022年度，</w:t>
      </w:r>
      <w:r>
        <w:rPr>
          <w:color w:val="auto"/>
          <w:lang w:eastAsia="zh-CN"/>
        </w:rPr>
        <w:t>湖南省工业和信息化厅</w:t>
      </w:r>
      <w:r>
        <w:rPr>
          <w:rFonts w:hint="eastAsia"/>
          <w:color w:val="auto"/>
          <w:lang w:val="en-US" w:eastAsia="zh-CN"/>
        </w:rPr>
        <w:t>牵头，由</w:t>
      </w:r>
      <w:r>
        <w:rPr>
          <w:color w:val="auto"/>
        </w:rPr>
        <w:t>湖南鑫海股份有限公司联合中国水产科学研究院东海水产研究所、浙江海洋大学成立标准起草工作组，</w:t>
      </w:r>
      <w:r>
        <w:rPr>
          <w:color w:val="auto"/>
          <w:lang w:eastAsia="zh-CN"/>
        </w:rPr>
        <w:t>研究和制定了标准编制工作方案，并按照行业标准制修订要求展开标准修订工作</w:t>
      </w:r>
      <w:r>
        <w:rPr>
          <w:color w:val="auto"/>
        </w:rPr>
        <w:t>。</w:t>
      </w:r>
    </w:p>
    <w:p>
      <w:pPr>
        <w:pStyle w:val="19"/>
        <w:spacing w:before="156" w:after="156"/>
        <w:rPr>
          <w:rFonts w:hint="default"/>
          <w:color w:val="auto"/>
        </w:rPr>
      </w:pPr>
      <w:r>
        <w:rPr>
          <w:color w:val="auto"/>
        </w:rPr>
        <w:t>标准立项（202</w:t>
      </w:r>
      <w:r>
        <w:rPr>
          <w:rFonts w:hint="default"/>
          <w:color w:val="auto"/>
        </w:rPr>
        <w:t>2</w:t>
      </w:r>
      <w:r>
        <w:rPr>
          <w:color w:val="auto"/>
        </w:rPr>
        <w:t>年</w:t>
      </w:r>
      <w:r>
        <w:rPr>
          <w:rFonts w:hint="eastAsia"/>
          <w:color w:val="auto"/>
          <w:lang w:val="en-US" w:eastAsia="zh-CN"/>
        </w:rPr>
        <w:t>6</w:t>
      </w:r>
      <w:r>
        <w:rPr>
          <w:color w:val="auto"/>
        </w:rPr>
        <w:t>月-2022年</w:t>
      </w:r>
      <w:r>
        <w:rPr>
          <w:rFonts w:hint="eastAsia"/>
          <w:color w:val="auto"/>
          <w:lang w:val="en-US" w:eastAsia="zh-CN"/>
        </w:rPr>
        <w:t>9</w:t>
      </w:r>
      <w:r>
        <w:rPr>
          <w:color w:val="auto"/>
        </w:rPr>
        <w:t>月）</w:t>
      </w:r>
      <w:bookmarkEnd w:id="9"/>
    </w:p>
    <w:p>
      <w:pPr>
        <w:pStyle w:val="16"/>
        <w:ind w:firstLine="420"/>
        <w:rPr>
          <w:rFonts w:hint="default"/>
          <w:color w:val="auto"/>
        </w:rPr>
      </w:pPr>
      <w:bookmarkStart w:id="10" w:name="_Toc114576063"/>
      <w:r>
        <w:rPr>
          <w:color w:val="auto"/>
        </w:rPr>
        <w:t>202</w:t>
      </w:r>
      <w:r>
        <w:rPr>
          <w:rFonts w:hint="default"/>
          <w:color w:val="auto"/>
        </w:rPr>
        <w:t>2</w:t>
      </w:r>
      <w:r>
        <w:rPr>
          <w:color w:val="auto"/>
        </w:rPr>
        <w:t>年</w:t>
      </w:r>
      <w:r>
        <w:rPr>
          <w:rFonts w:hint="eastAsia"/>
          <w:color w:val="auto"/>
          <w:lang w:val="en-US" w:eastAsia="zh-CN"/>
        </w:rPr>
        <w:t>7</w:t>
      </w:r>
      <w:r>
        <w:rPr>
          <w:color w:val="auto"/>
        </w:rPr>
        <w:t>月，标准提出单位填写地方标准制修订项目申请书，经湖南省工业和信息化厅科技处推荐，向湖南省市场监督管理局提交立项申请，并于2022年</w:t>
      </w:r>
      <w:r>
        <w:rPr>
          <w:rFonts w:hint="eastAsia"/>
          <w:color w:val="auto"/>
          <w:lang w:val="en-US" w:eastAsia="zh-CN"/>
        </w:rPr>
        <w:t>9</w:t>
      </w:r>
      <w:r>
        <w:rPr>
          <w:color w:val="auto"/>
        </w:rPr>
        <w:t>月1</w:t>
      </w:r>
      <w:r>
        <w:rPr>
          <w:rFonts w:hint="eastAsia"/>
          <w:color w:val="auto"/>
          <w:lang w:val="en-US" w:eastAsia="zh-CN"/>
        </w:rPr>
        <w:t>6</w:t>
      </w:r>
      <w:r>
        <w:rPr>
          <w:color w:val="auto"/>
        </w:rPr>
        <w:t>日确定立项。</w:t>
      </w:r>
    </w:p>
    <w:p>
      <w:pPr>
        <w:pStyle w:val="19"/>
        <w:spacing w:before="156" w:after="156"/>
        <w:rPr>
          <w:rFonts w:hint="default"/>
          <w:color w:val="auto"/>
        </w:rPr>
      </w:pPr>
      <w:r>
        <w:rPr>
          <w:color w:val="auto"/>
        </w:rPr>
        <w:t>标准起草过程（2022年</w:t>
      </w:r>
      <w:r>
        <w:rPr>
          <w:rFonts w:hint="default"/>
          <w:color w:val="auto"/>
        </w:rPr>
        <w:t>6</w:t>
      </w:r>
      <w:r>
        <w:rPr>
          <w:color w:val="auto"/>
        </w:rPr>
        <w:t>月-2022年</w:t>
      </w:r>
      <w:r>
        <w:rPr>
          <w:rFonts w:hint="default"/>
          <w:color w:val="auto"/>
        </w:rPr>
        <w:t>8</w:t>
      </w:r>
      <w:r>
        <w:rPr>
          <w:color w:val="auto"/>
        </w:rPr>
        <w:t>月）</w:t>
      </w:r>
      <w:bookmarkEnd w:id="10"/>
    </w:p>
    <w:p>
      <w:pPr>
        <w:pStyle w:val="16"/>
        <w:widowControl/>
        <w:ind w:left="0" w:firstLine="420"/>
        <w:rPr>
          <w:lang w:val="en-US"/>
        </w:rPr>
      </w:pPr>
      <w:r>
        <w:rPr>
          <w:color w:val="auto"/>
          <w:lang w:val="en-US"/>
        </w:rPr>
        <w:t>202</w:t>
      </w:r>
      <w:r>
        <w:rPr>
          <w:rFonts w:hint="eastAsia"/>
          <w:color w:val="auto"/>
          <w:lang w:val="en-US" w:eastAsia="zh-CN"/>
        </w:rPr>
        <w:t>2</w:t>
      </w:r>
      <w:r>
        <w:rPr>
          <w:color w:val="auto"/>
          <w:lang w:eastAsia="zh-CN"/>
        </w:rPr>
        <w:t>年</w:t>
      </w:r>
      <w:r>
        <w:rPr>
          <w:rFonts w:hint="eastAsia"/>
          <w:color w:val="auto"/>
          <w:lang w:val="en-US" w:eastAsia="zh-CN"/>
        </w:rPr>
        <w:t>3</w:t>
      </w:r>
      <w:r>
        <w:rPr>
          <w:color w:val="auto"/>
          <w:lang w:eastAsia="zh-CN"/>
        </w:rPr>
        <w:t>月，</w:t>
      </w:r>
      <w:r>
        <w:rPr>
          <w:rFonts w:hint="eastAsia"/>
          <w:color w:val="auto"/>
          <w:lang w:val="en-US" w:eastAsia="zh-CN"/>
        </w:rPr>
        <w:t>标准工作组成立</w:t>
      </w:r>
      <w:r>
        <w:rPr>
          <w:color w:val="auto"/>
          <w:lang w:eastAsia="zh-CN"/>
        </w:rPr>
        <w:t>后，标准提出单位、相关技</w:t>
      </w:r>
      <w:r>
        <w:rPr>
          <w:lang w:eastAsia="zh-CN"/>
        </w:rPr>
        <w:t>术专家、项目人员参加了标准编制讨论。成立了标准编制小组、确定了主要起草人及小组成员工作</w:t>
      </w:r>
      <w:bookmarkStart w:id="19" w:name="_GoBack"/>
      <w:bookmarkEnd w:id="19"/>
      <w:r>
        <w:rPr>
          <w:lang w:eastAsia="zh-CN"/>
        </w:rPr>
        <w:t>职责，并确定了标准编制计划，要求在明确总体思路的同时，加强各项工作的组织和协调，并合理安排编制进度。</w:t>
      </w:r>
    </w:p>
    <w:p>
      <w:pPr>
        <w:pStyle w:val="16"/>
        <w:widowControl/>
        <w:ind w:left="0" w:firstLine="420"/>
      </w:pPr>
      <w:r>
        <w:rPr>
          <w:lang w:eastAsia="zh-CN"/>
        </w:rPr>
        <w:t>工作组成员查阅了大量的国内外相关文献资料，结合我国</w:t>
      </w:r>
      <w:r>
        <w:rPr>
          <w:rFonts w:hint="eastAsia"/>
          <w:lang w:val="en-US" w:eastAsia="zh-CN"/>
        </w:rPr>
        <w:t>过洋性渔业</w:t>
      </w:r>
      <w:r>
        <w:rPr>
          <w:lang w:eastAsia="zh-CN"/>
        </w:rPr>
        <w:t>的实际情况，认真听取各有关方的意见，与国内相关政策、法规和标准规范以及国际相关标准进行比对，对各工艺要求、检验方法等进行验证，对相关事宜进行调查分析，形成了标准草案。</w:t>
      </w:r>
    </w:p>
    <w:p>
      <w:pPr>
        <w:pStyle w:val="16"/>
        <w:ind w:firstLine="420"/>
        <w:rPr>
          <w:rFonts w:hint="default"/>
        </w:rPr>
      </w:pPr>
      <w:r>
        <w:t>本文起草工作组通过仔细查阅国内外关于网板性能与设计论著、网板类型结构、网板使用与调整技术等相关研究报告的基础上，对我国相关的网板用户、网板制造企业、科研院校与检测机构等部门进行了调研和征求意见，从而起草了本文件。为了测定本标准网板升力系数、阻力系数理论数据及海上使用效果，先后在南京航空航天大学和中水总公司毛里塔尼亚代表处进行了网板模型风洞试验和生产性对比试验，试验获得预期的效果。</w:t>
      </w:r>
    </w:p>
    <w:p>
      <w:pPr>
        <w:pStyle w:val="16"/>
        <w:ind w:firstLine="420"/>
        <w:rPr>
          <w:rFonts w:hint="default"/>
        </w:rPr>
      </w:pPr>
      <w:r>
        <w:t>通过《中底兼用网板制作技术规范》标准起草工作组认真讨论、仔细推敲，于2022年</w:t>
      </w:r>
      <w:r>
        <w:rPr>
          <w:rFonts w:hint="eastAsia"/>
          <w:lang w:val="en-US" w:eastAsia="zh-CN"/>
        </w:rPr>
        <w:t>9</w:t>
      </w:r>
      <w:r>
        <w:t>月完成《中底兼用网板制作技术规范》标准</w:t>
      </w:r>
      <w:r>
        <w:rPr>
          <w:rFonts w:hint="eastAsia"/>
          <w:lang w:val="en-US" w:eastAsia="zh-CN"/>
        </w:rPr>
        <w:t>讨论</w:t>
      </w:r>
      <w:r>
        <w:t>稿。</w:t>
      </w:r>
    </w:p>
    <w:p>
      <w:pPr>
        <w:pStyle w:val="19"/>
        <w:spacing w:before="156" w:after="156"/>
        <w:rPr>
          <w:rFonts w:hint="default"/>
        </w:rPr>
      </w:pPr>
      <w:bookmarkStart w:id="11" w:name="_Toc114576064"/>
      <w:r>
        <w:t>调研环节（2022年8月-2022年9月）</w:t>
      </w:r>
      <w:bookmarkEnd w:id="11"/>
    </w:p>
    <w:p>
      <w:pPr>
        <w:pStyle w:val="16"/>
        <w:ind w:firstLine="420"/>
        <w:rPr>
          <w:rFonts w:hint="default"/>
        </w:rPr>
      </w:pPr>
      <w:r>
        <w:t>根据标准起草及研讨中遇到的实际问题，编制小组组织召开了《中底兼用网板制作技术规范》起草工作研讨会，邀请了相关专家、同行单位、业主使用单位等单位的知名专家对本标准进行了详细讨论，再次在编制工作组进行内部征求意见，根据意见完善后，形成了标准征求意见稿，并编制标准编制说明。</w:t>
      </w:r>
    </w:p>
    <w:p>
      <w:pPr>
        <w:pStyle w:val="18"/>
        <w:spacing w:before="312" w:after="312"/>
        <w:rPr>
          <w:rFonts w:hint="default"/>
        </w:rPr>
      </w:pPr>
      <w:bookmarkStart w:id="12" w:name="_Toc114576065"/>
      <w:r>
        <w:t>主要技术内容说明</w:t>
      </w:r>
      <w:bookmarkEnd w:id="12"/>
    </w:p>
    <w:p>
      <w:pPr>
        <w:pStyle w:val="19"/>
        <w:spacing w:before="156" w:after="156"/>
        <w:rPr>
          <w:rFonts w:hint="default"/>
        </w:rPr>
      </w:pPr>
      <w:bookmarkStart w:id="13" w:name="_Toc114576066"/>
      <w:r>
        <w:t>框架结构</w:t>
      </w:r>
      <w:bookmarkEnd w:id="13"/>
    </w:p>
    <w:p>
      <w:pPr>
        <w:pStyle w:val="16"/>
        <w:ind w:firstLine="420"/>
        <w:rPr>
          <w:rFonts w:hint="default"/>
        </w:rPr>
      </w:pPr>
      <w:r>
        <w:t>标准的总体结构包括标准的范围、规范性引用文件、术语和定义、命名、技术要求、制作要求、检验要求、防锈要求、标志、标签、运输及储存等内容。</w:t>
      </w:r>
    </w:p>
    <w:p>
      <w:pPr>
        <w:pStyle w:val="19"/>
        <w:spacing w:before="156" w:after="156"/>
        <w:rPr>
          <w:rFonts w:hint="default"/>
        </w:rPr>
      </w:pPr>
      <w:bookmarkStart w:id="14" w:name="_Toc114576067"/>
      <w:r>
        <w:t>主要技术内容说明</w:t>
      </w:r>
      <w:bookmarkEnd w:id="14"/>
    </w:p>
    <w:p>
      <w:pPr>
        <w:pStyle w:val="16"/>
        <w:ind w:firstLine="420"/>
        <w:rPr>
          <w:rFonts w:hint="default"/>
        </w:rPr>
      </w:pPr>
      <w:r>
        <w:t>标准第1章范围规定了中底兼用网板的制作技术的内容及适用范围。明确本标准适用于拖网渔业中层或底层渔场、作业水深50m~300m、主机功率735kW~1029 kW的单船拖网用网板的制作。</w:t>
      </w:r>
    </w:p>
    <w:p>
      <w:pPr>
        <w:pStyle w:val="16"/>
        <w:ind w:firstLine="420"/>
        <w:rPr>
          <w:rFonts w:hint="default"/>
        </w:rPr>
      </w:pPr>
      <w:r>
        <w:t>标准第4章“命名”对中底兼用网板的命名内容和命名标记作出了说明，并进行了命名示例。</w:t>
      </w:r>
    </w:p>
    <w:p>
      <w:pPr>
        <w:pStyle w:val="16"/>
        <w:ind w:firstLine="420"/>
        <w:rPr>
          <w:rFonts w:hint="default"/>
        </w:rPr>
      </w:pPr>
      <w:r>
        <w:t>标准第5章“要求”对中底兼用网板的基本参数、水动力特性、结构示意与部件材料、防锈给出了具体要求。</w:t>
      </w:r>
    </w:p>
    <w:p>
      <w:pPr>
        <w:pStyle w:val="16"/>
        <w:ind w:firstLine="420"/>
        <w:rPr>
          <w:rFonts w:hint="default"/>
        </w:rPr>
      </w:pPr>
      <w:r>
        <w:t>标准第6章“检验方法”对外观质量、检验内容给出了具体说明。</w:t>
      </w:r>
    </w:p>
    <w:p>
      <w:pPr>
        <w:pStyle w:val="16"/>
        <w:ind w:firstLine="420"/>
        <w:rPr>
          <w:rFonts w:hint="default"/>
        </w:rPr>
      </w:pPr>
      <w:r>
        <w:t>标准第</w:t>
      </w:r>
      <w:r>
        <w:rPr>
          <w:rFonts w:hint="default"/>
        </w:rPr>
        <w:t>7</w:t>
      </w:r>
      <w:r>
        <w:t>章“检验规则”对出厂检验、型式检验、判定规则给出了具体的规则要求。</w:t>
      </w:r>
    </w:p>
    <w:p>
      <w:pPr>
        <w:pStyle w:val="16"/>
        <w:ind w:firstLine="420"/>
        <w:rPr>
          <w:rFonts w:hint="default"/>
        </w:rPr>
      </w:pPr>
      <w:r>
        <w:t>标准第8章“标志、标签、运输及储存”对中底兼用网板的标志、标签、运输及储存作了规定。</w:t>
      </w:r>
    </w:p>
    <w:p>
      <w:pPr>
        <w:pStyle w:val="18"/>
        <w:spacing w:before="312" w:after="312"/>
        <w:rPr>
          <w:rFonts w:hint="default"/>
        </w:rPr>
      </w:pPr>
      <w:bookmarkStart w:id="15" w:name="_Toc114576068"/>
      <w:r>
        <w:t>采用国际标准和国外先进标准的程度，与国际、国外同类标准水平的对比情况或与测试的国外样品、样机的有关数据对比情况</w:t>
      </w:r>
      <w:bookmarkEnd w:id="15"/>
    </w:p>
    <w:p>
      <w:pPr>
        <w:pStyle w:val="16"/>
        <w:ind w:firstLine="420"/>
        <w:rPr>
          <w:rFonts w:hint="default"/>
        </w:rPr>
      </w:pPr>
      <w:r>
        <w:t>本标准与现行法律、法规、政策及相关标准无冲突。</w:t>
      </w:r>
    </w:p>
    <w:p>
      <w:pPr>
        <w:pStyle w:val="16"/>
        <w:ind w:firstLine="420"/>
        <w:rPr>
          <w:rFonts w:hint="default"/>
        </w:rPr>
      </w:pPr>
      <w:r>
        <w:t>《中底兼用网板制作技术规范》标准参考或引用了ISO139、ISO1968、ISO2307、GB/T5147-2003、GB/T6963-2006、GB/T18673-2008、GB/T18674-2002、GB/T30668-2014、SC/T4001-2006、SC/T4003-2000、SC/T4004-2000、SC/T4005-2000、SC/T5001-2014、SC/T110-1983等国内外标准，因此，《中底兼用网板制作技术规范》行业标准达到国际先进水平。</w:t>
      </w:r>
    </w:p>
    <w:p>
      <w:pPr>
        <w:pStyle w:val="18"/>
        <w:spacing w:before="312" w:after="312"/>
        <w:rPr>
          <w:rFonts w:hint="default"/>
        </w:rPr>
      </w:pPr>
      <w:bookmarkStart w:id="16" w:name="_Toc114576069"/>
      <w:r>
        <w:t>与有关的现行法律、法规和强制性标准的关系</w:t>
      </w:r>
      <w:bookmarkEnd w:id="16"/>
    </w:p>
    <w:p>
      <w:pPr>
        <w:pStyle w:val="16"/>
        <w:ind w:firstLine="420"/>
        <w:rPr>
          <w:rFonts w:hint="default"/>
        </w:rPr>
      </w:pPr>
      <w:r>
        <w:t>本标准引用了GB/T5147-2003、GB/T6963-2006、GB/T18673-2008、GB/T18674-2002、GB/T30668-2014、SC/T4003-2000、SC/T4004-2000、SC/T4005-2000等标准，有利于渔具及渔具材料标准体系的构建与完善。本标准符合有关的现行法律、法规。</w:t>
      </w:r>
    </w:p>
    <w:p>
      <w:pPr>
        <w:pStyle w:val="18"/>
        <w:spacing w:before="312" w:after="312"/>
        <w:rPr>
          <w:rFonts w:hint="default"/>
        </w:rPr>
      </w:pPr>
      <w:bookmarkStart w:id="17" w:name="_Toc114576070"/>
      <w:r>
        <w:t>重大分歧意见的处理经过和依据</w:t>
      </w:r>
      <w:bookmarkEnd w:id="17"/>
    </w:p>
    <w:p>
      <w:pPr>
        <w:pStyle w:val="16"/>
        <w:ind w:firstLine="420"/>
        <w:rPr>
          <w:rFonts w:hint="default"/>
        </w:rPr>
      </w:pPr>
      <w:r>
        <w:t>本标准在制定过程中未出现重大分歧意见。</w:t>
      </w:r>
    </w:p>
    <w:p>
      <w:pPr>
        <w:pStyle w:val="18"/>
        <w:spacing w:before="312" w:after="312"/>
        <w:rPr>
          <w:rFonts w:hint="default"/>
        </w:rPr>
      </w:pPr>
      <w:bookmarkStart w:id="18" w:name="_Toc114576071"/>
      <w:r>
        <w:t>实施地方标准要求和措施建议</w:t>
      </w:r>
      <w:bookmarkEnd w:id="18"/>
    </w:p>
    <w:p>
      <w:pPr>
        <w:pStyle w:val="16"/>
        <w:ind w:firstLine="420"/>
      </w:pPr>
      <w:r>
        <w:t>建议对境内网板生产企业以此标准作为海洋捕捞用网板制作要求，并不定期组织专家团队赴企业进行检查。</w:t>
      </w:r>
    </w:p>
    <w:p>
      <w:pPr>
        <w:pStyle w:val="16"/>
        <w:ind w:firstLine="420"/>
        <w:rPr>
          <w:rFonts w:hint="default"/>
        </w:rPr>
      </w:pPr>
      <w:r>
        <w:t>作为网具属具的一种，随着新材料、新工艺的不断发展和应用，可以此标准为基础，不断推进我国捕捞网具的标准化建设。</w:t>
      </w:r>
    </w:p>
    <w:p/>
    <w:sectPr>
      <w:footerReference r:id="rId3" w:type="default"/>
      <w:pgSz w:w="12240" w:h="15840"/>
      <w:pgMar w:top="1440" w:right="1800" w:bottom="1440" w:left="1800" w:header="720" w:footer="72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523C5E"/>
    <w:multiLevelType w:val="multilevel"/>
    <w:tmpl w:val="ED523C5E"/>
    <w:lvl w:ilvl="0" w:tentative="0">
      <w:start w:val="1"/>
      <w:numFmt w:val="none"/>
      <w:suff w:val="nothing"/>
      <w:lvlText w:val="%1"/>
      <w:lvlJc w:val="left"/>
      <w:pPr>
        <w:ind w:left="0" w:firstLine="0"/>
      </w:pPr>
    </w:lvl>
    <w:lvl w:ilvl="1" w:tentative="0">
      <w:start w:val="1"/>
      <w:numFmt w:val="decimal"/>
      <w:pStyle w:val="18"/>
      <w:suff w:val="nothing"/>
      <w:lvlText w:val="%1%2　"/>
      <w:lvlJc w:val="left"/>
      <w:pPr>
        <w:ind w:left="284" w:firstLine="0"/>
      </w:pPr>
      <w:rPr>
        <w:rFonts w:hint="eastAsia" w:ascii="黑体" w:hAnsi="Times New Roman" w:eastAsia="黑体" w:cs="黑体"/>
        <w:b w:val="0"/>
        <w:i w:val="0"/>
        <w:sz w:val="21"/>
      </w:rPr>
    </w:lvl>
    <w:lvl w:ilvl="2" w:tentative="0">
      <w:start w:val="1"/>
      <w:numFmt w:val="decimal"/>
      <w:pStyle w:val="19"/>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
    <w:nsid w:val="5F706455"/>
    <w:multiLevelType w:val="multilevel"/>
    <w:tmpl w:val="5F706455"/>
    <w:lvl w:ilvl="0" w:tentative="0">
      <w:start w:val="1"/>
      <w:numFmt w:val="lowerLetter"/>
      <w:lvlText w:val="%1)"/>
      <w:lvlJc w:val="left"/>
      <w:pPr>
        <w:tabs>
          <w:tab w:val="left" w:pos="851"/>
        </w:tabs>
        <w:ind w:left="851" w:hanging="426"/>
      </w:pPr>
      <w:rPr>
        <w:rFonts w:hint="eastAsia" w:ascii="宋体" w:hAnsi="Times New Roman" w:eastAsia="宋体" w:cs="宋体"/>
        <w:sz w:val="21"/>
      </w:rPr>
    </w:lvl>
    <w:lvl w:ilvl="1" w:tentative="0">
      <w:start w:val="1"/>
      <w:numFmt w:val="decimal"/>
      <w:pStyle w:val="20"/>
      <w:lvlText w:val="%2)"/>
      <w:lvlJc w:val="left"/>
      <w:pPr>
        <w:tabs>
          <w:tab w:val="left" w:pos="1276"/>
        </w:tabs>
        <w:ind w:left="1276" w:hanging="425"/>
      </w:pPr>
      <w:rPr>
        <w:rFonts w:hint="eastAsia" w:ascii="宋体" w:hAnsi="Times New Roman" w:eastAsia="宋体" w:cs="宋体"/>
        <w:sz w:val="21"/>
      </w:rPr>
    </w:lvl>
    <w:lvl w:ilvl="2" w:tentative="0">
      <w:start w:val="1"/>
      <w:numFmt w:val="decimal"/>
      <w:lvlText w:val="(%3)"/>
      <w:lvlJc w:val="left"/>
      <w:pPr>
        <w:ind w:left="1702" w:hanging="425"/>
      </w:pPr>
      <w:rPr>
        <w:rFonts w:hint="eastAsia" w:ascii="宋体" w:hAnsi="Times New Roman" w:eastAsia="宋体" w:cs="宋体"/>
        <w:sz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wM2NkZWQ1NjkwM2VhZjQ1MjAzZmJiN2RiMDVhZGEifQ=="/>
  </w:docVars>
  <w:rsids>
    <w:rsidRoot w:val="7F6B5B3E"/>
    <w:rsid w:val="001924C4"/>
    <w:rsid w:val="00227ECF"/>
    <w:rsid w:val="002F5197"/>
    <w:rsid w:val="00403B95"/>
    <w:rsid w:val="004301C9"/>
    <w:rsid w:val="00432A78"/>
    <w:rsid w:val="00596ADF"/>
    <w:rsid w:val="005A11A7"/>
    <w:rsid w:val="005E31ED"/>
    <w:rsid w:val="00672D89"/>
    <w:rsid w:val="006C7ACC"/>
    <w:rsid w:val="00A827BB"/>
    <w:rsid w:val="00AE6717"/>
    <w:rsid w:val="00B0477D"/>
    <w:rsid w:val="00D6168D"/>
    <w:rsid w:val="1CC84D28"/>
    <w:rsid w:val="26106FBE"/>
    <w:rsid w:val="52E97486"/>
    <w:rsid w:val="7F6B5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2"/>
    <w:qFormat/>
    <w:uiPriority w:val="0"/>
    <w:pPr>
      <w:jc w:val="left"/>
    </w:pPr>
  </w:style>
  <w:style w:type="paragraph" w:styleId="3">
    <w:name w:val="Balloon Text"/>
    <w:basedOn w:val="1"/>
    <w:link w:val="24"/>
    <w:qFormat/>
    <w:uiPriority w:val="0"/>
    <w:rPr>
      <w:sz w:val="18"/>
      <w:szCs w:val="1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link w:val="17"/>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39"/>
  </w:style>
  <w:style w:type="paragraph" w:styleId="7">
    <w:name w:val="toc 2"/>
    <w:basedOn w:val="1"/>
    <w:next w:val="1"/>
    <w:uiPriority w:val="39"/>
    <w:pPr>
      <w:ind w:left="420" w:leftChars="200"/>
    </w:pPr>
  </w:style>
  <w:style w:type="paragraph" w:styleId="8">
    <w:name w:val="annotation subject"/>
    <w:basedOn w:val="2"/>
    <w:next w:val="2"/>
    <w:link w:val="23"/>
    <w:qFormat/>
    <w:uiPriority w:val="0"/>
    <w:rPr>
      <w:b/>
      <w:bCs/>
    </w:rPr>
  </w:style>
  <w:style w:type="table" w:styleId="10">
    <w:name w:val="Table Grid"/>
    <w:basedOn w:val="9"/>
    <w:qFormat/>
    <w:uiPriority w:val="0"/>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2">
    <w:name w:val="Hyperlink"/>
    <w:basedOn w:val="11"/>
    <w:unhideWhenUsed/>
    <w:uiPriority w:val="99"/>
    <w:rPr>
      <w:color w:val="0563C1" w:themeColor="hyperlink"/>
      <w:u w:val="single"/>
      <w14:textFill>
        <w14:solidFill>
          <w14:schemeClr w14:val="hlink"/>
        </w14:solidFill>
      </w14:textFill>
    </w:rPr>
  </w:style>
  <w:style w:type="character" w:styleId="13">
    <w:name w:val="annotation reference"/>
    <w:basedOn w:val="11"/>
    <w:qFormat/>
    <w:uiPriority w:val="0"/>
    <w:rPr>
      <w:sz w:val="21"/>
      <w:szCs w:val="21"/>
    </w:rPr>
  </w:style>
  <w:style w:type="paragraph" w:customStyle="1" w:styleId="14">
    <w:name w:val="封面标准名称"/>
    <w:basedOn w:val="1"/>
    <w:qFormat/>
    <w:uiPriority w:val="0"/>
    <w:pPr>
      <w:spacing w:line="680" w:lineRule="exact"/>
      <w:jc w:val="center"/>
    </w:pPr>
    <w:rPr>
      <w:rFonts w:hint="eastAsia" w:ascii="黑体" w:hAnsi="Times New Roman" w:eastAsia="黑体" w:cs="Times New Roman"/>
      <w:kern w:val="0"/>
      <w:sz w:val="52"/>
      <w:szCs w:val="20"/>
    </w:rPr>
  </w:style>
  <w:style w:type="paragraph" w:customStyle="1" w:styleId="15">
    <w:name w:val="标准文件_表格"/>
    <w:basedOn w:val="16"/>
    <w:uiPriority w:val="0"/>
    <w:pPr>
      <w:ind w:firstLine="0" w:firstLineChars="0"/>
      <w:jc w:val="center"/>
    </w:pPr>
    <w:rPr>
      <w:sz w:val="18"/>
    </w:rPr>
  </w:style>
  <w:style w:type="paragraph" w:customStyle="1" w:styleId="16">
    <w:name w:val="标准文件_段"/>
    <w:basedOn w:val="1"/>
    <w:link w:val="21"/>
    <w:uiPriority w:val="0"/>
    <w:pPr>
      <w:widowControl/>
      <w:autoSpaceDE w:val="0"/>
      <w:autoSpaceDN w:val="0"/>
      <w:ind w:firstLine="200" w:firstLineChars="200"/>
    </w:pPr>
    <w:rPr>
      <w:rFonts w:hint="eastAsia" w:ascii="宋体" w:hAnsi="Times New Roman" w:eastAsia="宋体" w:cs="Times New Roman"/>
      <w:kern w:val="0"/>
      <w:szCs w:val="20"/>
    </w:rPr>
  </w:style>
  <w:style w:type="character" w:customStyle="1" w:styleId="17">
    <w:name w:val="页眉 Char"/>
    <w:basedOn w:val="11"/>
    <w:link w:val="5"/>
    <w:qFormat/>
    <w:uiPriority w:val="0"/>
    <w:rPr>
      <w:kern w:val="2"/>
      <w:sz w:val="18"/>
      <w:szCs w:val="18"/>
    </w:rPr>
  </w:style>
  <w:style w:type="paragraph" w:customStyle="1" w:styleId="18">
    <w:name w:val="标准文件_章标题"/>
    <w:basedOn w:val="1"/>
    <w:next w:val="16"/>
    <w:uiPriority w:val="0"/>
    <w:pPr>
      <w:widowControl/>
      <w:numPr>
        <w:ilvl w:val="1"/>
        <w:numId w:val="1"/>
      </w:numPr>
      <w:spacing w:before="100" w:beforeLines="100" w:after="100" w:afterLines="100"/>
      <w:ind w:left="0"/>
      <w:outlineLvl w:val="0"/>
    </w:pPr>
    <w:rPr>
      <w:rFonts w:hint="eastAsia" w:ascii="黑体" w:hAnsi="Times New Roman" w:eastAsia="黑体" w:cs="Times New Roman"/>
      <w:kern w:val="0"/>
      <w:szCs w:val="20"/>
    </w:rPr>
  </w:style>
  <w:style w:type="paragraph" w:customStyle="1" w:styleId="19">
    <w:name w:val="标准文件_一级条标题"/>
    <w:basedOn w:val="18"/>
    <w:next w:val="16"/>
    <w:qFormat/>
    <w:uiPriority w:val="0"/>
    <w:pPr>
      <w:numPr>
        <w:ilvl w:val="2"/>
      </w:numPr>
      <w:spacing w:before="50" w:beforeLines="50" w:after="50" w:afterLines="50"/>
      <w:outlineLvl w:val="1"/>
    </w:pPr>
  </w:style>
  <w:style w:type="paragraph" w:customStyle="1" w:styleId="20">
    <w:name w:val="标准文件_数字编号列项（二级）"/>
    <w:basedOn w:val="1"/>
    <w:qFormat/>
    <w:uiPriority w:val="0"/>
    <w:pPr>
      <w:widowControl/>
      <w:numPr>
        <w:ilvl w:val="1"/>
        <w:numId w:val="2"/>
      </w:numPr>
    </w:pPr>
    <w:rPr>
      <w:rFonts w:hint="eastAsia" w:ascii="宋体" w:hAnsi="Times New Roman" w:eastAsia="宋体" w:cs="Times New Roman"/>
      <w:kern w:val="0"/>
      <w:szCs w:val="20"/>
    </w:rPr>
  </w:style>
  <w:style w:type="character" w:customStyle="1" w:styleId="21">
    <w:name w:val="标准文件_段 Char"/>
    <w:basedOn w:val="11"/>
    <w:link w:val="16"/>
    <w:qFormat/>
    <w:uiPriority w:val="0"/>
    <w:rPr>
      <w:rFonts w:hint="eastAsia" w:ascii="宋体" w:hAnsi="Times New Roman" w:eastAsia="宋体" w:cs="宋体"/>
      <w:sz w:val="21"/>
    </w:rPr>
  </w:style>
  <w:style w:type="character" w:customStyle="1" w:styleId="22">
    <w:name w:val="批注文字 Char"/>
    <w:basedOn w:val="11"/>
    <w:link w:val="2"/>
    <w:qFormat/>
    <w:uiPriority w:val="0"/>
    <w:rPr>
      <w:rFonts w:asciiTheme="minorHAnsi" w:hAnsiTheme="minorHAnsi" w:eastAsiaTheme="minorEastAsia" w:cstheme="minorBidi"/>
      <w:kern w:val="2"/>
      <w:sz w:val="21"/>
      <w:szCs w:val="24"/>
    </w:rPr>
  </w:style>
  <w:style w:type="character" w:customStyle="1" w:styleId="23">
    <w:name w:val="批注主题 Char"/>
    <w:basedOn w:val="22"/>
    <w:link w:val="8"/>
    <w:qFormat/>
    <w:uiPriority w:val="0"/>
    <w:rPr>
      <w:rFonts w:asciiTheme="minorHAnsi" w:hAnsiTheme="minorHAnsi" w:eastAsiaTheme="minorEastAsia" w:cstheme="minorBidi"/>
      <w:b/>
      <w:bCs/>
      <w:kern w:val="2"/>
      <w:sz w:val="21"/>
      <w:szCs w:val="24"/>
    </w:rPr>
  </w:style>
  <w:style w:type="character" w:customStyle="1" w:styleId="24">
    <w:name w:val="批注框文本 Char"/>
    <w:basedOn w:val="11"/>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3581</Words>
  <Characters>4012</Characters>
  <Lines>38</Lines>
  <Paragraphs>10</Paragraphs>
  <TotalTime>2</TotalTime>
  <ScaleCrop>false</ScaleCrop>
  <LinksUpToDate>false</LinksUpToDate>
  <CharactersWithSpaces>4064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2022-08-16T07:22:00Z</dcterms:created>
  <dc:creator>力和海得</dc:creator>
  <cp:lastModifiedBy>Andy冯</cp:lastModifiedBy>
  <dcterms:modified xsi:type="dcterms:W3CDTF">2022-09-20T09:40:18Z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5FA6C6551ED24A55AF3A8B0CF4D5C62C</vt:lpwstr>
  </property>
</Properties>
</file>