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bookmarkStart w:id="0" w:name="_Hlk107674439"/>
            <w:bookmarkEnd w:id="0"/>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t>65.150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t>B 56</w:t>
            </w:r>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0"/>
              <w:framePr w:w="0" w:hRule="auto" w:wrap="auto" w:vAnchor="margin" w:hAnchor="text" w:xAlign="left" w:yAlign="inline"/>
              <w:rPr>
                <w:rFonts w:ascii="宋体" w:hAnsi="宋体"/>
                <w:sz w:val="28"/>
                <w:szCs w:val="28"/>
              </w:rPr>
            </w:pPr>
            <w:bookmarkStart w:id="1"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2" w:name="c1"/>
            <w:r>
              <w:instrText xml:space="preserve"> FORMTEXT </w:instrText>
            </w:r>
            <w:r>
              <w:fldChar w:fldCharType="separate"/>
            </w:r>
            <w:r>
              <w:t>43</w:t>
            </w:r>
            <w:r>
              <w:fldChar w:fldCharType="end"/>
            </w:r>
            <w:bookmarkEnd w:id="2"/>
          </w:p>
        </w:tc>
      </w:tr>
    </w:tbl>
    <w:p>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3"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湖南省</w:t>
      </w:r>
      <w:r>
        <w:rPr>
          <w:rFonts w:ascii="黑体" w:eastAsia="黑体"/>
          <w:b w:val="0"/>
          <w:w w:val="100"/>
          <w:sz w:val="48"/>
        </w:rPr>
        <w:fldChar w:fldCharType="end"/>
      </w:r>
      <w:bookmarkEnd w:id="3"/>
      <w:r>
        <w:rPr>
          <w:rFonts w:hint="eastAsia" w:ascii="黑体" w:hAnsi="黑体" w:eastAsia="黑体"/>
          <w:b w:val="0"/>
          <w:bCs w:val="0"/>
          <w:w w:val="100"/>
          <w:sz w:val="48"/>
          <w:szCs w:val="48"/>
        </w:rPr>
        <w:t>地方标准</w:t>
      </w:r>
    </w:p>
    <w:bookmarkEnd w:id="1"/>
    <w:p>
      <w:pPr>
        <w:pStyle w:val="196"/>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4" w:name="文字1"/>
      <w:r>
        <w:rPr>
          <w:lang w:val="fr-FR"/>
        </w:rPr>
        <w:instrText xml:space="preserve"> FORMTEXT </w:instrText>
      </w:r>
      <w:r>
        <w:fldChar w:fldCharType="separate"/>
      </w:r>
      <w:r>
        <w:rPr>
          <w:lang w:val="fr-FR"/>
        </w:rPr>
        <w:t>43/T</w:t>
      </w:r>
      <w:r>
        <w:fldChar w:fldCharType="end"/>
      </w:r>
      <w:bookmarkEnd w:id="4"/>
      <w:r>
        <w:rPr>
          <w:lang w:val="fr-FR"/>
        </w:rPr>
        <w:t xml:space="preserve"> </w:t>
      </w:r>
      <w:r>
        <w:fldChar w:fldCharType="begin">
          <w:ffData>
            <w:name w:val="NSTD_CODE_F"/>
            <w:enabled/>
            <w:calcOnExit w:val="0"/>
            <w:textInput>
              <w:default w:val="XXXX"/>
            </w:textInput>
          </w:ffData>
        </w:fldChar>
      </w:r>
      <w:bookmarkStart w:id="5" w:name="NSTD_CODE_F"/>
      <w:r>
        <w:rPr>
          <w:lang w:val="fr-FR"/>
        </w:rPr>
        <w:instrText xml:space="preserve"> FORMTEXT </w:instrText>
      </w:r>
      <w:r>
        <w:fldChar w:fldCharType="separate"/>
      </w:r>
      <w:r>
        <w:t>XXXX</w:t>
      </w:r>
      <w:r>
        <w:fldChar w:fldCharType="end"/>
      </w:r>
      <w:bookmarkEnd w:id="5"/>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t>XXXX</w:t>
      </w:r>
      <w:r>
        <w:fldChar w:fldCharType="end"/>
      </w:r>
      <w:bookmarkEnd w:id="6"/>
    </w:p>
    <w:p>
      <w:pPr>
        <w:pStyle w:val="197"/>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1"/>
        <w:framePr w:w="9639" w:h="6976" w:hRule="exact" w:hSpace="0" w:vSpace="0" w:wrap="around" w:hAnchor="page" w:y="6408"/>
        <w:jc w:val="center"/>
        <w:rPr>
          <w:rFonts w:ascii="黑体" w:hAnsi="黑体" w:eastAsia="黑体"/>
          <w:b w:val="0"/>
          <w:bCs w:val="0"/>
          <w:w w:val="100"/>
        </w:rPr>
      </w:pPr>
    </w:p>
    <w:p>
      <w:pPr>
        <w:pStyle w:val="198"/>
        <w:framePr w:h="6974" w:hRule="exact" w:wrap="around" w:x="1419" w:anchorLock="1"/>
      </w:pPr>
      <w:r>
        <w:rPr>
          <w:rFonts w:hint="eastAsia"/>
        </w:rPr>
        <w:t>中底兼用网板制作技术规范</w:t>
      </w:r>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eastAsia="黑体"/>
          <w:szCs w:val="28"/>
        </w:rPr>
      </w:pPr>
      <w:r>
        <w:rPr>
          <w:rFonts w:eastAsia="黑体"/>
          <w:szCs w:val="28"/>
        </w:rPr>
        <w:t>Technical specification for pelagic and demersal otter board</w:t>
      </w:r>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8" w:name="下拉1"/>
      <w:r>
        <w:rPr>
          <w:sz w:val="24"/>
          <w:szCs w:val="28"/>
        </w:rPr>
        <w:instrText xml:space="preserve"> FORMDROPDOWN </w:instrText>
      </w:r>
      <w:r>
        <w:rPr>
          <w:sz w:val="24"/>
          <w:szCs w:val="28"/>
        </w:rPr>
        <w:fldChar w:fldCharType="separate"/>
      </w:r>
      <w:r>
        <w:rPr>
          <w:sz w:val="24"/>
          <w:szCs w:val="28"/>
        </w:rPr>
        <w:fldChar w:fldCharType="end"/>
      </w:r>
      <w:bookmarkEnd w:id="8"/>
    </w:p>
    <w:p>
      <w:pPr>
        <w:pStyle w:val="126"/>
        <w:framePr w:w="9639" w:h="6974" w:hRule="exact" w:wrap="around" w:vAnchor="page" w:hAnchor="page" w:x="1419" w:y="6408" w:anchorLock="1"/>
        <w:spacing w:before="180" w:line="240" w:lineRule="atLeast"/>
        <w:textAlignment w:val="bottom"/>
        <w:rPr>
          <w:sz w:val="21"/>
          <w:szCs w:val="28"/>
        </w:rPr>
      </w:pPr>
      <w:r>
        <w:rPr>
          <w:color w:val="auto"/>
          <w:sz w:val="21"/>
          <w:szCs w:val="28"/>
        </w:rPr>
        <w:fldChar w:fldCharType="begin">
          <w:ffData>
            <w:name w:val="CMPLSH_DATE"/>
            <w:enabled/>
            <w:calcOnExit w:val="0"/>
            <w:textInput/>
          </w:ffData>
        </w:fldChar>
      </w:r>
      <w:bookmarkStart w:id="9" w:name="CMPLSH_DATE"/>
      <w:r>
        <w:rPr>
          <w:color w:val="auto"/>
          <w:sz w:val="21"/>
          <w:szCs w:val="28"/>
        </w:rPr>
        <w:instrText xml:space="preserve"> FORMTEXT </w:instrText>
      </w:r>
      <w:r>
        <w:rPr>
          <w:color w:val="auto"/>
          <w:sz w:val="21"/>
          <w:szCs w:val="28"/>
        </w:rPr>
        <w:fldChar w:fldCharType="separate"/>
      </w:r>
      <w:r>
        <w:rPr>
          <w:rFonts w:hint="eastAsia"/>
          <w:color w:val="auto"/>
          <w:sz w:val="21"/>
          <w:szCs w:val="28"/>
        </w:rPr>
        <w:t>（本草案完成时间：2022年</w:t>
      </w:r>
      <w:r>
        <w:rPr>
          <w:rFonts w:hint="eastAsia"/>
          <w:color w:val="auto"/>
          <w:sz w:val="21"/>
          <w:szCs w:val="28"/>
          <w:lang w:val="en-US" w:eastAsia="zh-CN"/>
        </w:rPr>
        <w:t>9</w:t>
      </w:r>
      <w:r>
        <w:rPr>
          <w:rFonts w:hint="eastAsia"/>
          <w:color w:val="auto"/>
          <w:sz w:val="21"/>
          <w:szCs w:val="28"/>
        </w:rPr>
        <w:t>月</w:t>
      </w:r>
      <w:r>
        <w:rPr>
          <w:color w:val="auto"/>
          <w:sz w:val="21"/>
          <w:szCs w:val="28"/>
        </w:rPr>
        <w:t>2</w:t>
      </w:r>
      <w:r>
        <w:rPr>
          <w:rFonts w:hint="eastAsia"/>
          <w:color w:val="auto"/>
          <w:sz w:val="21"/>
          <w:szCs w:val="28"/>
          <w:lang w:val="en-US" w:eastAsia="zh-CN"/>
        </w:rPr>
        <w:t>0</w:t>
      </w:r>
      <w:r>
        <w:rPr>
          <w:rFonts w:hint="eastAsia"/>
          <w:color w:val="auto"/>
          <w:sz w:val="21"/>
          <w:szCs w:val="28"/>
        </w:rPr>
        <w:t>日星期</w:t>
      </w:r>
      <w:r>
        <w:rPr>
          <w:rFonts w:hint="eastAsia"/>
          <w:color w:val="auto"/>
          <w:sz w:val="21"/>
          <w:szCs w:val="28"/>
          <w:lang w:val="en-US" w:eastAsia="zh-CN"/>
        </w:rPr>
        <w:t>二</w:t>
      </w:r>
      <w:r>
        <w:rPr>
          <w:rFonts w:hint="eastAsia"/>
          <w:color w:val="auto"/>
          <w:sz w:val="21"/>
          <w:szCs w:val="28"/>
        </w:rPr>
        <w:t>）</w:t>
      </w:r>
      <w:r>
        <w:rPr>
          <w:color w:val="auto"/>
          <w:sz w:val="21"/>
          <w:szCs w:val="28"/>
        </w:rPr>
        <w:fldChar w:fldCharType="end"/>
      </w:r>
      <w:bookmarkEnd w:id="9"/>
    </w:p>
    <w:p>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0" w:name="下拉2"/>
      <w:r>
        <w:rPr>
          <w:b/>
          <w:sz w:val="21"/>
          <w:szCs w:val="28"/>
        </w:rPr>
        <w:instrText xml:space="preserve"> FORMDROPDOWN </w:instrText>
      </w:r>
      <w:r>
        <w:rPr>
          <w:b/>
          <w:sz w:val="21"/>
          <w:szCs w:val="28"/>
        </w:rPr>
        <w:fldChar w:fldCharType="separate"/>
      </w:r>
      <w:r>
        <w:rPr>
          <w:b/>
          <w:sz w:val="21"/>
          <w:szCs w:val="28"/>
        </w:rPr>
        <w:fldChar w:fldCharType="end"/>
      </w:r>
      <w:bookmarkEnd w:id="10"/>
    </w:p>
    <w:p>
      <w:pPr>
        <w:pStyle w:val="194"/>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fldChar w:fldCharType="separate"/>
      </w:r>
      <w:r>
        <w:rPr>
          <w:rFonts w:ascii="黑体"/>
        </w:rPr>
        <w:t>2022</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发布</w:t>
      </w:r>
    </w:p>
    <w:p>
      <w:pPr>
        <w:pStyle w:val="195"/>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fldChar w:fldCharType="separate"/>
      </w:r>
      <w:r>
        <w:rPr>
          <w:rFonts w:ascii="黑体"/>
        </w:rPr>
        <w:t>2022</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实施</w:t>
      </w:r>
    </w:p>
    <w:p>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fldChar w:fldCharType="separate"/>
      </w:r>
      <w:r>
        <w:rPr>
          <w:rFonts w:hint="eastAsia" w:hAnsi="黑体"/>
          <w:w w:val="100"/>
          <w:sz w:val="28"/>
        </w:rPr>
        <w:t>湖南省市场监督管理局</w:t>
      </w:r>
      <w:r>
        <w:rPr>
          <w:rFonts w:hAnsi="黑体"/>
          <w:w w:val="100"/>
          <w:sz w:val="28"/>
        </w:rPr>
        <w:fldChar w:fldCharType="end"/>
      </w:r>
      <w:bookmarkEnd w:id="17"/>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2"/>
        <w:spacing w:after="468"/>
      </w:pPr>
      <w:bookmarkStart w:id="18" w:name="BookMark1"/>
      <w:bookmarkStart w:id="19" w:name="_Toc109116021"/>
      <w:bookmarkStart w:id="20" w:name="_Toc109745879"/>
      <w:bookmarkStart w:id="21" w:name="_Toc110264266"/>
      <w:bookmarkStart w:id="22" w:name="_Toc110262373"/>
      <w:bookmarkStart w:id="23" w:name="_Toc107828024"/>
      <w:bookmarkStart w:id="24" w:name="_Toc107910575"/>
      <w:bookmarkStart w:id="25" w:name="_Toc108857862"/>
      <w:bookmarkStart w:id="26" w:name="_Toc109200134"/>
      <w:bookmarkStart w:id="27" w:name="_Toc109742257"/>
      <w:bookmarkStart w:id="28" w:name="_Toc109035320"/>
      <w:bookmarkStart w:id="29" w:name="_Toc109205804"/>
      <w:bookmarkStart w:id="30" w:name="_Toc108857828"/>
      <w:bookmarkStart w:id="31" w:name="_Toc108857952"/>
      <w:bookmarkStart w:id="32" w:name="_Toc111474751"/>
      <w:r>
        <w:rPr>
          <w:rFonts w:hint="eastAsia"/>
          <w:spacing w:val="320"/>
        </w:rPr>
        <w:t>目</w:t>
      </w:r>
      <w:r>
        <w:rPr>
          <w:rFonts w:hint="eastAsia"/>
        </w:rPr>
        <w:t>次</w:t>
      </w:r>
    </w:p>
    <w:p>
      <w:pPr>
        <w:pStyle w:val="20"/>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"_Toc114575796" </w:instrText>
      </w:r>
      <w:r>
        <w:fldChar w:fldCharType="separate"/>
      </w:r>
      <w:r>
        <w:rPr>
          <w:rStyle w:val="33"/>
          <w:rFonts w:hint="eastAsia"/>
          <w:spacing w:val="320"/>
        </w:rPr>
        <w:t>前</w:t>
      </w:r>
      <w:r>
        <w:rPr>
          <w:rStyle w:val="33"/>
          <w:rFonts w:hint="eastAsia"/>
        </w:rPr>
        <w:t>言</w:t>
      </w:r>
      <w:r>
        <w:tab/>
      </w:r>
      <w:r>
        <w:fldChar w:fldCharType="begin"/>
      </w:r>
      <w:r>
        <w:instrText xml:space="preserve"> PAGEREF _Toc114575796 \h </w:instrText>
      </w:r>
      <w:r>
        <w:fldChar w:fldCharType="separate"/>
      </w:r>
      <w:r>
        <w:t>II</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"_Toc114575797" </w:instrText>
      </w:r>
      <w:r>
        <w:fldChar w:fldCharType="separate"/>
      </w:r>
      <w:r>
        <w:rPr>
          <w:rStyle w:val="33"/>
        </w:rPr>
        <w:t>1</w:t>
      </w:r>
      <w:r>
        <w:rPr>
          <w:rStyle w:val="33"/>
          <w:rFonts w:hint="eastAsia"/>
        </w:rPr>
        <w:t xml:space="preserve"> 范围</w:t>
      </w:r>
      <w:r>
        <w:tab/>
      </w:r>
      <w:r>
        <w:fldChar w:fldCharType="begin"/>
      </w:r>
      <w:r>
        <w:instrText xml:space="preserve"> PAGEREF _Toc114575797 \h </w:instrText>
      </w:r>
      <w:r>
        <w:fldChar w:fldCharType="separate"/>
      </w:r>
      <w:r>
        <w:t>3</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"_Toc114575798" </w:instrText>
      </w:r>
      <w:r>
        <w:fldChar w:fldCharType="separate"/>
      </w:r>
      <w:r>
        <w:rPr>
          <w:rStyle w:val="33"/>
        </w:rPr>
        <w:t>2</w:t>
      </w:r>
      <w:r>
        <w:rPr>
          <w:rStyle w:val="33"/>
          <w:rFonts w:hint="eastAsia"/>
        </w:rPr>
        <w:t xml:space="preserve"> 规范性引用文件</w:t>
      </w:r>
      <w:r>
        <w:tab/>
      </w:r>
      <w:r>
        <w:fldChar w:fldCharType="begin"/>
      </w:r>
      <w:r>
        <w:instrText xml:space="preserve"> PAGEREF _Toc114575798 \h </w:instrText>
      </w:r>
      <w:r>
        <w:fldChar w:fldCharType="separate"/>
      </w:r>
      <w:r>
        <w:t>3</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"_Toc114575799" </w:instrText>
      </w:r>
      <w:r>
        <w:fldChar w:fldCharType="separate"/>
      </w:r>
      <w:r>
        <w:rPr>
          <w:rStyle w:val="33"/>
        </w:rPr>
        <w:t>3</w:t>
      </w:r>
      <w:r>
        <w:rPr>
          <w:rStyle w:val="33"/>
          <w:rFonts w:hint="eastAsia"/>
        </w:rPr>
        <w:t xml:space="preserve"> 术语和定义</w:t>
      </w:r>
      <w:r>
        <w:tab/>
      </w:r>
      <w:r>
        <w:fldChar w:fldCharType="begin"/>
      </w:r>
      <w:r>
        <w:instrText xml:space="preserve"> PAGEREF _Toc114575799 \h </w:instrText>
      </w:r>
      <w:r>
        <w:fldChar w:fldCharType="separate"/>
      </w:r>
      <w:r>
        <w:t>3</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"_Toc114575800" </w:instrText>
      </w:r>
      <w:r>
        <w:fldChar w:fldCharType="separate"/>
      </w:r>
      <w:r>
        <w:rPr>
          <w:rStyle w:val="33"/>
          <w14:scene3d>
            <w14:lightRig w14:rig="threePt" w14:dir="t">
              <w14:rot w14:lat="0" w14:lon="0" w14:rev="0"/>
            </w14:lightRig>
          </w14:scene3d>
        </w:rPr>
        <w:t>3.1</w:t>
      </w:r>
      <w:r>
        <w:rPr>
          <w:rStyle w:val="33"/>
          <w:rFonts w:hint="eastAsia"/>
        </w:rPr>
        <w:t xml:space="preserve"> 网板</w:t>
      </w:r>
      <w:r>
        <w:rPr>
          <w:rStyle w:val="33"/>
        </w:rPr>
        <w:t xml:space="preserve"> otter board</w:t>
      </w:r>
      <w:r>
        <w:tab/>
      </w:r>
      <w:r>
        <w:fldChar w:fldCharType="begin"/>
      </w:r>
      <w:r>
        <w:instrText xml:space="preserve"> PAGEREF _Toc114575800 \h </w:instrText>
      </w:r>
      <w:r>
        <w:fldChar w:fldCharType="separate"/>
      </w:r>
      <w:r>
        <w:t>3</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"_Toc114575801" </w:instrText>
      </w:r>
      <w:r>
        <w:fldChar w:fldCharType="separate"/>
      </w:r>
      <w:r>
        <w:rPr>
          <w:rStyle w:val="33"/>
          <w14:scene3d>
            <w14:lightRig w14:rig="threePt" w14:dir="t">
              <w14:rot w14:lat="0" w14:lon="0" w14:rev="0"/>
            </w14:lightRig>
          </w14:scene3d>
        </w:rPr>
        <w:t>3.2</w:t>
      </w:r>
      <w:r>
        <w:rPr>
          <w:rStyle w:val="33"/>
          <w:rFonts w:hint="eastAsia"/>
        </w:rPr>
        <w:t xml:space="preserve"> 矩形曲面双开缝网板</w:t>
      </w:r>
      <w:r>
        <w:rPr>
          <w:rStyle w:val="33"/>
        </w:rPr>
        <w:t xml:space="preserve"> rectangular curved double slotted otter board</w:t>
      </w:r>
      <w:r>
        <w:tab/>
      </w:r>
      <w:r>
        <w:fldChar w:fldCharType="begin"/>
      </w:r>
      <w:r>
        <w:instrText xml:space="preserve"> PAGEREF _Toc114575801 \h </w:instrText>
      </w:r>
      <w:r>
        <w:fldChar w:fldCharType="separate"/>
      </w:r>
      <w:r>
        <w:t>3</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"_Toc114575802" </w:instrText>
      </w:r>
      <w:r>
        <w:fldChar w:fldCharType="separate"/>
      </w:r>
      <w:r>
        <w:rPr>
          <w:rStyle w:val="33"/>
        </w:rPr>
        <w:t>4</w:t>
      </w:r>
      <w:r>
        <w:rPr>
          <w:rStyle w:val="33"/>
          <w:rFonts w:hint="eastAsia"/>
        </w:rPr>
        <w:t xml:space="preserve"> 命名</w:t>
      </w:r>
      <w:r>
        <w:tab/>
      </w:r>
      <w:r>
        <w:fldChar w:fldCharType="begin"/>
      </w:r>
      <w:r>
        <w:instrText xml:space="preserve"> PAGEREF _Toc114575802 \h </w:instrText>
      </w:r>
      <w:r>
        <w:fldChar w:fldCharType="separate"/>
      </w:r>
      <w:r>
        <w:t>3</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"_Toc114575803" </w:instrText>
      </w:r>
      <w:r>
        <w:fldChar w:fldCharType="separate"/>
      </w:r>
      <w:r>
        <w:rPr>
          <w:rStyle w:val="33"/>
          <w14:scene3d>
            <w14:lightRig w14:rig="threePt" w14:dir="t">
              <w14:rot w14:lat="0" w14:lon="0" w14:rev="0"/>
            </w14:lightRig>
          </w14:scene3d>
        </w:rPr>
        <w:t>4.1</w:t>
      </w:r>
      <w:r>
        <w:rPr>
          <w:rStyle w:val="33"/>
          <w:rFonts w:hint="eastAsia"/>
        </w:rPr>
        <w:t xml:space="preserve"> 命名内容</w:t>
      </w:r>
      <w:r>
        <w:tab/>
      </w:r>
      <w:r>
        <w:fldChar w:fldCharType="begin"/>
      </w:r>
      <w:r>
        <w:instrText xml:space="preserve"> PAGEREF _Toc114575803 \h </w:instrText>
      </w:r>
      <w:r>
        <w:fldChar w:fldCharType="separate"/>
      </w:r>
      <w:r>
        <w:t>3</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"_Toc114575804" </w:instrText>
      </w:r>
      <w:r>
        <w:fldChar w:fldCharType="separate"/>
      </w:r>
      <w:r>
        <w:rPr>
          <w:rStyle w:val="33"/>
          <w14:scene3d>
            <w14:lightRig w14:rig="threePt" w14:dir="t">
              <w14:rot w14:lat="0" w14:lon="0" w14:rev="0"/>
            </w14:lightRig>
          </w14:scene3d>
        </w:rPr>
        <w:t>4.2</w:t>
      </w:r>
      <w:r>
        <w:rPr>
          <w:rStyle w:val="33"/>
          <w:rFonts w:hint="eastAsia"/>
        </w:rPr>
        <w:t xml:space="preserve"> 命名标记</w:t>
      </w:r>
      <w:r>
        <w:tab/>
      </w:r>
      <w:r>
        <w:fldChar w:fldCharType="begin"/>
      </w:r>
      <w:r>
        <w:instrText xml:space="preserve"> PAGEREF _Toc114575804 \h </w:instrText>
      </w:r>
      <w:r>
        <w:fldChar w:fldCharType="separate"/>
      </w:r>
      <w:r>
        <w:t>3</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"_Toc114575805" </w:instrText>
      </w:r>
      <w:r>
        <w:fldChar w:fldCharType="separate"/>
      </w:r>
      <w:r>
        <w:rPr>
          <w:rStyle w:val="33"/>
          <w14:scene3d>
            <w14:lightRig w14:rig="threePt" w14:dir="t">
              <w14:rot w14:lat="0" w14:lon="0" w14:rev="0"/>
            </w14:lightRig>
          </w14:scene3d>
        </w:rPr>
        <w:t>4.3</w:t>
      </w:r>
      <w:r>
        <w:rPr>
          <w:rStyle w:val="33"/>
          <w:rFonts w:hint="eastAsia"/>
        </w:rPr>
        <w:t xml:space="preserve"> 命名示例</w:t>
      </w:r>
      <w:r>
        <w:tab/>
      </w:r>
      <w:r>
        <w:fldChar w:fldCharType="begin"/>
      </w:r>
      <w:r>
        <w:instrText xml:space="preserve"> PAGEREF _Toc114575805 \h </w:instrText>
      </w:r>
      <w:r>
        <w:fldChar w:fldCharType="separate"/>
      </w:r>
      <w:r>
        <w:t>4</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"_Toc114575806" </w:instrText>
      </w:r>
      <w:r>
        <w:fldChar w:fldCharType="separate"/>
      </w:r>
      <w:r>
        <w:rPr>
          <w:rStyle w:val="33"/>
        </w:rPr>
        <w:t>5</w:t>
      </w:r>
      <w:r>
        <w:rPr>
          <w:rStyle w:val="33"/>
          <w:rFonts w:hint="eastAsia"/>
        </w:rPr>
        <w:t xml:space="preserve"> 要求</w:t>
      </w:r>
      <w:r>
        <w:tab/>
      </w:r>
      <w:r>
        <w:fldChar w:fldCharType="begin"/>
      </w:r>
      <w:r>
        <w:instrText xml:space="preserve"> PAGEREF _Toc114575806 \h </w:instrText>
      </w:r>
      <w:r>
        <w:fldChar w:fldCharType="separate"/>
      </w:r>
      <w:r>
        <w:t>4</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"_Toc114575807" </w:instrText>
      </w:r>
      <w:r>
        <w:fldChar w:fldCharType="separate"/>
      </w:r>
      <w:r>
        <w:rPr>
          <w:rStyle w:val="33"/>
          <w14:scene3d>
            <w14:lightRig w14:rig="threePt" w14:dir="t">
              <w14:rot w14:lat="0" w14:lon="0" w14:rev="0"/>
            </w14:lightRig>
          </w14:scene3d>
        </w:rPr>
        <w:t>5.1</w:t>
      </w:r>
      <w:r>
        <w:rPr>
          <w:rStyle w:val="33"/>
          <w:rFonts w:hint="eastAsia"/>
        </w:rPr>
        <w:t xml:space="preserve"> 基本参数</w:t>
      </w:r>
      <w:r>
        <w:tab/>
      </w:r>
      <w:r>
        <w:fldChar w:fldCharType="begin"/>
      </w:r>
      <w:r>
        <w:instrText xml:space="preserve"> PAGEREF _Toc114575807 \h </w:instrText>
      </w:r>
      <w:r>
        <w:fldChar w:fldCharType="separate"/>
      </w:r>
      <w:r>
        <w:t>4</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"_Toc114575808" </w:instrText>
      </w:r>
      <w:r>
        <w:fldChar w:fldCharType="separate"/>
      </w:r>
      <w:r>
        <w:rPr>
          <w:rStyle w:val="33"/>
          <w14:scene3d>
            <w14:lightRig w14:rig="threePt" w14:dir="t">
              <w14:rot w14:lat="0" w14:lon="0" w14:rev="0"/>
            </w14:lightRig>
          </w14:scene3d>
        </w:rPr>
        <w:t>5.2</w:t>
      </w:r>
      <w:r>
        <w:rPr>
          <w:rStyle w:val="33"/>
          <w:rFonts w:hint="eastAsia"/>
        </w:rPr>
        <w:t xml:space="preserve"> 水动力特性</w:t>
      </w:r>
      <w:r>
        <w:tab/>
      </w:r>
      <w:r>
        <w:fldChar w:fldCharType="begin"/>
      </w:r>
      <w:r>
        <w:instrText xml:space="preserve"> PAGEREF _Toc114575808 \h </w:instrText>
      </w:r>
      <w:r>
        <w:fldChar w:fldCharType="separate"/>
      </w:r>
      <w:r>
        <w:t>4</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"_Toc114575809" </w:instrText>
      </w:r>
      <w:r>
        <w:fldChar w:fldCharType="separate"/>
      </w:r>
      <w:r>
        <w:rPr>
          <w:rStyle w:val="33"/>
          <w14:scene3d>
            <w14:lightRig w14:rig="threePt" w14:dir="t">
              <w14:rot w14:lat="0" w14:lon="0" w14:rev="0"/>
            </w14:lightRig>
          </w14:scene3d>
        </w:rPr>
        <w:t>5.3</w:t>
      </w:r>
      <w:r>
        <w:rPr>
          <w:rStyle w:val="33"/>
          <w:rFonts w:hint="eastAsia"/>
        </w:rPr>
        <w:t xml:space="preserve"> 结构示意与部件材料</w:t>
      </w:r>
      <w:r>
        <w:tab/>
      </w:r>
      <w:r>
        <w:fldChar w:fldCharType="begin"/>
      </w:r>
      <w:r>
        <w:instrText xml:space="preserve"> PAGEREF _Toc114575809 \h </w:instrText>
      </w:r>
      <w:r>
        <w:fldChar w:fldCharType="separate"/>
      </w:r>
      <w:r>
        <w:t>5</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"_Toc114575810" </w:instrText>
      </w:r>
      <w:r>
        <w:fldChar w:fldCharType="separate"/>
      </w:r>
      <w:r>
        <w:rPr>
          <w:rStyle w:val="33"/>
          <w14:scene3d>
            <w14:lightRig w14:rig="threePt" w14:dir="t">
              <w14:rot w14:lat="0" w14:lon="0" w14:rev="0"/>
            </w14:lightRig>
          </w14:scene3d>
        </w:rPr>
        <w:t>5.4</w:t>
      </w:r>
      <w:r>
        <w:rPr>
          <w:rStyle w:val="33"/>
          <w:rFonts w:hint="eastAsia"/>
        </w:rPr>
        <w:t xml:space="preserve"> 防锈</w:t>
      </w:r>
      <w:r>
        <w:tab/>
      </w:r>
      <w:r>
        <w:fldChar w:fldCharType="begin"/>
      </w:r>
      <w:r>
        <w:instrText xml:space="preserve"> PAGEREF _Toc114575810 \h </w:instrText>
      </w:r>
      <w:r>
        <w:fldChar w:fldCharType="separate"/>
      </w:r>
      <w:r>
        <w:t>6</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"_Toc114575811" </w:instrText>
      </w:r>
      <w:r>
        <w:fldChar w:fldCharType="separate"/>
      </w:r>
      <w:r>
        <w:rPr>
          <w:rStyle w:val="33"/>
        </w:rPr>
        <w:t>6</w:t>
      </w:r>
      <w:r>
        <w:rPr>
          <w:rStyle w:val="33"/>
          <w:rFonts w:hint="eastAsia"/>
        </w:rPr>
        <w:t xml:space="preserve"> 检验方法</w:t>
      </w:r>
      <w:r>
        <w:tab/>
      </w:r>
      <w:r>
        <w:fldChar w:fldCharType="begin"/>
      </w:r>
      <w:r>
        <w:instrText xml:space="preserve"> PAGEREF _Toc114575811 \h </w:instrText>
      </w:r>
      <w:r>
        <w:fldChar w:fldCharType="separate"/>
      </w:r>
      <w:r>
        <w:t>7</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"_Toc114575812" </w:instrText>
      </w:r>
      <w:r>
        <w:fldChar w:fldCharType="separate"/>
      </w:r>
      <w:r>
        <w:rPr>
          <w:rStyle w:val="33"/>
          <w14:scene3d>
            <w14:lightRig w14:rig="threePt" w14:dir="t">
              <w14:rot w14:lat="0" w14:lon="0" w14:rev="0"/>
            </w14:lightRig>
          </w14:scene3d>
        </w:rPr>
        <w:t>6.1</w:t>
      </w:r>
      <w:r>
        <w:rPr>
          <w:rStyle w:val="33"/>
          <w:rFonts w:hint="eastAsia"/>
        </w:rPr>
        <w:t xml:space="preserve"> 外观质量</w:t>
      </w:r>
      <w:r>
        <w:tab/>
      </w:r>
      <w:r>
        <w:fldChar w:fldCharType="begin"/>
      </w:r>
      <w:r>
        <w:instrText xml:space="preserve"> PAGEREF _Toc114575812 \h </w:instrText>
      </w:r>
      <w:r>
        <w:fldChar w:fldCharType="separate"/>
      </w:r>
      <w:r>
        <w:t>7</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"_Toc114575813" </w:instrText>
      </w:r>
      <w:r>
        <w:fldChar w:fldCharType="separate"/>
      </w:r>
      <w:r>
        <w:rPr>
          <w:rStyle w:val="33"/>
          <w14:scene3d>
            <w14:lightRig w14:rig="threePt" w14:dir="t">
              <w14:rot w14:lat="0" w14:lon="0" w14:rev="0"/>
            </w14:lightRig>
          </w14:scene3d>
        </w:rPr>
        <w:t>6.2</w:t>
      </w:r>
      <w:r>
        <w:rPr>
          <w:rStyle w:val="33"/>
          <w:rFonts w:hint="eastAsia"/>
        </w:rPr>
        <w:t xml:space="preserve"> 检验内容</w:t>
      </w:r>
      <w:r>
        <w:tab/>
      </w:r>
      <w:r>
        <w:fldChar w:fldCharType="begin"/>
      </w:r>
      <w:r>
        <w:instrText xml:space="preserve"> PAGEREF _Toc114575813 \h </w:instrText>
      </w:r>
      <w:r>
        <w:fldChar w:fldCharType="separate"/>
      </w:r>
      <w:r>
        <w:t>7</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"_Toc114575814" </w:instrText>
      </w:r>
      <w:r>
        <w:fldChar w:fldCharType="separate"/>
      </w:r>
      <w:r>
        <w:rPr>
          <w:rStyle w:val="33"/>
        </w:rPr>
        <w:t>7</w:t>
      </w:r>
      <w:r>
        <w:rPr>
          <w:rStyle w:val="33"/>
          <w:rFonts w:hint="eastAsia"/>
        </w:rPr>
        <w:t xml:space="preserve"> 检验规则</w:t>
      </w:r>
      <w:r>
        <w:tab/>
      </w:r>
      <w:r>
        <w:fldChar w:fldCharType="begin"/>
      </w:r>
      <w:r>
        <w:instrText xml:space="preserve"> PAGEREF _Toc114575814 \h </w:instrText>
      </w:r>
      <w:r>
        <w:fldChar w:fldCharType="separate"/>
      </w:r>
      <w:r>
        <w:t>7</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"_Toc114575815" </w:instrText>
      </w:r>
      <w:r>
        <w:fldChar w:fldCharType="separate"/>
      </w:r>
      <w:r>
        <w:rPr>
          <w:rStyle w:val="33"/>
          <w14:scene3d>
            <w14:lightRig w14:rig="threePt" w14:dir="t">
              <w14:rot w14:lat="0" w14:lon="0" w14:rev="0"/>
            </w14:lightRig>
          </w14:scene3d>
        </w:rPr>
        <w:t>7.1</w:t>
      </w:r>
      <w:r>
        <w:rPr>
          <w:rStyle w:val="33"/>
          <w:rFonts w:hint="eastAsia"/>
        </w:rPr>
        <w:t xml:space="preserve"> 出厂检验</w:t>
      </w:r>
      <w:r>
        <w:tab/>
      </w:r>
      <w:r>
        <w:fldChar w:fldCharType="begin"/>
      </w:r>
      <w:r>
        <w:instrText xml:space="preserve"> PAGEREF _Toc114575815 \h </w:instrText>
      </w:r>
      <w:r>
        <w:fldChar w:fldCharType="separate"/>
      </w:r>
      <w:r>
        <w:t>7</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"_Toc114575816" </w:instrText>
      </w:r>
      <w:r>
        <w:fldChar w:fldCharType="separate"/>
      </w:r>
      <w:r>
        <w:rPr>
          <w:rStyle w:val="33"/>
          <w14:scene3d>
            <w14:lightRig w14:rig="threePt" w14:dir="t">
              <w14:rot w14:lat="0" w14:lon="0" w14:rev="0"/>
            </w14:lightRig>
          </w14:scene3d>
        </w:rPr>
        <w:t>7.2</w:t>
      </w:r>
      <w:r>
        <w:rPr>
          <w:rStyle w:val="33"/>
          <w:rFonts w:hint="eastAsia"/>
        </w:rPr>
        <w:t xml:space="preserve"> 型式检验</w:t>
      </w:r>
      <w:r>
        <w:tab/>
      </w:r>
      <w:r>
        <w:fldChar w:fldCharType="begin"/>
      </w:r>
      <w:r>
        <w:instrText xml:space="preserve"> PAGEREF _Toc114575816 \h </w:instrText>
      </w:r>
      <w:r>
        <w:fldChar w:fldCharType="separate"/>
      </w:r>
      <w:r>
        <w:t>7</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"_Toc114575817" </w:instrText>
      </w:r>
      <w:r>
        <w:fldChar w:fldCharType="separate"/>
      </w:r>
      <w:r>
        <w:rPr>
          <w:rStyle w:val="33"/>
          <w14:scene3d>
            <w14:lightRig w14:rig="threePt" w14:dir="t">
              <w14:rot w14:lat="0" w14:lon="0" w14:rev="0"/>
            </w14:lightRig>
          </w14:scene3d>
        </w:rPr>
        <w:t>7.3</w:t>
      </w:r>
      <w:r>
        <w:rPr>
          <w:rStyle w:val="33"/>
          <w:rFonts w:hint="eastAsia"/>
        </w:rPr>
        <w:t xml:space="preserve"> 判定规则</w:t>
      </w:r>
      <w:r>
        <w:tab/>
      </w:r>
      <w:r>
        <w:fldChar w:fldCharType="begin"/>
      </w:r>
      <w:r>
        <w:instrText xml:space="preserve"> PAGEREF _Toc114575817 \h </w:instrText>
      </w:r>
      <w:r>
        <w:fldChar w:fldCharType="separate"/>
      </w:r>
      <w:r>
        <w:t>7</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"_Toc114575818" </w:instrText>
      </w:r>
      <w:r>
        <w:fldChar w:fldCharType="separate"/>
      </w:r>
      <w:r>
        <w:rPr>
          <w:rStyle w:val="33"/>
        </w:rPr>
        <w:t>8</w:t>
      </w:r>
      <w:r>
        <w:rPr>
          <w:rStyle w:val="33"/>
          <w:rFonts w:hint="eastAsia"/>
        </w:rPr>
        <w:t xml:space="preserve"> 标志、标签、运输及储存</w:t>
      </w:r>
      <w:r>
        <w:tab/>
      </w:r>
      <w:r>
        <w:fldChar w:fldCharType="begin"/>
      </w:r>
      <w:r>
        <w:instrText xml:space="preserve"> PAGEREF _Toc114575818 \h </w:instrText>
      </w:r>
      <w:r>
        <w:fldChar w:fldCharType="separate"/>
      </w:r>
      <w:r>
        <w:t>7</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"_Toc114575819" </w:instrText>
      </w:r>
      <w:r>
        <w:fldChar w:fldCharType="separate"/>
      </w:r>
      <w:r>
        <w:rPr>
          <w:rStyle w:val="33"/>
          <w14:scene3d>
            <w14:lightRig w14:rig="threePt" w14:dir="t">
              <w14:rot w14:lat="0" w14:lon="0" w14:rev="0"/>
            </w14:lightRig>
          </w14:scene3d>
        </w:rPr>
        <w:t>8.1</w:t>
      </w:r>
      <w:r>
        <w:rPr>
          <w:rStyle w:val="33"/>
          <w:rFonts w:hint="eastAsia"/>
        </w:rPr>
        <w:t xml:space="preserve"> 标志、标签</w:t>
      </w:r>
      <w:r>
        <w:tab/>
      </w:r>
      <w:r>
        <w:fldChar w:fldCharType="begin"/>
      </w:r>
      <w:r>
        <w:instrText xml:space="preserve"> PAGEREF _Toc114575819 \h </w:instrText>
      </w:r>
      <w:r>
        <w:fldChar w:fldCharType="separate"/>
      </w:r>
      <w:r>
        <w:t>7</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"_Toc114575820" </w:instrText>
      </w:r>
      <w:r>
        <w:fldChar w:fldCharType="separate"/>
      </w:r>
      <w:r>
        <w:rPr>
          <w:rStyle w:val="33"/>
          <w14:scene3d>
            <w14:lightRig w14:rig="threePt" w14:dir="t">
              <w14:rot w14:lat="0" w14:lon="0" w14:rev="0"/>
            </w14:lightRig>
          </w14:scene3d>
        </w:rPr>
        <w:t>8.2</w:t>
      </w:r>
      <w:r>
        <w:rPr>
          <w:rStyle w:val="33"/>
          <w:rFonts w:hint="eastAsia"/>
        </w:rPr>
        <w:t xml:space="preserve"> 运输</w:t>
      </w:r>
      <w:r>
        <w:tab/>
      </w:r>
      <w:r>
        <w:fldChar w:fldCharType="begin"/>
      </w:r>
      <w:r>
        <w:instrText xml:space="preserve"> PAGEREF _Toc114575820 \h </w:instrText>
      </w:r>
      <w:r>
        <w:fldChar w:fldCharType="separate"/>
      </w:r>
      <w:r>
        <w:t>7</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"_Toc114575821" </w:instrText>
      </w:r>
      <w:r>
        <w:fldChar w:fldCharType="separate"/>
      </w:r>
      <w:r>
        <w:rPr>
          <w:rStyle w:val="33"/>
          <w14:scene3d>
            <w14:lightRig w14:rig="threePt" w14:dir="t">
              <w14:rot w14:lat="0" w14:lon="0" w14:rev="0"/>
            </w14:lightRig>
          </w14:scene3d>
        </w:rPr>
        <w:t>8.3</w:t>
      </w:r>
      <w:r>
        <w:rPr>
          <w:rStyle w:val="33"/>
          <w:rFonts w:hint="eastAsia"/>
        </w:rPr>
        <w:t xml:space="preserve"> 储存</w:t>
      </w:r>
      <w:r>
        <w:tab/>
      </w:r>
      <w:r>
        <w:fldChar w:fldCharType="begin"/>
      </w:r>
      <w:r>
        <w:instrText xml:space="preserve"> PAGEREF _Toc114575821 \h </w:instrText>
      </w:r>
      <w:r>
        <w:fldChar w:fldCharType="separate"/>
      </w:r>
      <w:r>
        <w:t>8</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"_Toc114575822" </w:instrText>
      </w:r>
      <w:r>
        <w:fldChar w:fldCharType="separate"/>
      </w:r>
      <w:r>
        <w:rPr>
          <w:rStyle w:val="33"/>
          <w:rFonts w:hint="eastAsia"/>
        </w:rPr>
        <w:t>参考文献</w:t>
      </w:r>
      <w:r>
        <w:tab/>
      </w:r>
      <w:r>
        <w:fldChar w:fldCharType="begin"/>
      </w:r>
      <w:r>
        <w:instrText xml:space="preserve"> PAGEREF _Toc114575822 \h </w:instrText>
      </w:r>
      <w:r>
        <w:fldChar w:fldCharType="separate"/>
      </w:r>
      <w:r>
        <w:t>8</w:t>
      </w:r>
      <w:r>
        <w:fldChar w:fldCharType="end"/>
      </w:r>
      <w:r>
        <w:fldChar w:fldCharType="end"/>
      </w:r>
    </w:p>
    <w:p>
      <w:pPr>
        <w:tabs>
          <w:tab w:val="left" w:pos="1853"/>
        </w:tabs>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18"/>
    <w:p>
      <w:pPr>
        <w:pStyle w:val="90"/>
        <w:spacing w:before="900" w:after="468"/>
      </w:pPr>
      <w:bookmarkStart w:id="33" w:name="_Toc114575796"/>
      <w:bookmarkStart w:id="34" w:name="BookMark2"/>
      <w:r>
        <w:rPr>
          <w:spacing w:val="320"/>
        </w:rPr>
        <w:t>前</w:t>
      </w:r>
      <w:r>
        <w:t>言</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pPr>
        <w:pStyle w:val="57"/>
        <w:ind w:firstLine="420"/>
      </w:pPr>
      <w:r>
        <w:rPr>
          <w:rFonts w:hint="eastAsia"/>
        </w:rPr>
        <w:t>本文件按照G</w:t>
      </w:r>
      <w:r>
        <w:t>B/T 1.1-2020</w:t>
      </w:r>
      <w:r>
        <w:rPr>
          <w:rFonts w:hint="eastAsia"/>
        </w:rPr>
        <w:t>《标准化工作导则第1部分：标准化文件的结构和起草规则》的规定起草。</w:t>
      </w:r>
    </w:p>
    <w:p>
      <w:pPr>
        <w:pStyle w:val="57"/>
        <w:ind w:firstLine="420"/>
      </w:pPr>
      <w:r>
        <w:rPr>
          <w:rFonts w:hint="eastAsia"/>
        </w:rPr>
        <w:t>请注意，本文件的某些内容可能涉及专利。本文件的发布机构不承担识别专利的责任。</w:t>
      </w:r>
    </w:p>
    <w:p>
      <w:pPr>
        <w:pStyle w:val="57"/>
        <w:ind w:firstLine="420"/>
      </w:pPr>
      <w:r>
        <w:rPr>
          <w:rFonts w:hint="eastAsia"/>
        </w:rPr>
        <w:t>本文件由湖南省工业和信息化厅提出并归口。。</w:t>
      </w:r>
    </w:p>
    <w:p>
      <w:pPr>
        <w:pStyle w:val="57"/>
        <w:ind w:firstLine="420"/>
      </w:pPr>
      <w:r>
        <w:rPr>
          <w:rFonts w:hint="eastAsia"/>
        </w:rPr>
        <w:t>本文件起草单位：湖南鑫海股份有限公司、中国水产科学研究院东海水产研究所、浙江海洋大学。</w:t>
      </w:r>
    </w:p>
    <w:p>
      <w:pPr>
        <w:pStyle w:val="57"/>
        <w:ind w:firstLine="420"/>
      </w:pPr>
      <w:r>
        <w:rPr>
          <w:rFonts w:hint="eastAsia"/>
        </w:rPr>
        <w:t>本文件主要起草人：冯春雷，刘洋，朱文斌，王鲁民，王磊，王玲，刘旺，周爱忠，郁岳峰。</w:t>
      </w:r>
    </w:p>
    <w:p>
      <w:pPr>
        <w:pStyle w:val="57"/>
        <w:ind w:firstLine="420"/>
      </w:pPr>
      <w:r>
        <w:rPr>
          <w:rFonts w:hint="eastAsia"/>
        </w:rPr>
        <w:t>本文件为首次发布。</w:t>
      </w:r>
    </w:p>
    <w:p>
      <w:pPr>
        <w:pStyle w:val="57"/>
        <w:ind w:firstLine="420"/>
      </w:pPr>
    </w:p>
    <w:p>
      <w:pPr>
        <w:pStyle w:val="57"/>
        <w:ind w:firstLine="199" w:firstLineChars="95"/>
        <w:sectPr>
          <w:pgSz w:w="11906" w:h="16838"/>
          <w:pgMar w:top="1928" w:right="1134" w:bottom="1134" w:left="1134" w:header="1418" w:footer="1134" w:gutter="284"/>
          <w:pgNumType w:fmt="upperRoman"/>
          <w:cols w:space="425" w:num="1"/>
          <w:formProt w:val="0"/>
          <w:docGrid w:type="lines" w:linePitch="312" w:charSpace="0"/>
        </w:sectPr>
      </w:pPr>
    </w:p>
    <w:bookmarkEnd w:id="34"/>
    <w:p>
      <w:pPr>
        <w:spacing w:line="20" w:lineRule="exact"/>
        <w:jc w:val="center"/>
        <w:rPr>
          <w:rFonts w:ascii="黑体" w:hAnsi="黑体" w:eastAsia="黑体"/>
          <w:sz w:val="32"/>
          <w:szCs w:val="32"/>
        </w:rPr>
      </w:pPr>
      <w:bookmarkStart w:id="35" w:name="BookMark4"/>
    </w:p>
    <w:p>
      <w:pPr>
        <w:spacing w:line="20" w:lineRule="exact"/>
        <w:jc w:val="center"/>
        <w:rPr>
          <w:rFonts w:ascii="黑体" w:hAnsi="黑体" w:eastAsia="黑体"/>
          <w:sz w:val="32"/>
          <w:szCs w:val="32"/>
        </w:rPr>
      </w:pPr>
    </w:p>
    <w:sdt>
      <w:sdtPr>
        <w:tag w:val="NEW_STAND_NAME"/>
        <w:id w:val="595910757"/>
        <w:lock w:val="sdtLocked"/>
        <w:placeholder>
          <w:docPart w:val="6F30C314A67648709499E23267A2C520"/>
        </w:placeholder>
      </w:sdtPr>
      <w:sdtContent>
        <w:p>
          <w:pPr>
            <w:pStyle w:val="178"/>
            <w:spacing w:before="3" w:beforeLines="1" w:after="686" w:afterLines="220"/>
          </w:pPr>
          <w:bookmarkStart w:id="36" w:name="NEW_STAND_NAME"/>
          <w:r>
            <w:rPr>
              <w:rFonts w:hint="eastAsia"/>
            </w:rPr>
            <w:t>中底兼用网板制作技术规范</w:t>
          </w:r>
        </w:p>
      </w:sdtContent>
    </w:sdt>
    <w:bookmarkEnd w:id="36"/>
    <w:p>
      <w:pPr>
        <w:pStyle w:val="105"/>
        <w:spacing w:before="312" w:after="312"/>
      </w:pPr>
      <w:bookmarkStart w:id="37" w:name="_Toc108857829"/>
      <w:bookmarkStart w:id="38" w:name="_Toc108857863"/>
      <w:bookmarkStart w:id="39" w:name="_Toc110264267"/>
      <w:bookmarkStart w:id="40" w:name="_Toc24884218"/>
      <w:bookmarkStart w:id="41" w:name="_Toc26986530"/>
      <w:bookmarkStart w:id="42" w:name="_Toc26648465"/>
      <w:bookmarkStart w:id="43" w:name="_Toc109116022"/>
      <w:bookmarkStart w:id="44" w:name="_Toc110262374"/>
      <w:bookmarkStart w:id="45" w:name="_Toc114575797"/>
      <w:bookmarkStart w:id="46" w:name="_Toc24884211"/>
      <w:bookmarkStart w:id="47" w:name="_Toc111474752"/>
      <w:bookmarkStart w:id="48" w:name="_Toc109035321"/>
      <w:bookmarkStart w:id="49" w:name="_Toc26718930"/>
      <w:bookmarkStart w:id="50" w:name="_Toc109745880"/>
      <w:bookmarkStart w:id="51" w:name="_Toc108857953"/>
      <w:bookmarkStart w:id="52" w:name="_Toc109200135"/>
      <w:bookmarkStart w:id="53" w:name="_Toc97191423"/>
      <w:bookmarkStart w:id="54" w:name="_Toc26986771"/>
      <w:bookmarkStart w:id="55" w:name="_Toc17233333"/>
      <w:bookmarkStart w:id="56" w:name="_Toc109205805"/>
      <w:bookmarkStart w:id="57" w:name="_Toc17233325"/>
      <w:bookmarkStart w:id="58" w:name="_Toc107828025"/>
      <w:bookmarkStart w:id="59" w:name="_Toc107910576"/>
      <w:bookmarkStart w:id="60" w:name="_Toc109742258"/>
      <w:r>
        <w:rPr>
          <w:rFonts w:hint="eastAsia"/>
        </w:rPr>
        <w:t>范围</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pPr>
        <w:pStyle w:val="57"/>
        <w:ind w:firstLine="420"/>
        <w:rPr>
          <w:rFonts w:hint="eastAsia"/>
        </w:rPr>
      </w:pPr>
      <w:bookmarkStart w:id="61" w:name="_Toc24884212"/>
      <w:bookmarkStart w:id="62" w:name="_Toc26648466"/>
      <w:bookmarkStart w:id="63" w:name="_Toc24884219"/>
      <w:bookmarkStart w:id="64" w:name="_Toc17233326"/>
      <w:bookmarkStart w:id="65" w:name="_Toc17233334"/>
      <w:r>
        <w:rPr>
          <w:rFonts w:hint="eastAsia"/>
        </w:rPr>
        <w:t>本文件规定了中底兼用网板的制作技术要求，包括基本参数、水动力特性、结构示意、部件材料和防锈要求，描述了上述要求的检测方法、检验规则、标志、标签、运输及储存。</w:t>
      </w:r>
    </w:p>
    <w:p>
      <w:pPr>
        <w:pStyle w:val="57"/>
        <w:ind w:firstLine="420"/>
      </w:pPr>
      <w:r>
        <w:rPr>
          <w:rFonts w:hint="eastAsia"/>
        </w:rPr>
        <w:t>本文件适用于拖网渔业中层或底层渔场、作业水深50m～300m、主机功率735kW～1029 kW的单船拖网用网板的制作。</w:t>
      </w:r>
    </w:p>
    <w:p>
      <w:pPr>
        <w:pStyle w:val="105"/>
        <w:spacing w:before="312" w:after="312"/>
      </w:pPr>
      <w:bookmarkStart w:id="66" w:name="_Toc97191424"/>
      <w:bookmarkStart w:id="67" w:name="_Toc109205806"/>
      <w:bookmarkStart w:id="68" w:name="_Toc26986772"/>
      <w:bookmarkStart w:id="69" w:name="_Toc110264268"/>
      <w:bookmarkStart w:id="70" w:name="_Toc26718931"/>
      <w:bookmarkStart w:id="71" w:name="_Toc109745881"/>
      <w:bookmarkStart w:id="72" w:name="_Toc107910577"/>
      <w:bookmarkStart w:id="73" w:name="_Toc111474753"/>
      <w:bookmarkStart w:id="74" w:name="_Toc108857954"/>
      <w:bookmarkStart w:id="75" w:name="_Toc114575798"/>
      <w:bookmarkStart w:id="76" w:name="_Toc109116023"/>
      <w:bookmarkStart w:id="77" w:name="_Toc108857864"/>
      <w:bookmarkStart w:id="78" w:name="_Toc107828026"/>
      <w:bookmarkStart w:id="79" w:name="_Toc109742259"/>
      <w:bookmarkStart w:id="80" w:name="_Toc108857830"/>
      <w:bookmarkStart w:id="81" w:name="_Toc110262375"/>
      <w:bookmarkStart w:id="82" w:name="_Toc109035322"/>
      <w:bookmarkStart w:id="83" w:name="_Toc109200136"/>
      <w:bookmarkStart w:id="84" w:name="_Toc26986531"/>
      <w:r>
        <w:rPr>
          <w:rFonts w:hint="eastAsia"/>
        </w:rPr>
        <w:t>规范性引用文件</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sdt>
      <w:sdtPr>
        <w:rPr>
          <w:rFonts w:hint="eastAsia"/>
        </w:rPr>
        <w:id w:val="715848253"/>
        <w:placeholder>
          <w:docPart w:val="9792EDCE5C1E455A9583DFD015A4D14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7"/>
        <w:ind w:firstLine="420"/>
        <w:rPr>
          <w:rFonts w:hint="eastAsia"/>
        </w:rPr>
      </w:pPr>
      <w:r>
        <w:rPr>
          <w:rFonts w:hint="eastAsia"/>
        </w:rPr>
        <w:t>SC/T 4001-2021 渔具基本术语</w:t>
      </w:r>
    </w:p>
    <w:p>
      <w:pPr>
        <w:pStyle w:val="57"/>
        <w:ind w:firstLine="420"/>
      </w:pPr>
      <w:r>
        <w:rPr>
          <w:rFonts w:hint="eastAsia"/>
        </w:rPr>
        <w:t>GB/T 6963-2006 渔具与渔具材料量、单位及符号</w:t>
      </w:r>
    </w:p>
    <w:p>
      <w:pPr>
        <w:pStyle w:val="105"/>
        <w:spacing w:before="312" w:after="312"/>
        <w:rPr>
          <w:szCs w:val="21"/>
        </w:rPr>
      </w:pPr>
      <w:bookmarkStart w:id="85" w:name="_Toc108857865"/>
      <w:bookmarkStart w:id="86" w:name="_Toc109200137"/>
      <w:bookmarkStart w:id="87" w:name="_Toc107910578"/>
      <w:bookmarkStart w:id="88" w:name="_Toc97191425"/>
      <w:bookmarkStart w:id="89" w:name="_Toc109745882"/>
      <w:bookmarkStart w:id="90" w:name="_Toc114575799"/>
      <w:bookmarkStart w:id="91" w:name="_Toc111474754"/>
      <w:bookmarkStart w:id="92" w:name="_Toc107828027"/>
      <w:bookmarkStart w:id="93" w:name="_Toc109205807"/>
      <w:bookmarkStart w:id="94" w:name="_Toc108857831"/>
      <w:bookmarkStart w:id="95" w:name="_Toc109742260"/>
      <w:bookmarkStart w:id="96" w:name="_Toc110264269"/>
      <w:bookmarkStart w:id="97" w:name="_Toc108857955"/>
      <w:bookmarkStart w:id="98" w:name="_Toc109035323"/>
      <w:bookmarkStart w:id="99" w:name="_Toc110262376"/>
      <w:bookmarkStart w:id="100" w:name="_Toc109116024"/>
      <w:r>
        <w:rPr>
          <w:rFonts w:hint="eastAsia"/>
          <w:szCs w:val="21"/>
        </w:rPr>
        <w:t>术语和定义</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sdt>
      <w:sdtPr>
        <w:id w:val="-1909835108"/>
        <w:placeholder>
          <w:docPart w:val="BF35F0FE128D424DA42F4E3EE40F059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7"/>
            <w:ind w:firstLine="420"/>
          </w:pPr>
          <w:r>
            <w:rPr>
              <w:rFonts w:hint="eastAsia"/>
            </w:rPr>
            <w:t>SC/T 4001-2021界定的以及下列术语和定义适用于本文件。</w:t>
          </w:r>
        </w:p>
      </w:sdtContent>
    </w:sdt>
    <w:p>
      <w:pPr>
        <w:pStyle w:val="106"/>
        <w:spacing w:before="156" w:after="156"/>
        <w:rPr>
          <w:szCs w:val="21"/>
        </w:rPr>
      </w:pPr>
      <w:bookmarkStart w:id="101" w:name="_Toc114575800"/>
      <w:r>
        <w:rPr>
          <w:rFonts w:hint="eastAsia"/>
        </w:rPr>
        <w:t>网板 otter board</w:t>
      </w:r>
      <w:bookmarkEnd w:id="101"/>
    </w:p>
    <w:p>
      <w:pPr>
        <w:pStyle w:val="57"/>
        <w:ind w:firstLine="420"/>
        <w:rPr>
          <w:rFonts w:hint="eastAsia"/>
        </w:rPr>
      </w:pPr>
      <w:r>
        <w:rPr>
          <w:rFonts w:hint="eastAsia"/>
        </w:rPr>
        <w:t>利用水动压力，使网具获得扩张的构件。</w:t>
      </w:r>
    </w:p>
    <w:p>
      <w:pPr>
        <w:pStyle w:val="57"/>
        <w:ind w:firstLine="420"/>
        <w:rPr>
          <w:rFonts w:ascii="黑体" w:eastAsia="黑体"/>
        </w:rPr>
      </w:pPr>
      <w:r>
        <w:rPr>
          <w:rFonts w:hint="eastAsia"/>
        </w:rPr>
        <w:t>[来源：SC/T4001-2021.3.8.6]</w:t>
      </w:r>
    </w:p>
    <w:p>
      <w:pPr>
        <w:pStyle w:val="106"/>
        <w:spacing w:before="156" w:after="156"/>
      </w:pPr>
      <w:bookmarkStart w:id="102" w:name="_Toc114575801"/>
      <w:r>
        <w:rPr>
          <w:rFonts w:hint="eastAsia"/>
        </w:rPr>
        <w:t>矩形曲面双开缝网板 rectangular curved double slotted otter board</w:t>
      </w:r>
      <w:bookmarkEnd w:id="102"/>
    </w:p>
    <w:p>
      <w:pPr>
        <w:pStyle w:val="57"/>
        <w:ind w:firstLine="420"/>
      </w:pPr>
      <w:r>
        <w:rPr>
          <w:rFonts w:hint="eastAsia"/>
        </w:rPr>
        <w:t>外形为“J”字形，上下板面向后倾斜与中垂线形成一定折角的网板。</w:t>
      </w:r>
    </w:p>
    <w:p>
      <w:pPr>
        <w:pStyle w:val="105"/>
        <w:spacing w:before="312" w:after="312"/>
      </w:pPr>
      <w:bookmarkStart w:id="103" w:name="_Toc26986532"/>
      <w:bookmarkEnd w:id="103"/>
      <w:bookmarkStart w:id="104" w:name="_Toc114575802"/>
      <w:r>
        <w:rPr>
          <w:rFonts w:hint="eastAsia"/>
        </w:rPr>
        <w:t>命名</w:t>
      </w:r>
      <w:bookmarkEnd w:id="104"/>
    </w:p>
    <w:p>
      <w:pPr>
        <w:pStyle w:val="106"/>
        <w:spacing w:before="156" w:after="156"/>
      </w:pPr>
      <w:bookmarkStart w:id="105" w:name="_Toc497295103"/>
      <w:bookmarkStart w:id="106" w:name="_Toc114575803"/>
      <w:r>
        <w:rPr>
          <w:rFonts w:hint="eastAsia"/>
        </w:rPr>
        <w:t>命名</w:t>
      </w:r>
      <w:r>
        <w:t>内容</w:t>
      </w:r>
      <w:bookmarkEnd w:id="105"/>
      <w:bookmarkEnd w:id="106"/>
    </w:p>
    <w:p>
      <w:pPr>
        <w:pStyle w:val="57"/>
        <w:ind w:firstLine="420"/>
      </w:pPr>
      <w:r>
        <w:rPr>
          <w:rFonts w:hint="eastAsia"/>
        </w:rPr>
        <w:t>参考GB/T 5147-2003，矩形双开缝</w:t>
      </w:r>
      <w:r>
        <w:t>曲面</w:t>
      </w:r>
      <w:r>
        <w:rPr>
          <w:rFonts w:hint="eastAsia"/>
        </w:rPr>
        <w:t>全钢制网板命名</w:t>
      </w:r>
      <w:r>
        <w:t>由四部分组成。</w:t>
      </w:r>
    </w:p>
    <w:p>
      <w:pPr>
        <w:ind w:firstLine="420"/>
      </w:pPr>
      <w:r>
        <w:t xml:space="preserve">            </w:t>
      </w:r>
      <w:r>
        <w:rPr>
          <w:rFonts w:hint="eastAsia"/>
        </w:rPr>
        <w:t>第一</w:t>
      </w:r>
      <w:r>
        <w:t>部分</w:t>
      </w:r>
      <w:r>
        <w:rPr>
          <w:rFonts w:hint="eastAsia"/>
        </w:rPr>
        <w:t xml:space="preserve">  第二</w:t>
      </w:r>
      <w:r>
        <w:t>部分</w:t>
      </w:r>
      <w:r>
        <w:rPr>
          <w:rFonts w:hint="eastAsia"/>
        </w:rPr>
        <w:t xml:space="preserve">  第</w:t>
      </w:r>
      <w:r>
        <w:t>三部分</w:t>
      </w:r>
      <w:r>
        <w:rPr>
          <w:rFonts w:hint="eastAsia"/>
        </w:rPr>
        <w:t xml:space="preserve">  第</w:t>
      </w:r>
      <w:r>
        <w:t>四部分</w:t>
      </w:r>
      <w:r>
        <w:rPr>
          <w:rFonts w:hint="eastAsia"/>
        </w:rPr>
        <w:t xml:space="preserve">     </w:t>
      </w:r>
    </w:p>
    <w:p>
      <w:r>
        <mc:AlternateContent>
          <mc:Choice Requires="wps">
            <w:drawing>
              <wp:anchor distT="0" distB="0" distL="114300" distR="114300" simplePos="0" relativeHeight="251664384" behindDoc="0" locked="0" layoutInCell="1" allowOverlap="1">
                <wp:simplePos x="0" y="0"/>
                <wp:positionH relativeFrom="column">
                  <wp:posOffset>3379470</wp:posOffset>
                </wp:positionH>
                <wp:positionV relativeFrom="paragraph">
                  <wp:posOffset>48260</wp:posOffset>
                </wp:positionV>
                <wp:extent cx="601980" cy="381635"/>
                <wp:effectExtent l="0" t="4445" r="7620" b="7620"/>
                <wp:wrapNone/>
                <wp:docPr id="18" name="肘形连接符 18"/>
                <wp:cNvGraphicFramePr/>
                <a:graphic xmlns:a="http://schemas.openxmlformats.org/drawingml/2006/main">
                  <a:graphicData uri="http://schemas.microsoft.com/office/word/2010/wordprocessingShape">
                    <wps:wsp>
                      <wps:cNvCnPr/>
                      <wps:spPr>
                        <a:xfrm>
                          <a:off x="0" y="0"/>
                          <a:ext cx="601980" cy="381635"/>
                        </a:xfrm>
                        <a:prstGeom prst="bentConnector3">
                          <a:avLst>
                            <a:gd name="adj1" fmla="val 1582"/>
                          </a:avLst>
                        </a:prstGeom>
                        <a:ln w="9525" cap="flat" cmpd="sng">
                          <a:solidFill>
                            <a:srgbClr val="000000"/>
                          </a:solidFill>
                          <a:prstDash val="solid"/>
                          <a:miter/>
                          <a:headEnd type="none" w="med" len="med"/>
                          <a:tailEnd type="none" w="med" len="med"/>
                        </a:ln>
                      </wps:spPr>
                      <wps:bodyPr/>
                    </wps:wsp>
                  </a:graphicData>
                </a:graphic>
              </wp:anchor>
            </w:drawing>
          </mc:Choice>
          <mc:Fallback>
            <w:pict>
              <v:shape id="_x0000_s1026" o:spid="_x0000_s1026" o:spt="34" type="#_x0000_t34" style="position:absolute;left:0pt;margin-left:266.1pt;margin-top:3.8pt;height:30.05pt;width:47.4pt;z-index:251664384;mso-width-relative:page;mso-height-relative:page;" filled="f" stroked="t" coordsize="21600,21600" o:gfxdata="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4YgPGNcAAAAIAQAADwAA&#10;AAAAAAABACAAAAAiAAAAZHJzL2Rvd25yZXYueG1sUEsBAhQAFAAAAAgAh07iQE1qFHYXAgAAHgQA&#10;AA4AAAAAAAAAAQAgAAAAJgEAAGRycy9lMm9Eb2MueG1sUEsFBgAAAAAGAAYAWQEAAK8FAAAAAA==&#10;" adj="342">
                <v:fill on="f" focussize="0,0"/>
                <v:stroke color="#000000" joinstyle="miter"/>
                <v:imagedata o:title=""/>
                <o:lock v:ext="edit" aspectratio="f"/>
              </v:shap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2691130</wp:posOffset>
                </wp:positionH>
                <wp:positionV relativeFrom="paragraph">
                  <wp:posOffset>29210</wp:posOffset>
                </wp:positionV>
                <wp:extent cx="1252220" cy="603885"/>
                <wp:effectExtent l="6350" t="4445" r="11430" b="13970"/>
                <wp:wrapNone/>
                <wp:docPr id="15" name="肘形连接符 15"/>
                <wp:cNvGraphicFramePr/>
                <a:graphic xmlns:a="http://schemas.openxmlformats.org/drawingml/2006/main">
                  <a:graphicData uri="http://schemas.microsoft.com/office/word/2010/wordprocessingShape">
                    <wps:wsp>
                      <wps:cNvCnPr/>
                      <wps:spPr>
                        <a:xfrm>
                          <a:off x="0" y="0"/>
                          <a:ext cx="1252220" cy="603885"/>
                        </a:xfrm>
                        <a:prstGeom prst="bentConnector3">
                          <a:avLst>
                            <a:gd name="adj1" fmla="val -152"/>
                          </a:avLst>
                        </a:prstGeom>
                        <a:ln w="9525" cap="flat" cmpd="sng">
                          <a:solidFill>
                            <a:srgbClr val="000000"/>
                          </a:solidFill>
                          <a:prstDash val="solid"/>
                          <a:miter/>
                          <a:headEnd type="none" w="med" len="med"/>
                          <a:tailEnd type="none" w="med" len="med"/>
                        </a:ln>
                      </wps:spPr>
                      <wps:bodyPr/>
                    </wps:wsp>
                  </a:graphicData>
                </a:graphic>
              </wp:anchor>
            </w:drawing>
          </mc:Choice>
          <mc:Fallback>
            <w:pict>
              <v:shape id="_x0000_s1026" o:spid="_x0000_s1026" o:spt="34" type="#_x0000_t34" style="position:absolute;left:0pt;margin-left:211.9pt;margin-top:2.3pt;height:47.55pt;width:98.6pt;z-index:251663360;mso-width-relative:page;mso-height-relative:page;" filled="f" stroked="t" coordsize="21600,21600" o:gfxdata="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UPZM/NkAAAAIAQAA&#10;DwAAAAAAAAABACAAAAAiAAAAZHJzL2Rvd25yZXYueG1sUEsBAhQAFAAAAAgAh07iQAn8WG0YAgAA&#10;HwQAAA4AAAAAAAAAAQAgAAAAKAEAAGRycy9lMm9Eb2MueG1sUEsFBgAAAAAGAAYAWQEAALIFAAAA&#10;AA==&#10;" adj="-33">
                <v:fill on="f" focussize="0,0"/>
                <v:stroke color="#000000" joinstyle="miter"/>
                <v:imagedata o:title=""/>
                <o:lock v:ext="edit" aspectratio="f"/>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2005330</wp:posOffset>
                </wp:positionH>
                <wp:positionV relativeFrom="paragraph">
                  <wp:posOffset>29210</wp:posOffset>
                </wp:positionV>
                <wp:extent cx="1957070" cy="870585"/>
                <wp:effectExtent l="0" t="4445" r="11430" b="13970"/>
                <wp:wrapNone/>
                <wp:docPr id="9" name="肘形连接符 9"/>
                <wp:cNvGraphicFramePr/>
                <a:graphic xmlns:a="http://schemas.openxmlformats.org/drawingml/2006/main">
                  <a:graphicData uri="http://schemas.microsoft.com/office/word/2010/wordprocessingShape">
                    <wps:wsp>
                      <wps:cNvCnPr/>
                      <wps:spPr>
                        <a:xfrm>
                          <a:off x="0" y="0"/>
                          <a:ext cx="1957070" cy="870585"/>
                        </a:xfrm>
                        <a:prstGeom prst="bentConnector3">
                          <a:avLst>
                            <a:gd name="adj1" fmla="val 389"/>
                          </a:avLst>
                        </a:prstGeom>
                        <a:ln w="9525" cap="flat" cmpd="sng">
                          <a:solidFill>
                            <a:srgbClr val="000000"/>
                          </a:solidFill>
                          <a:prstDash val="solid"/>
                          <a:miter/>
                          <a:headEnd type="none" w="med" len="med"/>
                          <a:tailEnd type="none" w="med" len="med"/>
                        </a:ln>
                      </wps:spPr>
                      <wps:bodyPr/>
                    </wps:wsp>
                  </a:graphicData>
                </a:graphic>
              </wp:anchor>
            </w:drawing>
          </mc:Choice>
          <mc:Fallback>
            <w:pict>
              <v:shape id="_x0000_s1026" o:spid="_x0000_s1026" o:spt="34" type="#_x0000_t34" style="position:absolute;left:0pt;margin-left:157.9pt;margin-top:2.3pt;height:68.55pt;width:154.1pt;z-index:251662336;mso-width-relative:page;mso-height-relative:page;" filled="f" stroked="t" coordsize="21600,21600" o:gfxdata="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w9OyW2QAAAAkBAAAP&#10;AAAAAAAAAAEAIAAAACIAAABkcnMvZG93bnJldi54bWxQSwECFAAUAAAACACHTuJAOAY93BcCAAAc&#10;BAAADgAAAAAAAAABACAAAAAoAQAAZHJzL2Uyb0RvYy54bWxQSwUGAAAAAAYABgBZAQAAsQUAAAAA&#10;" adj="84">
                <v:fill on="f" focussize="0,0"/>
                <v:stroke color="#000000" joinstyle="miter"/>
                <v:imagedata o:title=""/>
                <o:lock v:ext="edit" aspectratio="f"/>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1329055</wp:posOffset>
                </wp:positionH>
                <wp:positionV relativeFrom="paragraph">
                  <wp:posOffset>29210</wp:posOffset>
                </wp:positionV>
                <wp:extent cx="2633345" cy="1118235"/>
                <wp:effectExtent l="0" t="4445" r="8255" b="7620"/>
                <wp:wrapNone/>
                <wp:docPr id="14" name="肘形连接符 14"/>
                <wp:cNvGraphicFramePr/>
                <a:graphic xmlns:a="http://schemas.openxmlformats.org/drawingml/2006/main">
                  <a:graphicData uri="http://schemas.microsoft.com/office/word/2010/wordprocessingShape">
                    <wps:wsp>
                      <wps:cNvCnPr/>
                      <wps:spPr>
                        <a:xfrm>
                          <a:off x="0" y="0"/>
                          <a:ext cx="2633345" cy="1118235"/>
                        </a:xfrm>
                        <a:prstGeom prst="bentConnector3">
                          <a:avLst>
                            <a:gd name="adj1" fmla="val 337"/>
                          </a:avLst>
                        </a:prstGeom>
                        <a:ln w="9525" cap="flat" cmpd="sng">
                          <a:solidFill>
                            <a:srgbClr val="000000"/>
                          </a:solidFill>
                          <a:prstDash val="solid"/>
                          <a:miter/>
                          <a:headEnd type="none" w="med" len="med"/>
                          <a:tailEnd type="none" w="med" len="med"/>
                        </a:ln>
                      </wps:spPr>
                      <wps:bodyPr/>
                    </wps:wsp>
                  </a:graphicData>
                </a:graphic>
              </wp:anchor>
            </w:drawing>
          </mc:Choice>
          <mc:Fallback>
            <w:pict>
              <v:shape id="_x0000_s1026" o:spid="_x0000_s1026" o:spt="34" type="#_x0000_t34" style="position:absolute;left:0pt;margin-left:104.65pt;margin-top:2.3pt;height:88.05pt;width:207.35pt;z-index:251661312;mso-width-relative:page;mso-height-relative:page;" filled="f" stroked="t" coordsize="21600,21600" o:gfxdata="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l8TUpNkAAAAJAQAA&#10;DwAAAAAAAAABACAAAAAiAAAAZHJzL2Rvd25yZXYueG1sUEsBAhQAFAAAAAgAh07iQFx0o9EYAgAA&#10;HwQAAA4AAAAAAAAAAQAgAAAAKAEAAGRycy9lMm9Eb2MueG1sUEsFBgAAAAAGAAYAWQEAALIFAAAA&#10;AA==&#10;" adj="73">
                <v:fill on="f" focussize="0,0"/>
                <v:stroke color="#000000" joinstyle="miter"/>
                <v:imagedata o:title=""/>
                <o:lock v:ext="edit" aspectratio="f"/>
              </v:shape>
            </w:pict>
          </mc:Fallback>
        </mc:AlternateContent>
      </w:r>
    </w:p>
    <w:p>
      <w:pPr>
        <w:ind w:firstLine="420"/>
      </w:pPr>
      <w:r>
        <w:t xml:space="preserve">                                                       </w:t>
      </w:r>
      <w:r>
        <w:rPr>
          <w:rFonts w:hint="eastAsia"/>
          <w:lang w:val="en-US" w:eastAsia="zh-CN"/>
        </w:rPr>
        <w:t xml:space="preserve"> </w:t>
      </w:r>
      <w:r>
        <w:rPr>
          <w:rFonts w:hint="eastAsia"/>
        </w:rPr>
        <w:t>网板</w:t>
      </w:r>
      <w:r>
        <w:t>型号序列</w:t>
      </w:r>
    </w:p>
    <w:p>
      <w:pPr>
        <w:ind w:firstLine="420"/>
      </w:pPr>
      <w:r>
        <w:rPr>
          <w:rFonts w:hint="eastAsia"/>
        </w:rPr>
        <w:t xml:space="preserve">                                                      </w:t>
      </w:r>
      <w:r>
        <w:t xml:space="preserve"> </w:t>
      </w:r>
      <w:r>
        <w:rPr>
          <w:rFonts w:hint="eastAsia"/>
        </w:rPr>
        <w:t xml:space="preserve"> 网板</w:t>
      </w:r>
      <w:r>
        <w:t>面积</w:t>
      </w:r>
    </w:p>
    <w:p>
      <w:pPr>
        <w:ind w:firstLine="420"/>
      </w:pPr>
      <w:r>
        <w:rPr>
          <w:rFonts w:hint="eastAsia"/>
        </w:rPr>
        <w:t xml:space="preserve">                                                        网板</w:t>
      </w:r>
      <w:r>
        <w:t>材料</w:t>
      </w:r>
    </w:p>
    <w:p>
      <w:pPr>
        <w:ind w:firstLine="420"/>
      </w:pPr>
      <w:r>
        <w:rPr>
          <w:rFonts w:hint="eastAsia"/>
        </w:rPr>
        <w:t xml:space="preserve">                                                        网板</w:t>
      </w:r>
      <w:r>
        <w:t>类型</w:t>
      </w:r>
    </w:p>
    <w:p>
      <w:pPr>
        <w:pStyle w:val="106"/>
        <w:spacing w:before="156" w:after="156"/>
        <w:rPr>
          <w:rFonts w:hint="eastAsia"/>
        </w:rPr>
      </w:pPr>
      <w:bookmarkStart w:id="107" w:name="_Toc114575804"/>
      <w:bookmarkStart w:id="108" w:name="_Toc497295104"/>
      <w:r>
        <w:rPr>
          <w:rFonts w:hint="eastAsia"/>
        </w:rPr>
        <w:t>命名标记</w:t>
      </w:r>
      <w:bookmarkEnd w:id="107"/>
      <w:bookmarkEnd w:id="108"/>
    </w:p>
    <w:p>
      <w:pPr>
        <w:pStyle w:val="57"/>
        <w:ind w:firstLine="420"/>
      </w:pPr>
      <w:r>
        <w:rPr>
          <w:rFonts w:hint="eastAsia"/>
        </w:rPr>
        <w:t>第一</w:t>
      </w:r>
      <w:r>
        <w:t>部分：用大写</w:t>
      </w:r>
      <w:r>
        <w:rPr>
          <w:rFonts w:hint="eastAsia"/>
        </w:rPr>
        <w:t>字母</w:t>
      </w:r>
      <w:r>
        <w:t>“</w:t>
      </w:r>
      <w:r>
        <w:rPr>
          <w:rFonts w:hint="eastAsia"/>
        </w:rPr>
        <w:t>J</w:t>
      </w:r>
      <w:r>
        <w:t>”</w:t>
      </w:r>
      <w:r>
        <w:rPr>
          <w:rFonts w:hint="eastAsia"/>
        </w:rPr>
        <w:t>表示J</w:t>
      </w:r>
      <w:r>
        <w:t>型网板；</w:t>
      </w:r>
    </w:p>
    <w:p>
      <w:pPr>
        <w:pStyle w:val="57"/>
        <w:ind w:firstLine="420"/>
      </w:pPr>
      <w:r>
        <w:rPr>
          <w:rFonts w:hint="eastAsia"/>
        </w:rPr>
        <w:t>第二</w:t>
      </w:r>
      <w:r>
        <w:t>部分：用大写字母“G”</w:t>
      </w:r>
      <w:r>
        <w:rPr>
          <w:rFonts w:hint="eastAsia"/>
        </w:rPr>
        <w:t>表示</w:t>
      </w:r>
      <w:r>
        <w:t>材料为</w:t>
      </w:r>
      <w:r>
        <w:rPr>
          <w:rFonts w:hint="eastAsia"/>
        </w:rPr>
        <w:t>钢</w:t>
      </w:r>
      <w:r>
        <w:t>；</w:t>
      </w:r>
    </w:p>
    <w:p>
      <w:pPr>
        <w:pStyle w:val="57"/>
        <w:ind w:firstLine="420"/>
      </w:pPr>
      <w:r>
        <w:rPr>
          <w:rFonts w:hint="eastAsia"/>
        </w:rPr>
        <w:t>第</w:t>
      </w:r>
      <w:r>
        <w:t>三部分：</w:t>
      </w:r>
      <w:r>
        <w:rPr>
          <w:rFonts w:hint="eastAsia"/>
        </w:rPr>
        <w:t>用</w:t>
      </w:r>
      <w:r>
        <w:t>阿拉伯数字表示网板面积，单位为平方米</w:t>
      </w:r>
      <w:r>
        <w:rPr>
          <w:rFonts w:hint="eastAsia"/>
        </w:rPr>
        <w:t>（m</w:t>
      </w:r>
      <w:r>
        <w:rPr>
          <w:vertAlign w:val="superscript"/>
        </w:rPr>
        <w:t>2</w:t>
      </w:r>
      <w:r>
        <w:t>）</w:t>
      </w:r>
      <w:r>
        <w:rPr>
          <w:rFonts w:hint="eastAsia"/>
        </w:rPr>
        <w:t>；</w:t>
      </w:r>
    </w:p>
    <w:p>
      <w:pPr>
        <w:pStyle w:val="57"/>
        <w:ind w:firstLine="420"/>
        <w:rPr>
          <w:rFonts w:hint="eastAsia"/>
        </w:rPr>
      </w:pPr>
      <w:r>
        <w:rPr>
          <w:rFonts w:hint="eastAsia"/>
        </w:rPr>
        <w:t>第</w:t>
      </w:r>
      <w:r>
        <w:t>四部分：用罗马数字表示网板型号序列。</w:t>
      </w:r>
    </w:p>
    <w:p>
      <w:pPr>
        <w:pStyle w:val="106"/>
        <w:spacing w:before="156" w:after="156"/>
        <w:rPr>
          <w:rFonts w:hint="eastAsia"/>
        </w:rPr>
      </w:pPr>
      <w:bookmarkStart w:id="109" w:name="_Toc497295105"/>
      <w:bookmarkStart w:id="110" w:name="_Toc114575805"/>
      <w:r>
        <w:rPr>
          <w:rFonts w:hint="eastAsia"/>
        </w:rPr>
        <w:t>命名示例</w:t>
      </w:r>
      <w:bookmarkEnd w:id="109"/>
      <w:bookmarkEnd w:id="110"/>
    </w:p>
    <w:p>
      <w:pPr>
        <w:ind w:firstLine="420"/>
      </w:pPr>
      <w:r>
        <w:t xml:space="preserve">            </w:t>
      </w:r>
      <w:r>
        <w:rPr>
          <w:rFonts w:hint="eastAsia"/>
        </w:rPr>
        <w:t xml:space="preserve">   J </w:t>
      </w:r>
      <w:r>
        <w:t xml:space="preserve">   </w:t>
      </w:r>
      <w:r>
        <w:rPr>
          <w:rFonts w:hint="eastAsia"/>
        </w:rPr>
        <w:t xml:space="preserve">    </w:t>
      </w:r>
      <w:r>
        <w:t xml:space="preserve"> </w:t>
      </w:r>
      <w:r>
        <w:rPr>
          <w:rFonts w:hint="eastAsia"/>
        </w:rPr>
        <w:t xml:space="preserve">G  </w:t>
      </w:r>
      <w:r>
        <w:t xml:space="preserve">    </w:t>
      </w:r>
      <w:r>
        <w:rPr>
          <w:rFonts w:hint="eastAsia"/>
          <w:lang w:val="en-US" w:eastAsia="zh-CN"/>
        </w:rPr>
        <w:t xml:space="preserve">  </w:t>
      </w:r>
      <w:r>
        <w:t xml:space="preserve"> </w:t>
      </w:r>
      <w:r>
        <w:rPr>
          <w:rFonts w:hint="eastAsia"/>
          <w:lang w:val="en-US" w:eastAsia="zh-CN"/>
        </w:rPr>
        <w:t xml:space="preserve">3.8       </w:t>
      </w:r>
      <w:r>
        <w:t>I</w:t>
      </w:r>
      <w:r>
        <w:rPr>
          <w:rFonts w:hint="eastAsia"/>
        </w:rPr>
        <w:t xml:space="preserve">    </w:t>
      </w:r>
    </w:p>
    <w:p>
      <w:pPr>
        <w:ind w:firstLine="420"/>
      </w:pPr>
      <w:r>
        <mc:AlternateContent>
          <mc:Choice Requires="wps">
            <w:drawing>
              <wp:anchor distT="0" distB="0" distL="114300" distR="114300" simplePos="0" relativeHeight="251668480" behindDoc="0" locked="0" layoutInCell="1" allowOverlap="1">
                <wp:simplePos x="0" y="0"/>
                <wp:positionH relativeFrom="column">
                  <wp:posOffset>3231515</wp:posOffset>
                </wp:positionH>
                <wp:positionV relativeFrom="paragraph">
                  <wp:posOffset>8255</wp:posOffset>
                </wp:positionV>
                <wp:extent cx="635635" cy="408940"/>
                <wp:effectExtent l="0" t="4445" r="12065" b="5715"/>
                <wp:wrapNone/>
                <wp:docPr id="16" name="肘形连接符 16"/>
                <wp:cNvGraphicFramePr/>
                <a:graphic xmlns:a="http://schemas.openxmlformats.org/drawingml/2006/main">
                  <a:graphicData uri="http://schemas.microsoft.com/office/word/2010/wordprocessingShape">
                    <wps:wsp>
                      <wps:cNvCnPr/>
                      <wps:spPr>
                        <a:xfrm>
                          <a:off x="0" y="0"/>
                          <a:ext cx="635635" cy="408940"/>
                        </a:xfrm>
                        <a:prstGeom prst="bentConnector3">
                          <a:avLst>
                            <a:gd name="adj1" fmla="val 3096"/>
                          </a:avLst>
                        </a:prstGeom>
                        <a:ln w="9525" cap="flat" cmpd="sng">
                          <a:solidFill>
                            <a:srgbClr val="000000"/>
                          </a:solidFill>
                          <a:prstDash val="solid"/>
                          <a:miter/>
                          <a:headEnd type="none" w="med" len="med"/>
                          <a:tailEnd type="none" w="med" len="med"/>
                        </a:ln>
                      </wps:spPr>
                      <wps:bodyPr/>
                    </wps:wsp>
                  </a:graphicData>
                </a:graphic>
              </wp:anchor>
            </w:drawing>
          </mc:Choice>
          <mc:Fallback>
            <w:pict>
              <v:shape id="_x0000_s1026" o:spid="_x0000_s1026" o:spt="34" type="#_x0000_t34" style="position:absolute;left:0pt;margin-left:254.45pt;margin-top:0.65pt;height:32.2pt;width:50.05pt;z-index:251668480;mso-width-relative:page;mso-height-relative:page;" filled="f" stroked="t" coordsize="21600,21600" o:gfxdata="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pTBe+dkAAAAIAQAA&#10;DwAAAAAAAAABACAAAAAiAAAAZHJzL2Rvd25yZXYueG1sUEsBAhQAFAAAAAgAh07iQNYJI/IYAgAA&#10;HgQAAA4AAAAAAAAAAQAgAAAAKAEAAGRycy9lMm9Eb2MueG1sUEsFBgAAAAAGAAYAWQEAALIFAAAA&#10;AA==&#10;" adj="669">
                <v:fill on="f" focussize="0,0"/>
                <v:stroke color="#000000" joinstyle="miter"/>
                <v:imagedata o:title=""/>
                <o:lock v:ext="edit" aspectratio="f"/>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2707005</wp:posOffset>
                </wp:positionH>
                <wp:positionV relativeFrom="paragraph">
                  <wp:posOffset>29210</wp:posOffset>
                </wp:positionV>
                <wp:extent cx="1185545" cy="648335"/>
                <wp:effectExtent l="1905" t="4445" r="6350" b="7620"/>
                <wp:wrapNone/>
                <wp:docPr id="17" name="肘形连接符 17"/>
                <wp:cNvGraphicFramePr/>
                <a:graphic xmlns:a="http://schemas.openxmlformats.org/drawingml/2006/main">
                  <a:graphicData uri="http://schemas.microsoft.com/office/word/2010/wordprocessingShape">
                    <wps:wsp>
                      <wps:cNvCnPr/>
                      <wps:spPr>
                        <a:xfrm>
                          <a:off x="0" y="0"/>
                          <a:ext cx="1185545" cy="648335"/>
                        </a:xfrm>
                        <a:prstGeom prst="bentConnector3">
                          <a:avLst>
                            <a:gd name="adj1" fmla="val 214"/>
                          </a:avLst>
                        </a:prstGeom>
                        <a:ln w="9525" cap="flat" cmpd="sng">
                          <a:solidFill>
                            <a:srgbClr val="000000"/>
                          </a:solidFill>
                          <a:prstDash val="solid"/>
                          <a:miter/>
                          <a:headEnd type="none" w="med" len="med"/>
                          <a:tailEnd type="none" w="med" len="med"/>
                        </a:ln>
                      </wps:spPr>
                      <wps:bodyPr/>
                    </wps:wsp>
                  </a:graphicData>
                </a:graphic>
              </wp:anchor>
            </w:drawing>
          </mc:Choice>
          <mc:Fallback>
            <w:pict>
              <v:shape id="_x0000_s1026" o:spid="_x0000_s1026" o:spt="34" type="#_x0000_t34" style="position:absolute;left:0pt;margin-left:213.15pt;margin-top:2.3pt;height:51.05pt;width:93.35pt;z-index:251667456;mso-width-relative:page;mso-height-relative:page;" filled="f" stroked="t" coordsize="21600,21600" o:gfxdata="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KFFJp1gAAAAkBAAAPAAAA&#10;AAAAAAEAIAAAACIAAABkcnMvZG93bnJldi54bWxQSwECFAAUAAAACACHTuJA5FvcNxcCAAAeBAAA&#10;DgAAAAAAAAABACAAAAAlAQAAZHJzL2Uyb0RvYy54bWxQSwUGAAAAAAYABgBZAQAArgUAAAAA&#10;" adj="46">
                <v:fill on="f" focussize="0,0"/>
                <v:stroke color="#000000" joinstyle="miter"/>
                <v:imagedata o:title=""/>
                <o:lock v:ext="edit" aspectratio="f"/>
              </v:shap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2005330</wp:posOffset>
                </wp:positionH>
                <wp:positionV relativeFrom="paragraph">
                  <wp:posOffset>29210</wp:posOffset>
                </wp:positionV>
                <wp:extent cx="1880870" cy="851535"/>
                <wp:effectExtent l="0" t="4445" r="11430" b="7620"/>
                <wp:wrapNone/>
                <wp:docPr id="1" name="肘形连接符 1"/>
                <wp:cNvGraphicFramePr/>
                <a:graphic xmlns:a="http://schemas.openxmlformats.org/drawingml/2006/main">
                  <a:graphicData uri="http://schemas.microsoft.com/office/word/2010/wordprocessingShape">
                    <wps:wsp>
                      <wps:cNvCnPr/>
                      <wps:spPr>
                        <a:xfrm>
                          <a:off x="0" y="0"/>
                          <a:ext cx="1880870" cy="851535"/>
                        </a:xfrm>
                        <a:prstGeom prst="bentConnector3">
                          <a:avLst>
                            <a:gd name="adj1" fmla="val 405"/>
                          </a:avLst>
                        </a:prstGeom>
                        <a:ln w="9525" cap="flat" cmpd="sng">
                          <a:solidFill>
                            <a:srgbClr val="000000"/>
                          </a:solidFill>
                          <a:prstDash val="solid"/>
                          <a:miter/>
                          <a:headEnd type="none" w="med" len="med"/>
                          <a:tailEnd type="none" w="med" len="med"/>
                        </a:ln>
                      </wps:spPr>
                      <wps:bodyPr/>
                    </wps:wsp>
                  </a:graphicData>
                </a:graphic>
              </wp:anchor>
            </w:drawing>
          </mc:Choice>
          <mc:Fallback>
            <w:pict>
              <v:shape id="_x0000_s1026" o:spid="_x0000_s1026" o:spt="34" type="#_x0000_t34" style="position:absolute;left:0pt;margin-left:157.9pt;margin-top:2.3pt;height:67.05pt;width:148.1pt;z-index:251666432;mso-width-relative:page;mso-height-relative:page;" filled="f" stroked="t" coordsize="21600,21600" o:gfxdata="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qsNGF9YAAAAJAQAADwAAAAAA&#10;AAABACAAAAAiAAAAZHJzL2Rvd25yZXYueG1sUEsBAhQAFAAAAAgAh07iQD/MLSEVAgAAHAQAAA4A&#10;AAAAAAAAAQAgAAAAJQEAAGRycy9lMm9Eb2MueG1sUEsFBgAAAAAGAAYAWQEAAKwFAAAAAA==&#10;" adj="87">
                <v:fill on="f" focussize="0,0"/>
                <v:stroke color="#000000" joinstyle="miter"/>
                <v:imagedata o:title=""/>
                <o:lock v:ext="edit" aspectratio="f"/>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1329055</wp:posOffset>
                </wp:positionH>
                <wp:positionV relativeFrom="paragraph">
                  <wp:posOffset>29210</wp:posOffset>
                </wp:positionV>
                <wp:extent cx="2626995" cy="1111885"/>
                <wp:effectExtent l="11430" t="5080" r="3175" b="13335"/>
                <wp:wrapNone/>
                <wp:docPr id="2" name="肘形连接符 2"/>
                <wp:cNvGraphicFramePr/>
                <a:graphic xmlns:a="http://schemas.openxmlformats.org/drawingml/2006/main">
                  <a:graphicData uri="http://schemas.microsoft.com/office/word/2010/wordprocessingShape">
                    <wps:wsp>
                      <wps:cNvCnPr/>
                      <wps:spPr>
                        <a:xfrm>
                          <a:off x="0" y="0"/>
                          <a:ext cx="2626995" cy="1111885"/>
                        </a:xfrm>
                        <a:prstGeom prst="bentConnector3">
                          <a:avLst>
                            <a:gd name="adj1" fmla="val -265"/>
                          </a:avLst>
                        </a:prstGeom>
                        <a:ln w="9525" cap="flat" cmpd="sng">
                          <a:solidFill>
                            <a:srgbClr val="000000"/>
                          </a:solidFill>
                          <a:prstDash val="solid"/>
                          <a:miter/>
                          <a:headEnd type="none" w="med" len="med"/>
                          <a:tailEnd type="none" w="med" len="med"/>
                        </a:ln>
                      </wps:spPr>
                      <wps:bodyPr/>
                    </wps:wsp>
                  </a:graphicData>
                </a:graphic>
              </wp:anchor>
            </w:drawing>
          </mc:Choice>
          <mc:Fallback>
            <w:pict>
              <v:shape id="_x0000_s1026" o:spid="_x0000_s1026" o:spt="34" type="#_x0000_t34" style="position:absolute;left:0pt;margin-left:104.65pt;margin-top:2.3pt;height:87.55pt;width:206.85pt;z-index:251665408;mso-width-relative:page;mso-height-relative:page;" filled="f" stroked="t" coordsize="21600,21600" o:gfxdata="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KxEIW3YAAAACQEAAA8A&#10;AAAAAAAAAQAgAAAAIgAAAGRycy9kb3ducmV2LnhtbFBLAQIUABQAAAAIAIdO4kBnc/2LFwIAAB4E&#10;AAAOAAAAAAAAAAEAIAAAACcBAABkcnMvZTJvRG9jLnhtbFBLBQYAAAAABgAGAFkBAACwBQAAAAA=&#10;" adj="-57">
                <v:fill on="f" focussize="0,0"/>
                <v:stroke color="#000000" joinstyle="miter"/>
                <v:imagedata o:title=""/>
                <o:lock v:ext="edit" aspectratio="f"/>
              </v:shape>
            </w:pict>
          </mc:Fallback>
        </mc:AlternateContent>
      </w:r>
    </w:p>
    <w:p>
      <w:pPr>
        <w:ind w:firstLine="420"/>
      </w:pPr>
      <w:r>
        <w:t xml:space="preserve">                                                        </w:t>
      </w:r>
      <w:r>
        <w:rPr>
          <w:rFonts w:hint="eastAsia"/>
        </w:rPr>
        <w:t>网板</w:t>
      </w:r>
      <w:r>
        <w:t>型号序列</w:t>
      </w:r>
    </w:p>
    <w:p>
      <w:pPr>
        <w:ind w:firstLine="420"/>
      </w:pPr>
      <w:r>
        <w:rPr>
          <w:rFonts w:hint="eastAsia"/>
        </w:rPr>
        <w:t xml:space="preserve">                                                      </w:t>
      </w:r>
      <w:r>
        <w:t xml:space="preserve"> </w:t>
      </w:r>
      <w:r>
        <w:rPr>
          <w:rFonts w:hint="eastAsia"/>
        </w:rPr>
        <w:t xml:space="preserve"> 表示网板</w:t>
      </w:r>
      <w:r>
        <w:t>面积</w:t>
      </w:r>
    </w:p>
    <w:p>
      <w:pPr>
        <w:ind w:firstLine="420"/>
      </w:pPr>
      <w:r>
        <w:rPr>
          <w:rFonts w:hint="eastAsia"/>
        </w:rPr>
        <w:t xml:space="preserve">                                                        表示钢</w:t>
      </w:r>
    </w:p>
    <w:p>
      <w:pPr>
        <w:ind w:firstLine="420"/>
      </w:pPr>
      <w:r>
        <w:rPr>
          <w:rFonts w:hint="eastAsia"/>
        </w:rPr>
        <w:t xml:space="preserve">                                                        表示矩形双层曲面网板</w:t>
      </w:r>
    </w:p>
    <w:p>
      <w:pPr>
        <w:pStyle w:val="105"/>
        <w:spacing w:before="312" w:after="312"/>
      </w:pPr>
      <w:bookmarkStart w:id="111" w:name="_Toc111474758"/>
      <w:bookmarkStart w:id="112" w:name="_Toc109200143"/>
      <w:bookmarkStart w:id="113" w:name="_Toc109205813"/>
      <w:bookmarkStart w:id="114" w:name="_Toc109742266"/>
      <w:bookmarkStart w:id="115" w:name="_Toc110262382"/>
      <w:bookmarkStart w:id="116" w:name="_Toc114575806"/>
      <w:bookmarkStart w:id="117" w:name="_Toc109745888"/>
      <w:bookmarkStart w:id="118" w:name="_Toc109205812"/>
      <w:bookmarkStart w:id="119" w:name="_Toc109745887"/>
      <w:bookmarkStart w:id="120" w:name="_Toc110262381"/>
      <w:bookmarkStart w:id="121" w:name="_Toc109200142"/>
      <w:bookmarkStart w:id="122" w:name="_Toc109742265"/>
      <w:bookmarkStart w:id="123" w:name="_Toc110264274"/>
      <w:bookmarkStart w:id="124" w:name="_Toc109116029"/>
      <w:r>
        <w:rPr>
          <w:rFonts w:hint="eastAsia"/>
        </w:rPr>
        <w:t>要求</w:t>
      </w:r>
      <w:bookmarkEnd w:id="111"/>
      <w:bookmarkEnd w:id="112"/>
      <w:bookmarkEnd w:id="113"/>
      <w:bookmarkEnd w:id="114"/>
      <w:bookmarkEnd w:id="115"/>
      <w:bookmarkEnd w:id="116"/>
      <w:bookmarkEnd w:id="117"/>
      <w:bookmarkStart w:id="147" w:name="_GoBack"/>
      <w:bookmarkEnd w:id="147"/>
    </w:p>
    <w:p>
      <w:pPr>
        <w:pStyle w:val="106"/>
        <w:spacing w:before="156" w:after="156"/>
        <w:rPr>
          <w:rFonts w:hint="eastAsia"/>
        </w:rPr>
      </w:pPr>
      <w:bookmarkStart w:id="125" w:name="_Toc114575807"/>
      <w:r>
        <w:rPr>
          <w:rFonts w:hint="eastAsia"/>
        </w:rPr>
        <w:t>基本参数</w:t>
      </w:r>
      <w:bookmarkEnd w:id="125"/>
    </w:p>
    <w:p>
      <w:pPr>
        <w:pStyle w:val="57"/>
        <w:ind w:firstLine="420"/>
        <w:rPr>
          <w:rFonts w:hint="eastAsia"/>
        </w:rPr>
      </w:pPr>
      <w:r>
        <w:rPr>
          <w:rFonts w:hint="eastAsia"/>
        </w:rPr>
        <w:t>本文件设计1副成套网板包括左右各1块网板，结构型式对称。单块网板在临界冲角20°时升力系数为1.02。参照</w:t>
      </w:r>
      <w:r>
        <w:rPr>
          <w:rFonts w:hint="eastAsia"/>
          <w:szCs w:val="22"/>
        </w:rPr>
        <w:t>GB/T 6963-2006，</w:t>
      </w:r>
      <w:r>
        <w:rPr>
          <w:rFonts w:hint="eastAsia"/>
        </w:rPr>
        <w:t>主要参数见表1。</w:t>
      </w:r>
    </w:p>
    <w:p>
      <w:pPr>
        <w:pStyle w:val="13"/>
        <w:ind w:firstLine="0" w:firstLineChars="0"/>
        <w:jc w:val="center"/>
        <w:rPr>
          <w:rFonts w:hint="eastAsia"/>
        </w:rPr>
      </w:pPr>
      <w:r>
        <w:rPr>
          <w:rFonts w:hint="eastAsia"/>
        </w:rPr>
        <w:t xml:space="preserve">表 </w:t>
      </w:r>
      <w:r>
        <w:fldChar w:fldCharType="begin"/>
      </w:r>
      <w:r>
        <w:instrText xml:space="preserve"> </w:instrText>
      </w:r>
      <w:r>
        <w:rPr>
          <w:rFonts w:hint="eastAsia"/>
        </w:rPr>
        <w:instrText xml:space="preserve">SEQ 表 \* ARABIC</w:instrText>
      </w:r>
      <w:r>
        <w:instrText xml:space="preserve"> </w:instrText>
      </w:r>
      <w:r>
        <w:fldChar w:fldCharType="separate"/>
      </w:r>
      <w:r>
        <w:t>1</w:t>
      </w:r>
      <w:r>
        <w:fldChar w:fldCharType="end"/>
      </w:r>
      <w:r>
        <w:t xml:space="preserve"> </w:t>
      </w:r>
      <w:r>
        <w:rPr>
          <w:rFonts w:hint="eastAsia"/>
        </w:rPr>
        <w:t>网板基本参数</w:t>
      </w:r>
    </w:p>
    <w:tbl>
      <w:tblPr>
        <w:tblStyle w:val="28"/>
        <w:tblW w:w="73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2"/>
        <w:gridCol w:w="2593"/>
        <w:gridCol w:w="1914"/>
        <w:gridCol w:w="1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2" w:type="dxa"/>
          </w:tcPr>
          <w:p>
            <w:pPr>
              <w:rPr>
                <w:rFonts w:hint="eastAsia"/>
              </w:rPr>
            </w:pPr>
            <w:r>
              <w:rPr>
                <w:rFonts w:hint="eastAsia"/>
              </w:rPr>
              <w:t>序号</w:t>
            </w:r>
          </w:p>
        </w:tc>
        <w:tc>
          <w:tcPr>
            <w:tcW w:w="2593" w:type="dxa"/>
          </w:tcPr>
          <w:p>
            <w:pPr>
              <w:ind w:firstLine="420"/>
              <w:rPr>
                <w:rFonts w:hint="eastAsia"/>
              </w:rPr>
            </w:pPr>
            <w:r>
              <w:rPr>
                <w:rFonts w:hint="eastAsia"/>
              </w:rPr>
              <w:t>名称</w:t>
            </w:r>
          </w:p>
        </w:tc>
        <w:tc>
          <w:tcPr>
            <w:tcW w:w="1914" w:type="dxa"/>
          </w:tcPr>
          <w:p>
            <w:pPr>
              <w:ind w:firstLine="420"/>
              <w:rPr>
                <w:rFonts w:hint="eastAsia"/>
              </w:rPr>
            </w:pPr>
            <w:r>
              <w:rPr>
                <w:rFonts w:hint="eastAsia"/>
              </w:rPr>
              <w:t>符号</w:t>
            </w:r>
          </w:p>
        </w:tc>
        <w:tc>
          <w:tcPr>
            <w:tcW w:w="1914" w:type="dxa"/>
          </w:tcPr>
          <w:p>
            <w:pPr>
              <w:ind w:firstLine="420"/>
              <w:rPr>
                <w:rFonts w:hint="eastAsia"/>
              </w:rPr>
            </w:pPr>
            <w:r>
              <w:rPr>
                <w:rFonts w:hint="eastAsia"/>
              </w:rPr>
              <w:t>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2" w:type="dxa"/>
          </w:tcPr>
          <w:p>
            <w:pPr>
              <w:ind w:firstLine="420"/>
              <w:rPr>
                <w:rFonts w:hint="eastAsia"/>
              </w:rPr>
            </w:pPr>
            <w:r>
              <w:rPr>
                <w:rFonts w:hint="eastAsia"/>
              </w:rPr>
              <w:t>1</w:t>
            </w:r>
          </w:p>
        </w:tc>
        <w:tc>
          <w:tcPr>
            <w:tcW w:w="2593" w:type="dxa"/>
          </w:tcPr>
          <w:p>
            <w:pPr>
              <w:ind w:firstLine="420"/>
              <w:rPr>
                <w:rFonts w:hint="eastAsia"/>
              </w:rPr>
            </w:pPr>
            <w:r>
              <w:rPr>
                <w:rFonts w:hint="eastAsia"/>
              </w:rPr>
              <w:t>翼弦</w:t>
            </w:r>
          </w:p>
        </w:tc>
        <w:tc>
          <w:tcPr>
            <w:tcW w:w="1914" w:type="dxa"/>
          </w:tcPr>
          <w:p>
            <w:pPr>
              <w:ind w:firstLine="420"/>
              <w:rPr>
                <w:rFonts w:hint="eastAsia"/>
              </w:rPr>
            </w:pPr>
            <w:r>
              <w:rPr>
                <w:rFonts w:hint="eastAsia"/>
              </w:rPr>
              <w:t>b</w:t>
            </w:r>
          </w:p>
        </w:tc>
        <w:tc>
          <w:tcPr>
            <w:tcW w:w="1914" w:type="dxa"/>
          </w:tcPr>
          <w:p>
            <w:pPr>
              <w:ind w:firstLine="420"/>
              <w:rPr>
                <w:rFonts w:hint="eastAsia"/>
              </w:rPr>
            </w:pPr>
            <w:r>
              <w:rPr>
                <w:rFonts w:hint="eastAsia"/>
              </w:rPr>
              <w:t>1800mm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2" w:type="dxa"/>
          </w:tcPr>
          <w:p>
            <w:pPr>
              <w:ind w:firstLine="420"/>
              <w:rPr>
                <w:rFonts w:hint="eastAsia"/>
              </w:rPr>
            </w:pPr>
            <w:r>
              <w:rPr>
                <w:rFonts w:hint="eastAsia"/>
              </w:rPr>
              <w:t>2</w:t>
            </w:r>
          </w:p>
        </w:tc>
        <w:tc>
          <w:tcPr>
            <w:tcW w:w="2593" w:type="dxa"/>
          </w:tcPr>
          <w:p>
            <w:pPr>
              <w:ind w:firstLine="420"/>
              <w:rPr>
                <w:rFonts w:hint="eastAsia"/>
              </w:rPr>
            </w:pPr>
            <w:r>
              <w:rPr>
                <w:rFonts w:hint="eastAsia"/>
              </w:rPr>
              <w:t>翼展</w:t>
            </w:r>
          </w:p>
        </w:tc>
        <w:tc>
          <w:tcPr>
            <w:tcW w:w="1914" w:type="dxa"/>
          </w:tcPr>
          <w:p>
            <w:pPr>
              <w:ind w:firstLine="420"/>
              <w:rPr>
                <w:rFonts w:hint="eastAsia"/>
              </w:rPr>
            </w:pPr>
            <w:r>
              <w:rPr>
                <w:rFonts w:hint="eastAsia"/>
              </w:rPr>
              <w:t>l</w:t>
            </w:r>
          </w:p>
        </w:tc>
        <w:tc>
          <w:tcPr>
            <w:tcW w:w="1914" w:type="dxa"/>
          </w:tcPr>
          <w:p>
            <w:pPr>
              <w:ind w:firstLine="420"/>
              <w:rPr>
                <w:rFonts w:hint="eastAsia"/>
              </w:rPr>
            </w:pPr>
            <w:r>
              <w:rPr>
                <w:rFonts w:hint="eastAsia"/>
              </w:rPr>
              <w:t>2200mm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2" w:type="dxa"/>
          </w:tcPr>
          <w:p>
            <w:pPr>
              <w:ind w:firstLine="420"/>
              <w:rPr>
                <w:rFonts w:hint="eastAsia"/>
              </w:rPr>
            </w:pPr>
            <w:r>
              <w:rPr>
                <w:rFonts w:hint="eastAsia"/>
              </w:rPr>
              <w:t>3</w:t>
            </w:r>
          </w:p>
        </w:tc>
        <w:tc>
          <w:tcPr>
            <w:tcW w:w="2593" w:type="dxa"/>
          </w:tcPr>
          <w:p>
            <w:pPr>
              <w:ind w:firstLine="420"/>
              <w:rPr>
                <w:rFonts w:hint="eastAsia"/>
              </w:rPr>
            </w:pPr>
            <w:r>
              <w:rPr>
                <w:rFonts w:hint="eastAsia"/>
              </w:rPr>
              <w:t>展弦比</w:t>
            </w:r>
          </w:p>
        </w:tc>
        <w:tc>
          <w:tcPr>
            <w:tcW w:w="1914" w:type="dxa"/>
          </w:tcPr>
          <w:p>
            <w:pPr>
              <w:ind w:firstLine="420"/>
              <w:rPr>
                <w:rFonts w:hint="eastAsia"/>
              </w:rPr>
            </w:pPr>
            <w:r>
              <w:rPr>
                <w:rFonts w:hint="eastAsia"/>
              </w:rPr>
              <w:t>λ</w:t>
            </w:r>
          </w:p>
        </w:tc>
        <w:tc>
          <w:tcPr>
            <w:tcW w:w="1914" w:type="dxa"/>
          </w:tcPr>
          <w:p>
            <w:pPr>
              <w:ind w:firstLine="420"/>
              <w:rPr>
                <w:rFonts w:hint="eastAsia"/>
              </w:rPr>
            </w:pPr>
            <w:r>
              <w:rPr>
                <w:rFonts w:hint="eastAsia"/>
              </w:rPr>
              <w:t>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2" w:type="dxa"/>
          </w:tcPr>
          <w:p>
            <w:pPr>
              <w:ind w:firstLine="420"/>
              <w:rPr>
                <w:rFonts w:hint="eastAsia"/>
              </w:rPr>
            </w:pPr>
            <w:r>
              <w:rPr>
                <w:rFonts w:hint="eastAsia"/>
              </w:rPr>
              <w:t>4</w:t>
            </w:r>
          </w:p>
        </w:tc>
        <w:tc>
          <w:tcPr>
            <w:tcW w:w="2593" w:type="dxa"/>
          </w:tcPr>
          <w:p>
            <w:pPr>
              <w:ind w:firstLine="420"/>
              <w:rPr>
                <w:rFonts w:hint="eastAsia"/>
              </w:rPr>
            </w:pPr>
            <w:r>
              <w:rPr>
                <w:rFonts w:hint="eastAsia"/>
              </w:rPr>
              <w:t>临界冲角</w:t>
            </w:r>
          </w:p>
        </w:tc>
        <w:tc>
          <w:tcPr>
            <w:tcW w:w="1914" w:type="dxa"/>
          </w:tcPr>
          <w:p>
            <w:pPr>
              <w:ind w:firstLine="420"/>
              <w:rPr>
                <w:rFonts w:hint="eastAsia"/>
              </w:rPr>
            </w:pPr>
            <w:r>
              <w:rPr>
                <w:rFonts w:hint="eastAsia"/>
              </w:rPr>
              <w:t>α</w:t>
            </w:r>
          </w:p>
        </w:tc>
        <w:tc>
          <w:tcPr>
            <w:tcW w:w="1914" w:type="dxa"/>
          </w:tcPr>
          <w:p>
            <w:pPr>
              <w:ind w:firstLine="420"/>
              <w:rPr>
                <w:rFonts w:hint="eastAsia"/>
              </w:rPr>
            </w:pPr>
            <w:r>
              <w:rPr>
                <w:rFonts w:hint="eastAsia"/>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2" w:type="dxa"/>
          </w:tcPr>
          <w:p>
            <w:pPr>
              <w:ind w:firstLine="420"/>
              <w:rPr>
                <w:rFonts w:hint="eastAsia"/>
              </w:rPr>
            </w:pPr>
            <w:r>
              <w:rPr>
                <w:rFonts w:hint="eastAsia"/>
              </w:rPr>
              <w:t>5</w:t>
            </w:r>
          </w:p>
        </w:tc>
        <w:tc>
          <w:tcPr>
            <w:tcW w:w="2593" w:type="dxa"/>
          </w:tcPr>
          <w:p>
            <w:pPr>
              <w:ind w:firstLine="420"/>
              <w:rPr>
                <w:rFonts w:hint="eastAsia"/>
              </w:rPr>
            </w:pPr>
            <w:r>
              <w:rPr>
                <w:rFonts w:hint="eastAsia"/>
              </w:rPr>
              <w:t>投影面积</w:t>
            </w:r>
          </w:p>
        </w:tc>
        <w:tc>
          <w:tcPr>
            <w:tcW w:w="1914" w:type="dxa"/>
          </w:tcPr>
          <w:p>
            <w:pPr>
              <w:ind w:firstLine="420"/>
              <w:rPr>
                <w:rFonts w:hint="eastAsia"/>
              </w:rPr>
            </w:pPr>
            <w:r>
              <w:rPr>
                <w:rFonts w:hint="eastAsia"/>
              </w:rPr>
              <w:t>S</w:t>
            </w:r>
          </w:p>
        </w:tc>
        <w:tc>
          <w:tcPr>
            <w:tcW w:w="1914" w:type="dxa"/>
          </w:tcPr>
          <w:p>
            <w:pPr>
              <w:ind w:firstLine="420"/>
              <w:rPr>
                <w:rFonts w:hint="eastAsia"/>
              </w:rPr>
            </w:pPr>
            <w:r>
              <w:rPr>
                <w:rFonts w:hint="eastAsia"/>
              </w:rPr>
              <w:t>3.8</w:t>
            </w:r>
            <w:r>
              <w:t xml:space="preserve"> m</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2" w:type="dxa"/>
          </w:tcPr>
          <w:p>
            <w:pPr>
              <w:ind w:firstLine="420"/>
              <w:rPr>
                <w:rFonts w:hint="eastAsia"/>
              </w:rPr>
            </w:pPr>
            <w:r>
              <w:rPr>
                <w:rFonts w:hint="eastAsia"/>
              </w:rPr>
              <w:t>6</w:t>
            </w:r>
          </w:p>
        </w:tc>
        <w:tc>
          <w:tcPr>
            <w:tcW w:w="2593" w:type="dxa"/>
          </w:tcPr>
          <w:p>
            <w:pPr>
              <w:ind w:firstLine="420"/>
              <w:rPr>
                <w:rFonts w:hint="eastAsia"/>
              </w:rPr>
            </w:pPr>
            <w:r>
              <w:rPr>
                <w:rFonts w:hint="eastAsia"/>
              </w:rPr>
              <w:t>空气中质量</w:t>
            </w:r>
          </w:p>
        </w:tc>
        <w:tc>
          <w:tcPr>
            <w:tcW w:w="1914" w:type="dxa"/>
          </w:tcPr>
          <w:p>
            <w:pPr>
              <w:ind w:firstLine="420"/>
              <w:rPr>
                <w:rFonts w:hint="eastAsia"/>
              </w:rPr>
            </w:pPr>
            <w:r>
              <w:rPr>
                <w:rFonts w:hint="eastAsia"/>
              </w:rPr>
              <w:t>G</w:t>
            </w:r>
          </w:p>
        </w:tc>
        <w:tc>
          <w:tcPr>
            <w:tcW w:w="1914" w:type="dxa"/>
          </w:tcPr>
          <w:p>
            <w:pPr>
              <w:ind w:firstLine="420"/>
              <w:rPr>
                <w:rFonts w:hint="eastAsia"/>
              </w:rPr>
            </w:pPr>
            <w:r>
              <w:rPr>
                <w:rFonts w:hint="eastAsia"/>
              </w:rPr>
              <w:t>870kg</w:t>
            </w:r>
          </w:p>
        </w:tc>
      </w:tr>
    </w:tbl>
    <w:p>
      <w:pPr>
        <w:pStyle w:val="106"/>
        <w:spacing w:before="156" w:after="156"/>
        <w:rPr>
          <w:rFonts w:hint="eastAsia"/>
        </w:rPr>
      </w:pPr>
      <w:bookmarkStart w:id="126" w:name="_Toc114575808"/>
      <w:r>
        <w:rPr>
          <w:rFonts w:hint="eastAsia"/>
        </w:rPr>
        <w:t>水动力特性</w:t>
      </w:r>
      <w:bookmarkEnd w:id="126"/>
    </w:p>
    <w:p>
      <w:pPr>
        <w:pStyle w:val="57"/>
        <w:ind w:firstLine="420"/>
        <w:rPr>
          <w:rFonts w:hint="eastAsia"/>
        </w:rPr>
      </w:pPr>
      <w:r>
        <w:rPr>
          <w:rFonts w:hint="eastAsia"/>
        </w:rPr>
        <w:t>在不同冲角下，网板水动力特性见图1。</w:t>
      </w:r>
    </w:p>
    <w:p>
      <w:pPr>
        <w:pStyle w:val="57"/>
        <w:ind w:firstLine="0" w:firstLineChars="0"/>
        <w:jc w:val="center"/>
      </w:pPr>
      <w:r>
        <w:drawing>
          <wp:inline distT="0" distB="0" distL="0" distR="0">
            <wp:extent cx="4139565" cy="2892425"/>
            <wp:effectExtent l="0" t="0" r="13335" b="3175"/>
            <wp:docPr id="6" name="图表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pStyle w:val="115"/>
        <w:spacing w:before="156" w:after="156"/>
      </w:pPr>
      <w:r>
        <w:rPr>
          <w:rFonts w:hint="eastAsia"/>
        </w:rPr>
        <w:t>3.8m</w:t>
      </w:r>
      <w:r>
        <w:rPr>
          <w:rFonts w:hint="eastAsia"/>
          <w:vertAlign w:val="superscript"/>
        </w:rPr>
        <w:t>2</w:t>
      </w:r>
      <w:r>
        <w:rPr>
          <w:rFonts w:hint="eastAsia"/>
        </w:rPr>
        <w:t>矩形曲面双开缝网板水动力性能曲线</w:t>
      </w:r>
    </w:p>
    <w:p>
      <w:pPr>
        <w:pStyle w:val="106"/>
        <w:spacing w:before="156" w:after="156"/>
        <w:rPr>
          <w:rFonts w:hint="eastAsia"/>
        </w:rPr>
      </w:pPr>
      <w:bookmarkStart w:id="127" w:name="_Toc114575809"/>
      <w:r>
        <w:rPr>
          <w:rFonts w:hint="eastAsia"/>
        </w:rPr>
        <w:t>结构示意与部件材料</w:t>
      </w:r>
      <w:bookmarkEnd w:id="127"/>
    </w:p>
    <w:p>
      <w:pPr>
        <w:pStyle w:val="57"/>
        <w:ind w:firstLine="420"/>
        <w:rPr>
          <w:rFonts w:hint="eastAsia" w:hAnsi="宋体" w:cs="宋体"/>
        </w:rPr>
      </w:pPr>
      <w:r>
        <w:rPr>
          <w:rFonts w:hint="eastAsia" w:hAnsi="宋体" w:cs="宋体"/>
          <w:kern w:val="2"/>
          <w:szCs w:val="24"/>
        </w:rPr>
        <w:t>本文件</w:t>
      </w:r>
      <w:r>
        <w:rPr>
          <w:rFonts w:hint="eastAsia"/>
        </w:rPr>
        <w:t>采用</w:t>
      </w:r>
      <w:r>
        <w:rPr>
          <w:rFonts w:hint="eastAsia" w:hAnsi="宋体" w:cs="宋体"/>
          <w:kern w:val="2"/>
          <w:szCs w:val="24"/>
        </w:rPr>
        <w:t>双开缝3片式叶板设计，网板加工完成后，主体结构形状如图2，长度单位为mm。</w:t>
      </w:r>
    </w:p>
    <w:p>
      <w:pPr>
        <w:pStyle w:val="175"/>
        <w:numPr>
          <w:ilvl w:val="0"/>
          <w:numId w:val="0"/>
        </w:numPr>
        <w:ind w:left="852" w:hanging="426"/>
        <w:jc w:val="center"/>
      </w:pPr>
      <w:bookmarkStart w:id="128" w:name="_Ref496809534"/>
      <w:r>
        <w:drawing>
          <wp:inline distT="0" distB="0" distL="0" distR="0">
            <wp:extent cx="3038475" cy="42767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038475" cy="4276725"/>
                    </a:xfrm>
                    <a:prstGeom prst="rect">
                      <a:avLst/>
                    </a:prstGeom>
                    <a:noFill/>
                    <a:ln>
                      <a:noFill/>
                    </a:ln>
                  </pic:spPr>
                </pic:pic>
              </a:graphicData>
            </a:graphic>
          </wp:inline>
        </w:drawing>
      </w:r>
    </w:p>
    <w:p>
      <w:pPr>
        <w:pStyle w:val="115"/>
        <w:spacing w:before="156" w:after="156"/>
      </w:pPr>
      <w:r>
        <w:rPr>
          <w:rFonts w:hint="eastAsia"/>
        </w:rPr>
        <w:t>矩形曲面双开缝网板结构示意图</w:t>
      </w:r>
    </w:p>
    <w:p>
      <w:pPr>
        <w:pStyle w:val="180"/>
        <w:rPr>
          <w:rFonts w:hint="eastAsia"/>
        </w:rPr>
      </w:pPr>
      <w:r>
        <w:rPr>
          <w:rFonts w:hint="eastAsia"/>
        </w:rPr>
        <w:t>1——前导流板</w:t>
      </w:r>
    </w:p>
    <w:p>
      <w:pPr>
        <w:pStyle w:val="180"/>
        <w:numPr>
          <w:ilvl w:val="0"/>
          <w:numId w:val="0"/>
        </w:numPr>
        <w:ind w:left="363" w:firstLine="360" w:firstLineChars="200"/>
        <w:rPr>
          <w:rFonts w:hint="eastAsia"/>
        </w:rPr>
      </w:pPr>
      <w:r>
        <w:rPr>
          <w:rFonts w:hint="eastAsia"/>
        </w:rPr>
        <w:t>2——曳纲拉板</w:t>
      </w:r>
    </w:p>
    <w:p>
      <w:pPr>
        <w:pStyle w:val="180"/>
        <w:numPr>
          <w:ilvl w:val="0"/>
          <w:numId w:val="0"/>
        </w:numPr>
        <w:ind w:left="363" w:firstLine="360" w:firstLineChars="200"/>
        <w:rPr>
          <w:rFonts w:hint="eastAsia"/>
        </w:rPr>
      </w:pPr>
      <w:r>
        <w:rPr>
          <w:rFonts w:hint="eastAsia"/>
        </w:rPr>
        <w:t>3——板间加强板</w:t>
      </w:r>
    </w:p>
    <w:p>
      <w:pPr>
        <w:pStyle w:val="180"/>
        <w:numPr>
          <w:ilvl w:val="0"/>
          <w:numId w:val="0"/>
        </w:numPr>
        <w:ind w:left="363" w:firstLine="360" w:firstLineChars="200"/>
        <w:rPr>
          <w:rFonts w:hint="eastAsia"/>
        </w:rPr>
      </w:pPr>
      <w:r>
        <w:rPr>
          <w:rFonts w:hint="eastAsia"/>
        </w:rPr>
        <w:t>4——后导流板</w:t>
      </w:r>
    </w:p>
    <w:p>
      <w:pPr>
        <w:pStyle w:val="180"/>
        <w:numPr>
          <w:ilvl w:val="0"/>
          <w:numId w:val="0"/>
        </w:numPr>
        <w:ind w:left="363" w:firstLine="360" w:firstLineChars="200"/>
        <w:rPr>
          <w:rFonts w:hint="eastAsia"/>
        </w:rPr>
      </w:pPr>
      <w:r>
        <w:rPr>
          <w:rFonts w:hint="eastAsia"/>
        </w:rPr>
        <w:t>5——中间曳纲板</w:t>
      </w:r>
    </w:p>
    <w:p>
      <w:pPr>
        <w:pStyle w:val="180"/>
        <w:numPr>
          <w:ilvl w:val="0"/>
          <w:numId w:val="0"/>
        </w:numPr>
        <w:ind w:left="363" w:firstLine="360" w:firstLineChars="200"/>
        <w:rPr>
          <w:rFonts w:hint="eastAsia"/>
        </w:rPr>
      </w:pPr>
      <w:r>
        <w:rPr>
          <w:rFonts w:hint="eastAsia"/>
        </w:rPr>
        <w:t>6——拖铁附板</w:t>
      </w:r>
    </w:p>
    <w:p>
      <w:pPr>
        <w:pStyle w:val="180"/>
        <w:numPr>
          <w:ilvl w:val="0"/>
          <w:numId w:val="0"/>
        </w:numPr>
        <w:ind w:left="363" w:firstLine="360" w:firstLineChars="200"/>
        <w:rPr>
          <w:rFonts w:hint="eastAsia"/>
        </w:rPr>
      </w:pPr>
      <w:r>
        <w:rPr>
          <w:rFonts w:hint="eastAsia"/>
        </w:rPr>
        <w:t>7——网板叉纲板</w:t>
      </w:r>
    </w:p>
    <w:p>
      <w:pPr>
        <w:pStyle w:val="180"/>
        <w:numPr>
          <w:ilvl w:val="0"/>
          <w:numId w:val="0"/>
        </w:numPr>
        <w:ind w:left="363" w:firstLine="360" w:firstLineChars="200"/>
        <w:rPr>
          <w:rFonts w:hint="eastAsia"/>
        </w:rPr>
      </w:pPr>
      <w:r>
        <w:rPr>
          <w:rFonts w:hint="eastAsia"/>
        </w:rPr>
        <w:t>8——主面板</w:t>
      </w:r>
    </w:p>
    <w:p>
      <w:pPr>
        <w:pStyle w:val="180"/>
        <w:numPr>
          <w:ilvl w:val="0"/>
          <w:numId w:val="0"/>
        </w:numPr>
        <w:ind w:left="363" w:firstLine="360" w:firstLineChars="200"/>
      </w:pPr>
      <w:r>
        <w:rPr>
          <w:rFonts w:hint="eastAsia"/>
        </w:rPr>
        <w:t>9——拖铁</w:t>
      </w:r>
      <w:r>
        <w:t xml:space="preserve"> </w:t>
      </w:r>
    </w:p>
    <w:p>
      <w:pPr>
        <w:pStyle w:val="57"/>
        <w:ind w:firstLine="420"/>
      </w:pPr>
    </w:p>
    <w:p>
      <w:pPr>
        <w:pStyle w:val="57"/>
        <w:ind w:firstLine="420"/>
        <w:rPr>
          <w:rFonts w:hint="eastAsia" w:hAnsi="宋体" w:cs="宋体"/>
          <w:kern w:val="2"/>
          <w:szCs w:val="24"/>
        </w:rPr>
      </w:pPr>
      <w:r>
        <w:rPr>
          <w:rFonts w:hint="eastAsia" w:hAnsi="宋体" w:cs="宋体"/>
          <w:kern w:val="2"/>
          <w:szCs w:val="24"/>
        </w:rPr>
        <w:t>单块网板各主要</w:t>
      </w:r>
      <w:r>
        <w:rPr>
          <w:rFonts w:hint="eastAsia"/>
        </w:rPr>
        <w:t>部件</w:t>
      </w:r>
      <w:r>
        <w:rPr>
          <w:rFonts w:hint="eastAsia" w:hAnsi="宋体" w:cs="宋体"/>
          <w:kern w:val="2"/>
          <w:szCs w:val="24"/>
        </w:rPr>
        <w:t>的材料、数量与规格见表2。</w:t>
      </w:r>
    </w:p>
    <w:p>
      <w:pPr>
        <w:spacing w:line="360" w:lineRule="auto"/>
        <w:ind w:firstLine="420"/>
        <w:jc w:val="center"/>
        <w:rPr>
          <w:rFonts w:hint="eastAsia" w:ascii="黑体" w:hAnsi="Times New Roman" w:eastAsia="黑体"/>
        </w:rPr>
      </w:pPr>
      <w:r>
        <w:rPr>
          <w:rFonts w:hint="eastAsia" w:ascii="黑体" w:hAnsi="Times New Roman" w:eastAsia="黑体"/>
        </w:rPr>
        <w:t>表</w:t>
      </w:r>
      <w:bookmarkEnd w:id="128"/>
      <w:r>
        <w:rPr>
          <w:rFonts w:hint="eastAsia" w:ascii="黑体" w:hAnsi="Times New Roman" w:eastAsia="黑体"/>
        </w:rPr>
        <w:t>2 单块网板部件材料表</w:t>
      </w:r>
    </w:p>
    <w:tbl>
      <w:tblPr>
        <w:tblStyle w:val="27"/>
        <w:tblW w:w="92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0"/>
        <w:gridCol w:w="858"/>
        <w:gridCol w:w="1215"/>
        <w:gridCol w:w="1009"/>
        <w:gridCol w:w="5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0" w:type="dxa"/>
            <w:vAlign w:val="center"/>
          </w:tcPr>
          <w:p>
            <w:pPr>
              <w:pStyle w:val="13"/>
              <w:ind w:firstLine="0" w:firstLineChars="0"/>
              <w:rPr>
                <w:rFonts w:hint="eastAsia" w:ascii="宋体" w:hAnsi="宋体" w:cs="宋体"/>
                <w:szCs w:val="21"/>
              </w:rPr>
            </w:pPr>
            <w:r>
              <w:rPr>
                <w:rFonts w:hint="eastAsia" w:ascii="宋体" w:hAnsi="宋体" w:eastAsia="宋体" w:cs="宋体"/>
                <w:szCs w:val="21"/>
              </w:rPr>
              <w:t>序号</w:t>
            </w:r>
          </w:p>
        </w:tc>
        <w:tc>
          <w:tcPr>
            <w:tcW w:w="858" w:type="dxa"/>
            <w:vAlign w:val="center"/>
          </w:tcPr>
          <w:p>
            <w:pPr>
              <w:spacing w:line="360" w:lineRule="auto"/>
              <w:jc w:val="center"/>
              <w:rPr>
                <w:rFonts w:hint="eastAsia" w:ascii="宋体" w:hAnsi="宋体" w:cs="宋体"/>
              </w:rPr>
            </w:pPr>
            <w:r>
              <w:rPr>
                <w:rFonts w:hint="eastAsia" w:ascii="宋体" w:hAnsi="宋体" w:cs="宋体"/>
              </w:rPr>
              <w:t>名称</w:t>
            </w:r>
          </w:p>
        </w:tc>
        <w:tc>
          <w:tcPr>
            <w:tcW w:w="1215" w:type="dxa"/>
            <w:vAlign w:val="center"/>
          </w:tcPr>
          <w:p>
            <w:pPr>
              <w:spacing w:line="360" w:lineRule="auto"/>
              <w:jc w:val="center"/>
              <w:rPr>
                <w:rFonts w:hint="eastAsia" w:ascii="宋体" w:hAnsi="宋体" w:cs="宋体"/>
              </w:rPr>
            </w:pPr>
            <w:r>
              <w:rPr>
                <w:rFonts w:hint="eastAsia" w:ascii="宋体" w:hAnsi="宋体" w:cs="宋体"/>
              </w:rPr>
              <w:t>数量</w:t>
            </w:r>
          </w:p>
        </w:tc>
        <w:tc>
          <w:tcPr>
            <w:tcW w:w="1009" w:type="dxa"/>
            <w:vAlign w:val="center"/>
          </w:tcPr>
          <w:p>
            <w:pPr>
              <w:spacing w:line="360" w:lineRule="auto"/>
              <w:jc w:val="center"/>
              <w:rPr>
                <w:rFonts w:hint="eastAsia" w:ascii="宋体" w:hAnsi="宋体" w:cs="宋体"/>
              </w:rPr>
            </w:pPr>
            <w:r>
              <w:rPr>
                <w:rFonts w:hint="eastAsia" w:ascii="宋体" w:hAnsi="宋体" w:cs="宋体"/>
              </w:rPr>
              <w:t>材料</w:t>
            </w:r>
          </w:p>
        </w:tc>
        <w:tc>
          <w:tcPr>
            <w:tcW w:w="5474" w:type="dxa"/>
            <w:vAlign w:val="center"/>
          </w:tcPr>
          <w:p>
            <w:pPr>
              <w:spacing w:line="360" w:lineRule="auto"/>
              <w:jc w:val="center"/>
              <w:rPr>
                <w:rFonts w:hint="eastAsia" w:ascii="宋体" w:hAnsi="宋体" w:cs="宋体"/>
              </w:rPr>
            </w:pPr>
            <w:r>
              <w:rPr>
                <w:rFonts w:hint="eastAsia" w:ascii="宋体" w:hAnsi="宋体" w:cs="宋体"/>
              </w:rPr>
              <w:t>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0" w:type="dxa"/>
            <w:vAlign w:val="center"/>
          </w:tcPr>
          <w:p>
            <w:pPr>
              <w:spacing w:line="360" w:lineRule="auto"/>
              <w:jc w:val="center"/>
              <w:rPr>
                <w:rFonts w:hint="eastAsia" w:ascii="宋体" w:hAnsi="宋体" w:cs="宋体"/>
              </w:rPr>
            </w:pPr>
            <w:r>
              <w:rPr>
                <w:rFonts w:hint="eastAsia" w:ascii="宋体" w:hAnsi="宋体" w:cs="宋体"/>
              </w:rPr>
              <w:t>1</w:t>
            </w:r>
          </w:p>
        </w:tc>
        <w:tc>
          <w:tcPr>
            <w:tcW w:w="858" w:type="dxa"/>
            <w:vAlign w:val="center"/>
          </w:tcPr>
          <w:p>
            <w:pPr>
              <w:jc w:val="center"/>
              <w:rPr>
                <w:rFonts w:hint="eastAsia" w:ascii="宋体" w:hAnsi="宋体" w:cs="宋体"/>
              </w:rPr>
            </w:pPr>
            <w:r>
              <w:rPr>
                <w:rFonts w:hint="eastAsia" w:ascii="宋体" w:hAnsi="宋体" w:cs="宋体"/>
              </w:rPr>
              <w:t>前导流板</w:t>
            </w:r>
          </w:p>
        </w:tc>
        <w:tc>
          <w:tcPr>
            <w:tcW w:w="1215" w:type="dxa"/>
            <w:vAlign w:val="center"/>
          </w:tcPr>
          <w:p>
            <w:pPr>
              <w:jc w:val="center"/>
              <w:rPr>
                <w:rFonts w:hint="eastAsia" w:ascii="宋体" w:hAnsi="宋体" w:cs="宋体"/>
              </w:rPr>
            </w:pPr>
            <w:r>
              <w:rPr>
                <w:rFonts w:hint="eastAsia" w:ascii="宋体" w:hAnsi="宋体" w:cs="宋体"/>
              </w:rPr>
              <w:t>上下各1</w:t>
            </w:r>
          </w:p>
        </w:tc>
        <w:tc>
          <w:tcPr>
            <w:tcW w:w="1009" w:type="dxa"/>
            <w:vAlign w:val="center"/>
          </w:tcPr>
          <w:p>
            <w:pPr>
              <w:jc w:val="center"/>
              <w:rPr>
                <w:rFonts w:hint="eastAsia" w:ascii="宋体" w:hAnsi="宋体" w:cs="宋体"/>
              </w:rPr>
            </w:pPr>
            <w:r>
              <w:rPr>
                <w:rFonts w:hint="eastAsia" w:ascii="宋体" w:hAnsi="宋体" w:cs="宋体"/>
              </w:rPr>
              <w:t>Q355B钢</w:t>
            </w:r>
          </w:p>
        </w:tc>
        <w:tc>
          <w:tcPr>
            <w:tcW w:w="5474" w:type="dxa"/>
            <w:vAlign w:val="center"/>
          </w:tcPr>
          <w:p>
            <w:pPr>
              <w:jc w:val="center"/>
              <w:rPr>
                <w:rFonts w:hint="eastAsia" w:ascii="宋体" w:hAnsi="宋体" w:cs="宋体"/>
              </w:rPr>
            </w:pPr>
            <w:r>
              <w:rPr>
                <w:rFonts w:hint="eastAsia" w:ascii="宋体" w:hAnsi="宋体" w:cs="宋体"/>
              </w:rPr>
              <w:t>板厚5mm，曲率为14.4%，导流板弦线与水平线夹角为33°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0" w:type="dxa"/>
            <w:vAlign w:val="center"/>
          </w:tcPr>
          <w:p>
            <w:pPr>
              <w:spacing w:line="360" w:lineRule="auto"/>
              <w:jc w:val="center"/>
              <w:rPr>
                <w:rFonts w:hint="eastAsia" w:ascii="宋体" w:hAnsi="宋体" w:cs="宋体"/>
              </w:rPr>
            </w:pPr>
            <w:r>
              <w:rPr>
                <w:rFonts w:hint="eastAsia" w:ascii="宋体" w:hAnsi="宋体" w:cs="宋体"/>
              </w:rPr>
              <w:t>2</w:t>
            </w:r>
          </w:p>
        </w:tc>
        <w:tc>
          <w:tcPr>
            <w:tcW w:w="858" w:type="dxa"/>
            <w:vAlign w:val="center"/>
          </w:tcPr>
          <w:p>
            <w:pPr>
              <w:jc w:val="center"/>
              <w:rPr>
                <w:rFonts w:hint="eastAsia" w:ascii="宋体" w:hAnsi="宋体" w:cs="宋体"/>
              </w:rPr>
            </w:pPr>
            <w:r>
              <w:rPr>
                <w:rFonts w:hint="eastAsia" w:ascii="宋体" w:hAnsi="宋体" w:cs="宋体"/>
              </w:rPr>
              <w:t>曳纲拉板</w:t>
            </w:r>
          </w:p>
        </w:tc>
        <w:tc>
          <w:tcPr>
            <w:tcW w:w="1215" w:type="dxa"/>
            <w:vAlign w:val="center"/>
          </w:tcPr>
          <w:p>
            <w:pPr>
              <w:jc w:val="center"/>
              <w:rPr>
                <w:rFonts w:hint="eastAsia" w:ascii="宋体" w:hAnsi="宋体" w:cs="宋体"/>
              </w:rPr>
            </w:pPr>
            <w:r>
              <w:rPr>
                <w:rFonts w:hint="eastAsia" w:ascii="宋体" w:hAnsi="宋体" w:cs="宋体"/>
              </w:rPr>
              <w:t>1</w:t>
            </w:r>
          </w:p>
        </w:tc>
        <w:tc>
          <w:tcPr>
            <w:tcW w:w="1009" w:type="dxa"/>
            <w:vAlign w:val="center"/>
          </w:tcPr>
          <w:p>
            <w:pPr>
              <w:rPr>
                <w:rFonts w:hint="eastAsia" w:ascii="宋体" w:hAnsi="宋体" w:cs="宋体"/>
              </w:rPr>
            </w:pPr>
            <w:r>
              <w:rPr>
                <w:rFonts w:hint="eastAsia" w:ascii="宋体" w:hAnsi="宋体" w:cs="宋体"/>
              </w:rPr>
              <w:t>Q355B钢</w:t>
            </w:r>
          </w:p>
        </w:tc>
        <w:tc>
          <w:tcPr>
            <w:tcW w:w="5474" w:type="dxa"/>
            <w:vAlign w:val="center"/>
          </w:tcPr>
          <w:p>
            <w:pPr>
              <w:jc w:val="center"/>
              <w:rPr>
                <w:rFonts w:hint="eastAsia" w:ascii="宋体" w:hAnsi="宋体" w:cs="宋体"/>
              </w:rPr>
            </w:pPr>
            <w:r>
              <w:rPr>
                <w:rFonts w:hint="eastAsia" w:ascii="宋体" w:hAnsi="宋体" w:cs="宋体"/>
              </w:rPr>
              <w:t>板厚20mm</w:t>
            </w:r>
          </w:p>
          <w:p>
            <w:pPr>
              <w:jc w:val="center"/>
              <w:rPr>
                <w:rFonts w:hint="eastAsia"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0" w:type="dxa"/>
            <w:vAlign w:val="center"/>
          </w:tcPr>
          <w:p>
            <w:pPr>
              <w:spacing w:line="360" w:lineRule="auto"/>
              <w:jc w:val="center"/>
              <w:rPr>
                <w:rFonts w:hint="eastAsia" w:ascii="宋体" w:hAnsi="宋体" w:cs="宋体"/>
              </w:rPr>
            </w:pPr>
            <w:r>
              <w:rPr>
                <w:rFonts w:hint="eastAsia" w:ascii="宋体" w:hAnsi="宋体" w:cs="宋体"/>
              </w:rPr>
              <w:t>3</w:t>
            </w:r>
          </w:p>
        </w:tc>
        <w:tc>
          <w:tcPr>
            <w:tcW w:w="858" w:type="dxa"/>
            <w:vAlign w:val="center"/>
          </w:tcPr>
          <w:p>
            <w:pPr>
              <w:jc w:val="center"/>
              <w:rPr>
                <w:rFonts w:hint="eastAsia" w:ascii="宋体" w:hAnsi="宋体" w:cs="宋体"/>
              </w:rPr>
            </w:pPr>
            <w:r>
              <w:rPr>
                <w:rFonts w:hint="eastAsia" w:ascii="宋体" w:hAnsi="宋体" w:cs="宋体"/>
              </w:rPr>
              <w:t>板间加强板</w:t>
            </w:r>
          </w:p>
        </w:tc>
        <w:tc>
          <w:tcPr>
            <w:tcW w:w="1215" w:type="dxa"/>
            <w:vAlign w:val="center"/>
          </w:tcPr>
          <w:p>
            <w:pPr>
              <w:jc w:val="center"/>
              <w:rPr>
                <w:rFonts w:hint="eastAsia" w:ascii="宋体" w:hAnsi="宋体" w:cs="宋体"/>
              </w:rPr>
            </w:pPr>
            <w:r>
              <w:rPr>
                <w:rFonts w:hint="eastAsia" w:ascii="宋体" w:hAnsi="宋体" w:cs="宋体"/>
              </w:rPr>
              <w:t>上下各2</w:t>
            </w:r>
          </w:p>
        </w:tc>
        <w:tc>
          <w:tcPr>
            <w:tcW w:w="1009" w:type="dxa"/>
            <w:vAlign w:val="center"/>
          </w:tcPr>
          <w:p>
            <w:pPr>
              <w:rPr>
                <w:rFonts w:hint="eastAsia" w:ascii="宋体" w:hAnsi="宋体" w:cs="宋体"/>
              </w:rPr>
            </w:pPr>
            <w:r>
              <w:rPr>
                <w:rFonts w:hint="eastAsia" w:ascii="宋体" w:hAnsi="宋体" w:cs="宋体"/>
              </w:rPr>
              <w:t>Q355B钢</w:t>
            </w:r>
          </w:p>
        </w:tc>
        <w:tc>
          <w:tcPr>
            <w:tcW w:w="5474" w:type="dxa"/>
            <w:vAlign w:val="center"/>
          </w:tcPr>
          <w:p>
            <w:pPr>
              <w:jc w:val="center"/>
              <w:rPr>
                <w:rFonts w:hint="eastAsia" w:ascii="宋体" w:hAnsi="宋体" w:cs="宋体"/>
              </w:rPr>
            </w:pPr>
            <w:r>
              <w:rPr>
                <w:rFonts w:hint="eastAsia" w:ascii="宋体" w:hAnsi="宋体" w:cs="宋体"/>
              </w:rPr>
              <w:t>契合连接弧度，厚度5mm</w:t>
            </w:r>
            <w:r>
              <w:t>~</w:t>
            </w:r>
            <w:r>
              <w:rPr>
                <w:rFonts w:hint="eastAsia" w:ascii="宋体" w:hAnsi="宋体" w:cs="宋体"/>
              </w:rPr>
              <w:t>8mm,配置间隔在300mm左右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0" w:type="dxa"/>
            <w:vAlign w:val="center"/>
          </w:tcPr>
          <w:p>
            <w:pPr>
              <w:spacing w:line="360" w:lineRule="auto"/>
              <w:jc w:val="center"/>
              <w:rPr>
                <w:rFonts w:hint="eastAsia" w:ascii="宋体" w:hAnsi="宋体" w:cs="宋体"/>
              </w:rPr>
            </w:pPr>
            <w:r>
              <w:rPr>
                <w:rFonts w:hint="eastAsia" w:ascii="宋体" w:hAnsi="宋体" w:cs="宋体"/>
              </w:rPr>
              <w:t>4</w:t>
            </w:r>
          </w:p>
        </w:tc>
        <w:tc>
          <w:tcPr>
            <w:tcW w:w="858" w:type="dxa"/>
            <w:vAlign w:val="center"/>
          </w:tcPr>
          <w:p>
            <w:pPr>
              <w:jc w:val="center"/>
              <w:rPr>
                <w:rFonts w:hint="eastAsia" w:ascii="宋体" w:hAnsi="宋体" w:cs="宋体"/>
              </w:rPr>
            </w:pPr>
            <w:r>
              <w:rPr>
                <w:rFonts w:hint="eastAsia" w:ascii="宋体" w:hAnsi="宋体" w:cs="宋体"/>
              </w:rPr>
              <w:t>后导流板</w:t>
            </w:r>
          </w:p>
        </w:tc>
        <w:tc>
          <w:tcPr>
            <w:tcW w:w="1215" w:type="dxa"/>
            <w:vAlign w:val="center"/>
          </w:tcPr>
          <w:p>
            <w:pPr>
              <w:jc w:val="center"/>
              <w:rPr>
                <w:rFonts w:hint="eastAsia" w:ascii="宋体" w:hAnsi="宋体" w:cs="宋体"/>
              </w:rPr>
            </w:pPr>
            <w:r>
              <w:rPr>
                <w:rFonts w:hint="eastAsia" w:ascii="宋体" w:hAnsi="宋体" w:cs="宋体"/>
              </w:rPr>
              <w:t>上下各1</w:t>
            </w:r>
          </w:p>
        </w:tc>
        <w:tc>
          <w:tcPr>
            <w:tcW w:w="1009" w:type="dxa"/>
            <w:vAlign w:val="center"/>
          </w:tcPr>
          <w:p>
            <w:pPr>
              <w:rPr>
                <w:rFonts w:hint="eastAsia" w:ascii="宋体" w:hAnsi="宋体" w:cs="宋体"/>
              </w:rPr>
            </w:pPr>
            <w:r>
              <w:rPr>
                <w:rFonts w:hint="eastAsia" w:ascii="宋体" w:hAnsi="宋体" w:cs="宋体"/>
              </w:rPr>
              <w:t>Q355B钢</w:t>
            </w:r>
          </w:p>
        </w:tc>
        <w:tc>
          <w:tcPr>
            <w:tcW w:w="5474" w:type="dxa"/>
            <w:vAlign w:val="center"/>
          </w:tcPr>
          <w:p>
            <w:pPr>
              <w:jc w:val="center"/>
              <w:rPr>
                <w:rFonts w:hint="eastAsia" w:ascii="宋体" w:hAnsi="宋体" w:cs="宋体"/>
              </w:rPr>
            </w:pPr>
            <w:r>
              <w:rPr>
                <w:rFonts w:hint="eastAsia" w:ascii="宋体" w:hAnsi="宋体" w:cs="宋体"/>
              </w:rPr>
              <w:t>板厚5mm，曲率为12.5%，导流板弦线与水平线夹角为23°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0" w:type="dxa"/>
            <w:vAlign w:val="center"/>
          </w:tcPr>
          <w:p>
            <w:pPr>
              <w:spacing w:line="360" w:lineRule="auto"/>
              <w:jc w:val="center"/>
              <w:rPr>
                <w:rFonts w:hint="eastAsia" w:ascii="宋体" w:hAnsi="宋体" w:cs="宋体"/>
              </w:rPr>
            </w:pPr>
            <w:r>
              <w:rPr>
                <w:rFonts w:hint="eastAsia" w:ascii="宋体" w:hAnsi="宋体" w:cs="宋体"/>
              </w:rPr>
              <w:t>5</w:t>
            </w:r>
          </w:p>
        </w:tc>
        <w:tc>
          <w:tcPr>
            <w:tcW w:w="858" w:type="dxa"/>
            <w:vAlign w:val="center"/>
          </w:tcPr>
          <w:p>
            <w:pPr>
              <w:jc w:val="center"/>
              <w:rPr>
                <w:rFonts w:hint="eastAsia" w:ascii="宋体" w:hAnsi="宋体" w:cs="宋体"/>
              </w:rPr>
            </w:pPr>
            <w:r>
              <w:rPr>
                <w:rFonts w:hint="eastAsia" w:ascii="宋体" w:hAnsi="宋体" w:cs="宋体"/>
              </w:rPr>
              <w:t>中间曳纲板</w:t>
            </w:r>
          </w:p>
        </w:tc>
        <w:tc>
          <w:tcPr>
            <w:tcW w:w="1215" w:type="dxa"/>
            <w:vAlign w:val="center"/>
          </w:tcPr>
          <w:p>
            <w:pPr>
              <w:jc w:val="center"/>
              <w:rPr>
                <w:rFonts w:hint="eastAsia" w:ascii="宋体" w:hAnsi="宋体" w:cs="宋体"/>
              </w:rPr>
            </w:pPr>
            <w:r>
              <w:rPr>
                <w:rFonts w:hint="eastAsia" w:ascii="宋体" w:hAnsi="宋体" w:cs="宋体"/>
              </w:rPr>
              <w:t>1</w:t>
            </w:r>
          </w:p>
        </w:tc>
        <w:tc>
          <w:tcPr>
            <w:tcW w:w="1009" w:type="dxa"/>
            <w:vAlign w:val="center"/>
          </w:tcPr>
          <w:p>
            <w:pPr>
              <w:rPr>
                <w:rFonts w:hint="eastAsia" w:ascii="宋体" w:hAnsi="宋体" w:cs="宋体"/>
              </w:rPr>
            </w:pPr>
            <w:r>
              <w:rPr>
                <w:rFonts w:hint="eastAsia" w:ascii="宋体" w:hAnsi="宋体" w:cs="宋体"/>
              </w:rPr>
              <w:t>Q355B钢</w:t>
            </w:r>
          </w:p>
        </w:tc>
        <w:tc>
          <w:tcPr>
            <w:tcW w:w="5474" w:type="dxa"/>
            <w:vAlign w:val="center"/>
          </w:tcPr>
          <w:p>
            <w:pPr>
              <w:jc w:val="center"/>
              <w:rPr>
                <w:rFonts w:hint="eastAsia" w:ascii="宋体" w:hAnsi="宋体" w:cs="宋体"/>
              </w:rPr>
            </w:pPr>
            <w:r>
              <w:rPr>
                <w:rFonts w:hint="eastAsia" w:ascii="宋体" w:hAnsi="宋体" w:cs="宋体"/>
              </w:rPr>
              <w:t>板厚15mm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0" w:type="dxa"/>
            <w:vAlign w:val="center"/>
          </w:tcPr>
          <w:p>
            <w:pPr>
              <w:spacing w:line="360" w:lineRule="auto"/>
              <w:jc w:val="center"/>
              <w:rPr>
                <w:rFonts w:hint="eastAsia" w:ascii="宋体" w:hAnsi="宋体" w:cs="宋体"/>
              </w:rPr>
            </w:pPr>
            <w:r>
              <w:rPr>
                <w:rFonts w:hint="eastAsia" w:ascii="宋体" w:hAnsi="宋体" w:cs="宋体"/>
              </w:rPr>
              <w:t>6</w:t>
            </w:r>
          </w:p>
        </w:tc>
        <w:tc>
          <w:tcPr>
            <w:tcW w:w="858" w:type="dxa"/>
            <w:vAlign w:val="center"/>
          </w:tcPr>
          <w:p>
            <w:pPr>
              <w:jc w:val="center"/>
              <w:rPr>
                <w:rFonts w:hint="eastAsia" w:ascii="宋体" w:hAnsi="宋体" w:cs="宋体"/>
              </w:rPr>
            </w:pPr>
            <w:r>
              <w:rPr>
                <w:rFonts w:hint="eastAsia" w:ascii="宋体" w:hAnsi="宋体" w:cs="宋体"/>
              </w:rPr>
              <w:t>拖铁附板</w:t>
            </w:r>
          </w:p>
        </w:tc>
        <w:tc>
          <w:tcPr>
            <w:tcW w:w="1215" w:type="dxa"/>
            <w:vAlign w:val="center"/>
          </w:tcPr>
          <w:p>
            <w:pPr>
              <w:jc w:val="center"/>
              <w:rPr>
                <w:rFonts w:hint="eastAsia" w:ascii="宋体" w:hAnsi="宋体" w:cs="宋体"/>
              </w:rPr>
            </w:pPr>
            <w:r>
              <w:rPr>
                <w:rFonts w:hint="eastAsia" w:ascii="宋体" w:hAnsi="宋体" w:cs="宋体"/>
              </w:rPr>
              <w:t>下部左右各1</w:t>
            </w:r>
          </w:p>
        </w:tc>
        <w:tc>
          <w:tcPr>
            <w:tcW w:w="1009" w:type="dxa"/>
            <w:vAlign w:val="center"/>
          </w:tcPr>
          <w:p>
            <w:pPr>
              <w:rPr>
                <w:rFonts w:hint="eastAsia" w:ascii="宋体" w:hAnsi="宋体" w:cs="宋体"/>
              </w:rPr>
            </w:pPr>
            <w:r>
              <w:rPr>
                <w:rFonts w:hint="eastAsia" w:ascii="宋体" w:hAnsi="宋体" w:cs="宋体"/>
              </w:rPr>
              <w:t>Q355B钢</w:t>
            </w:r>
          </w:p>
        </w:tc>
        <w:tc>
          <w:tcPr>
            <w:tcW w:w="5474" w:type="dxa"/>
            <w:vAlign w:val="center"/>
          </w:tcPr>
          <w:p>
            <w:pPr>
              <w:jc w:val="center"/>
              <w:rPr>
                <w:rFonts w:hint="eastAsia" w:ascii="宋体" w:hAnsi="宋体" w:cs="宋体"/>
              </w:rPr>
            </w:pPr>
            <w:r>
              <w:rPr>
                <w:rFonts w:hint="eastAsia" w:ascii="宋体" w:hAnsi="宋体" w:cs="宋体"/>
              </w:rPr>
              <w:t>厚15mm，为双层板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0" w:type="dxa"/>
            <w:vAlign w:val="center"/>
          </w:tcPr>
          <w:p>
            <w:pPr>
              <w:spacing w:line="360" w:lineRule="auto"/>
              <w:jc w:val="center"/>
              <w:rPr>
                <w:rFonts w:hint="eastAsia" w:ascii="宋体" w:hAnsi="宋体" w:cs="宋体"/>
              </w:rPr>
            </w:pPr>
            <w:r>
              <w:rPr>
                <w:rFonts w:hint="eastAsia" w:ascii="宋体" w:hAnsi="宋体" w:cs="宋体"/>
              </w:rPr>
              <w:t>7</w:t>
            </w:r>
          </w:p>
        </w:tc>
        <w:tc>
          <w:tcPr>
            <w:tcW w:w="858" w:type="dxa"/>
            <w:vAlign w:val="center"/>
          </w:tcPr>
          <w:p>
            <w:pPr>
              <w:jc w:val="center"/>
              <w:rPr>
                <w:rFonts w:hint="eastAsia" w:ascii="宋体" w:hAnsi="宋体" w:cs="宋体"/>
              </w:rPr>
            </w:pPr>
            <w:r>
              <w:rPr>
                <w:rFonts w:hint="eastAsia" w:ascii="宋体" w:hAnsi="宋体" w:cs="宋体"/>
              </w:rPr>
              <w:t>网板叉纲板</w:t>
            </w:r>
          </w:p>
        </w:tc>
        <w:tc>
          <w:tcPr>
            <w:tcW w:w="1215" w:type="dxa"/>
            <w:vAlign w:val="center"/>
          </w:tcPr>
          <w:p>
            <w:pPr>
              <w:jc w:val="center"/>
              <w:rPr>
                <w:rFonts w:hint="eastAsia" w:ascii="宋体" w:hAnsi="宋体" w:cs="宋体"/>
              </w:rPr>
            </w:pPr>
            <w:r>
              <w:rPr>
                <w:rFonts w:hint="eastAsia" w:ascii="宋体" w:hAnsi="宋体" w:cs="宋体"/>
              </w:rPr>
              <w:t>上下各1</w:t>
            </w:r>
          </w:p>
        </w:tc>
        <w:tc>
          <w:tcPr>
            <w:tcW w:w="1009" w:type="dxa"/>
            <w:vAlign w:val="center"/>
          </w:tcPr>
          <w:p>
            <w:pPr>
              <w:jc w:val="left"/>
              <w:rPr>
                <w:rFonts w:hint="eastAsia" w:ascii="宋体" w:hAnsi="宋体" w:cs="宋体"/>
              </w:rPr>
            </w:pPr>
            <w:r>
              <w:rPr>
                <w:rFonts w:hint="eastAsia" w:ascii="宋体" w:hAnsi="宋体" w:cs="宋体"/>
              </w:rPr>
              <w:t>Q355B钢</w:t>
            </w:r>
          </w:p>
        </w:tc>
        <w:tc>
          <w:tcPr>
            <w:tcW w:w="5474" w:type="dxa"/>
            <w:vAlign w:val="center"/>
          </w:tcPr>
          <w:p>
            <w:pPr>
              <w:jc w:val="center"/>
              <w:rPr>
                <w:rFonts w:hint="eastAsia" w:ascii="宋体" w:hAnsi="宋体" w:cs="宋体"/>
              </w:rPr>
            </w:pPr>
            <w:r>
              <w:rPr>
                <w:rFonts w:hint="eastAsia" w:ascii="宋体" w:hAnsi="宋体" w:cs="宋体"/>
              </w:rPr>
              <w:t>上叉纲板厚10mm，下叉纲板厚20mm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0" w:type="dxa"/>
            <w:vAlign w:val="center"/>
          </w:tcPr>
          <w:p>
            <w:pPr>
              <w:spacing w:line="360" w:lineRule="auto"/>
              <w:jc w:val="center"/>
              <w:rPr>
                <w:rFonts w:hint="eastAsia" w:ascii="宋体" w:hAnsi="宋体" w:cs="宋体"/>
              </w:rPr>
            </w:pPr>
            <w:r>
              <w:rPr>
                <w:rFonts w:hint="eastAsia" w:ascii="宋体" w:hAnsi="宋体" w:cs="宋体"/>
              </w:rPr>
              <w:t>8</w:t>
            </w:r>
          </w:p>
        </w:tc>
        <w:tc>
          <w:tcPr>
            <w:tcW w:w="858" w:type="dxa"/>
            <w:vAlign w:val="center"/>
          </w:tcPr>
          <w:p>
            <w:pPr>
              <w:jc w:val="center"/>
              <w:rPr>
                <w:rFonts w:hint="eastAsia" w:ascii="宋体" w:hAnsi="宋体" w:cs="宋体"/>
              </w:rPr>
            </w:pPr>
            <w:r>
              <w:rPr>
                <w:rFonts w:hint="eastAsia" w:ascii="宋体" w:hAnsi="宋体" w:cs="宋体"/>
              </w:rPr>
              <w:t>主面板</w:t>
            </w:r>
          </w:p>
        </w:tc>
        <w:tc>
          <w:tcPr>
            <w:tcW w:w="1215" w:type="dxa"/>
            <w:vAlign w:val="center"/>
          </w:tcPr>
          <w:p>
            <w:pPr>
              <w:jc w:val="center"/>
              <w:rPr>
                <w:rFonts w:hint="eastAsia" w:ascii="宋体" w:hAnsi="宋体" w:cs="宋体"/>
              </w:rPr>
            </w:pPr>
            <w:r>
              <w:rPr>
                <w:rFonts w:hint="eastAsia" w:ascii="宋体" w:hAnsi="宋体" w:cs="宋体"/>
              </w:rPr>
              <w:t>上下各1</w:t>
            </w:r>
          </w:p>
        </w:tc>
        <w:tc>
          <w:tcPr>
            <w:tcW w:w="1009" w:type="dxa"/>
            <w:vAlign w:val="center"/>
          </w:tcPr>
          <w:p>
            <w:pPr>
              <w:rPr>
                <w:rFonts w:hint="eastAsia" w:ascii="宋体" w:hAnsi="宋体" w:cs="宋体"/>
              </w:rPr>
            </w:pPr>
            <w:r>
              <w:rPr>
                <w:rFonts w:hint="eastAsia" w:ascii="宋体" w:hAnsi="宋体" w:cs="宋体"/>
              </w:rPr>
              <w:t>Q355B钢</w:t>
            </w:r>
          </w:p>
        </w:tc>
        <w:tc>
          <w:tcPr>
            <w:tcW w:w="5474" w:type="dxa"/>
            <w:vAlign w:val="center"/>
          </w:tcPr>
          <w:p>
            <w:pPr>
              <w:jc w:val="center"/>
              <w:rPr>
                <w:rFonts w:hint="eastAsia" w:ascii="宋体" w:hAnsi="宋体" w:cs="宋体"/>
              </w:rPr>
            </w:pPr>
            <w:r>
              <w:rPr>
                <w:rFonts w:hint="eastAsia" w:ascii="宋体" w:hAnsi="宋体" w:cs="宋体"/>
              </w:rPr>
              <w:t>板厚5mm，曲率为12.5%，主面板弦线与水平夹角为3°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70" w:type="dxa"/>
            <w:vAlign w:val="center"/>
          </w:tcPr>
          <w:p>
            <w:pPr>
              <w:spacing w:line="360" w:lineRule="auto"/>
              <w:jc w:val="center"/>
              <w:rPr>
                <w:rFonts w:hint="eastAsia" w:ascii="宋体" w:hAnsi="宋体" w:cs="宋体"/>
              </w:rPr>
            </w:pPr>
            <w:r>
              <w:rPr>
                <w:rFonts w:hint="eastAsia" w:ascii="宋体" w:hAnsi="宋体" w:cs="宋体"/>
              </w:rPr>
              <w:t>9</w:t>
            </w:r>
          </w:p>
        </w:tc>
        <w:tc>
          <w:tcPr>
            <w:tcW w:w="858" w:type="dxa"/>
            <w:vAlign w:val="center"/>
          </w:tcPr>
          <w:p>
            <w:pPr>
              <w:spacing w:line="360" w:lineRule="auto"/>
              <w:jc w:val="center"/>
              <w:rPr>
                <w:rFonts w:hint="eastAsia" w:ascii="宋体" w:hAnsi="宋体" w:cs="宋体"/>
              </w:rPr>
            </w:pPr>
            <w:r>
              <w:rPr>
                <w:rFonts w:hint="eastAsia" w:ascii="宋体" w:hAnsi="宋体" w:cs="宋体"/>
                <w:lang w:val="en-US" w:eastAsia="zh-CN"/>
              </w:rPr>
              <w:t>拖铁</w:t>
            </w:r>
          </w:p>
        </w:tc>
        <w:tc>
          <w:tcPr>
            <w:tcW w:w="1215" w:type="dxa"/>
            <w:vAlign w:val="center"/>
          </w:tcPr>
          <w:p>
            <w:pPr>
              <w:spacing w:line="360" w:lineRule="auto"/>
              <w:jc w:val="center"/>
              <w:rPr>
                <w:rFonts w:hint="eastAsia" w:ascii="宋体" w:hAnsi="宋体" w:cs="宋体"/>
              </w:rPr>
            </w:pPr>
            <w:r>
              <w:rPr>
                <w:rFonts w:hint="eastAsia" w:ascii="宋体" w:hAnsi="宋体" w:cs="宋体"/>
              </w:rPr>
              <w:t>4</w:t>
            </w:r>
          </w:p>
        </w:tc>
        <w:tc>
          <w:tcPr>
            <w:tcW w:w="1009" w:type="dxa"/>
            <w:vAlign w:val="center"/>
          </w:tcPr>
          <w:p>
            <w:pPr>
              <w:spacing w:line="360" w:lineRule="auto"/>
              <w:jc w:val="center"/>
              <w:rPr>
                <w:rFonts w:hint="eastAsia" w:ascii="宋体" w:hAnsi="宋体" w:cs="宋体"/>
              </w:rPr>
            </w:pPr>
            <w:r>
              <w:rPr>
                <w:rFonts w:hint="eastAsia" w:ascii="宋体" w:hAnsi="宋体" w:cs="宋体"/>
              </w:rPr>
              <w:t>NM450钢</w:t>
            </w:r>
          </w:p>
        </w:tc>
        <w:tc>
          <w:tcPr>
            <w:tcW w:w="5474" w:type="dxa"/>
            <w:vAlign w:val="center"/>
          </w:tcPr>
          <w:p>
            <w:pPr>
              <w:spacing w:line="360" w:lineRule="auto"/>
              <w:jc w:val="center"/>
              <w:rPr>
                <w:rFonts w:hint="eastAsia" w:ascii="宋体" w:hAnsi="宋体" w:cs="宋体"/>
              </w:rPr>
            </w:pPr>
            <w:r>
              <w:rPr>
                <w:rFonts w:hint="eastAsia" w:ascii="宋体" w:hAnsi="宋体" w:cs="宋体"/>
              </w:rPr>
              <w:t>根据配重需要调整重量及数量。</w:t>
            </w:r>
          </w:p>
        </w:tc>
      </w:tr>
    </w:tbl>
    <w:p>
      <w:pPr>
        <w:pStyle w:val="106"/>
        <w:spacing w:before="156" w:after="156"/>
        <w:rPr>
          <w:rFonts w:hint="eastAsia"/>
        </w:rPr>
      </w:pPr>
      <w:bookmarkStart w:id="129" w:name="_Toc114575810"/>
      <w:r>
        <w:rPr>
          <w:rFonts w:hint="eastAsia"/>
        </w:rPr>
        <w:t>防锈</w:t>
      </w:r>
      <w:bookmarkEnd w:id="129"/>
    </w:p>
    <w:p>
      <w:pPr>
        <w:pStyle w:val="57"/>
        <w:ind w:firstLine="420"/>
        <w:rPr>
          <w:rFonts w:hint="eastAsia"/>
        </w:rPr>
      </w:pPr>
      <w:r>
        <w:rPr>
          <w:rFonts w:hint="eastAsia"/>
        </w:rPr>
        <w:t>网板各部件焊接完成后，打磨、去锈，涂防锈漆二度、面漆两度。</w:t>
      </w:r>
    </w:p>
    <w:bookmarkEnd w:id="118"/>
    <w:bookmarkEnd w:id="119"/>
    <w:bookmarkEnd w:id="120"/>
    <w:bookmarkEnd w:id="121"/>
    <w:bookmarkEnd w:id="122"/>
    <w:bookmarkEnd w:id="123"/>
    <w:bookmarkEnd w:id="124"/>
    <w:p>
      <w:pPr>
        <w:pStyle w:val="105"/>
        <w:spacing w:before="312" w:after="312"/>
      </w:pPr>
      <w:bookmarkStart w:id="130" w:name="_Toc114575811"/>
      <w:r>
        <w:rPr>
          <w:rFonts w:hint="eastAsia"/>
        </w:rPr>
        <w:t>检验方法</w:t>
      </w:r>
      <w:bookmarkEnd w:id="130"/>
    </w:p>
    <w:p>
      <w:pPr>
        <w:pStyle w:val="106"/>
        <w:spacing w:before="156" w:after="156"/>
      </w:pPr>
      <w:bookmarkStart w:id="131" w:name="_Toc114575812"/>
      <w:r>
        <w:rPr>
          <w:rFonts w:hint="eastAsia"/>
        </w:rPr>
        <w:t>外观质量</w:t>
      </w:r>
      <w:bookmarkEnd w:id="131"/>
    </w:p>
    <w:p>
      <w:pPr>
        <w:pStyle w:val="57"/>
        <w:ind w:firstLine="420"/>
      </w:pPr>
      <w:r>
        <w:rPr>
          <w:rFonts w:hint="eastAsia"/>
        </w:rPr>
        <w:t>在自然光条件下，通过目测法检验网板主体结构及焊接工艺和涂漆；使用精度为1mm的量具，测量网板的外形尺寸（投影尺寸），并用精度为0.5kg的磅称称网板的重量。</w:t>
      </w:r>
    </w:p>
    <w:p>
      <w:pPr>
        <w:pStyle w:val="106"/>
        <w:spacing w:before="156" w:after="156"/>
      </w:pPr>
      <w:bookmarkStart w:id="132" w:name="_Toc111474760"/>
      <w:bookmarkStart w:id="133" w:name="_Toc114575813"/>
      <w:r>
        <w:rPr>
          <w:rFonts w:hint="eastAsia"/>
        </w:rPr>
        <w:t>检验</w:t>
      </w:r>
      <w:bookmarkEnd w:id="132"/>
      <w:r>
        <w:rPr>
          <w:rFonts w:hint="eastAsia"/>
        </w:rPr>
        <w:t>内容</w:t>
      </w:r>
      <w:bookmarkEnd w:id="133"/>
    </w:p>
    <w:p>
      <w:pPr>
        <w:pStyle w:val="175"/>
        <w:numPr>
          <w:ilvl w:val="0"/>
          <w:numId w:val="32"/>
        </w:numPr>
        <w:rPr>
          <w:rFonts w:hint="eastAsia"/>
        </w:rPr>
      </w:pPr>
      <w:r>
        <w:rPr>
          <w:rFonts w:hint="eastAsia"/>
        </w:rPr>
        <w:t>网板外形尺寸;</w:t>
      </w:r>
    </w:p>
    <w:p>
      <w:pPr>
        <w:pStyle w:val="175"/>
        <w:numPr>
          <w:ilvl w:val="0"/>
          <w:numId w:val="32"/>
        </w:numPr>
        <w:rPr>
          <w:rFonts w:hint="eastAsia"/>
        </w:rPr>
      </w:pPr>
      <w:r>
        <w:rPr>
          <w:rFonts w:hint="eastAsia"/>
        </w:rPr>
        <w:t>连续间隔板间水平位置间距;</w:t>
      </w:r>
    </w:p>
    <w:p>
      <w:pPr>
        <w:pStyle w:val="175"/>
        <w:numPr>
          <w:ilvl w:val="0"/>
          <w:numId w:val="32"/>
        </w:numPr>
        <w:rPr>
          <w:rFonts w:hint="eastAsia"/>
        </w:rPr>
      </w:pPr>
      <w:r>
        <w:rPr>
          <w:rFonts w:hint="eastAsia"/>
        </w:rPr>
        <w:t>连续间隔板间垂直位置间距;</w:t>
      </w:r>
    </w:p>
    <w:p>
      <w:pPr>
        <w:pStyle w:val="175"/>
        <w:numPr>
          <w:ilvl w:val="0"/>
          <w:numId w:val="32"/>
        </w:numPr>
      </w:pPr>
      <w:r>
        <w:rPr>
          <w:rFonts w:hint="eastAsia"/>
        </w:rPr>
        <w:t>网板重量。</w:t>
      </w:r>
    </w:p>
    <w:p>
      <w:pPr>
        <w:pStyle w:val="105"/>
        <w:spacing w:before="312" w:after="312"/>
      </w:pPr>
      <w:bookmarkStart w:id="134" w:name="_Toc114575814"/>
      <w:r>
        <w:rPr>
          <w:rFonts w:hint="eastAsia"/>
        </w:rPr>
        <w:t>检验规则</w:t>
      </w:r>
      <w:bookmarkEnd w:id="134"/>
    </w:p>
    <w:p>
      <w:pPr>
        <w:pStyle w:val="106"/>
        <w:spacing w:before="156" w:after="156"/>
      </w:pPr>
      <w:bookmarkStart w:id="135" w:name="_Toc114575815"/>
      <w:r>
        <w:rPr>
          <w:rFonts w:hint="eastAsia"/>
        </w:rPr>
        <w:t>出厂检验</w:t>
      </w:r>
      <w:bookmarkEnd w:id="135"/>
    </w:p>
    <w:p>
      <w:pPr>
        <w:pStyle w:val="66"/>
        <w:spacing w:before="156" w:after="156"/>
        <w:rPr>
          <w:rFonts w:ascii="宋体" w:eastAsia="宋体"/>
        </w:rPr>
      </w:pPr>
      <w:r>
        <w:rPr>
          <w:rFonts w:hint="eastAsia" w:ascii="宋体" w:eastAsia="宋体"/>
        </w:rPr>
        <w:t>每副网板需经厂检验部门进行逐个出厂检验，合格后并附有合格证方可出厂。</w:t>
      </w:r>
    </w:p>
    <w:p>
      <w:pPr>
        <w:pStyle w:val="66"/>
        <w:spacing w:before="156" w:after="156"/>
      </w:pPr>
      <w:r>
        <w:rPr>
          <w:rFonts w:hint="eastAsia" w:ascii="宋体" w:eastAsia="宋体"/>
        </w:rPr>
        <w:t>出厂检验项目为6中规定项目。</w:t>
      </w:r>
    </w:p>
    <w:p>
      <w:pPr>
        <w:pStyle w:val="106"/>
        <w:spacing w:before="156" w:after="156"/>
      </w:pPr>
      <w:bookmarkStart w:id="136" w:name="_Toc114575816"/>
      <w:r>
        <w:rPr>
          <w:rFonts w:hint="eastAsia"/>
        </w:rPr>
        <w:t>型式检验</w:t>
      </w:r>
      <w:bookmarkEnd w:id="136"/>
    </w:p>
    <w:p>
      <w:pPr>
        <w:pStyle w:val="66"/>
        <w:spacing w:before="156" w:after="156"/>
        <w:rPr>
          <w:rFonts w:ascii="宋体" w:eastAsia="宋体"/>
        </w:rPr>
      </w:pPr>
      <w:r>
        <w:rPr>
          <w:rFonts w:hint="eastAsia" w:ascii="宋体" w:eastAsia="宋体"/>
        </w:rPr>
        <w:t>型式检验每半年至少进行1次，有下列情况之一时亦进行型式检验：</w:t>
      </w:r>
    </w:p>
    <w:p>
      <w:pPr>
        <w:pStyle w:val="175"/>
        <w:numPr>
          <w:ilvl w:val="0"/>
          <w:numId w:val="33"/>
        </w:numPr>
      </w:pPr>
      <w:r>
        <w:rPr>
          <w:rFonts w:hint="eastAsia"/>
        </w:rPr>
        <w:t>新产品试制定型鉴定时或老产品转厂生产时；</w:t>
      </w:r>
    </w:p>
    <w:p>
      <w:pPr>
        <w:pStyle w:val="175"/>
      </w:pPr>
      <w:r>
        <w:rPr>
          <w:rFonts w:hint="eastAsia"/>
        </w:rPr>
        <w:t>原材料和工艺有重大改变，可能影响产品性能时；</w:t>
      </w:r>
    </w:p>
    <w:p>
      <w:pPr>
        <w:pStyle w:val="175"/>
      </w:pPr>
      <w:r>
        <w:rPr>
          <w:rFonts w:hint="eastAsia"/>
        </w:rPr>
        <w:t>质量技术监督部门提出型式检验要求时。</w:t>
      </w:r>
      <w:bookmarkStart w:id="137" w:name="_Toc109116034"/>
      <w:bookmarkStart w:id="138" w:name="_Toc108857875"/>
      <w:bookmarkStart w:id="139" w:name="_Toc109035332"/>
      <w:bookmarkStart w:id="140" w:name="_Toc111474765"/>
    </w:p>
    <w:p>
      <w:pPr>
        <w:pStyle w:val="66"/>
        <w:spacing w:before="156" w:after="156"/>
        <w:rPr>
          <w:rFonts w:ascii="宋体" w:eastAsia="宋体"/>
        </w:rPr>
      </w:pPr>
      <w:r>
        <w:rPr>
          <w:rFonts w:hint="eastAsia" w:ascii="宋体" w:eastAsia="宋体"/>
        </w:rPr>
        <w:t>型式检验项目为第5章的全部项目。</w:t>
      </w:r>
    </w:p>
    <w:bookmarkEnd w:id="137"/>
    <w:bookmarkEnd w:id="138"/>
    <w:bookmarkEnd w:id="139"/>
    <w:bookmarkEnd w:id="140"/>
    <w:p>
      <w:pPr>
        <w:pStyle w:val="106"/>
        <w:spacing w:before="156" w:after="156"/>
      </w:pPr>
      <w:bookmarkStart w:id="141" w:name="_Toc114575817"/>
      <w:r>
        <w:rPr>
          <w:rFonts w:hint="eastAsia"/>
        </w:rPr>
        <w:t>判定规则</w:t>
      </w:r>
      <w:bookmarkEnd w:id="141"/>
    </w:p>
    <w:p>
      <w:pPr>
        <w:pStyle w:val="57"/>
        <w:ind w:firstLine="420"/>
      </w:pPr>
      <w:r>
        <w:rPr>
          <w:rFonts w:hint="eastAsia"/>
        </w:rPr>
        <w:t>在检验结果中，若所有检验项目符合第5章中的要求，则判该顶网合格：</w:t>
      </w:r>
    </w:p>
    <w:p>
      <w:pPr>
        <w:pStyle w:val="175"/>
        <w:numPr>
          <w:ilvl w:val="0"/>
          <w:numId w:val="34"/>
        </w:numPr>
        <w:rPr>
          <w:rFonts w:hint="eastAsia"/>
        </w:rPr>
      </w:pPr>
      <w:r>
        <w:rPr>
          <w:rFonts w:hint="eastAsia"/>
        </w:rPr>
        <w:t>外形尺寸误差小于10mm，同一付网板间主尺寸偏差小于5mm;</w:t>
      </w:r>
    </w:p>
    <w:p>
      <w:pPr>
        <w:pStyle w:val="175"/>
        <w:numPr>
          <w:ilvl w:val="0"/>
          <w:numId w:val="33"/>
        </w:numPr>
        <w:rPr>
          <w:rFonts w:hint="eastAsia"/>
        </w:rPr>
      </w:pPr>
      <w:r>
        <w:rPr>
          <w:rFonts w:hint="eastAsia"/>
        </w:rPr>
        <w:t>连续间隔板间水平位置间距误差小于3mm;</w:t>
      </w:r>
    </w:p>
    <w:p>
      <w:pPr>
        <w:pStyle w:val="175"/>
        <w:numPr>
          <w:ilvl w:val="0"/>
          <w:numId w:val="33"/>
        </w:numPr>
        <w:rPr>
          <w:rFonts w:hint="eastAsia"/>
        </w:rPr>
      </w:pPr>
      <w:r>
        <w:rPr>
          <w:rFonts w:hint="eastAsia"/>
        </w:rPr>
        <w:t>连续间隔板间垂直位置间距误差小于2mm;</w:t>
      </w:r>
    </w:p>
    <w:p>
      <w:pPr>
        <w:pStyle w:val="175"/>
        <w:numPr>
          <w:ilvl w:val="0"/>
          <w:numId w:val="33"/>
        </w:numPr>
        <w:rPr>
          <w:rFonts w:hint="eastAsia"/>
        </w:rPr>
      </w:pPr>
      <w:r>
        <w:rPr>
          <w:rFonts w:hint="eastAsia"/>
        </w:rPr>
        <w:t>同一副网板质量相差小于3kg，不同批次网板质量相差小于10kg。</w:t>
      </w:r>
    </w:p>
    <w:p>
      <w:pPr>
        <w:pStyle w:val="105"/>
        <w:spacing w:before="312" w:after="312"/>
      </w:pPr>
      <w:bookmarkStart w:id="142" w:name="_Toc114575818"/>
      <w:r>
        <w:rPr>
          <w:rFonts w:hint="eastAsia"/>
        </w:rPr>
        <w:t>标志、标签、运输及储存</w:t>
      </w:r>
      <w:bookmarkEnd w:id="142"/>
    </w:p>
    <w:p>
      <w:pPr>
        <w:pStyle w:val="106"/>
        <w:spacing w:before="156" w:after="156"/>
      </w:pPr>
      <w:bookmarkStart w:id="143" w:name="_Toc114575819"/>
      <w:r>
        <w:rPr>
          <w:rFonts w:hint="eastAsia"/>
        </w:rPr>
        <w:t>标志、标签</w:t>
      </w:r>
      <w:bookmarkEnd w:id="143"/>
    </w:p>
    <w:p>
      <w:pPr>
        <w:pStyle w:val="57"/>
        <w:ind w:firstLine="420"/>
      </w:pPr>
      <w:r>
        <w:rPr>
          <w:rFonts w:hint="eastAsia"/>
        </w:rPr>
        <w:t>每副网板应附有产品合格证明作为标签，包括网具产品的商标、生产企业名称与地址、生产日期、检验标志和执行标准编号。</w:t>
      </w:r>
    </w:p>
    <w:p>
      <w:pPr>
        <w:pStyle w:val="106"/>
        <w:spacing w:before="156" w:after="156"/>
      </w:pPr>
      <w:bookmarkStart w:id="144" w:name="_Toc114575820"/>
      <w:r>
        <w:rPr>
          <w:rFonts w:hint="eastAsia"/>
        </w:rPr>
        <w:t>运输</w:t>
      </w:r>
      <w:bookmarkEnd w:id="144"/>
    </w:p>
    <w:p>
      <w:pPr>
        <w:pStyle w:val="57"/>
        <w:ind w:firstLine="420"/>
      </w:pPr>
      <w:r>
        <w:rPr>
          <w:rFonts w:hint="eastAsia"/>
        </w:rPr>
        <w:t>网板运输时，应使网板保持平放状态，并固定，避免碰撞、重压。</w:t>
      </w:r>
    </w:p>
    <w:p>
      <w:pPr>
        <w:pStyle w:val="106"/>
        <w:spacing w:before="156" w:after="156"/>
      </w:pPr>
      <w:bookmarkStart w:id="145" w:name="_Toc114575821"/>
      <w:r>
        <w:rPr>
          <w:rFonts w:hint="eastAsia"/>
        </w:rPr>
        <w:t>储存</w:t>
      </w:r>
      <w:bookmarkEnd w:id="145"/>
    </w:p>
    <w:p>
      <w:pPr>
        <w:pStyle w:val="57"/>
        <w:ind w:firstLine="420"/>
      </w:pPr>
      <w:r>
        <w:rPr>
          <w:rFonts w:hint="eastAsia"/>
        </w:rPr>
        <w:t>网板应贮存在环境干燥，无腐蚀性气体的库房内。</w:t>
      </w:r>
      <w:bookmarkEnd w:id="35"/>
    </w:p>
    <w:p>
      <w:pPr>
        <w:widowControl/>
        <w:jc w:val="left"/>
      </w:pPr>
    </w:p>
    <w:p>
      <w:pPr>
        <w:pStyle w:val="105"/>
        <w:numPr>
          <w:ilvl w:val="0"/>
          <w:numId w:val="0"/>
        </w:numPr>
        <w:spacing w:before="312" w:after="312"/>
        <w:jc w:val="center"/>
      </w:pPr>
      <w:bookmarkStart w:id="146" w:name="_Toc114575822"/>
      <w:r>
        <w:rPr>
          <w:rFonts w:hint="eastAsia"/>
        </w:rPr>
        <w:t>参考文献</w:t>
      </w:r>
      <w:bookmarkEnd w:id="146"/>
    </w:p>
    <w:p>
      <w:pPr>
        <w:pStyle w:val="232"/>
        <w:tabs>
          <w:tab w:val="center" w:pos="4201"/>
          <w:tab w:val="right" w:leader="dot" w:pos="9298"/>
        </w:tabs>
        <w:ind w:firstLine="420"/>
      </w:pPr>
      <w:r>
        <w:rPr>
          <w:rFonts w:hint="eastAsia"/>
        </w:rPr>
        <w:t>[1]  GB/T 5147 渔具分类、命名及代号</w:t>
      </w:r>
    </w:p>
    <w:p>
      <w:pPr>
        <w:pStyle w:val="234"/>
        <w:framePr w:wrap="around" w:hAnchor="page" w:x="4376" w:y="1363"/>
        <w:spacing w:before="156" w:beforeLines="50" w:after="156" w:afterLines="50"/>
        <w:ind w:firstLine="420"/>
      </w:pPr>
      <w:r>
        <w:t>_________________________________</w:t>
      </w:r>
    </w:p>
    <w:p>
      <w:pPr>
        <w:pStyle w:val="26"/>
        <w:ind w:firstLine="640"/>
        <w:jc w:val="both"/>
      </w:pPr>
    </w:p>
    <w:p>
      <w:pPr>
        <w:pStyle w:val="57"/>
        <w:ind w:firstLine="420"/>
      </w:pP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43/T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43/T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2"/>
        </w:tabs>
        <w:ind w:left="852" w:hanging="426"/>
      </w:pPr>
      <w:rPr>
        <w:rFonts w:hint="eastAsia" w:ascii="宋体" w:hAnsi="Times New Roman" w:eastAsia="宋体"/>
        <w:sz w:val="21"/>
      </w:rPr>
    </w:lvl>
    <w:lvl w:ilvl="1" w:tentative="0">
      <w:start w:val="1"/>
      <w:numFmt w:val="decimal"/>
      <w:pStyle w:val="110"/>
      <w:lvlText w:val="%2)"/>
      <w:lvlJc w:val="left"/>
      <w:pPr>
        <w:tabs>
          <w:tab w:val="left" w:pos="1277"/>
        </w:tabs>
        <w:ind w:left="1277" w:hanging="425"/>
      </w:pPr>
      <w:rPr>
        <w:rFonts w:hint="eastAsia" w:ascii="宋体" w:hAnsi="Times New Roman" w:eastAsia="宋体"/>
        <w:sz w:val="21"/>
      </w:rPr>
    </w:lvl>
    <w:lvl w:ilvl="2" w:tentative="0">
      <w:start w:val="1"/>
      <w:numFmt w:val="decimal"/>
      <w:pStyle w:val="118"/>
      <w:lvlText w:val="(%3)"/>
      <w:lvlJc w:val="left"/>
      <w:pPr>
        <w:ind w:left="1702" w:hanging="425"/>
      </w:pPr>
      <w:rPr>
        <w:rFonts w:hint="eastAsia" w:ascii="宋体" w:hAnsi="Times New Roman" w:eastAsia="宋体"/>
        <w:sz w:val="21"/>
      </w:rPr>
    </w:lvl>
    <w:lvl w:ilvl="3" w:tentative="0">
      <w:start w:val="1"/>
      <w:numFmt w:val="decimal"/>
      <w:lvlText w:val="%4."/>
      <w:lvlJc w:val="left"/>
      <w:pPr>
        <w:tabs>
          <w:tab w:val="left" w:pos="2101"/>
        </w:tabs>
        <w:ind w:left="2100" w:hanging="419"/>
      </w:pPr>
      <w:rPr>
        <w:rFonts w:hint="eastAsia"/>
      </w:rPr>
    </w:lvl>
    <w:lvl w:ilvl="4" w:tentative="0">
      <w:start w:val="1"/>
      <w:numFmt w:val="lowerLetter"/>
      <w:lvlText w:val="%5)"/>
      <w:lvlJc w:val="left"/>
      <w:pPr>
        <w:tabs>
          <w:tab w:val="left" w:pos="2521"/>
        </w:tabs>
        <w:ind w:left="2520" w:hanging="419"/>
      </w:pPr>
      <w:rPr>
        <w:rFonts w:hint="eastAsia"/>
      </w:rPr>
    </w:lvl>
    <w:lvl w:ilvl="5" w:tentative="0">
      <w:start w:val="1"/>
      <w:numFmt w:val="lowerRoman"/>
      <w:lvlText w:val="%6."/>
      <w:lvlJc w:val="right"/>
      <w:pPr>
        <w:tabs>
          <w:tab w:val="left" w:pos="2941"/>
        </w:tabs>
        <w:ind w:left="2940" w:hanging="419"/>
      </w:pPr>
      <w:rPr>
        <w:rFonts w:hint="eastAsia"/>
      </w:rPr>
    </w:lvl>
    <w:lvl w:ilvl="6" w:tentative="0">
      <w:start w:val="1"/>
      <w:numFmt w:val="decimal"/>
      <w:lvlText w:val="%7."/>
      <w:lvlJc w:val="left"/>
      <w:pPr>
        <w:tabs>
          <w:tab w:val="left" w:pos="3361"/>
        </w:tabs>
        <w:ind w:left="3360" w:hanging="419"/>
      </w:pPr>
      <w:rPr>
        <w:rFonts w:hint="eastAsia"/>
      </w:rPr>
    </w:lvl>
    <w:lvl w:ilvl="7" w:tentative="0">
      <w:start w:val="1"/>
      <w:numFmt w:val="lowerLetter"/>
      <w:lvlText w:val="%8)"/>
      <w:lvlJc w:val="left"/>
      <w:pPr>
        <w:tabs>
          <w:tab w:val="left" w:pos="3781"/>
        </w:tabs>
        <w:ind w:left="3780" w:hanging="419"/>
      </w:pPr>
      <w:rPr>
        <w:rFonts w:hint="eastAsia"/>
      </w:rPr>
    </w:lvl>
    <w:lvl w:ilvl="8" w:tentative="0">
      <w:start w:val="1"/>
      <w:numFmt w:val="lowerRoman"/>
      <w:lvlText w:val="%9."/>
      <w:lvlJc w:val="right"/>
      <w:pPr>
        <w:tabs>
          <w:tab w:val="left" w:pos="4201"/>
        </w:tabs>
        <w:ind w:left="4200"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235"/>
      <w:suff w:val="nothing"/>
      <w:lvlText w:val="%1%2.%3　"/>
      <w:lvlJc w:val="left"/>
      <w:pPr>
        <w:ind w:left="425"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567" w:firstLine="0"/>
      </w:pPr>
      <w:rPr>
        <w:rFonts w:hint="eastAsia" w:ascii="黑体" w:eastAsia="黑体"/>
        <w:b w:val="0"/>
        <w:i w:val="0"/>
        <w:sz w:val="21"/>
      </w:rPr>
    </w:lvl>
    <w:lvl w:ilvl="4" w:tentative="0">
      <w:start w:val="1"/>
      <w:numFmt w:val="decimal"/>
      <w:pStyle w:val="95"/>
      <w:suff w:val="nothing"/>
      <w:lvlText w:val="%1%2.%3.%4.%5　"/>
      <w:lvlJc w:val="left"/>
      <w:pPr>
        <w:ind w:left="851"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EwM2NkZWQ1NjkwM2VhZjQ1MjAzZmJiN2RiMDVhZGEifQ=="/>
  </w:docVars>
  <w:rsids>
    <w:rsidRoot w:val="0098658C"/>
    <w:rsid w:val="0000040A"/>
    <w:rsid w:val="00000464"/>
    <w:rsid w:val="00000A94"/>
    <w:rsid w:val="00000C42"/>
    <w:rsid w:val="00001972"/>
    <w:rsid w:val="00001D9A"/>
    <w:rsid w:val="000073B8"/>
    <w:rsid w:val="00007B3A"/>
    <w:rsid w:val="00010368"/>
    <w:rsid w:val="000107E0"/>
    <w:rsid w:val="00011FDE"/>
    <w:rsid w:val="00012FFD"/>
    <w:rsid w:val="00014098"/>
    <w:rsid w:val="00014162"/>
    <w:rsid w:val="00014340"/>
    <w:rsid w:val="0001635B"/>
    <w:rsid w:val="00016A9C"/>
    <w:rsid w:val="00022184"/>
    <w:rsid w:val="00022762"/>
    <w:rsid w:val="00022AC3"/>
    <w:rsid w:val="00022E23"/>
    <w:rsid w:val="000238E0"/>
    <w:rsid w:val="000249DB"/>
    <w:rsid w:val="0002595E"/>
    <w:rsid w:val="00025A53"/>
    <w:rsid w:val="000303C3"/>
    <w:rsid w:val="000331D3"/>
    <w:rsid w:val="000346A5"/>
    <w:rsid w:val="000359C3"/>
    <w:rsid w:val="00035A7D"/>
    <w:rsid w:val="000365ED"/>
    <w:rsid w:val="000413A1"/>
    <w:rsid w:val="0004249A"/>
    <w:rsid w:val="00043282"/>
    <w:rsid w:val="00044286"/>
    <w:rsid w:val="00045BA0"/>
    <w:rsid w:val="00047F28"/>
    <w:rsid w:val="000503AA"/>
    <w:rsid w:val="000506A1"/>
    <w:rsid w:val="000515DD"/>
    <w:rsid w:val="0005265A"/>
    <w:rsid w:val="000539DD"/>
    <w:rsid w:val="00053BD3"/>
    <w:rsid w:val="000556ED"/>
    <w:rsid w:val="00055FE2"/>
    <w:rsid w:val="0005616F"/>
    <w:rsid w:val="0005712D"/>
    <w:rsid w:val="00060B31"/>
    <w:rsid w:val="00060C2E"/>
    <w:rsid w:val="00061033"/>
    <w:rsid w:val="000619E9"/>
    <w:rsid w:val="000622D4"/>
    <w:rsid w:val="0006357D"/>
    <w:rsid w:val="00067F1E"/>
    <w:rsid w:val="0007081D"/>
    <w:rsid w:val="00071CC0"/>
    <w:rsid w:val="00073C8C"/>
    <w:rsid w:val="000741BC"/>
    <w:rsid w:val="00075DC3"/>
    <w:rsid w:val="00077B64"/>
    <w:rsid w:val="00080A1C"/>
    <w:rsid w:val="00082317"/>
    <w:rsid w:val="000836CE"/>
    <w:rsid w:val="00083D2C"/>
    <w:rsid w:val="00086AA1"/>
    <w:rsid w:val="00087A77"/>
    <w:rsid w:val="00090CA6"/>
    <w:rsid w:val="00092B8A"/>
    <w:rsid w:val="00092FB0"/>
    <w:rsid w:val="000934C5"/>
    <w:rsid w:val="00093D25"/>
    <w:rsid w:val="00093DAB"/>
    <w:rsid w:val="00094D73"/>
    <w:rsid w:val="0009645D"/>
    <w:rsid w:val="00096D63"/>
    <w:rsid w:val="0009737D"/>
    <w:rsid w:val="000A0B60"/>
    <w:rsid w:val="000A0EB8"/>
    <w:rsid w:val="000A19FC"/>
    <w:rsid w:val="000A296B"/>
    <w:rsid w:val="000A6AC1"/>
    <w:rsid w:val="000A7311"/>
    <w:rsid w:val="000B060F"/>
    <w:rsid w:val="000B1592"/>
    <w:rsid w:val="000B1FF2"/>
    <w:rsid w:val="000B3CDA"/>
    <w:rsid w:val="000B6A0B"/>
    <w:rsid w:val="000B7E85"/>
    <w:rsid w:val="000C0F6C"/>
    <w:rsid w:val="000C11DB"/>
    <w:rsid w:val="000C1492"/>
    <w:rsid w:val="000C2FBD"/>
    <w:rsid w:val="000C35CD"/>
    <w:rsid w:val="000C4B41"/>
    <w:rsid w:val="000C57D6"/>
    <w:rsid w:val="000C6362"/>
    <w:rsid w:val="000C7666"/>
    <w:rsid w:val="000D0A9C"/>
    <w:rsid w:val="000D1795"/>
    <w:rsid w:val="000D329A"/>
    <w:rsid w:val="000D4B9C"/>
    <w:rsid w:val="000D4EB6"/>
    <w:rsid w:val="000D6538"/>
    <w:rsid w:val="000D753B"/>
    <w:rsid w:val="000E4C9E"/>
    <w:rsid w:val="000E4E25"/>
    <w:rsid w:val="000E6FD7"/>
    <w:rsid w:val="000F06E1"/>
    <w:rsid w:val="000F0E3C"/>
    <w:rsid w:val="000F19D5"/>
    <w:rsid w:val="000F4AEA"/>
    <w:rsid w:val="000F633F"/>
    <w:rsid w:val="000F67E9"/>
    <w:rsid w:val="00104926"/>
    <w:rsid w:val="00105BC7"/>
    <w:rsid w:val="00105C30"/>
    <w:rsid w:val="00113B1E"/>
    <w:rsid w:val="0011711C"/>
    <w:rsid w:val="0012059C"/>
    <w:rsid w:val="00122EFE"/>
    <w:rsid w:val="00124E4F"/>
    <w:rsid w:val="001260B7"/>
    <w:rsid w:val="001265CB"/>
    <w:rsid w:val="0012715F"/>
    <w:rsid w:val="001321C6"/>
    <w:rsid w:val="001325C4"/>
    <w:rsid w:val="00132E08"/>
    <w:rsid w:val="00133010"/>
    <w:rsid w:val="001338EE"/>
    <w:rsid w:val="00133AAE"/>
    <w:rsid w:val="00135323"/>
    <w:rsid w:val="001356C4"/>
    <w:rsid w:val="00141114"/>
    <w:rsid w:val="00142969"/>
    <w:rsid w:val="001446C2"/>
    <w:rsid w:val="001457E7"/>
    <w:rsid w:val="00145D9D"/>
    <w:rsid w:val="00146388"/>
    <w:rsid w:val="0015026C"/>
    <w:rsid w:val="001529E5"/>
    <w:rsid w:val="0015370D"/>
    <w:rsid w:val="00153C7E"/>
    <w:rsid w:val="00154572"/>
    <w:rsid w:val="00154B34"/>
    <w:rsid w:val="001550E3"/>
    <w:rsid w:val="00156B25"/>
    <w:rsid w:val="00156E1A"/>
    <w:rsid w:val="00157894"/>
    <w:rsid w:val="00157B55"/>
    <w:rsid w:val="00163309"/>
    <w:rsid w:val="001642FA"/>
    <w:rsid w:val="001649EB"/>
    <w:rsid w:val="00164A42"/>
    <w:rsid w:val="00164BAF"/>
    <w:rsid w:val="00164FA8"/>
    <w:rsid w:val="00165065"/>
    <w:rsid w:val="00165434"/>
    <w:rsid w:val="0016580B"/>
    <w:rsid w:val="00165F49"/>
    <w:rsid w:val="00166B88"/>
    <w:rsid w:val="0016770A"/>
    <w:rsid w:val="00167AEC"/>
    <w:rsid w:val="00170804"/>
    <w:rsid w:val="001708E9"/>
    <w:rsid w:val="0017340B"/>
    <w:rsid w:val="00173FB1"/>
    <w:rsid w:val="00176DFD"/>
    <w:rsid w:val="00180168"/>
    <w:rsid w:val="001802A2"/>
    <w:rsid w:val="001852C9"/>
    <w:rsid w:val="00187BED"/>
    <w:rsid w:val="00190087"/>
    <w:rsid w:val="001913C4"/>
    <w:rsid w:val="001916DF"/>
    <w:rsid w:val="0019348F"/>
    <w:rsid w:val="00193A07"/>
    <w:rsid w:val="0019492A"/>
    <w:rsid w:val="00194C95"/>
    <w:rsid w:val="00195C34"/>
    <w:rsid w:val="00196EF5"/>
    <w:rsid w:val="001A158C"/>
    <w:rsid w:val="001A1A53"/>
    <w:rsid w:val="001A234A"/>
    <w:rsid w:val="001A4CF3"/>
    <w:rsid w:val="001A709B"/>
    <w:rsid w:val="001B06E8"/>
    <w:rsid w:val="001B63D0"/>
    <w:rsid w:val="001B71D0"/>
    <w:rsid w:val="001B71EE"/>
    <w:rsid w:val="001C04A8"/>
    <w:rsid w:val="001C2C03"/>
    <w:rsid w:val="001C3E4B"/>
    <w:rsid w:val="001C42F7"/>
    <w:rsid w:val="001C49E5"/>
    <w:rsid w:val="001C53E8"/>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18F"/>
    <w:rsid w:val="001F77C7"/>
    <w:rsid w:val="002000A1"/>
    <w:rsid w:val="00200183"/>
    <w:rsid w:val="00200333"/>
    <w:rsid w:val="0020107D"/>
    <w:rsid w:val="00202AA4"/>
    <w:rsid w:val="002031F7"/>
    <w:rsid w:val="002040E6"/>
    <w:rsid w:val="0020527B"/>
    <w:rsid w:val="00205F2C"/>
    <w:rsid w:val="00210B15"/>
    <w:rsid w:val="002113FC"/>
    <w:rsid w:val="002142EA"/>
    <w:rsid w:val="002168DD"/>
    <w:rsid w:val="002204BB"/>
    <w:rsid w:val="00221B79"/>
    <w:rsid w:val="00221C6B"/>
    <w:rsid w:val="002253A1"/>
    <w:rsid w:val="00225B7F"/>
    <w:rsid w:val="00225CF8"/>
    <w:rsid w:val="0022794E"/>
    <w:rsid w:val="0023059B"/>
    <w:rsid w:val="002333D3"/>
    <w:rsid w:val="00233D64"/>
    <w:rsid w:val="0023482A"/>
    <w:rsid w:val="002359CB"/>
    <w:rsid w:val="00236E45"/>
    <w:rsid w:val="00240442"/>
    <w:rsid w:val="00243540"/>
    <w:rsid w:val="0024497B"/>
    <w:rsid w:val="0024515B"/>
    <w:rsid w:val="00246021"/>
    <w:rsid w:val="0024666E"/>
    <w:rsid w:val="00247F52"/>
    <w:rsid w:val="00250B25"/>
    <w:rsid w:val="00250BBE"/>
    <w:rsid w:val="002515C2"/>
    <w:rsid w:val="002517AE"/>
    <w:rsid w:val="0025194F"/>
    <w:rsid w:val="0026148A"/>
    <w:rsid w:val="00261A97"/>
    <w:rsid w:val="00262278"/>
    <w:rsid w:val="00262696"/>
    <w:rsid w:val="00263D25"/>
    <w:rsid w:val="002643C3"/>
    <w:rsid w:val="00264A0C"/>
    <w:rsid w:val="00266EEB"/>
    <w:rsid w:val="00267EF4"/>
    <w:rsid w:val="00270CB8"/>
    <w:rsid w:val="00272B08"/>
    <w:rsid w:val="0027701F"/>
    <w:rsid w:val="002771AC"/>
    <w:rsid w:val="00281BB8"/>
    <w:rsid w:val="00281E9E"/>
    <w:rsid w:val="00282405"/>
    <w:rsid w:val="00285170"/>
    <w:rsid w:val="00285361"/>
    <w:rsid w:val="002902B6"/>
    <w:rsid w:val="00292D60"/>
    <w:rsid w:val="00293B30"/>
    <w:rsid w:val="00293D3F"/>
    <w:rsid w:val="00294D34"/>
    <w:rsid w:val="00294E3B"/>
    <w:rsid w:val="002959A0"/>
    <w:rsid w:val="00296193"/>
    <w:rsid w:val="00296C66"/>
    <w:rsid w:val="00296EBE"/>
    <w:rsid w:val="002974E3"/>
    <w:rsid w:val="002A084B"/>
    <w:rsid w:val="002A1260"/>
    <w:rsid w:val="002A1589"/>
    <w:rsid w:val="002A1608"/>
    <w:rsid w:val="002A25DC"/>
    <w:rsid w:val="002A3AAB"/>
    <w:rsid w:val="002A4CEA"/>
    <w:rsid w:val="002A5977"/>
    <w:rsid w:val="002A5A13"/>
    <w:rsid w:val="002A6AA8"/>
    <w:rsid w:val="002A757F"/>
    <w:rsid w:val="002A7F44"/>
    <w:rsid w:val="002B03E2"/>
    <w:rsid w:val="002B0C40"/>
    <w:rsid w:val="002B1966"/>
    <w:rsid w:val="002B4508"/>
    <w:rsid w:val="002B5779"/>
    <w:rsid w:val="002B65F4"/>
    <w:rsid w:val="002B7332"/>
    <w:rsid w:val="002B7F51"/>
    <w:rsid w:val="002C09E7"/>
    <w:rsid w:val="002C1E06"/>
    <w:rsid w:val="002C1E1C"/>
    <w:rsid w:val="002C3F07"/>
    <w:rsid w:val="002C5278"/>
    <w:rsid w:val="002C5C6B"/>
    <w:rsid w:val="002C7EBB"/>
    <w:rsid w:val="002D06C1"/>
    <w:rsid w:val="002D42B5"/>
    <w:rsid w:val="002D4F1A"/>
    <w:rsid w:val="002D6EC6"/>
    <w:rsid w:val="002D79AC"/>
    <w:rsid w:val="002E039D"/>
    <w:rsid w:val="002E4D5A"/>
    <w:rsid w:val="002E6326"/>
    <w:rsid w:val="002F30E0"/>
    <w:rsid w:val="002F35E4"/>
    <w:rsid w:val="002F3730"/>
    <w:rsid w:val="002F38E1"/>
    <w:rsid w:val="002F6094"/>
    <w:rsid w:val="002F7AF6"/>
    <w:rsid w:val="00300E63"/>
    <w:rsid w:val="00302F5F"/>
    <w:rsid w:val="0030441D"/>
    <w:rsid w:val="00306063"/>
    <w:rsid w:val="00306D2C"/>
    <w:rsid w:val="00310B1D"/>
    <w:rsid w:val="003111EF"/>
    <w:rsid w:val="00312FA6"/>
    <w:rsid w:val="00313B85"/>
    <w:rsid w:val="00317988"/>
    <w:rsid w:val="00320686"/>
    <w:rsid w:val="003221B4"/>
    <w:rsid w:val="0032258D"/>
    <w:rsid w:val="00322E62"/>
    <w:rsid w:val="00324D13"/>
    <w:rsid w:val="00324D2A"/>
    <w:rsid w:val="00324EDD"/>
    <w:rsid w:val="00327B30"/>
    <w:rsid w:val="00330B78"/>
    <w:rsid w:val="003322B8"/>
    <w:rsid w:val="003331E4"/>
    <w:rsid w:val="00333F6B"/>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3DD9"/>
    <w:rsid w:val="00376713"/>
    <w:rsid w:val="00381815"/>
    <w:rsid w:val="003819AF"/>
    <w:rsid w:val="003820E9"/>
    <w:rsid w:val="00382C53"/>
    <w:rsid w:val="00382DE7"/>
    <w:rsid w:val="003844C9"/>
    <w:rsid w:val="00384FFC"/>
    <w:rsid w:val="003872FC"/>
    <w:rsid w:val="00387ADC"/>
    <w:rsid w:val="00390020"/>
    <w:rsid w:val="003903D6"/>
    <w:rsid w:val="00390EE6"/>
    <w:rsid w:val="0039118F"/>
    <w:rsid w:val="00392AD7"/>
    <w:rsid w:val="003933EA"/>
    <w:rsid w:val="003938D9"/>
    <w:rsid w:val="00394376"/>
    <w:rsid w:val="003943FF"/>
    <w:rsid w:val="00395700"/>
    <w:rsid w:val="003974EB"/>
    <w:rsid w:val="00397CC5"/>
    <w:rsid w:val="003A1582"/>
    <w:rsid w:val="003A4077"/>
    <w:rsid w:val="003A4545"/>
    <w:rsid w:val="003A4670"/>
    <w:rsid w:val="003B09AD"/>
    <w:rsid w:val="003B1124"/>
    <w:rsid w:val="003B1F18"/>
    <w:rsid w:val="003B4373"/>
    <w:rsid w:val="003B5BF0"/>
    <w:rsid w:val="003B60BF"/>
    <w:rsid w:val="003B6BE3"/>
    <w:rsid w:val="003C010C"/>
    <w:rsid w:val="003C0A6C"/>
    <w:rsid w:val="003C14F8"/>
    <w:rsid w:val="003C5023"/>
    <w:rsid w:val="003C5A43"/>
    <w:rsid w:val="003C5BAA"/>
    <w:rsid w:val="003D0519"/>
    <w:rsid w:val="003D0AEB"/>
    <w:rsid w:val="003D0FF6"/>
    <w:rsid w:val="003D262C"/>
    <w:rsid w:val="003D6D61"/>
    <w:rsid w:val="003D79C6"/>
    <w:rsid w:val="003E091D"/>
    <w:rsid w:val="003E1C53"/>
    <w:rsid w:val="003E2A69"/>
    <w:rsid w:val="003E2D49"/>
    <w:rsid w:val="003E2FD4"/>
    <w:rsid w:val="003E404D"/>
    <w:rsid w:val="003E49F6"/>
    <w:rsid w:val="003E660F"/>
    <w:rsid w:val="003E713C"/>
    <w:rsid w:val="003F0841"/>
    <w:rsid w:val="003F23D3"/>
    <w:rsid w:val="003F3F08"/>
    <w:rsid w:val="003F49F1"/>
    <w:rsid w:val="003F6272"/>
    <w:rsid w:val="00400E72"/>
    <w:rsid w:val="00401400"/>
    <w:rsid w:val="00404869"/>
    <w:rsid w:val="00405884"/>
    <w:rsid w:val="004069A3"/>
    <w:rsid w:val="00406D99"/>
    <w:rsid w:val="00407D39"/>
    <w:rsid w:val="0041118C"/>
    <w:rsid w:val="0041477A"/>
    <w:rsid w:val="004167A3"/>
    <w:rsid w:val="004168A0"/>
    <w:rsid w:val="0043067B"/>
    <w:rsid w:val="00432DAA"/>
    <w:rsid w:val="00434305"/>
    <w:rsid w:val="00434402"/>
    <w:rsid w:val="00434A17"/>
    <w:rsid w:val="00435DF7"/>
    <w:rsid w:val="00437496"/>
    <w:rsid w:val="0044083F"/>
    <w:rsid w:val="004409A2"/>
    <w:rsid w:val="00441AE7"/>
    <w:rsid w:val="004427FE"/>
    <w:rsid w:val="00442829"/>
    <w:rsid w:val="004449EE"/>
    <w:rsid w:val="00444A59"/>
    <w:rsid w:val="00445574"/>
    <w:rsid w:val="004467FB"/>
    <w:rsid w:val="0044712E"/>
    <w:rsid w:val="004474C6"/>
    <w:rsid w:val="00452D6B"/>
    <w:rsid w:val="00454484"/>
    <w:rsid w:val="0045517B"/>
    <w:rsid w:val="0045537D"/>
    <w:rsid w:val="00463836"/>
    <w:rsid w:val="00463B77"/>
    <w:rsid w:val="00463C7B"/>
    <w:rsid w:val="004644A6"/>
    <w:rsid w:val="004659BD"/>
    <w:rsid w:val="004664FC"/>
    <w:rsid w:val="004677C3"/>
    <w:rsid w:val="00470775"/>
    <w:rsid w:val="00472978"/>
    <w:rsid w:val="00472E72"/>
    <w:rsid w:val="00473A0C"/>
    <w:rsid w:val="004746B1"/>
    <w:rsid w:val="00474B9A"/>
    <w:rsid w:val="0047583F"/>
    <w:rsid w:val="00475DE8"/>
    <w:rsid w:val="004767E7"/>
    <w:rsid w:val="00481C44"/>
    <w:rsid w:val="004822A2"/>
    <w:rsid w:val="00484936"/>
    <w:rsid w:val="00485C89"/>
    <w:rsid w:val="00486BE3"/>
    <w:rsid w:val="0048717C"/>
    <w:rsid w:val="004905E4"/>
    <w:rsid w:val="00490A89"/>
    <w:rsid w:val="00490AB4"/>
    <w:rsid w:val="00491A07"/>
    <w:rsid w:val="00492F02"/>
    <w:rsid w:val="004939AE"/>
    <w:rsid w:val="00496785"/>
    <w:rsid w:val="004974F0"/>
    <w:rsid w:val="004A12DF"/>
    <w:rsid w:val="004A17E6"/>
    <w:rsid w:val="004A1BA8"/>
    <w:rsid w:val="004A4B57"/>
    <w:rsid w:val="004A60D7"/>
    <w:rsid w:val="004A63FA"/>
    <w:rsid w:val="004A6E2D"/>
    <w:rsid w:val="004B0272"/>
    <w:rsid w:val="004B0495"/>
    <w:rsid w:val="004B2701"/>
    <w:rsid w:val="004B2E1B"/>
    <w:rsid w:val="004B3AA8"/>
    <w:rsid w:val="004B3E93"/>
    <w:rsid w:val="004C1FBC"/>
    <w:rsid w:val="004C3F1D"/>
    <w:rsid w:val="004C458D"/>
    <w:rsid w:val="004C5F5B"/>
    <w:rsid w:val="004C7556"/>
    <w:rsid w:val="004C7E8B"/>
    <w:rsid w:val="004C7E9D"/>
    <w:rsid w:val="004C7F67"/>
    <w:rsid w:val="004D076D"/>
    <w:rsid w:val="004D0EF1"/>
    <w:rsid w:val="004D2253"/>
    <w:rsid w:val="004D30D2"/>
    <w:rsid w:val="004D4406"/>
    <w:rsid w:val="004D5A79"/>
    <w:rsid w:val="004D7C42"/>
    <w:rsid w:val="004E0465"/>
    <w:rsid w:val="004E127B"/>
    <w:rsid w:val="004E1C0A"/>
    <w:rsid w:val="004E2B06"/>
    <w:rsid w:val="004E2E68"/>
    <w:rsid w:val="004E30C5"/>
    <w:rsid w:val="004E4AA5"/>
    <w:rsid w:val="004E4AEE"/>
    <w:rsid w:val="004E59E3"/>
    <w:rsid w:val="004E6482"/>
    <w:rsid w:val="004E6705"/>
    <w:rsid w:val="004E67C0"/>
    <w:rsid w:val="004F117F"/>
    <w:rsid w:val="004F1654"/>
    <w:rsid w:val="004F391A"/>
    <w:rsid w:val="004F3CFB"/>
    <w:rsid w:val="004F6009"/>
    <w:rsid w:val="004F6456"/>
    <w:rsid w:val="004F696E"/>
    <w:rsid w:val="004F6C71"/>
    <w:rsid w:val="00501139"/>
    <w:rsid w:val="0050363E"/>
    <w:rsid w:val="005039BC"/>
    <w:rsid w:val="005043BB"/>
    <w:rsid w:val="00504A3D"/>
    <w:rsid w:val="00505767"/>
    <w:rsid w:val="00506AFC"/>
    <w:rsid w:val="005073F0"/>
    <w:rsid w:val="00510A7B"/>
    <w:rsid w:val="00511FAD"/>
    <w:rsid w:val="00512D36"/>
    <w:rsid w:val="00512F6E"/>
    <w:rsid w:val="00513038"/>
    <w:rsid w:val="00514174"/>
    <w:rsid w:val="00516088"/>
    <w:rsid w:val="00516B0B"/>
    <w:rsid w:val="00520FF2"/>
    <w:rsid w:val="005220EC"/>
    <w:rsid w:val="00522D74"/>
    <w:rsid w:val="00523F95"/>
    <w:rsid w:val="00524D65"/>
    <w:rsid w:val="00525B16"/>
    <w:rsid w:val="00532459"/>
    <w:rsid w:val="00533705"/>
    <w:rsid w:val="00533D04"/>
    <w:rsid w:val="00534804"/>
    <w:rsid w:val="00534BDF"/>
    <w:rsid w:val="005354EA"/>
    <w:rsid w:val="0053585F"/>
    <w:rsid w:val="00535EC4"/>
    <w:rsid w:val="00535ED9"/>
    <w:rsid w:val="0053692B"/>
    <w:rsid w:val="0053747D"/>
    <w:rsid w:val="00537A71"/>
    <w:rsid w:val="00537A73"/>
    <w:rsid w:val="00540841"/>
    <w:rsid w:val="00541853"/>
    <w:rsid w:val="00543BDA"/>
    <w:rsid w:val="005441CC"/>
    <w:rsid w:val="005464AC"/>
    <w:rsid w:val="005479DA"/>
    <w:rsid w:val="00547BCC"/>
    <w:rsid w:val="0055013B"/>
    <w:rsid w:val="00551F6F"/>
    <w:rsid w:val="00555044"/>
    <w:rsid w:val="00561475"/>
    <w:rsid w:val="0056487B"/>
    <w:rsid w:val="00564FB9"/>
    <w:rsid w:val="00565EC8"/>
    <w:rsid w:val="00567C62"/>
    <w:rsid w:val="00570517"/>
    <w:rsid w:val="00572951"/>
    <w:rsid w:val="00573D9E"/>
    <w:rsid w:val="005801E3"/>
    <w:rsid w:val="00580C60"/>
    <w:rsid w:val="00581802"/>
    <w:rsid w:val="005836A8"/>
    <w:rsid w:val="0058409C"/>
    <w:rsid w:val="00584262"/>
    <w:rsid w:val="00586630"/>
    <w:rsid w:val="00587ADD"/>
    <w:rsid w:val="00590287"/>
    <w:rsid w:val="00591E27"/>
    <w:rsid w:val="00596160"/>
    <w:rsid w:val="005966E2"/>
    <w:rsid w:val="00597007"/>
    <w:rsid w:val="005A0966"/>
    <w:rsid w:val="005A11B7"/>
    <w:rsid w:val="005A2262"/>
    <w:rsid w:val="005A260B"/>
    <w:rsid w:val="005A4A1B"/>
    <w:rsid w:val="005A4B2B"/>
    <w:rsid w:val="005A60D1"/>
    <w:rsid w:val="005A7830"/>
    <w:rsid w:val="005A7FCE"/>
    <w:rsid w:val="005B0F3F"/>
    <w:rsid w:val="005B2A38"/>
    <w:rsid w:val="005B4903"/>
    <w:rsid w:val="005B51CE"/>
    <w:rsid w:val="005B5885"/>
    <w:rsid w:val="005B5CD7"/>
    <w:rsid w:val="005B6CF6"/>
    <w:rsid w:val="005B7422"/>
    <w:rsid w:val="005B76F8"/>
    <w:rsid w:val="005C29B8"/>
    <w:rsid w:val="005C5F21"/>
    <w:rsid w:val="005C61DF"/>
    <w:rsid w:val="005C7156"/>
    <w:rsid w:val="005C74AA"/>
    <w:rsid w:val="005D0C75"/>
    <w:rsid w:val="005D1F0E"/>
    <w:rsid w:val="005D281E"/>
    <w:rsid w:val="005D36A2"/>
    <w:rsid w:val="005D4171"/>
    <w:rsid w:val="005D6A95"/>
    <w:rsid w:val="005D6B2C"/>
    <w:rsid w:val="005D6D9C"/>
    <w:rsid w:val="005E1B9E"/>
    <w:rsid w:val="005E2335"/>
    <w:rsid w:val="005E34CA"/>
    <w:rsid w:val="005E3C18"/>
    <w:rsid w:val="005E6812"/>
    <w:rsid w:val="005E7881"/>
    <w:rsid w:val="005E78E0"/>
    <w:rsid w:val="005E7F62"/>
    <w:rsid w:val="005F0D9C"/>
    <w:rsid w:val="005F284E"/>
    <w:rsid w:val="005F3E26"/>
    <w:rsid w:val="005F3E69"/>
    <w:rsid w:val="005F4712"/>
    <w:rsid w:val="006015CE"/>
    <w:rsid w:val="00604784"/>
    <w:rsid w:val="00606419"/>
    <w:rsid w:val="00607D29"/>
    <w:rsid w:val="00610222"/>
    <w:rsid w:val="00612952"/>
    <w:rsid w:val="00612AB2"/>
    <w:rsid w:val="00614CC1"/>
    <w:rsid w:val="00615A9D"/>
    <w:rsid w:val="00617387"/>
    <w:rsid w:val="006205D6"/>
    <w:rsid w:val="00621F7F"/>
    <w:rsid w:val="00622A98"/>
    <w:rsid w:val="006252D8"/>
    <w:rsid w:val="006259BC"/>
    <w:rsid w:val="0062636B"/>
    <w:rsid w:val="00631FF9"/>
    <w:rsid w:val="00632182"/>
    <w:rsid w:val="00632AE0"/>
    <w:rsid w:val="00633C17"/>
    <w:rsid w:val="00634D9E"/>
    <w:rsid w:val="00636E3E"/>
    <w:rsid w:val="006379F7"/>
    <w:rsid w:val="00637DD2"/>
    <w:rsid w:val="00637E4D"/>
    <w:rsid w:val="00640620"/>
    <w:rsid w:val="00641A1F"/>
    <w:rsid w:val="00645904"/>
    <w:rsid w:val="00651ACB"/>
    <w:rsid w:val="00651C47"/>
    <w:rsid w:val="006520ED"/>
    <w:rsid w:val="00652AB2"/>
    <w:rsid w:val="00653CF5"/>
    <w:rsid w:val="00653FED"/>
    <w:rsid w:val="00654EC0"/>
    <w:rsid w:val="0065525B"/>
    <w:rsid w:val="00655D4F"/>
    <w:rsid w:val="00656D29"/>
    <w:rsid w:val="006577F6"/>
    <w:rsid w:val="006637CA"/>
    <w:rsid w:val="006640E5"/>
    <w:rsid w:val="006646F1"/>
    <w:rsid w:val="00664929"/>
    <w:rsid w:val="00664DC4"/>
    <w:rsid w:val="00664F62"/>
    <w:rsid w:val="006655E1"/>
    <w:rsid w:val="00665F56"/>
    <w:rsid w:val="00672060"/>
    <w:rsid w:val="006729F8"/>
    <w:rsid w:val="00672BFD"/>
    <w:rsid w:val="00673918"/>
    <w:rsid w:val="00676EC6"/>
    <w:rsid w:val="00676EF5"/>
    <w:rsid w:val="006770F4"/>
    <w:rsid w:val="006774E7"/>
    <w:rsid w:val="00677A84"/>
    <w:rsid w:val="0068026D"/>
    <w:rsid w:val="00680A27"/>
    <w:rsid w:val="006816A4"/>
    <w:rsid w:val="006819B8"/>
    <w:rsid w:val="006840A6"/>
    <w:rsid w:val="006850CD"/>
    <w:rsid w:val="00685AAB"/>
    <w:rsid w:val="0069157E"/>
    <w:rsid w:val="00692080"/>
    <w:rsid w:val="00695D22"/>
    <w:rsid w:val="0069705B"/>
    <w:rsid w:val="006A0339"/>
    <w:rsid w:val="006A07AA"/>
    <w:rsid w:val="006A25E5"/>
    <w:rsid w:val="006A2B46"/>
    <w:rsid w:val="006A336D"/>
    <w:rsid w:val="006A37B9"/>
    <w:rsid w:val="006B2672"/>
    <w:rsid w:val="006B54BF"/>
    <w:rsid w:val="006B5F44"/>
    <w:rsid w:val="006B5F90"/>
    <w:rsid w:val="006B62E4"/>
    <w:rsid w:val="006C1BBA"/>
    <w:rsid w:val="006C2079"/>
    <w:rsid w:val="006C4CB4"/>
    <w:rsid w:val="006C57E7"/>
    <w:rsid w:val="006C5A62"/>
    <w:rsid w:val="006C5D68"/>
    <w:rsid w:val="006C6976"/>
    <w:rsid w:val="006C6DD0"/>
    <w:rsid w:val="006C6FEE"/>
    <w:rsid w:val="006D04EA"/>
    <w:rsid w:val="006D0AB7"/>
    <w:rsid w:val="006D16C4"/>
    <w:rsid w:val="006D3E96"/>
    <w:rsid w:val="006D4515"/>
    <w:rsid w:val="006D4BB1"/>
    <w:rsid w:val="006D5034"/>
    <w:rsid w:val="006D6593"/>
    <w:rsid w:val="006D7C5A"/>
    <w:rsid w:val="006E23EA"/>
    <w:rsid w:val="006E250C"/>
    <w:rsid w:val="006F03A8"/>
    <w:rsid w:val="006F188D"/>
    <w:rsid w:val="006F2ACA"/>
    <w:rsid w:val="006F2ADC"/>
    <w:rsid w:val="006F2BFE"/>
    <w:rsid w:val="006F31E9"/>
    <w:rsid w:val="006F6284"/>
    <w:rsid w:val="007002C5"/>
    <w:rsid w:val="00704387"/>
    <w:rsid w:val="00707669"/>
    <w:rsid w:val="00710F35"/>
    <w:rsid w:val="00711CBA"/>
    <w:rsid w:val="00711FB5"/>
    <w:rsid w:val="00712A01"/>
    <w:rsid w:val="00714F58"/>
    <w:rsid w:val="00722FBF"/>
    <w:rsid w:val="00722FC2"/>
    <w:rsid w:val="00724879"/>
    <w:rsid w:val="00724888"/>
    <w:rsid w:val="00724E1B"/>
    <w:rsid w:val="00725949"/>
    <w:rsid w:val="00727FA2"/>
    <w:rsid w:val="00730D8E"/>
    <w:rsid w:val="00731259"/>
    <w:rsid w:val="007322D9"/>
    <w:rsid w:val="00732BC0"/>
    <w:rsid w:val="007336F6"/>
    <w:rsid w:val="0073395A"/>
    <w:rsid w:val="0073720F"/>
    <w:rsid w:val="00737796"/>
    <w:rsid w:val="0074165C"/>
    <w:rsid w:val="00741A78"/>
    <w:rsid w:val="00742C35"/>
    <w:rsid w:val="007432CA"/>
    <w:rsid w:val="007439EB"/>
    <w:rsid w:val="00743CB4"/>
    <w:rsid w:val="00743F0A"/>
    <w:rsid w:val="007444E8"/>
    <w:rsid w:val="00744D37"/>
    <w:rsid w:val="0074548E"/>
    <w:rsid w:val="00745773"/>
    <w:rsid w:val="00746800"/>
    <w:rsid w:val="007501A8"/>
    <w:rsid w:val="00750D61"/>
    <w:rsid w:val="00750EE1"/>
    <w:rsid w:val="00752B4D"/>
    <w:rsid w:val="00755402"/>
    <w:rsid w:val="00756B26"/>
    <w:rsid w:val="00756EDF"/>
    <w:rsid w:val="007600E3"/>
    <w:rsid w:val="007615DA"/>
    <w:rsid w:val="00763018"/>
    <w:rsid w:val="00765C43"/>
    <w:rsid w:val="00765EFB"/>
    <w:rsid w:val="007671CA"/>
    <w:rsid w:val="00767C61"/>
    <w:rsid w:val="0077008A"/>
    <w:rsid w:val="00773C1F"/>
    <w:rsid w:val="00774DA4"/>
    <w:rsid w:val="00776599"/>
    <w:rsid w:val="0078114B"/>
    <w:rsid w:val="00781DD2"/>
    <w:rsid w:val="00783ECF"/>
    <w:rsid w:val="0078413A"/>
    <w:rsid w:val="00787448"/>
    <w:rsid w:val="00793B42"/>
    <w:rsid w:val="00794981"/>
    <w:rsid w:val="007959E8"/>
    <w:rsid w:val="00795E9C"/>
    <w:rsid w:val="00797CE8"/>
    <w:rsid w:val="007A0521"/>
    <w:rsid w:val="007A2E12"/>
    <w:rsid w:val="007A3475"/>
    <w:rsid w:val="007A41C8"/>
    <w:rsid w:val="007A54CE"/>
    <w:rsid w:val="007A6FD9"/>
    <w:rsid w:val="007A7FFA"/>
    <w:rsid w:val="007B04EB"/>
    <w:rsid w:val="007B0D4F"/>
    <w:rsid w:val="007B5A3D"/>
    <w:rsid w:val="007B5B95"/>
    <w:rsid w:val="007B68EA"/>
    <w:rsid w:val="007B7453"/>
    <w:rsid w:val="007C04CD"/>
    <w:rsid w:val="007C13BB"/>
    <w:rsid w:val="007C1E8B"/>
    <w:rsid w:val="007C2D89"/>
    <w:rsid w:val="007C4593"/>
    <w:rsid w:val="007C5309"/>
    <w:rsid w:val="007C6069"/>
    <w:rsid w:val="007D06C4"/>
    <w:rsid w:val="007D1352"/>
    <w:rsid w:val="007D2508"/>
    <w:rsid w:val="007D346A"/>
    <w:rsid w:val="007D62FC"/>
    <w:rsid w:val="007D6518"/>
    <w:rsid w:val="007D6BCE"/>
    <w:rsid w:val="007D76BD"/>
    <w:rsid w:val="007E0BF1"/>
    <w:rsid w:val="007E2FE1"/>
    <w:rsid w:val="007E409F"/>
    <w:rsid w:val="007E58AD"/>
    <w:rsid w:val="007E75B8"/>
    <w:rsid w:val="007E7F4A"/>
    <w:rsid w:val="007F01D7"/>
    <w:rsid w:val="007F0ED8"/>
    <w:rsid w:val="007F0F63"/>
    <w:rsid w:val="007F1E1F"/>
    <w:rsid w:val="007F75CE"/>
    <w:rsid w:val="008002DE"/>
    <w:rsid w:val="008008FC"/>
    <w:rsid w:val="008013A4"/>
    <w:rsid w:val="008027CE"/>
    <w:rsid w:val="00802F42"/>
    <w:rsid w:val="00804383"/>
    <w:rsid w:val="00804BB7"/>
    <w:rsid w:val="00804D41"/>
    <w:rsid w:val="00810257"/>
    <w:rsid w:val="008104F5"/>
    <w:rsid w:val="00811072"/>
    <w:rsid w:val="00811369"/>
    <w:rsid w:val="00814B99"/>
    <w:rsid w:val="00815419"/>
    <w:rsid w:val="008163C8"/>
    <w:rsid w:val="008164A1"/>
    <w:rsid w:val="00817325"/>
    <w:rsid w:val="008209E6"/>
    <w:rsid w:val="00823303"/>
    <w:rsid w:val="008233B2"/>
    <w:rsid w:val="008234EF"/>
    <w:rsid w:val="00823A9F"/>
    <w:rsid w:val="00823C85"/>
    <w:rsid w:val="00825138"/>
    <w:rsid w:val="008269DD"/>
    <w:rsid w:val="00830621"/>
    <w:rsid w:val="008323E6"/>
    <w:rsid w:val="00832FFE"/>
    <w:rsid w:val="0083348C"/>
    <w:rsid w:val="00834EF4"/>
    <w:rsid w:val="008373D3"/>
    <w:rsid w:val="00840617"/>
    <w:rsid w:val="00840F84"/>
    <w:rsid w:val="00842A47"/>
    <w:rsid w:val="00843526"/>
    <w:rsid w:val="00843956"/>
    <w:rsid w:val="00843C13"/>
    <w:rsid w:val="008454F8"/>
    <w:rsid w:val="0085173A"/>
    <w:rsid w:val="00852634"/>
    <w:rsid w:val="00856316"/>
    <w:rsid w:val="008603CE"/>
    <w:rsid w:val="008607FD"/>
    <w:rsid w:val="008620FC"/>
    <w:rsid w:val="008627A5"/>
    <w:rsid w:val="00863E05"/>
    <w:rsid w:val="00865A66"/>
    <w:rsid w:val="00865ACA"/>
    <w:rsid w:val="00865D28"/>
    <w:rsid w:val="00865F85"/>
    <w:rsid w:val="00866EB9"/>
    <w:rsid w:val="00867C10"/>
    <w:rsid w:val="00870439"/>
    <w:rsid w:val="00870DA1"/>
    <w:rsid w:val="00883D16"/>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9AC"/>
    <w:rsid w:val="008A6F81"/>
    <w:rsid w:val="008A769A"/>
    <w:rsid w:val="008B0C9C"/>
    <w:rsid w:val="008B166D"/>
    <w:rsid w:val="008B17F4"/>
    <w:rsid w:val="008B3615"/>
    <w:rsid w:val="008B4AC4"/>
    <w:rsid w:val="008B50C8"/>
    <w:rsid w:val="008B5281"/>
    <w:rsid w:val="008B70D9"/>
    <w:rsid w:val="008B7569"/>
    <w:rsid w:val="008B7E05"/>
    <w:rsid w:val="008C1797"/>
    <w:rsid w:val="008C219C"/>
    <w:rsid w:val="008C475E"/>
    <w:rsid w:val="008C619A"/>
    <w:rsid w:val="008D0CE8"/>
    <w:rsid w:val="008D2D1D"/>
    <w:rsid w:val="008D453D"/>
    <w:rsid w:val="008D53AD"/>
    <w:rsid w:val="008D562B"/>
    <w:rsid w:val="008D5733"/>
    <w:rsid w:val="008D622B"/>
    <w:rsid w:val="008D666C"/>
    <w:rsid w:val="008D7AAB"/>
    <w:rsid w:val="008D7B54"/>
    <w:rsid w:val="008E0C9D"/>
    <w:rsid w:val="008E1648"/>
    <w:rsid w:val="008E1B3E"/>
    <w:rsid w:val="008E2319"/>
    <w:rsid w:val="008E4348"/>
    <w:rsid w:val="008E465B"/>
    <w:rsid w:val="008E4BB6"/>
    <w:rsid w:val="008E5518"/>
    <w:rsid w:val="008E6A84"/>
    <w:rsid w:val="008F0CDC"/>
    <w:rsid w:val="008F17A3"/>
    <w:rsid w:val="008F1ED3"/>
    <w:rsid w:val="008F23A5"/>
    <w:rsid w:val="008F2931"/>
    <w:rsid w:val="008F4C29"/>
    <w:rsid w:val="008F529D"/>
    <w:rsid w:val="008F70BD"/>
    <w:rsid w:val="008F788F"/>
    <w:rsid w:val="008F7EA2"/>
    <w:rsid w:val="00902722"/>
    <w:rsid w:val="009027BC"/>
    <w:rsid w:val="009062E6"/>
    <w:rsid w:val="00906EE8"/>
    <w:rsid w:val="00911BE5"/>
    <w:rsid w:val="00913CA9"/>
    <w:rsid w:val="00914278"/>
    <w:rsid w:val="009145AE"/>
    <w:rsid w:val="009146CE"/>
    <w:rsid w:val="00914BC5"/>
    <w:rsid w:val="00914CA7"/>
    <w:rsid w:val="00915C3E"/>
    <w:rsid w:val="009161A8"/>
    <w:rsid w:val="009169F8"/>
    <w:rsid w:val="00920091"/>
    <w:rsid w:val="009200CF"/>
    <w:rsid w:val="00920572"/>
    <w:rsid w:val="00921A4F"/>
    <w:rsid w:val="009245F5"/>
    <w:rsid w:val="009249EC"/>
    <w:rsid w:val="009273B3"/>
    <w:rsid w:val="00927F63"/>
    <w:rsid w:val="009305B5"/>
    <w:rsid w:val="009344D8"/>
    <w:rsid w:val="009429D5"/>
    <w:rsid w:val="00942BF1"/>
    <w:rsid w:val="009446A5"/>
    <w:rsid w:val="00945180"/>
    <w:rsid w:val="00945428"/>
    <w:rsid w:val="0094607B"/>
    <w:rsid w:val="00953604"/>
    <w:rsid w:val="00953620"/>
    <w:rsid w:val="009536CA"/>
    <w:rsid w:val="0095496B"/>
    <w:rsid w:val="00957124"/>
    <w:rsid w:val="009610DC"/>
    <w:rsid w:val="00961490"/>
    <w:rsid w:val="0096381A"/>
    <w:rsid w:val="00965E04"/>
    <w:rsid w:val="009674AD"/>
    <w:rsid w:val="00967523"/>
    <w:rsid w:val="00970CDC"/>
    <w:rsid w:val="00972CD5"/>
    <w:rsid w:val="00972E85"/>
    <w:rsid w:val="00975692"/>
    <w:rsid w:val="00977010"/>
    <w:rsid w:val="00977D02"/>
    <w:rsid w:val="009809BB"/>
    <w:rsid w:val="0098364B"/>
    <w:rsid w:val="0098658C"/>
    <w:rsid w:val="009911AF"/>
    <w:rsid w:val="00991875"/>
    <w:rsid w:val="00991DED"/>
    <w:rsid w:val="00991F92"/>
    <w:rsid w:val="00992985"/>
    <w:rsid w:val="00993889"/>
    <w:rsid w:val="0099551B"/>
    <w:rsid w:val="00997BF1"/>
    <w:rsid w:val="009A0198"/>
    <w:rsid w:val="009A089C"/>
    <w:rsid w:val="009A0BAD"/>
    <w:rsid w:val="009A118E"/>
    <w:rsid w:val="009A21CD"/>
    <w:rsid w:val="009A278C"/>
    <w:rsid w:val="009A2BC2"/>
    <w:rsid w:val="009A3BB0"/>
    <w:rsid w:val="009A42C1"/>
    <w:rsid w:val="009A5429"/>
    <w:rsid w:val="009A72AD"/>
    <w:rsid w:val="009B09E0"/>
    <w:rsid w:val="009B0BC5"/>
    <w:rsid w:val="009B1247"/>
    <w:rsid w:val="009B46F9"/>
    <w:rsid w:val="009B6029"/>
    <w:rsid w:val="009B6038"/>
    <w:rsid w:val="009B6971"/>
    <w:rsid w:val="009C27F1"/>
    <w:rsid w:val="009C3152"/>
    <w:rsid w:val="009C4CFA"/>
    <w:rsid w:val="009C5070"/>
    <w:rsid w:val="009D112C"/>
    <w:rsid w:val="009D3114"/>
    <w:rsid w:val="009D47FA"/>
    <w:rsid w:val="009D4C5B"/>
    <w:rsid w:val="009D50D2"/>
    <w:rsid w:val="009D6BCA"/>
    <w:rsid w:val="009D7EE3"/>
    <w:rsid w:val="009E0F62"/>
    <w:rsid w:val="009E4716"/>
    <w:rsid w:val="009E4A58"/>
    <w:rsid w:val="009E5A2D"/>
    <w:rsid w:val="009E5AB2"/>
    <w:rsid w:val="009E6219"/>
    <w:rsid w:val="009E687A"/>
    <w:rsid w:val="009E7A9E"/>
    <w:rsid w:val="009F03B3"/>
    <w:rsid w:val="00A0096C"/>
    <w:rsid w:val="00A01757"/>
    <w:rsid w:val="00A028C0"/>
    <w:rsid w:val="00A02BAE"/>
    <w:rsid w:val="00A06A6B"/>
    <w:rsid w:val="00A06B68"/>
    <w:rsid w:val="00A07E47"/>
    <w:rsid w:val="00A129D0"/>
    <w:rsid w:val="00A12C33"/>
    <w:rsid w:val="00A138BA"/>
    <w:rsid w:val="00A14C8E"/>
    <w:rsid w:val="00A153D9"/>
    <w:rsid w:val="00A15F09"/>
    <w:rsid w:val="00A169B6"/>
    <w:rsid w:val="00A2271D"/>
    <w:rsid w:val="00A237D5"/>
    <w:rsid w:val="00A2637B"/>
    <w:rsid w:val="00A30EFC"/>
    <w:rsid w:val="00A30F42"/>
    <w:rsid w:val="00A31984"/>
    <w:rsid w:val="00A32D73"/>
    <w:rsid w:val="00A3367B"/>
    <w:rsid w:val="00A3597D"/>
    <w:rsid w:val="00A36DD1"/>
    <w:rsid w:val="00A4006C"/>
    <w:rsid w:val="00A40091"/>
    <w:rsid w:val="00A4030F"/>
    <w:rsid w:val="00A41C79"/>
    <w:rsid w:val="00A41CB5"/>
    <w:rsid w:val="00A42CDF"/>
    <w:rsid w:val="00A431F7"/>
    <w:rsid w:val="00A43EB4"/>
    <w:rsid w:val="00A4452E"/>
    <w:rsid w:val="00A4472C"/>
    <w:rsid w:val="00A44E69"/>
    <w:rsid w:val="00A4661E"/>
    <w:rsid w:val="00A53324"/>
    <w:rsid w:val="00A55BD6"/>
    <w:rsid w:val="00A55D50"/>
    <w:rsid w:val="00A57142"/>
    <w:rsid w:val="00A648CD"/>
    <w:rsid w:val="00A6537A"/>
    <w:rsid w:val="00A67866"/>
    <w:rsid w:val="00A70B07"/>
    <w:rsid w:val="00A716B8"/>
    <w:rsid w:val="00A716BA"/>
    <w:rsid w:val="00A723F8"/>
    <w:rsid w:val="00A72AF4"/>
    <w:rsid w:val="00A745F9"/>
    <w:rsid w:val="00A77CCB"/>
    <w:rsid w:val="00A838F1"/>
    <w:rsid w:val="00A83D8D"/>
    <w:rsid w:val="00A8446B"/>
    <w:rsid w:val="00A8473F"/>
    <w:rsid w:val="00A86092"/>
    <w:rsid w:val="00A862D6"/>
    <w:rsid w:val="00A8715E"/>
    <w:rsid w:val="00A922D2"/>
    <w:rsid w:val="00A9295B"/>
    <w:rsid w:val="00A92FB4"/>
    <w:rsid w:val="00A93B09"/>
    <w:rsid w:val="00A94247"/>
    <w:rsid w:val="00A952D7"/>
    <w:rsid w:val="00A963F7"/>
    <w:rsid w:val="00A96AD8"/>
    <w:rsid w:val="00A97AE3"/>
    <w:rsid w:val="00AA052C"/>
    <w:rsid w:val="00AA1245"/>
    <w:rsid w:val="00AA1E45"/>
    <w:rsid w:val="00AA39B9"/>
    <w:rsid w:val="00AA4286"/>
    <w:rsid w:val="00AA456B"/>
    <w:rsid w:val="00AA57F5"/>
    <w:rsid w:val="00AA672E"/>
    <w:rsid w:val="00AA6DA1"/>
    <w:rsid w:val="00AA6EC9"/>
    <w:rsid w:val="00AB2515"/>
    <w:rsid w:val="00AB3C93"/>
    <w:rsid w:val="00AB41D5"/>
    <w:rsid w:val="00AB6309"/>
    <w:rsid w:val="00AB6C5F"/>
    <w:rsid w:val="00AB7129"/>
    <w:rsid w:val="00AC27A6"/>
    <w:rsid w:val="00AC30F7"/>
    <w:rsid w:val="00AC3A5A"/>
    <w:rsid w:val="00AC4D95"/>
    <w:rsid w:val="00AC5DF4"/>
    <w:rsid w:val="00AC6386"/>
    <w:rsid w:val="00AD0AEF"/>
    <w:rsid w:val="00AD11B7"/>
    <w:rsid w:val="00AD1A94"/>
    <w:rsid w:val="00AD1C05"/>
    <w:rsid w:val="00AD3558"/>
    <w:rsid w:val="00AD4126"/>
    <w:rsid w:val="00AD421C"/>
    <w:rsid w:val="00AD44FA"/>
    <w:rsid w:val="00AD4B91"/>
    <w:rsid w:val="00AD4DD2"/>
    <w:rsid w:val="00AE070A"/>
    <w:rsid w:val="00AE101C"/>
    <w:rsid w:val="00AE37E5"/>
    <w:rsid w:val="00AE4620"/>
    <w:rsid w:val="00AE4E77"/>
    <w:rsid w:val="00AE5EB4"/>
    <w:rsid w:val="00AE7BA1"/>
    <w:rsid w:val="00AF0C18"/>
    <w:rsid w:val="00AF47C5"/>
    <w:rsid w:val="00AF5398"/>
    <w:rsid w:val="00B049AF"/>
    <w:rsid w:val="00B07242"/>
    <w:rsid w:val="00B10534"/>
    <w:rsid w:val="00B113DB"/>
    <w:rsid w:val="00B1186F"/>
    <w:rsid w:val="00B11D8A"/>
    <w:rsid w:val="00B12789"/>
    <w:rsid w:val="00B12981"/>
    <w:rsid w:val="00B147DD"/>
    <w:rsid w:val="00B156FD"/>
    <w:rsid w:val="00B21F61"/>
    <w:rsid w:val="00B261F1"/>
    <w:rsid w:val="00B265BC"/>
    <w:rsid w:val="00B31FB1"/>
    <w:rsid w:val="00B33952"/>
    <w:rsid w:val="00B33C5E"/>
    <w:rsid w:val="00B33FE8"/>
    <w:rsid w:val="00B342F4"/>
    <w:rsid w:val="00B34369"/>
    <w:rsid w:val="00B34DC2"/>
    <w:rsid w:val="00B378E5"/>
    <w:rsid w:val="00B4346D"/>
    <w:rsid w:val="00B440F4"/>
    <w:rsid w:val="00B447A5"/>
    <w:rsid w:val="00B4536E"/>
    <w:rsid w:val="00B4654C"/>
    <w:rsid w:val="00B46AF0"/>
    <w:rsid w:val="00B47293"/>
    <w:rsid w:val="00B50E50"/>
    <w:rsid w:val="00B52120"/>
    <w:rsid w:val="00B541BD"/>
    <w:rsid w:val="00B54ABC"/>
    <w:rsid w:val="00B54DDE"/>
    <w:rsid w:val="00B56FBE"/>
    <w:rsid w:val="00B60ACF"/>
    <w:rsid w:val="00B62B58"/>
    <w:rsid w:val="00B65149"/>
    <w:rsid w:val="00B66567"/>
    <w:rsid w:val="00B66F52"/>
    <w:rsid w:val="00B66FE5"/>
    <w:rsid w:val="00B70D45"/>
    <w:rsid w:val="00B72880"/>
    <w:rsid w:val="00B758BF"/>
    <w:rsid w:val="00B77EC8"/>
    <w:rsid w:val="00B827A6"/>
    <w:rsid w:val="00B831CE"/>
    <w:rsid w:val="00B86677"/>
    <w:rsid w:val="00B87131"/>
    <w:rsid w:val="00B90C0D"/>
    <w:rsid w:val="00B92BD4"/>
    <w:rsid w:val="00B939B1"/>
    <w:rsid w:val="00B95E64"/>
    <w:rsid w:val="00B96D40"/>
    <w:rsid w:val="00B96E4F"/>
    <w:rsid w:val="00B97386"/>
    <w:rsid w:val="00BA0AD5"/>
    <w:rsid w:val="00BA0C42"/>
    <w:rsid w:val="00BA263B"/>
    <w:rsid w:val="00BA338A"/>
    <w:rsid w:val="00BA42B2"/>
    <w:rsid w:val="00BA56D5"/>
    <w:rsid w:val="00BA58D4"/>
    <w:rsid w:val="00BA5B9E"/>
    <w:rsid w:val="00BA7C9A"/>
    <w:rsid w:val="00BB0DB9"/>
    <w:rsid w:val="00BB1840"/>
    <w:rsid w:val="00BB203B"/>
    <w:rsid w:val="00BB587B"/>
    <w:rsid w:val="00BB5F8F"/>
    <w:rsid w:val="00BB657A"/>
    <w:rsid w:val="00BB7A3C"/>
    <w:rsid w:val="00BC1A4E"/>
    <w:rsid w:val="00BC4790"/>
    <w:rsid w:val="00BC5127"/>
    <w:rsid w:val="00BC5DC7"/>
    <w:rsid w:val="00BC6B8B"/>
    <w:rsid w:val="00BC73D8"/>
    <w:rsid w:val="00BC7A7B"/>
    <w:rsid w:val="00BD52D7"/>
    <w:rsid w:val="00BD578C"/>
    <w:rsid w:val="00BD5AD2"/>
    <w:rsid w:val="00BD6B54"/>
    <w:rsid w:val="00BE22F3"/>
    <w:rsid w:val="00BE52D8"/>
    <w:rsid w:val="00BE5B52"/>
    <w:rsid w:val="00BE7B8D"/>
    <w:rsid w:val="00BF0993"/>
    <w:rsid w:val="00BF10A9"/>
    <w:rsid w:val="00BF1703"/>
    <w:rsid w:val="00BF231C"/>
    <w:rsid w:val="00BF51E5"/>
    <w:rsid w:val="00BF67D4"/>
    <w:rsid w:val="00BF74A6"/>
    <w:rsid w:val="00C013AD"/>
    <w:rsid w:val="00C0216C"/>
    <w:rsid w:val="00C03734"/>
    <w:rsid w:val="00C04904"/>
    <w:rsid w:val="00C056B3"/>
    <w:rsid w:val="00C059F5"/>
    <w:rsid w:val="00C05FF0"/>
    <w:rsid w:val="00C103E5"/>
    <w:rsid w:val="00C1297F"/>
    <w:rsid w:val="00C13319"/>
    <w:rsid w:val="00C13EE9"/>
    <w:rsid w:val="00C15C51"/>
    <w:rsid w:val="00C166EF"/>
    <w:rsid w:val="00C20A29"/>
    <w:rsid w:val="00C21540"/>
    <w:rsid w:val="00C21906"/>
    <w:rsid w:val="00C21BFA"/>
    <w:rsid w:val="00C22148"/>
    <w:rsid w:val="00C2296E"/>
    <w:rsid w:val="00C22F0B"/>
    <w:rsid w:val="00C24C8D"/>
    <w:rsid w:val="00C25FE2"/>
    <w:rsid w:val="00C26B53"/>
    <w:rsid w:val="00C2756A"/>
    <w:rsid w:val="00C2792C"/>
    <w:rsid w:val="00C279B2"/>
    <w:rsid w:val="00C33E50"/>
    <w:rsid w:val="00C34C20"/>
    <w:rsid w:val="00C35A3E"/>
    <w:rsid w:val="00C42130"/>
    <w:rsid w:val="00C423A4"/>
    <w:rsid w:val="00C42867"/>
    <w:rsid w:val="00C44BF5"/>
    <w:rsid w:val="00C51672"/>
    <w:rsid w:val="00C521D6"/>
    <w:rsid w:val="00C55232"/>
    <w:rsid w:val="00C553A4"/>
    <w:rsid w:val="00C55A06"/>
    <w:rsid w:val="00C55D03"/>
    <w:rsid w:val="00C57143"/>
    <w:rsid w:val="00C601BC"/>
    <w:rsid w:val="00C6329F"/>
    <w:rsid w:val="00C63340"/>
    <w:rsid w:val="00C643F9"/>
    <w:rsid w:val="00C64E95"/>
    <w:rsid w:val="00C7019F"/>
    <w:rsid w:val="00C71372"/>
    <w:rsid w:val="00C721C5"/>
    <w:rsid w:val="00C72410"/>
    <w:rsid w:val="00C7287F"/>
    <w:rsid w:val="00C80CB8"/>
    <w:rsid w:val="00C819F8"/>
    <w:rsid w:val="00C8248C"/>
    <w:rsid w:val="00C83568"/>
    <w:rsid w:val="00C84E33"/>
    <w:rsid w:val="00C86D6F"/>
    <w:rsid w:val="00C905FC"/>
    <w:rsid w:val="00C92D03"/>
    <w:rsid w:val="00C9319C"/>
    <w:rsid w:val="00C9435D"/>
    <w:rsid w:val="00C94DF2"/>
    <w:rsid w:val="00C95EB8"/>
    <w:rsid w:val="00C96741"/>
    <w:rsid w:val="00CA0A50"/>
    <w:rsid w:val="00CA2D1B"/>
    <w:rsid w:val="00CA375D"/>
    <w:rsid w:val="00CA662A"/>
    <w:rsid w:val="00CA7AFD"/>
    <w:rsid w:val="00CA7C3C"/>
    <w:rsid w:val="00CB0189"/>
    <w:rsid w:val="00CB0BA2"/>
    <w:rsid w:val="00CB11DF"/>
    <w:rsid w:val="00CB1A42"/>
    <w:rsid w:val="00CB1B0C"/>
    <w:rsid w:val="00CB25FF"/>
    <w:rsid w:val="00CB2C0B"/>
    <w:rsid w:val="00CB517D"/>
    <w:rsid w:val="00CC038D"/>
    <w:rsid w:val="00CC08DB"/>
    <w:rsid w:val="00CC2F23"/>
    <w:rsid w:val="00CC2F56"/>
    <w:rsid w:val="00CC39FF"/>
    <w:rsid w:val="00CC3C2F"/>
    <w:rsid w:val="00CC4AC8"/>
    <w:rsid w:val="00CC4BA5"/>
    <w:rsid w:val="00CC5233"/>
    <w:rsid w:val="00CC5DE6"/>
    <w:rsid w:val="00CC6E4E"/>
    <w:rsid w:val="00CC6FE8"/>
    <w:rsid w:val="00CC7202"/>
    <w:rsid w:val="00CD2808"/>
    <w:rsid w:val="00CD28BF"/>
    <w:rsid w:val="00CD3BC8"/>
    <w:rsid w:val="00CD4092"/>
    <w:rsid w:val="00CD4A20"/>
    <w:rsid w:val="00CD50A1"/>
    <w:rsid w:val="00CD519E"/>
    <w:rsid w:val="00CD561D"/>
    <w:rsid w:val="00CE0C4F"/>
    <w:rsid w:val="00CE30EA"/>
    <w:rsid w:val="00CF048A"/>
    <w:rsid w:val="00CF155A"/>
    <w:rsid w:val="00CF2947"/>
    <w:rsid w:val="00CF2E5C"/>
    <w:rsid w:val="00CF686F"/>
    <w:rsid w:val="00CF6E60"/>
    <w:rsid w:val="00CF7BCA"/>
    <w:rsid w:val="00D008FD"/>
    <w:rsid w:val="00D00F36"/>
    <w:rsid w:val="00D02851"/>
    <w:rsid w:val="00D029E9"/>
    <w:rsid w:val="00D0321C"/>
    <w:rsid w:val="00D035EC"/>
    <w:rsid w:val="00D06AB1"/>
    <w:rsid w:val="00D072ED"/>
    <w:rsid w:val="00D07A16"/>
    <w:rsid w:val="00D1067E"/>
    <w:rsid w:val="00D10F50"/>
    <w:rsid w:val="00D11272"/>
    <w:rsid w:val="00D126F5"/>
    <w:rsid w:val="00D13624"/>
    <w:rsid w:val="00D1489E"/>
    <w:rsid w:val="00D168FB"/>
    <w:rsid w:val="00D20737"/>
    <w:rsid w:val="00D21E81"/>
    <w:rsid w:val="00D223DE"/>
    <w:rsid w:val="00D23498"/>
    <w:rsid w:val="00D244D5"/>
    <w:rsid w:val="00D25E37"/>
    <w:rsid w:val="00D2661A"/>
    <w:rsid w:val="00D27582"/>
    <w:rsid w:val="00D27673"/>
    <w:rsid w:val="00D27EC4"/>
    <w:rsid w:val="00D32719"/>
    <w:rsid w:val="00D33333"/>
    <w:rsid w:val="00D33457"/>
    <w:rsid w:val="00D352A2"/>
    <w:rsid w:val="00D4162B"/>
    <w:rsid w:val="00D44DF1"/>
    <w:rsid w:val="00D4514F"/>
    <w:rsid w:val="00D451E2"/>
    <w:rsid w:val="00D45E89"/>
    <w:rsid w:val="00D45E8D"/>
    <w:rsid w:val="00D466AE"/>
    <w:rsid w:val="00D4734F"/>
    <w:rsid w:val="00D47D2F"/>
    <w:rsid w:val="00D51BF3"/>
    <w:rsid w:val="00D52500"/>
    <w:rsid w:val="00D65C57"/>
    <w:rsid w:val="00D66846"/>
    <w:rsid w:val="00D675FB"/>
    <w:rsid w:val="00D71F25"/>
    <w:rsid w:val="00D72A9C"/>
    <w:rsid w:val="00D7386C"/>
    <w:rsid w:val="00D7678F"/>
    <w:rsid w:val="00D77031"/>
    <w:rsid w:val="00D777E3"/>
    <w:rsid w:val="00D83290"/>
    <w:rsid w:val="00D84941"/>
    <w:rsid w:val="00D84FA1"/>
    <w:rsid w:val="00D851F0"/>
    <w:rsid w:val="00D85EC2"/>
    <w:rsid w:val="00D86DB7"/>
    <w:rsid w:val="00D926D0"/>
    <w:rsid w:val="00D92FAB"/>
    <w:rsid w:val="00D93030"/>
    <w:rsid w:val="00D950E1"/>
    <w:rsid w:val="00D952A6"/>
    <w:rsid w:val="00D97F99"/>
    <w:rsid w:val="00DA1E08"/>
    <w:rsid w:val="00DA24F8"/>
    <w:rsid w:val="00DA28E8"/>
    <w:rsid w:val="00DA38D3"/>
    <w:rsid w:val="00DA3932"/>
    <w:rsid w:val="00DA3AFC"/>
    <w:rsid w:val="00DA5191"/>
    <w:rsid w:val="00DA59A3"/>
    <w:rsid w:val="00DA61DB"/>
    <w:rsid w:val="00DA64F8"/>
    <w:rsid w:val="00DA6C15"/>
    <w:rsid w:val="00DB0258"/>
    <w:rsid w:val="00DB2BBD"/>
    <w:rsid w:val="00DB38EE"/>
    <w:rsid w:val="00DB498B"/>
    <w:rsid w:val="00DB5F9C"/>
    <w:rsid w:val="00DB633A"/>
    <w:rsid w:val="00DB66CA"/>
    <w:rsid w:val="00DB6BCA"/>
    <w:rsid w:val="00DB73F7"/>
    <w:rsid w:val="00DC0053"/>
    <w:rsid w:val="00DC0321"/>
    <w:rsid w:val="00DC3067"/>
    <w:rsid w:val="00DC370B"/>
    <w:rsid w:val="00DC573C"/>
    <w:rsid w:val="00DC5B90"/>
    <w:rsid w:val="00DC7AD7"/>
    <w:rsid w:val="00DD00FF"/>
    <w:rsid w:val="00DD0619"/>
    <w:rsid w:val="00DD07FB"/>
    <w:rsid w:val="00DD1FE2"/>
    <w:rsid w:val="00DD25C6"/>
    <w:rsid w:val="00DD295F"/>
    <w:rsid w:val="00DD4FE5"/>
    <w:rsid w:val="00DD54B0"/>
    <w:rsid w:val="00DD57EE"/>
    <w:rsid w:val="00DD6BCC"/>
    <w:rsid w:val="00DD749F"/>
    <w:rsid w:val="00DE0A4B"/>
    <w:rsid w:val="00DE2410"/>
    <w:rsid w:val="00DE2939"/>
    <w:rsid w:val="00DE373B"/>
    <w:rsid w:val="00DE6818"/>
    <w:rsid w:val="00DE6E81"/>
    <w:rsid w:val="00DE703F"/>
    <w:rsid w:val="00DE7595"/>
    <w:rsid w:val="00DF1961"/>
    <w:rsid w:val="00DF44DE"/>
    <w:rsid w:val="00DF5F11"/>
    <w:rsid w:val="00E01138"/>
    <w:rsid w:val="00E02DFB"/>
    <w:rsid w:val="00E030F9"/>
    <w:rsid w:val="00E0311A"/>
    <w:rsid w:val="00E03138"/>
    <w:rsid w:val="00E053A2"/>
    <w:rsid w:val="00E06404"/>
    <w:rsid w:val="00E065D2"/>
    <w:rsid w:val="00E07DA5"/>
    <w:rsid w:val="00E11A85"/>
    <w:rsid w:val="00E12495"/>
    <w:rsid w:val="00E13FF2"/>
    <w:rsid w:val="00E15CCD"/>
    <w:rsid w:val="00E202EF"/>
    <w:rsid w:val="00E20D84"/>
    <w:rsid w:val="00E210B5"/>
    <w:rsid w:val="00E22745"/>
    <w:rsid w:val="00E238DE"/>
    <w:rsid w:val="00E23D99"/>
    <w:rsid w:val="00E2552F"/>
    <w:rsid w:val="00E3137A"/>
    <w:rsid w:val="00E32CCF"/>
    <w:rsid w:val="00E34A98"/>
    <w:rsid w:val="00E35D1E"/>
    <w:rsid w:val="00E364F9"/>
    <w:rsid w:val="00E365FA"/>
    <w:rsid w:val="00E36789"/>
    <w:rsid w:val="00E44A83"/>
    <w:rsid w:val="00E45B8B"/>
    <w:rsid w:val="00E47C98"/>
    <w:rsid w:val="00E502C1"/>
    <w:rsid w:val="00E502DD"/>
    <w:rsid w:val="00E50D3A"/>
    <w:rsid w:val="00E51387"/>
    <w:rsid w:val="00E51E68"/>
    <w:rsid w:val="00E523B2"/>
    <w:rsid w:val="00E52EFD"/>
    <w:rsid w:val="00E5408A"/>
    <w:rsid w:val="00E56800"/>
    <w:rsid w:val="00E60C63"/>
    <w:rsid w:val="00E62FF9"/>
    <w:rsid w:val="00E635D6"/>
    <w:rsid w:val="00E63760"/>
    <w:rsid w:val="00E639BC"/>
    <w:rsid w:val="00E654A2"/>
    <w:rsid w:val="00E664CC"/>
    <w:rsid w:val="00E70388"/>
    <w:rsid w:val="00E70F92"/>
    <w:rsid w:val="00E74C54"/>
    <w:rsid w:val="00E75126"/>
    <w:rsid w:val="00E76C17"/>
    <w:rsid w:val="00E77A03"/>
    <w:rsid w:val="00E822E8"/>
    <w:rsid w:val="00E82554"/>
    <w:rsid w:val="00E82606"/>
    <w:rsid w:val="00E846C8"/>
    <w:rsid w:val="00E84957"/>
    <w:rsid w:val="00E84A55"/>
    <w:rsid w:val="00E85BFF"/>
    <w:rsid w:val="00E86D16"/>
    <w:rsid w:val="00E90391"/>
    <w:rsid w:val="00E906C2"/>
    <w:rsid w:val="00E9311F"/>
    <w:rsid w:val="00E934D1"/>
    <w:rsid w:val="00E93BE6"/>
    <w:rsid w:val="00E94AF0"/>
    <w:rsid w:val="00E95D13"/>
    <w:rsid w:val="00E95DD3"/>
    <w:rsid w:val="00E969D5"/>
    <w:rsid w:val="00EA090F"/>
    <w:rsid w:val="00EA0A77"/>
    <w:rsid w:val="00EA3951"/>
    <w:rsid w:val="00EA58D1"/>
    <w:rsid w:val="00EA61BC"/>
    <w:rsid w:val="00EA681A"/>
    <w:rsid w:val="00EA735B"/>
    <w:rsid w:val="00EB17DE"/>
    <w:rsid w:val="00EB1E69"/>
    <w:rsid w:val="00EB2086"/>
    <w:rsid w:val="00EB5EDF"/>
    <w:rsid w:val="00EB60FE"/>
    <w:rsid w:val="00EB74DB"/>
    <w:rsid w:val="00EB7B63"/>
    <w:rsid w:val="00EC5359"/>
    <w:rsid w:val="00EC562A"/>
    <w:rsid w:val="00EC5DB9"/>
    <w:rsid w:val="00EC6E70"/>
    <w:rsid w:val="00ED067A"/>
    <w:rsid w:val="00ED0843"/>
    <w:rsid w:val="00ED2A11"/>
    <w:rsid w:val="00ED2B50"/>
    <w:rsid w:val="00EE0350"/>
    <w:rsid w:val="00EE0719"/>
    <w:rsid w:val="00EE0E80"/>
    <w:rsid w:val="00EE54A6"/>
    <w:rsid w:val="00EE571A"/>
    <w:rsid w:val="00EE613F"/>
    <w:rsid w:val="00EE7295"/>
    <w:rsid w:val="00EE7869"/>
    <w:rsid w:val="00EF054A"/>
    <w:rsid w:val="00EF3235"/>
    <w:rsid w:val="00EF6225"/>
    <w:rsid w:val="00EF7E72"/>
    <w:rsid w:val="00F050DF"/>
    <w:rsid w:val="00F06D37"/>
    <w:rsid w:val="00F07B9D"/>
    <w:rsid w:val="00F11586"/>
    <w:rsid w:val="00F1183B"/>
    <w:rsid w:val="00F11C9F"/>
    <w:rsid w:val="00F12263"/>
    <w:rsid w:val="00F1409D"/>
    <w:rsid w:val="00F14214"/>
    <w:rsid w:val="00F148C9"/>
    <w:rsid w:val="00F157A9"/>
    <w:rsid w:val="00F2252F"/>
    <w:rsid w:val="00F22F80"/>
    <w:rsid w:val="00F25BB6"/>
    <w:rsid w:val="00F26B7E"/>
    <w:rsid w:val="00F27A3B"/>
    <w:rsid w:val="00F31E7E"/>
    <w:rsid w:val="00F33817"/>
    <w:rsid w:val="00F420D5"/>
    <w:rsid w:val="00F44427"/>
    <w:rsid w:val="00F451EA"/>
    <w:rsid w:val="00F45447"/>
    <w:rsid w:val="00F456C6"/>
    <w:rsid w:val="00F4577B"/>
    <w:rsid w:val="00F46496"/>
    <w:rsid w:val="00F474D0"/>
    <w:rsid w:val="00F50179"/>
    <w:rsid w:val="00F51229"/>
    <w:rsid w:val="00F515EE"/>
    <w:rsid w:val="00F52FDE"/>
    <w:rsid w:val="00F56511"/>
    <w:rsid w:val="00F571CC"/>
    <w:rsid w:val="00F6194E"/>
    <w:rsid w:val="00F623AC"/>
    <w:rsid w:val="00F6412A"/>
    <w:rsid w:val="00F6511E"/>
    <w:rsid w:val="00F65893"/>
    <w:rsid w:val="00F65FF1"/>
    <w:rsid w:val="00F6603C"/>
    <w:rsid w:val="00F66A4A"/>
    <w:rsid w:val="00F71E22"/>
    <w:rsid w:val="00F72142"/>
    <w:rsid w:val="00F72AE7"/>
    <w:rsid w:val="00F75D3A"/>
    <w:rsid w:val="00F803F3"/>
    <w:rsid w:val="00F81141"/>
    <w:rsid w:val="00F833BA"/>
    <w:rsid w:val="00F84FD0"/>
    <w:rsid w:val="00F857ED"/>
    <w:rsid w:val="00F859A8"/>
    <w:rsid w:val="00F86D87"/>
    <w:rsid w:val="00F9108B"/>
    <w:rsid w:val="00F91349"/>
    <w:rsid w:val="00F927FB"/>
    <w:rsid w:val="00F93A8A"/>
    <w:rsid w:val="00F95248"/>
    <w:rsid w:val="00F956A9"/>
    <w:rsid w:val="00F963ED"/>
    <w:rsid w:val="00F966CF"/>
    <w:rsid w:val="00F96A4C"/>
    <w:rsid w:val="00F96CAE"/>
    <w:rsid w:val="00F97C99"/>
    <w:rsid w:val="00FA132B"/>
    <w:rsid w:val="00FA1511"/>
    <w:rsid w:val="00FA4DAC"/>
    <w:rsid w:val="00FA662D"/>
    <w:rsid w:val="00FA73B1"/>
    <w:rsid w:val="00FB0145"/>
    <w:rsid w:val="00FB0CB9"/>
    <w:rsid w:val="00FB231D"/>
    <w:rsid w:val="00FB45F1"/>
    <w:rsid w:val="00FB4A72"/>
    <w:rsid w:val="00FB54E8"/>
    <w:rsid w:val="00FB6ACA"/>
    <w:rsid w:val="00FB7054"/>
    <w:rsid w:val="00FC040C"/>
    <w:rsid w:val="00FC17B7"/>
    <w:rsid w:val="00FC1B09"/>
    <w:rsid w:val="00FC2CB7"/>
    <w:rsid w:val="00FC4090"/>
    <w:rsid w:val="00FC463C"/>
    <w:rsid w:val="00FC55B4"/>
    <w:rsid w:val="00FD00E6"/>
    <w:rsid w:val="00FD09A1"/>
    <w:rsid w:val="00FD2A7C"/>
    <w:rsid w:val="00FD5528"/>
    <w:rsid w:val="00FD59EB"/>
    <w:rsid w:val="00FD7299"/>
    <w:rsid w:val="00FE0388"/>
    <w:rsid w:val="00FE1FBE"/>
    <w:rsid w:val="00FE3901"/>
    <w:rsid w:val="00FE39D3"/>
    <w:rsid w:val="00FE4BCE"/>
    <w:rsid w:val="00FE54AE"/>
    <w:rsid w:val="00FE576A"/>
    <w:rsid w:val="00FE7E79"/>
    <w:rsid w:val="00FF2A2F"/>
    <w:rsid w:val="00FF3E7D"/>
    <w:rsid w:val="00FF570D"/>
    <w:rsid w:val="00FF5B99"/>
    <w:rsid w:val="00FF730C"/>
    <w:rsid w:val="00FF73F4"/>
    <w:rsid w:val="00FF7CE4"/>
    <w:rsid w:val="00FF7E39"/>
    <w:rsid w:val="04577BD3"/>
    <w:rsid w:val="0E5A03D3"/>
    <w:rsid w:val="47160350"/>
    <w:rsid w:val="4F4467BC"/>
    <w:rsid w:val="7B3E1A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35" w:semiHidden="0"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caption"/>
    <w:basedOn w:val="1"/>
    <w:next w:val="1"/>
    <w:qFormat/>
    <w:uiPriority w:val="35"/>
    <w:pPr>
      <w:adjustRightInd/>
      <w:spacing w:line="360" w:lineRule="auto"/>
      <w:ind w:firstLine="200" w:firstLineChars="200"/>
    </w:pPr>
    <w:rPr>
      <w:rFonts w:ascii="Calibri Light" w:hAnsi="Calibri Light" w:eastAsia="黑体"/>
      <w:sz w:val="20"/>
      <w:szCs w:val="20"/>
    </w:rPr>
  </w:style>
  <w:style w:type="paragraph" w:styleId="14">
    <w:name w:val="Body Text"/>
    <w:basedOn w:val="1"/>
    <w:link w:val="87"/>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6"/>
    <w:semiHidden/>
    <w:unhideWhenUsed/>
    <w:qFormat/>
    <w:uiPriority w:val="99"/>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Char"/>
    <w:link w:val="2"/>
    <w:qFormat/>
    <w:uiPriority w:val="0"/>
    <w:rPr>
      <w:b/>
      <w:bCs/>
      <w:kern w:val="44"/>
      <w:sz w:val="44"/>
      <w:szCs w:val="44"/>
    </w:rPr>
  </w:style>
  <w:style w:type="character" w:customStyle="1" w:styleId="36">
    <w:name w:val="标题 2 Char"/>
    <w:link w:val="3"/>
    <w:qFormat/>
    <w:uiPriority w:val="0"/>
    <w:rPr>
      <w:rFonts w:ascii="Arial" w:hAnsi="Arial" w:eastAsia="黑体"/>
      <w:b/>
      <w:bCs/>
      <w:kern w:val="2"/>
      <w:sz w:val="32"/>
      <w:szCs w:val="32"/>
    </w:rPr>
  </w:style>
  <w:style w:type="character" w:customStyle="1" w:styleId="37">
    <w:name w:val="标题 3 Char"/>
    <w:link w:val="4"/>
    <w:qFormat/>
    <w:uiPriority w:val="0"/>
    <w:rPr>
      <w:b/>
      <w:bCs/>
      <w:kern w:val="2"/>
      <w:sz w:val="32"/>
      <w:szCs w:val="32"/>
    </w:rPr>
  </w:style>
  <w:style w:type="character" w:customStyle="1" w:styleId="38">
    <w:name w:val="标题 4 Char"/>
    <w:link w:val="5"/>
    <w:qFormat/>
    <w:uiPriority w:val="0"/>
    <w:rPr>
      <w:rFonts w:ascii="Arial" w:hAnsi="Arial" w:eastAsia="黑体"/>
      <w:b/>
      <w:bCs/>
      <w:kern w:val="2"/>
      <w:sz w:val="28"/>
      <w:szCs w:val="28"/>
    </w:rPr>
  </w:style>
  <w:style w:type="character" w:customStyle="1" w:styleId="39">
    <w:name w:val="标题 5 Char"/>
    <w:link w:val="6"/>
    <w:qFormat/>
    <w:uiPriority w:val="0"/>
    <w:rPr>
      <w:b/>
      <w:bCs/>
      <w:kern w:val="2"/>
      <w:sz w:val="28"/>
      <w:szCs w:val="28"/>
    </w:rPr>
  </w:style>
  <w:style w:type="character" w:customStyle="1" w:styleId="40">
    <w:name w:val="标题 6 Char"/>
    <w:link w:val="7"/>
    <w:qFormat/>
    <w:uiPriority w:val="0"/>
    <w:rPr>
      <w:rFonts w:ascii="Arial" w:hAnsi="Arial" w:eastAsia="黑体"/>
      <w:b/>
      <w:bCs/>
      <w:kern w:val="2"/>
      <w:sz w:val="24"/>
      <w:szCs w:val="24"/>
    </w:rPr>
  </w:style>
  <w:style w:type="character" w:customStyle="1" w:styleId="41">
    <w:name w:val="标题 7 Char"/>
    <w:link w:val="8"/>
    <w:qFormat/>
    <w:uiPriority w:val="0"/>
    <w:rPr>
      <w:b/>
      <w:bCs/>
      <w:kern w:val="2"/>
      <w:sz w:val="24"/>
      <w:szCs w:val="24"/>
    </w:rPr>
  </w:style>
  <w:style w:type="character" w:customStyle="1" w:styleId="42">
    <w:name w:val="标题 8 Char"/>
    <w:link w:val="9"/>
    <w:qFormat/>
    <w:uiPriority w:val="0"/>
    <w:rPr>
      <w:rFonts w:ascii="Arial" w:hAnsi="Arial" w:eastAsia="黑体"/>
      <w:kern w:val="2"/>
      <w:sz w:val="24"/>
      <w:szCs w:val="24"/>
    </w:rPr>
  </w:style>
  <w:style w:type="character" w:customStyle="1" w:styleId="43">
    <w:name w:val="标题 9 Char"/>
    <w:link w:val="10"/>
    <w:qFormat/>
    <w:uiPriority w:val="0"/>
    <w:rPr>
      <w:rFonts w:ascii="Arial" w:hAnsi="Arial" w:eastAsia="黑体"/>
      <w:kern w:val="2"/>
      <w:sz w:val="21"/>
      <w:szCs w:val="21"/>
    </w:rPr>
  </w:style>
  <w:style w:type="character" w:customStyle="1" w:styleId="44">
    <w:name w:val="页眉 Char"/>
    <w:link w:val="19"/>
    <w:qFormat/>
    <w:uiPriority w:val="99"/>
    <w:rPr>
      <w:kern w:val="2"/>
      <w:sz w:val="18"/>
      <w:szCs w:val="18"/>
    </w:rPr>
  </w:style>
  <w:style w:type="character" w:customStyle="1" w:styleId="45">
    <w:name w:val="页脚 Char"/>
    <w:link w:val="18"/>
    <w:qFormat/>
    <w:uiPriority w:val="99"/>
    <w:rPr>
      <w:rFonts w:ascii="宋体"/>
      <w:kern w:val="2"/>
      <w:sz w:val="18"/>
      <w:szCs w:val="18"/>
    </w:rPr>
  </w:style>
  <w:style w:type="character" w:customStyle="1" w:styleId="46">
    <w:name w:val="批注框文本 Char"/>
    <w:link w:val="17"/>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Char"/>
    <w:link w:val="47"/>
    <w:qFormat/>
    <w:uiPriority w:val="29"/>
    <w:rPr>
      <w:i/>
      <w:iCs/>
      <w:color w:val="000000"/>
      <w:kern w:val="2"/>
      <w:sz w:val="21"/>
      <w:szCs w:val="21"/>
    </w:rPr>
  </w:style>
  <w:style w:type="character" w:customStyle="1" w:styleId="49">
    <w:name w:val="标题 Char"/>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4"/>
    <w:uiPriority w:val="0"/>
    <w:rPr>
      <w:kern w:val="2"/>
      <w:sz w:val="21"/>
      <w:szCs w:val="21"/>
    </w:rPr>
  </w:style>
  <w:style w:type="paragraph" w:customStyle="1" w:styleId="88">
    <w:name w:val="标准文件_附录章标题"/>
    <w:next w:val="57"/>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uiPriority w:val="0"/>
    <w:pPr>
      <w:numPr>
        <w:numId w:val="10"/>
      </w:numPr>
    </w:pPr>
  </w:style>
  <w:style w:type="paragraph" w:customStyle="1" w:styleId="95">
    <w:name w:val="标准文件_三级条标题"/>
    <w:basedOn w:val="66"/>
    <w:next w:val="57"/>
    <w:qFormat/>
    <w:uiPriority w:val="0"/>
    <w:pPr>
      <w:widowControl/>
      <w:numPr>
        <w:ilvl w:val="4"/>
      </w:numPr>
      <w:ind w:left="0"/>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uiPriority w:val="0"/>
    <w:pPr>
      <w:adjustRightInd/>
      <w:spacing w:line="240" w:lineRule="auto"/>
      <w:ind w:firstLine="200" w:firstLineChars="200"/>
    </w:pPr>
    <w:rPr>
      <w:sz w:val="18"/>
      <w:szCs w:val="24"/>
    </w:rPr>
  </w:style>
  <w:style w:type="paragraph" w:customStyle="1" w:styleId="98">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2"/>
    <w:semiHidden/>
    <w:uiPriority w:val="0"/>
    <w:rPr>
      <w:rFonts w:ascii="宋体"/>
      <w:kern w:val="2"/>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uiPriority w:val="0"/>
    <w:pPr>
      <w:numPr>
        <w:ilvl w:val="0"/>
        <w:numId w:val="12"/>
      </w:numPr>
      <w:spacing w:line="240" w:lineRule="auto"/>
      <w:jc w:val="left"/>
    </w:pPr>
    <w:rPr>
      <w:rFonts w:ascii="宋体" w:hAnsi="宋体"/>
      <w:sz w:val="18"/>
    </w:rPr>
  </w:style>
  <w:style w:type="character" w:customStyle="1" w:styleId="103">
    <w:name w:val="标准文件_图表脚注内容"/>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段 Char"/>
    <w:link w:val="232"/>
    <w:qFormat/>
    <w:uiPriority w:val="0"/>
    <w:rPr>
      <w:rFonts w:ascii="宋体"/>
      <w:sz w:val="21"/>
      <w:lang w:val="en-US" w:eastAsia="zh-CN"/>
    </w:rPr>
  </w:style>
  <w:style w:type="paragraph" w:customStyle="1" w:styleId="232">
    <w:name w:val="段"/>
    <w:link w:val="231"/>
    <w:uiPriority w:val="0"/>
    <w:pPr>
      <w:autoSpaceDE w:val="0"/>
      <w:autoSpaceDN w:val="0"/>
      <w:ind w:firstLine="200" w:firstLineChars="200"/>
      <w:jc w:val="both"/>
    </w:pPr>
    <w:rPr>
      <w:rFonts w:ascii="宋体" w:hAnsi="Calibri" w:eastAsia="宋体" w:cs="Times New Roman"/>
      <w:sz w:val="21"/>
      <w:lang w:val="en-US" w:eastAsia="zh-CN" w:bidi="ar-SA"/>
    </w:rPr>
  </w:style>
  <w:style w:type="paragraph" w:customStyle="1" w:styleId="233">
    <w:name w:val="一级条标题"/>
    <w:basedOn w:val="1"/>
    <w:next w:val="232"/>
    <w:qFormat/>
    <w:uiPriority w:val="0"/>
    <w:pPr>
      <w:widowControl/>
      <w:tabs>
        <w:tab w:val="left" w:pos="360"/>
      </w:tabs>
      <w:adjustRightInd/>
      <w:spacing w:line="240" w:lineRule="auto"/>
      <w:ind w:firstLine="200"/>
      <w:outlineLvl w:val="2"/>
    </w:pPr>
    <w:rPr>
      <w:rFonts w:ascii="黑体" w:hAnsi="Times New Roman" w:eastAsia="黑体"/>
      <w:kern w:val="0"/>
      <w:szCs w:val="20"/>
    </w:rPr>
  </w:style>
  <w:style w:type="paragraph" w:customStyle="1" w:styleId="234">
    <w:name w:val="终结线"/>
    <w:basedOn w:val="1"/>
    <w:qFormat/>
    <w:uiPriority w:val="0"/>
    <w:pPr>
      <w:framePr w:hSpace="181" w:vSpace="181" w:wrap="around" w:vAnchor="text" w:hAnchor="margin" w:xAlign="center" w:y="285"/>
      <w:adjustRightInd/>
      <w:spacing w:line="240" w:lineRule="auto"/>
      <w:ind w:firstLine="200" w:firstLineChars="200"/>
    </w:pPr>
    <w:rPr>
      <w:rFonts w:ascii="Times New Roman" w:hAnsi="Times New Roman"/>
      <w:szCs w:val="24"/>
    </w:rPr>
  </w:style>
  <w:style w:type="paragraph" w:customStyle="1" w:styleId="235">
    <w:name w:val="二级条标题"/>
    <w:basedOn w:val="233"/>
    <w:next w:val="232"/>
    <w:qFormat/>
    <w:uiPriority w:val="0"/>
    <w:pPr>
      <w:numPr>
        <w:ilvl w:val="2"/>
        <w:numId w:val="2"/>
      </w:numPr>
      <w:outlineLvl w:val="3"/>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jpeg"/><Relationship Id="rId14" Type="http://schemas.openxmlformats.org/officeDocument/2006/relationships/chart" Target="charts/chart1.xml"/><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charts/_rels/chart1.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1.xml"/><Relationship Id="rId1" Type="http://schemas.openxmlformats.org/officeDocument/2006/relationships/oleObject" Target="file:///E:\&#12304;1&#20027;&#35201;&#35838;&#39064;&#12305;\%5b&#39118;&#27934;&#35797;&#39564;%5d\2021&#20843;&#27425;&#39118;&#27934;&#23454;&#39564;\0118&#20843;&#27425;&#39118;&#27934;&#23454;&#39564;&#25968;&#2545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10051005791552"/>
          <c:y val="0.104864542146824"/>
          <c:w val="0.873346555421077"/>
          <c:h val="0.601736789339101"/>
        </c:manualLayout>
      </c:layout>
      <c:lineChart>
        <c:grouping val="standard"/>
        <c:varyColors val="0"/>
        <c:ser>
          <c:idx val="3"/>
          <c:order val="0"/>
          <c:tx>
            <c:strRef>
              <c:f>Cx—阻力系数</c:f>
              <c:strCache>
                <c:ptCount val="1"/>
                <c:pt idx="0">
                  <c:v>Cx—阻力系数</c:v>
                </c:pt>
              </c:strCache>
            </c:strRef>
          </c:tx>
          <c:spPr>
            <a:ln w="22225" cap="rnd">
              <a:solidFill>
                <a:srgbClr val="000000"/>
              </a:solidFill>
              <a:round/>
            </a:ln>
            <a:effectLst/>
          </c:spPr>
          <c:marker>
            <c:symbol val="x"/>
            <c:size val="6"/>
            <c:spPr>
              <a:noFill/>
              <a:ln w="9525">
                <a:solidFill>
                  <a:srgbClr val="8064A2"/>
                </a:solidFill>
                <a:round/>
              </a:ln>
              <a:effectLst/>
            </c:spPr>
          </c:marker>
          <c:dLbls>
            <c:delete val="1"/>
          </c:dLbls>
          <c:cat>
            <c:strRef>
              <c:f>'5#中底板'!$A$2:$A$28</c:f>
              <c:strCache>
                <c:ptCount val="27"/>
                <c:pt idx="0">
                  <c:v>0°</c:v>
                </c:pt>
                <c:pt idx="1">
                  <c:v>2.5°</c:v>
                </c:pt>
                <c:pt idx="2">
                  <c:v>5°</c:v>
                </c:pt>
                <c:pt idx="3">
                  <c:v>7.5°</c:v>
                </c:pt>
                <c:pt idx="4">
                  <c:v>10°</c:v>
                </c:pt>
                <c:pt idx="5">
                  <c:v>12.5°</c:v>
                </c:pt>
                <c:pt idx="6">
                  <c:v>15°</c:v>
                </c:pt>
                <c:pt idx="7">
                  <c:v>17.5°</c:v>
                </c:pt>
                <c:pt idx="8">
                  <c:v>20°</c:v>
                </c:pt>
                <c:pt idx="9">
                  <c:v>22.5°</c:v>
                </c:pt>
                <c:pt idx="10">
                  <c:v>25°</c:v>
                </c:pt>
                <c:pt idx="11">
                  <c:v>27.5°</c:v>
                </c:pt>
                <c:pt idx="12">
                  <c:v>30°</c:v>
                </c:pt>
                <c:pt idx="13">
                  <c:v>32.5°</c:v>
                </c:pt>
                <c:pt idx="14">
                  <c:v>35°</c:v>
                </c:pt>
                <c:pt idx="15">
                  <c:v>37.5°</c:v>
                </c:pt>
                <c:pt idx="16">
                  <c:v>40°</c:v>
                </c:pt>
                <c:pt idx="17">
                  <c:v>42.5°</c:v>
                </c:pt>
                <c:pt idx="18">
                  <c:v>45°</c:v>
                </c:pt>
                <c:pt idx="19">
                  <c:v>47.5°</c:v>
                </c:pt>
                <c:pt idx="20">
                  <c:v>50°</c:v>
                </c:pt>
                <c:pt idx="21">
                  <c:v>52.5°</c:v>
                </c:pt>
                <c:pt idx="22">
                  <c:v>55°</c:v>
                </c:pt>
                <c:pt idx="23">
                  <c:v>57.5°</c:v>
                </c:pt>
                <c:pt idx="24">
                  <c:v>60°</c:v>
                </c:pt>
                <c:pt idx="25">
                  <c:v>65°</c:v>
                </c:pt>
                <c:pt idx="26">
                  <c:v>70°</c:v>
                </c:pt>
              </c:strCache>
            </c:strRef>
          </c:cat>
          <c:val>
            <c:numRef>
              <c:f>'5#中底板'!$B$2:$B$28</c:f>
              <c:numCache>
                <c:formatCode>General</c:formatCode>
                <c:ptCount val="27"/>
                <c:pt idx="0">
                  <c:v>0.15656</c:v>
                </c:pt>
                <c:pt idx="1">
                  <c:v>0.1643</c:v>
                </c:pt>
                <c:pt idx="2">
                  <c:v>0.17906</c:v>
                </c:pt>
                <c:pt idx="3">
                  <c:v>0.19191</c:v>
                </c:pt>
                <c:pt idx="4">
                  <c:v>0.19779</c:v>
                </c:pt>
                <c:pt idx="5">
                  <c:v>0.21167</c:v>
                </c:pt>
                <c:pt idx="6">
                  <c:v>0.22993</c:v>
                </c:pt>
                <c:pt idx="7">
                  <c:v>0.2481</c:v>
                </c:pt>
                <c:pt idx="8">
                  <c:v>0.27549</c:v>
                </c:pt>
                <c:pt idx="9">
                  <c:v>0.31466</c:v>
                </c:pt>
                <c:pt idx="10">
                  <c:v>0.36129</c:v>
                </c:pt>
                <c:pt idx="11">
                  <c:v>0.41709</c:v>
                </c:pt>
                <c:pt idx="12">
                  <c:v>0.47492</c:v>
                </c:pt>
                <c:pt idx="13">
                  <c:v>0.537</c:v>
                </c:pt>
                <c:pt idx="14">
                  <c:v>0.60526</c:v>
                </c:pt>
                <c:pt idx="15">
                  <c:v>0.67718</c:v>
                </c:pt>
                <c:pt idx="16">
                  <c:v>0.75247</c:v>
                </c:pt>
                <c:pt idx="17">
                  <c:v>0.8308</c:v>
                </c:pt>
                <c:pt idx="18">
                  <c:v>0.9046</c:v>
                </c:pt>
                <c:pt idx="19">
                  <c:v>0.98745</c:v>
                </c:pt>
                <c:pt idx="20">
                  <c:v>1.077</c:v>
                </c:pt>
                <c:pt idx="21">
                  <c:v>1.15332</c:v>
                </c:pt>
                <c:pt idx="22">
                  <c:v>1.18833</c:v>
                </c:pt>
                <c:pt idx="23">
                  <c:v>1.2149</c:v>
                </c:pt>
                <c:pt idx="24">
                  <c:v>1.22063</c:v>
                </c:pt>
                <c:pt idx="25">
                  <c:v>1.2171</c:v>
                </c:pt>
                <c:pt idx="26">
                  <c:v>1.2853</c:v>
                </c:pt>
              </c:numCache>
            </c:numRef>
          </c:val>
          <c:smooth val="0"/>
        </c:ser>
        <c:ser>
          <c:idx val="4"/>
          <c:order val="1"/>
          <c:tx>
            <c:strRef>
              <c:f>Cy—升力系数</c:f>
              <c:strCache>
                <c:ptCount val="1"/>
                <c:pt idx="0">
                  <c:v>Cy—升力系数</c:v>
                </c:pt>
              </c:strCache>
            </c:strRef>
          </c:tx>
          <c:spPr>
            <a:ln w="22225" cap="rnd">
              <a:solidFill>
                <a:srgbClr val="000000"/>
              </a:solidFill>
              <a:round/>
            </a:ln>
            <a:effectLst/>
          </c:spPr>
          <c:marker>
            <c:symbol val="star"/>
            <c:size val="6"/>
            <c:spPr>
              <a:noFill/>
              <a:ln w="9525">
                <a:solidFill>
                  <a:srgbClr val="000000"/>
                </a:solidFill>
                <a:round/>
              </a:ln>
              <a:effectLst/>
            </c:spPr>
          </c:marker>
          <c:dLbls>
            <c:delete val="1"/>
          </c:dLbls>
          <c:cat>
            <c:strRef>
              <c:f>'5#中底板'!$A$2:$A$28</c:f>
              <c:strCache>
                <c:ptCount val="27"/>
                <c:pt idx="0">
                  <c:v>0°</c:v>
                </c:pt>
                <c:pt idx="1">
                  <c:v>2.5°</c:v>
                </c:pt>
                <c:pt idx="2">
                  <c:v>5°</c:v>
                </c:pt>
                <c:pt idx="3">
                  <c:v>7.5°</c:v>
                </c:pt>
                <c:pt idx="4">
                  <c:v>10°</c:v>
                </c:pt>
                <c:pt idx="5">
                  <c:v>12.5°</c:v>
                </c:pt>
                <c:pt idx="6">
                  <c:v>15°</c:v>
                </c:pt>
                <c:pt idx="7">
                  <c:v>17.5°</c:v>
                </c:pt>
                <c:pt idx="8">
                  <c:v>20°</c:v>
                </c:pt>
                <c:pt idx="9">
                  <c:v>22.5°</c:v>
                </c:pt>
                <c:pt idx="10">
                  <c:v>25°</c:v>
                </c:pt>
                <c:pt idx="11">
                  <c:v>27.5°</c:v>
                </c:pt>
                <c:pt idx="12">
                  <c:v>30°</c:v>
                </c:pt>
                <c:pt idx="13">
                  <c:v>32.5°</c:v>
                </c:pt>
                <c:pt idx="14">
                  <c:v>35°</c:v>
                </c:pt>
                <c:pt idx="15">
                  <c:v>37.5°</c:v>
                </c:pt>
                <c:pt idx="16">
                  <c:v>40°</c:v>
                </c:pt>
                <c:pt idx="17">
                  <c:v>42.5°</c:v>
                </c:pt>
                <c:pt idx="18">
                  <c:v>45°</c:v>
                </c:pt>
                <c:pt idx="19">
                  <c:v>47.5°</c:v>
                </c:pt>
                <c:pt idx="20">
                  <c:v>50°</c:v>
                </c:pt>
                <c:pt idx="21">
                  <c:v>52.5°</c:v>
                </c:pt>
                <c:pt idx="22">
                  <c:v>55°</c:v>
                </c:pt>
                <c:pt idx="23">
                  <c:v>57.5°</c:v>
                </c:pt>
                <c:pt idx="24">
                  <c:v>60°</c:v>
                </c:pt>
                <c:pt idx="25">
                  <c:v>65°</c:v>
                </c:pt>
                <c:pt idx="26">
                  <c:v>70°</c:v>
                </c:pt>
              </c:strCache>
            </c:strRef>
          </c:cat>
          <c:val>
            <c:numRef>
              <c:f>'5#中底板'!$C$2:$C$28</c:f>
              <c:numCache>
                <c:formatCode>General</c:formatCode>
                <c:ptCount val="27"/>
                <c:pt idx="0">
                  <c:v>0.17446</c:v>
                </c:pt>
                <c:pt idx="1">
                  <c:v>0.26259</c:v>
                </c:pt>
                <c:pt idx="2">
                  <c:v>0.3532</c:v>
                </c:pt>
                <c:pt idx="3">
                  <c:v>0.42372</c:v>
                </c:pt>
                <c:pt idx="4">
                  <c:v>0.53823</c:v>
                </c:pt>
                <c:pt idx="5">
                  <c:v>0.6451</c:v>
                </c:pt>
                <c:pt idx="6">
                  <c:v>0.7605</c:v>
                </c:pt>
                <c:pt idx="7">
                  <c:v>0.89332</c:v>
                </c:pt>
                <c:pt idx="8">
                  <c:v>1.01307</c:v>
                </c:pt>
                <c:pt idx="9">
                  <c:v>1.1361</c:v>
                </c:pt>
                <c:pt idx="10">
                  <c:v>1.26334</c:v>
                </c:pt>
                <c:pt idx="11">
                  <c:v>1.36508</c:v>
                </c:pt>
                <c:pt idx="12">
                  <c:v>1.49699</c:v>
                </c:pt>
                <c:pt idx="13">
                  <c:v>1.60473</c:v>
                </c:pt>
                <c:pt idx="14">
                  <c:v>1.71486</c:v>
                </c:pt>
                <c:pt idx="15">
                  <c:v>1.80681</c:v>
                </c:pt>
                <c:pt idx="16">
                  <c:v>1.90303</c:v>
                </c:pt>
                <c:pt idx="17">
                  <c:v>1.96684</c:v>
                </c:pt>
                <c:pt idx="18">
                  <c:v>2.02868</c:v>
                </c:pt>
                <c:pt idx="19">
                  <c:v>2.07346</c:v>
                </c:pt>
                <c:pt idx="20">
                  <c:v>2.10517</c:v>
                </c:pt>
                <c:pt idx="21">
                  <c:v>2.10331</c:v>
                </c:pt>
                <c:pt idx="22">
                  <c:v>1.81748</c:v>
                </c:pt>
                <c:pt idx="23">
                  <c:v>1.65761</c:v>
                </c:pt>
                <c:pt idx="24">
                  <c:v>1.52633</c:v>
                </c:pt>
                <c:pt idx="25">
                  <c:v>1.25061</c:v>
                </c:pt>
                <c:pt idx="26">
                  <c:v>1.12802</c:v>
                </c:pt>
              </c:numCache>
            </c:numRef>
          </c:val>
          <c:smooth val="0"/>
        </c:ser>
        <c:ser>
          <c:idx val="0"/>
          <c:order val="2"/>
          <c:tx>
            <c:strRef>
              <c:f>α—网板冲角（°）</c:f>
              <c:strCache>
                <c:ptCount val="1"/>
                <c:pt idx="0">
                  <c:v>α—网板冲角（°）</c:v>
                </c:pt>
              </c:strCache>
            </c:strRef>
          </c:tx>
          <c:spPr>
            <a:ln w="22225" cap="rnd">
              <a:solidFill>
                <a:srgbClr val="000000"/>
              </a:solidFill>
              <a:round/>
            </a:ln>
            <a:effectLst/>
          </c:spPr>
          <c:marker>
            <c:symbol val="circle"/>
            <c:size val="6"/>
            <c:spPr>
              <a:solidFill>
                <a:srgbClr val="000000"/>
              </a:solidFill>
              <a:ln w="9525">
                <a:solidFill>
                  <a:srgbClr val="000000"/>
                </a:solidFill>
                <a:round/>
              </a:ln>
              <a:effectLst/>
            </c:spPr>
          </c:marker>
          <c:dLbls>
            <c:delete val="1"/>
          </c:dLbls>
          <c:cat>
            <c:strRef>
              <c:f>'5#中底板'!$A$2:$A$28</c:f>
              <c:strCache>
                <c:ptCount val="27"/>
                <c:pt idx="0">
                  <c:v>0°</c:v>
                </c:pt>
                <c:pt idx="1">
                  <c:v>2.5°</c:v>
                </c:pt>
                <c:pt idx="2">
                  <c:v>5°</c:v>
                </c:pt>
                <c:pt idx="3">
                  <c:v>7.5°</c:v>
                </c:pt>
                <c:pt idx="4">
                  <c:v>10°</c:v>
                </c:pt>
                <c:pt idx="5">
                  <c:v>12.5°</c:v>
                </c:pt>
                <c:pt idx="6">
                  <c:v>15°</c:v>
                </c:pt>
                <c:pt idx="7">
                  <c:v>17.5°</c:v>
                </c:pt>
                <c:pt idx="8">
                  <c:v>20°</c:v>
                </c:pt>
                <c:pt idx="9">
                  <c:v>22.5°</c:v>
                </c:pt>
                <c:pt idx="10">
                  <c:v>25°</c:v>
                </c:pt>
                <c:pt idx="11">
                  <c:v>27.5°</c:v>
                </c:pt>
                <c:pt idx="12">
                  <c:v>30°</c:v>
                </c:pt>
                <c:pt idx="13">
                  <c:v>32.5°</c:v>
                </c:pt>
                <c:pt idx="14">
                  <c:v>35°</c:v>
                </c:pt>
                <c:pt idx="15">
                  <c:v>37.5°</c:v>
                </c:pt>
                <c:pt idx="16">
                  <c:v>40°</c:v>
                </c:pt>
                <c:pt idx="17">
                  <c:v>42.5°</c:v>
                </c:pt>
                <c:pt idx="18">
                  <c:v>45°</c:v>
                </c:pt>
                <c:pt idx="19">
                  <c:v>47.5°</c:v>
                </c:pt>
                <c:pt idx="20">
                  <c:v>50°</c:v>
                </c:pt>
                <c:pt idx="21">
                  <c:v>52.5°</c:v>
                </c:pt>
                <c:pt idx="22">
                  <c:v>55°</c:v>
                </c:pt>
                <c:pt idx="23">
                  <c:v>57.5°</c:v>
                </c:pt>
                <c:pt idx="24">
                  <c:v>60°</c:v>
                </c:pt>
                <c:pt idx="25">
                  <c:v>65°</c:v>
                </c:pt>
                <c:pt idx="26">
                  <c:v>70°</c:v>
                </c:pt>
              </c:strCache>
            </c:strRef>
          </c:cat>
          <c:val>
            <c:numRef>
              <c:f>'5#中底板'!$B$2:$B$28</c:f>
              <c:numCache>
                <c:formatCode>General</c:formatCode>
                <c:ptCount val="27"/>
                <c:pt idx="0">
                  <c:v>0.15656</c:v>
                </c:pt>
                <c:pt idx="1">
                  <c:v>0.1643</c:v>
                </c:pt>
                <c:pt idx="2">
                  <c:v>0.17906</c:v>
                </c:pt>
                <c:pt idx="3">
                  <c:v>0.19191</c:v>
                </c:pt>
                <c:pt idx="4">
                  <c:v>0.19779</c:v>
                </c:pt>
                <c:pt idx="5">
                  <c:v>0.21167</c:v>
                </c:pt>
                <c:pt idx="6">
                  <c:v>0.22993</c:v>
                </c:pt>
                <c:pt idx="7">
                  <c:v>0.2481</c:v>
                </c:pt>
                <c:pt idx="8">
                  <c:v>0.27549</c:v>
                </c:pt>
                <c:pt idx="9">
                  <c:v>0.31466</c:v>
                </c:pt>
                <c:pt idx="10">
                  <c:v>0.36129</c:v>
                </c:pt>
                <c:pt idx="11">
                  <c:v>0.41709</c:v>
                </c:pt>
                <c:pt idx="12">
                  <c:v>0.47492</c:v>
                </c:pt>
                <c:pt idx="13">
                  <c:v>0.537</c:v>
                </c:pt>
                <c:pt idx="14">
                  <c:v>0.60526</c:v>
                </c:pt>
                <c:pt idx="15">
                  <c:v>0.67718</c:v>
                </c:pt>
                <c:pt idx="16">
                  <c:v>0.75247</c:v>
                </c:pt>
                <c:pt idx="17">
                  <c:v>0.8308</c:v>
                </c:pt>
                <c:pt idx="18">
                  <c:v>0.9046</c:v>
                </c:pt>
                <c:pt idx="19">
                  <c:v>0.98745</c:v>
                </c:pt>
                <c:pt idx="20">
                  <c:v>1.077</c:v>
                </c:pt>
                <c:pt idx="21">
                  <c:v>1.15332</c:v>
                </c:pt>
                <c:pt idx="22">
                  <c:v>1.18833</c:v>
                </c:pt>
                <c:pt idx="23">
                  <c:v>1.2149</c:v>
                </c:pt>
                <c:pt idx="24">
                  <c:v>1.22063</c:v>
                </c:pt>
                <c:pt idx="25">
                  <c:v>1.2171</c:v>
                </c:pt>
                <c:pt idx="26">
                  <c:v>1.2853</c:v>
                </c:pt>
              </c:numCache>
            </c:numRef>
          </c:val>
          <c:smooth val="0"/>
        </c:ser>
        <c:dLbls>
          <c:showLegendKey val="0"/>
          <c:showVal val="0"/>
          <c:showCatName val="0"/>
          <c:showSerName val="0"/>
          <c:showPercent val="0"/>
          <c:showBubbleSize val="0"/>
        </c:dLbls>
        <c:marker val="1"/>
        <c:smooth val="0"/>
        <c:axId val="808275424"/>
        <c:axId val="808264000"/>
      </c:lineChart>
      <c:catAx>
        <c:axId val="808275424"/>
        <c:scaling>
          <c:orientation val="minMax"/>
        </c:scaling>
        <c:delete val="0"/>
        <c:axPos val="b"/>
        <c:majorGridlines>
          <c:spPr>
            <a:ln w="9525" cap="flat" cmpd="sng" algn="ctr">
              <a:noFill/>
              <a:round/>
            </a:ln>
            <a:effectLst/>
          </c:spPr>
        </c:majorGridlines>
        <c:title>
          <c:tx>
            <c:rich>
              <a:bodyPr rot="0" spcFirstLastPara="1" vertOverflow="ellipsis" vert="horz" wrap="square" anchor="ctr" anchorCtr="1"/>
              <a:lstStyle/>
              <a:p>
                <a:pPr>
                  <a:defRPr lang="zh-CN" sz="1200" b="0" i="0" u="none" strike="noStrike" kern="1200" cap="all" baseline="0">
                    <a:solidFill>
                      <a:srgbClr val="595959">
                        <a:lumMod val="65000"/>
                        <a:lumOff val="35000"/>
                      </a:srgbClr>
                    </a:solidFill>
                    <a:latin typeface="Times New Roman" panose="02020603050405020304" charset="0"/>
                    <a:ea typeface="宋体" panose="02010600030101010101" charset="-122"/>
                    <a:cs typeface="+mn-cs"/>
                  </a:defRPr>
                </a:pPr>
                <a:r>
                  <a:rPr lang="zh-CN" altLang="zh-CN" sz="1200" b="0" i="0" u="none" strike="noStrike" cap="none" baseline="0">
                    <a:effectLst/>
                    <a:latin typeface="宋体" panose="02010600030101010101" charset="-122"/>
                    <a:ea typeface="宋体" panose="02010600030101010101" charset="-122"/>
                  </a:rPr>
                  <a:t>α</a:t>
                </a:r>
                <a:endParaRPr lang="zh-CN" altLang="en-US" cap="none" baseline="0"/>
              </a:p>
            </c:rich>
          </c:tx>
          <c:layout>
            <c:manualLayout>
              <c:xMode val="edge"/>
              <c:yMode val="edge"/>
              <c:x val="0.9413480730846"/>
              <c:y val="0.635762660384427"/>
            </c:manualLayout>
          </c:layout>
          <c:overlay val="0"/>
          <c:spPr>
            <a:noFill/>
            <a:ln>
              <a:noFill/>
            </a:ln>
            <a:effectLst/>
          </c:spPr>
        </c:title>
        <c:numFmt formatCode="General" sourceLinked="1"/>
        <c:majorTickMark val="in"/>
        <c:minorTickMark val="none"/>
        <c:tickLblPos val="nextTo"/>
        <c:spPr>
          <a:noFill/>
          <a:ln w="9525" cap="flat" cmpd="sng" algn="ctr">
            <a:solidFill>
              <a:srgbClr val="000000"/>
            </a:solidFill>
            <a:round/>
          </a:ln>
          <a:effectLst/>
        </c:spPr>
        <c:txPr>
          <a:bodyPr rot="-60000000" spcFirstLastPara="1" vertOverflow="ellipsis" vert="horz" wrap="square" anchor="ctr" anchorCtr="1"/>
          <a:lstStyle/>
          <a:p>
            <a:pPr>
              <a:defRPr lang="zh-CN" sz="1200" b="0" i="0" u="none" strike="noStrike" kern="1200" cap="all" spc="120" normalizeH="0" baseline="0">
                <a:solidFill>
                  <a:srgbClr val="595959">
                    <a:lumMod val="65000"/>
                    <a:lumOff val="35000"/>
                  </a:srgbClr>
                </a:solidFill>
                <a:latin typeface="Times New Roman" panose="02020603050405020304" charset="0"/>
                <a:ea typeface="宋体" panose="02010600030101010101" charset="-122"/>
                <a:cs typeface="+mn-cs"/>
              </a:defRPr>
            </a:pPr>
          </a:p>
        </c:txPr>
        <c:crossAx val="808264000"/>
        <c:crosses val="autoZero"/>
        <c:auto val="1"/>
        <c:lblAlgn val="ctr"/>
        <c:lblOffset val="100"/>
        <c:tickLblSkip val="2"/>
        <c:tickMarkSkip val="2"/>
        <c:noMultiLvlLbl val="0"/>
      </c:catAx>
      <c:valAx>
        <c:axId val="808264000"/>
        <c:scaling>
          <c:orientation val="minMax"/>
        </c:scaling>
        <c:delete val="0"/>
        <c:axPos val="l"/>
        <c:majorGridlines>
          <c:spPr>
            <a:ln w="9525" cap="flat" cmpd="sng" algn="ctr">
              <a:noFill/>
              <a:round/>
            </a:ln>
            <a:effectLst/>
          </c:spPr>
        </c:majorGridlines>
        <c:title>
          <c:tx>
            <c:rich>
              <a:bodyPr rot="0" spcFirstLastPara="1" vertOverflow="ellipsis" vert="horz" wrap="square" anchor="ctr" anchorCtr="1"/>
              <a:lstStyle/>
              <a:p>
                <a:pPr>
                  <a:defRPr lang="zh-CN" sz="1200" b="0" i="0" u="none" strike="noStrike" kern="1200" cap="all" baseline="0">
                    <a:solidFill>
                      <a:srgbClr val="595959">
                        <a:lumMod val="65000"/>
                        <a:lumOff val="35000"/>
                      </a:srgbClr>
                    </a:solidFill>
                    <a:latin typeface="Times New Roman" panose="02020603050405020304" charset="0"/>
                    <a:ea typeface="宋体" panose="02010600030101010101" charset="-122"/>
                    <a:cs typeface="+mn-cs"/>
                  </a:defRPr>
                </a:pPr>
                <a:r>
                  <a:rPr lang="en-US"/>
                  <a:t>C</a:t>
                </a:r>
                <a:r>
                  <a:rPr lang="en-US" sz="800" cap="none" baseline="0"/>
                  <a:t>x</a:t>
                </a:r>
                <a:r>
                  <a:rPr lang="zh-CN"/>
                  <a:t>，</a:t>
                </a:r>
                <a:r>
                  <a:rPr lang="en-US"/>
                  <a:t>C</a:t>
                </a:r>
                <a:r>
                  <a:rPr lang="en-US" sz="800" cap="none" baseline="0"/>
                  <a:t>y</a:t>
                </a:r>
                <a:endParaRPr lang="zh-CN" sz="800" cap="none" baseline="0"/>
              </a:p>
            </c:rich>
          </c:tx>
          <c:layout>
            <c:manualLayout>
              <c:xMode val="edge"/>
              <c:yMode val="edge"/>
              <c:x val="0.043076956084411"/>
              <c:y val="0.0296457256147703"/>
            </c:manualLayout>
          </c:layout>
          <c:overlay val="0"/>
          <c:spPr>
            <a:noFill/>
            <a:ln>
              <a:noFill/>
            </a:ln>
            <a:effectLst/>
          </c:spPr>
        </c:title>
        <c:numFmt formatCode="General" sourceLinked="1"/>
        <c:majorTickMark val="out"/>
        <c:minorTickMark val="none"/>
        <c:tickLblPos val="nextTo"/>
        <c:spPr>
          <a:noFill/>
          <a:ln w="9525" cap="flat" cmpd="sng" algn="ctr">
            <a:solidFill>
              <a:srgbClr val="000000"/>
            </a:solidFill>
            <a:round/>
          </a:ln>
          <a:effectLst/>
        </c:spPr>
        <c:txPr>
          <a:bodyPr rot="-60000000" spcFirstLastPara="1" vertOverflow="ellipsis" vert="horz" wrap="square" anchor="ctr" anchorCtr="1"/>
          <a:lstStyle/>
          <a:p>
            <a:pPr>
              <a:defRPr lang="zh-CN" sz="1200" b="0" i="0" u="none" strike="noStrike" kern="1200" baseline="0">
                <a:solidFill>
                  <a:srgbClr val="595959">
                    <a:lumMod val="65000"/>
                    <a:lumOff val="35000"/>
                  </a:srgbClr>
                </a:solidFill>
                <a:latin typeface="Times New Roman" panose="02020603050405020304" charset="0"/>
                <a:ea typeface="宋体" panose="02010600030101010101" charset="-122"/>
                <a:cs typeface="+mn-cs"/>
              </a:defRPr>
            </a:pPr>
          </a:p>
        </c:txPr>
        <c:crossAx val="808275424"/>
        <c:crosses val="autoZero"/>
        <c:crossBetween val="between"/>
      </c:valAx>
      <c:spPr>
        <a:noFill/>
        <a:ln>
          <a:noFill/>
        </a:ln>
        <a:effectLst/>
      </c:spPr>
    </c:plotArea>
    <c:legend>
      <c:legendPos val="t"/>
      <c:layout>
        <c:manualLayout>
          <c:xMode val="edge"/>
          <c:yMode val="edge"/>
          <c:x val="0.00598802395209581"/>
          <c:y val="0.858457493426819"/>
          <c:w val="0.347151850145862"/>
          <c:h val="0.116783523225241"/>
        </c:manualLayout>
      </c:layout>
      <c:overlay val="0"/>
      <c:spPr>
        <a:noFill/>
        <a:ln>
          <a:noFill/>
        </a:ln>
        <a:effectLst/>
      </c:spPr>
      <c:txPr>
        <a:bodyPr rot="0" spcFirstLastPara="1" vertOverflow="ellipsis" vert="horz" wrap="square" anchor="ctr" anchorCtr="1"/>
        <a:lstStyle/>
        <a:p>
          <a:pPr>
            <a:defRPr lang="zh-CN" sz="1200" b="0" i="0" u="none" strike="noStrike" kern="1200" baseline="0">
              <a:solidFill>
                <a:srgbClr val="595959">
                  <a:lumMod val="65000"/>
                  <a:lumOff val="35000"/>
                </a:srgbClr>
              </a:solidFill>
              <a:latin typeface="Times New Roman" panose="02020603050405020304" charset="0"/>
              <a:ea typeface="宋体" panose="02010600030101010101" charset="-122"/>
              <a:cs typeface="+mn-cs"/>
            </a:defRPr>
          </a:pPr>
        </a:p>
      </c:txPr>
    </c:legend>
    <c:plotVisOnly val="1"/>
    <c:dispBlanksAs val="gap"/>
    <c:showDLblsOverMax val="0"/>
  </c:chart>
  <c:spPr>
    <a:solidFill>
      <a:srgbClr val="FFFFFF"/>
    </a:solidFill>
    <a:ln w="9525" cap="flat" cmpd="sng" algn="ctr">
      <a:solidFill>
        <a:srgbClr val="D9D9D9">
          <a:lumMod val="15000"/>
          <a:lumOff val="85000"/>
        </a:srgbClr>
      </a:solidFill>
      <a:round/>
    </a:ln>
    <a:effectLst/>
  </c:spPr>
  <c:txPr>
    <a:bodyPr/>
    <a:lstStyle/>
    <a:p>
      <a:pPr>
        <a:defRPr lang="zh-CN" sz="1200" baseline="0">
          <a:latin typeface="Times New Roman" panose="02020603050405020304" charset="0"/>
          <a:ea typeface="宋体" panose="02010600030101010101" charset="-122"/>
        </a:defRPr>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rgbClr val="4F81BD"/>
  <a:srgbClr val="C0504D"/>
  <a:srgbClr val="9BBB59"/>
  <a:srgbClr val="8064A2"/>
  <a:srgbClr val="4BACC6"/>
  <a:srgbClr val="F7964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39">
  <cs:axisTitle>
    <cs:lnRef idx="0"/>
    <cs:fillRef idx="0"/>
    <cs:effectRef idx="0"/>
    <cs:fontRef idx="minor">
      <a:srgbClr val="595959">
        <a:lumMod val="65000"/>
        <a:lumOff val="35000"/>
      </a:srgbClr>
    </cs:fontRef>
    <cs:defRPr sz="900" kern="1200" cap="all"/>
  </cs:axisTitle>
  <cs:categoryAxis>
    <cs:lnRef idx="0"/>
    <cs:fillRef idx="0"/>
    <cs:effectRef idx="0"/>
    <cs:fontRef idx="minor">
      <a:srgbClr val="595959">
        <a:lumMod val="65000"/>
        <a:lumOff val="35000"/>
      </a:srgbClr>
    </cs:fontRef>
    <cs:spPr>
      <a:ln w="9525" cap="flat" cmpd="sng" algn="ctr">
        <a:solidFill>
          <a:srgbClr val="D9D9D9">
            <a:lumMod val="15000"/>
            <a:lumOff val="85000"/>
          </a:srgbClr>
        </a:solidFill>
        <a:round/>
      </a:ln>
    </cs:spPr>
    <cs:defRPr sz="800" kern="1200" cap="all" spc="120" normalizeH="0" baseline="0"/>
  </cs:categoryAxis>
  <cs:chartArea mods="allowNoFillOverride allowNoLineOverride">
    <cs:lnRef idx="0"/>
    <cs:fillRef idx="0"/>
    <cs:effectRef idx="0"/>
    <cs:fontRef idx="minor">
      <a:srgbClr val="000000"/>
    </cs:fontRef>
    <cs:spPr>
      <a:solidFill>
        <a:srgbClr val="FFFFFF"/>
      </a:solidFill>
      <a:ln w="9525" cap="flat" cmpd="sng" algn="ctr">
        <a:solidFill>
          <a:srgbClr val="D9D9D9">
            <a:lumMod val="15000"/>
            <a:lumOff val="85000"/>
          </a:srgbClr>
        </a:solidFill>
        <a:round/>
      </a:ln>
    </cs:spPr>
    <cs:defRPr sz="900" kern="1200"/>
  </cs:chartArea>
  <cs:dataLabel>
    <cs:lnRef idx="0"/>
    <cs:fillRef idx="0"/>
    <cs:effectRef idx="0"/>
    <cs:fontRef idx="minor">
      <a:srgbClr val="808080">
        <a:lumMod val="50000"/>
        <a:lumOff val="50000"/>
      </a:srgbClr>
    </cs:fontRef>
    <cs:defRPr sz="900" b="0" i="0" u="none" strike="noStrike" kern="1200" baseline="0"/>
  </cs:dataLabel>
  <cs:dataLabelCallout>
    <cs:lnRef idx="0"/>
    <cs:fillRef idx="0"/>
    <cs:effectRef idx="0"/>
    <cs:fontRef idx="minor">
      <a:srgbClr val="595959">
        <a:lumMod val="65000"/>
        <a:lumOff val="35000"/>
      </a:srgbClr>
    </cs:fontRef>
    <cs:spPr>
      <a:solidFill>
        <a:srgbClr val="FFFFFF"/>
      </a:solidFill>
      <a:ln>
        <a:solidFill>
          <a:srgbClr val="BFBFBF">
            <a:lumMod val="25000"/>
            <a:lumOff val="75000"/>
          </a:srgb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rgbClr val="000000"/>
    </cs:fontRef>
    <cs:spPr>
      <a:solidFill>
        <a:srgbClr val="FFFFFF"/>
      </a:solidFill>
    </cs:spPr>
  </cs:dataPoint>
  <cs:dataPoint3D>
    <cs:lnRef idx="0"/>
    <cs:fillRef idx="0">
      <cs:styleClr val="auto"/>
    </cs:fillRef>
    <cs:effectRef idx="0"/>
    <cs:fontRef idx="minor">
      <a:srgbClr val="000000"/>
    </cs:fontRef>
    <cs:spPr>
      <a:solidFill>
        <a:srgbClr val="FFFFFF"/>
      </a:solidFill>
    </cs:spPr>
  </cs:dataPoint3D>
  <cs:dataPointLine>
    <cs:lnRef idx="0">
      <cs:styleClr val="auto"/>
    </cs:lnRef>
    <cs:fillRef idx="0"/>
    <cs:effectRef idx="0"/>
    <cs:fontRef idx="minor">
      <a:srgbClr val="000000"/>
    </cs:fontRef>
    <cs:spPr>
      <a:ln w="22225" cap="rnd">
        <a:solidFill>
          <a:srgbClr val="FFFFFF"/>
        </a:solidFill>
        <a:round/>
      </a:ln>
    </cs:spPr>
  </cs:dataPointLine>
  <cs:dataPointMarker>
    <cs:lnRef idx="0">
      <cs:styleClr val="auto"/>
    </cs:lnRef>
    <cs:fillRef idx="0">
      <cs:styleClr val="auto"/>
    </cs:fillRef>
    <cs:effectRef idx="0"/>
    <cs:fontRef idx="minor">
      <a:srgbClr val="000000"/>
    </cs:fontRef>
    <cs:spPr>
      <a:solidFill>
        <a:srgbClr val="FFFFFF"/>
      </a:solidFill>
      <a:ln w="9525">
        <a:solidFill>
          <a:srgbClr val="FFFFFF"/>
        </a:solidFill>
        <a:round/>
      </a:ln>
    </cs:spPr>
  </cs:dataPointMarker>
  <cs:dataPointMarkerLayout size="6"/>
  <cs:dataPointWireframe>
    <cs:lnRef idx="0">
      <cs:styleClr val="auto"/>
    </cs:lnRef>
    <cs:fillRef idx="0"/>
    <cs:effectRef idx="0"/>
    <cs:fontRef idx="minor">
      <a:srgbClr val="000000"/>
    </cs:fontRef>
    <cs:spPr>
      <a:ln w="9525" cap="rnd">
        <a:solidFill>
          <a:srgbClr val="FFFFFF"/>
        </a:solidFill>
        <a:round/>
      </a:ln>
    </cs:spPr>
  </cs:dataPointWireframe>
  <cs:dataTable>
    <cs:lnRef idx="0"/>
    <cs:fillRef idx="0"/>
    <cs:effectRef idx="0"/>
    <cs:fontRef idx="minor">
      <a:srgbClr val="595959">
        <a:lumMod val="65000"/>
        <a:lumOff val="35000"/>
      </a:srgbClr>
    </cs:fontRef>
    <cs:spPr>
      <a:ln w="9525">
        <a:solidFill>
          <a:srgbClr val="D9D9D9">
            <a:lumMod val="15000"/>
            <a:lumOff val="85000"/>
          </a:srgbClr>
        </a:solidFill>
      </a:ln>
    </cs:spPr>
    <cs:defRPr sz="900" kern="1200"/>
  </cs:dataTable>
  <cs:downBar>
    <cs:lnRef idx="0"/>
    <cs:fillRef idx="0"/>
    <cs:effectRef idx="0"/>
    <cs:fontRef idx="minor">
      <a:srgbClr val="000000"/>
    </cs:fontRef>
    <cs:spPr>
      <a:solidFill>
        <a:srgbClr val="404040">
          <a:lumMod val="75000"/>
          <a:lumOff val="25000"/>
        </a:srgbClr>
      </a:solidFill>
      <a:ln w="9525">
        <a:solidFill>
          <a:srgbClr val="D9D9D9">
            <a:lumMod val="15000"/>
            <a:lumOff val="85000"/>
          </a:srgbClr>
        </a:solidFill>
      </a:ln>
    </cs:spPr>
  </cs:downBar>
  <cs:dropLine>
    <cs:lnRef idx="0"/>
    <cs:fillRef idx="0"/>
    <cs:effectRef idx="0"/>
    <cs:fontRef idx="minor">
      <a:srgbClr val="000000"/>
    </cs:fontRef>
    <cs:spPr>
      <a:ln w="9525">
        <a:solidFill>
          <a:srgbClr val="A6A6A6">
            <a:lumMod val="35000"/>
            <a:lumOff val="65000"/>
          </a:srgbClr>
        </a:solidFill>
      </a:ln>
    </cs:spPr>
  </cs:dropLine>
  <cs:errorBar>
    <cs:lnRef idx="0"/>
    <cs:fillRef idx="0"/>
    <cs:effectRef idx="0"/>
    <cs:fontRef idx="minor">
      <a:srgbClr val="000000"/>
    </cs:fontRef>
    <cs:spPr>
      <a:ln w="9525">
        <a:solidFill>
          <a:srgbClr val="595959">
            <a:lumMod val="65000"/>
            <a:lumOff val="35000"/>
          </a:srgbClr>
        </a:solidFill>
        <a:round/>
      </a:ln>
    </cs:spPr>
  </cs:errorBar>
  <cs:floor>
    <cs:lnRef idx="0"/>
    <cs:fillRef idx="0"/>
    <cs:effectRef idx="0"/>
    <cs:fontRef idx="minor">
      <a:srgbClr val="000000"/>
    </cs:fontRef>
  </cs:floor>
  <cs:gridlineMajor>
    <cs:lnRef idx="0"/>
    <cs:fillRef idx="0"/>
    <cs:effectRef idx="0"/>
    <cs:fontRef idx="minor">
      <a:srgbClr val="000000"/>
    </cs:fontRef>
    <cs:spPr>
      <a:ln w="9525" cap="flat" cmpd="sng" algn="ctr">
        <a:solidFill>
          <a:srgbClr val="D9D9D9">
            <a:lumMod val="15000"/>
            <a:lumOff val="85000"/>
          </a:srgbClr>
        </a:solidFill>
        <a:round/>
      </a:ln>
    </cs:spPr>
  </cs:gridlineMajor>
  <cs:gridlineMinor>
    <cs:lnRef idx="0"/>
    <cs:fillRef idx="0"/>
    <cs:effectRef idx="0"/>
    <cs:fontRef idx="minor">
      <a:srgbClr val="000000"/>
    </cs:fontRef>
    <cs:spPr>
      <a:ln>
        <a:solidFill>
          <a:srgbClr val="F2F2F2">
            <a:lumMod val="5000"/>
            <a:lumOff val="95000"/>
          </a:srgbClr>
        </a:solidFill>
      </a:ln>
    </cs:spPr>
  </cs:gridlineMinor>
  <cs:hiLoLine>
    <cs:lnRef idx="0"/>
    <cs:fillRef idx="0"/>
    <cs:effectRef idx="0"/>
    <cs:fontRef idx="minor">
      <a:srgbClr val="000000"/>
    </cs:fontRef>
    <cs:spPr>
      <a:ln w="9525">
        <a:solidFill>
          <a:srgbClr val="808080">
            <a:lumMod val="50000"/>
            <a:lumOff val="50000"/>
          </a:srgbClr>
        </a:solidFill>
      </a:ln>
    </cs:spPr>
  </cs:hiLoLine>
  <cs:leaderLine>
    <cs:lnRef idx="0"/>
    <cs:fillRef idx="0"/>
    <cs:effectRef idx="0"/>
    <cs:fontRef idx="minor">
      <a:srgbClr val="000000"/>
    </cs:fontRef>
    <cs:spPr>
      <a:ln w="9525">
        <a:solidFill>
          <a:srgbClr val="A6A6A6">
            <a:lumMod val="35000"/>
            <a:lumOff val="65000"/>
          </a:srgbClr>
        </a:solidFill>
      </a:ln>
    </cs:spPr>
  </cs:leaderLine>
  <cs:legend>
    <cs:lnRef idx="0"/>
    <cs:fillRef idx="0"/>
    <cs:effectRef idx="0"/>
    <cs:fontRef idx="minor">
      <a:srgbClr val="595959">
        <a:lumMod val="65000"/>
        <a:lumOff val="35000"/>
      </a:srgbClr>
    </cs:fontRef>
    <cs:defRPr sz="900" kern="1200"/>
  </cs:legend>
  <cs:plotArea mods="allowNoFillOverride allowNoLineOverride">
    <cs:lnRef idx="0"/>
    <cs:fillRef idx="0"/>
    <cs:effectRef idx="0"/>
    <cs:fontRef idx="minor">
      <a:srgbClr val="000000"/>
    </cs:fontRef>
  </cs:plotArea>
  <cs:plotArea3D mods="allowNoFillOverride allowNoLineOverride">
    <cs:lnRef idx="0"/>
    <cs:fillRef idx="0"/>
    <cs:effectRef idx="0"/>
    <cs:fontRef idx="minor">
      <a:srgbClr val="000000"/>
    </cs:fontRef>
  </cs:plotArea3D>
  <cs:seriesAxis>
    <cs:lnRef idx="0"/>
    <cs:fillRef idx="0"/>
    <cs:effectRef idx="0"/>
    <cs:fontRef idx="minor">
      <a:srgbClr val="595959">
        <a:lumMod val="65000"/>
        <a:lumOff val="35000"/>
      </a:srgbClr>
    </cs:fontRef>
    <cs:spPr>
      <a:ln w="9525" cap="flat" cmpd="sng" algn="ctr">
        <a:solidFill>
          <a:srgbClr val="D9D9D9">
            <a:lumMod val="15000"/>
            <a:lumOff val="85000"/>
          </a:srgbClr>
        </a:solidFill>
        <a:round/>
      </a:ln>
    </cs:spPr>
    <cs:defRPr sz="900" kern="1200"/>
  </cs:seriesAxis>
  <cs:seriesLine>
    <cs:lnRef idx="0"/>
    <cs:fillRef idx="0"/>
    <cs:effectRef idx="0"/>
    <cs:fontRef idx="minor">
      <a:srgbClr val="000000"/>
    </cs:fontRef>
    <cs:spPr>
      <a:ln w="9525">
        <a:solidFill>
          <a:srgbClr val="A6A6A6">
            <a:lumMod val="35000"/>
            <a:lumOff val="65000"/>
          </a:srgbClr>
        </a:solidFill>
        <a:round/>
      </a:ln>
    </cs:spPr>
  </cs:seriesLine>
  <cs:title>
    <cs:lnRef idx="0"/>
    <cs:fillRef idx="0"/>
    <cs:effectRef idx="0"/>
    <cs:fontRef idx="minor">
      <a:srgbClr val="595959">
        <a:lumMod val="65000"/>
        <a:lumOff val="35000"/>
      </a:srgbClr>
    </cs:fontRef>
    <cs:defRPr sz="1600" b="1" kern="1200" cap="all" spc="120" normalizeH="0" baseline="0"/>
  </cs:title>
  <cs:trendline>
    <cs:lnRef idx="0">
      <cs:styleClr val="auto"/>
    </cs:lnRef>
    <cs:fillRef idx="0"/>
    <cs:effectRef idx="0"/>
    <cs:fontRef idx="minor">
      <a:srgbClr val="000000"/>
    </cs:fontRef>
    <cs:spPr>
      <a:ln w="19050" cap="rnd">
        <a:solidFill>
          <a:srgbClr val="FFFFFF"/>
        </a:solidFill>
        <a:prstDash val="sysDash"/>
      </a:ln>
    </cs:spPr>
  </cs:trendline>
  <cs:trendlineLabel>
    <cs:lnRef idx="0"/>
    <cs:fillRef idx="0"/>
    <cs:effectRef idx="0"/>
    <cs:fontRef idx="minor">
      <a:srgbClr val="595959">
        <a:lumMod val="65000"/>
        <a:lumOff val="35000"/>
      </a:srgbClr>
    </cs:fontRef>
    <cs:defRPr sz="800" kern="1200"/>
  </cs:trendlineLabel>
  <cs:upBar>
    <cs:lnRef idx="0"/>
    <cs:fillRef idx="0"/>
    <cs:effectRef idx="0"/>
    <cs:fontRef idx="minor">
      <a:srgbClr val="000000"/>
    </cs:fontRef>
    <cs:spPr>
      <a:solidFill>
        <a:srgbClr val="FFFFFF"/>
      </a:solidFill>
      <a:ln w="9525">
        <a:solidFill>
          <a:srgbClr val="595959">
            <a:lumMod val="65000"/>
            <a:lumOff val="35000"/>
          </a:srgbClr>
        </a:solidFill>
      </a:ln>
    </cs:spPr>
  </cs:upBar>
  <cs:valueAxis>
    <cs:lnRef idx="0"/>
    <cs:fillRef idx="0"/>
    <cs:effectRef idx="0"/>
    <cs:fontRef idx="minor">
      <a:srgbClr val="595959">
        <a:lumMod val="65000"/>
        <a:lumOff val="35000"/>
      </a:srgbClr>
    </cs:fontRef>
    <cs:spPr>
      <a:ln w="9525" cap="flat" cmpd="sng" algn="ctr">
        <a:solidFill>
          <a:srgbClr val="D9D9D9">
            <a:lumMod val="15000"/>
            <a:lumOff val="85000"/>
          </a:srgbClr>
        </a:solidFill>
        <a:round/>
      </a:ln>
    </cs:spPr>
    <cs:defRPr sz="900" kern="1200"/>
  </cs:valueAxis>
  <cs:wall>
    <cs:lnRef idx="0"/>
    <cs:fillRef idx="0"/>
    <cs:effectRef idx="0"/>
    <cs:fontRef idx="minor">
      <a:srgbClr val="000000"/>
    </cs:fontRef>
  </cs:wall>
</cs:chartStyle>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F30C314A67648709499E23267A2C520"/>
        <w:style w:val=""/>
        <w:category>
          <w:name w:val="常规"/>
          <w:gallery w:val="placeholder"/>
        </w:category>
        <w:types>
          <w:type w:val="bbPlcHdr"/>
        </w:types>
        <w:behaviors>
          <w:behavior w:val="content"/>
        </w:behaviors>
        <w:description w:val=""/>
        <w:guid w:val="{36599301-D0D2-4F74-A694-4C6EDBB1C35F}"/>
      </w:docPartPr>
      <w:docPartBody>
        <w:p>
          <w:pPr>
            <w:pStyle w:val="5"/>
          </w:pPr>
          <w:r>
            <w:rPr>
              <w:rStyle w:val="4"/>
              <w:rFonts w:hint="eastAsia"/>
            </w:rPr>
            <w:t>单击或点击此处输入文字。</w:t>
          </w:r>
        </w:p>
      </w:docPartBody>
    </w:docPart>
    <w:docPart>
      <w:docPartPr>
        <w:name w:val="9792EDCE5C1E455A9583DFD015A4D148"/>
        <w:style w:val=""/>
        <w:category>
          <w:name w:val="常规"/>
          <w:gallery w:val="placeholder"/>
        </w:category>
        <w:types>
          <w:type w:val="bbPlcHdr"/>
        </w:types>
        <w:behaviors>
          <w:behavior w:val="content"/>
        </w:behaviors>
        <w:description w:val=""/>
        <w:guid w:val="{EDCC74E1-A75F-447F-9E75-ADFC26BBCA67}"/>
      </w:docPartPr>
      <w:docPartBody>
        <w:p>
          <w:pPr>
            <w:pStyle w:val="6"/>
          </w:pPr>
          <w:r>
            <w:rPr>
              <w:rStyle w:val="4"/>
              <w:rFonts w:hint="eastAsia"/>
            </w:rPr>
            <w:t>选择一项。</w:t>
          </w:r>
        </w:p>
      </w:docPartBody>
    </w:docPart>
    <w:docPart>
      <w:docPartPr>
        <w:name w:val="BF35F0FE128D424DA42F4E3EE40F0593"/>
        <w:style w:val=""/>
        <w:category>
          <w:name w:val="常规"/>
          <w:gallery w:val="placeholder"/>
        </w:category>
        <w:types>
          <w:type w:val="bbPlcHdr"/>
        </w:types>
        <w:behaviors>
          <w:behavior w:val="content"/>
        </w:behaviors>
        <w:description w:val=""/>
        <w:guid w:val="{DBAD0B51-6533-4241-B970-B610CC83E55D}"/>
      </w:docPartPr>
      <w:docPartBody>
        <w:p>
          <w:pPr>
            <w:pStyle w:val="9"/>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A96"/>
    <w:rsid w:val="000C6EBB"/>
    <w:rsid w:val="000E6483"/>
    <w:rsid w:val="001768AD"/>
    <w:rsid w:val="002607BD"/>
    <w:rsid w:val="0028683C"/>
    <w:rsid w:val="003976CC"/>
    <w:rsid w:val="003A33FD"/>
    <w:rsid w:val="00435C64"/>
    <w:rsid w:val="00486321"/>
    <w:rsid w:val="004B4A63"/>
    <w:rsid w:val="005107C2"/>
    <w:rsid w:val="00533DD1"/>
    <w:rsid w:val="005A46F3"/>
    <w:rsid w:val="005D1930"/>
    <w:rsid w:val="00625590"/>
    <w:rsid w:val="006D183E"/>
    <w:rsid w:val="006E21A3"/>
    <w:rsid w:val="007206D5"/>
    <w:rsid w:val="007748F1"/>
    <w:rsid w:val="007806CF"/>
    <w:rsid w:val="007B6858"/>
    <w:rsid w:val="007F4CA1"/>
    <w:rsid w:val="00873C8C"/>
    <w:rsid w:val="008A4BB9"/>
    <w:rsid w:val="008E55E8"/>
    <w:rsid w:val="0092517C"/>
    <w:rsid w:val="0093355E"/>
    <w:rsid w:val="009C3349"/>
    <w:rsid w:val="009C4010"/>
    <w:rsid w:val="00A1085D"/>
    <w:rsid w:val="00A64675"/>
    <w:rsid w:val="00A97A96"/>
    <w:rsid w:val="00B15CB7"/>
    <w:rsid w:val="00BF3107"/>
    <w:rsid w:val="00C675DB"/>
    <w:rsid w:val="00C726B0"/>
    <w:rsid w:val="00CE0DD7"/>
    <w:rsid w:val="00DC3A88"/>
    <w:rsid w:val="00DD4BFD"/>
    <w:rsid w:val="00DF3D07"/>
    <w:rsid w:val="00E25B6C"/>
    <w:rsid w:val="00E844AD"/>
    <w:rsid w:val="00EA28A0"/>
    <w:rsid w:val="00F06967"/>
    <w:rsid w:val="00F1439C"/>
    <w:rsid w:val="00F17E3C"/>
    <w:rsid w:val="00F30A0D"/>
    <w:rsid w:val="00F516C8"/>
    <w:rsid w:val="00FF3B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6F30C314A67648709499E23267A2C52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9792EDCE5C1E455A9583DFD015A4D14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0E1E7F258F2B4861B4AE6763B0EA728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5FF4EF7B8A6B40488A319FC6451D044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
    <w:name w:val="BF35F0FE128D424DA42F4E3EE40F0593"/>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rgbClr val="FFFFFF"/>
      </a:solidFill>
      <a:gradFill rotWithShape="1">
        <a:gsLst>
          <a:gs pos="0">
            <a:srgbClr val="FFFFFF">
              <a:lumMod val="110000"/>
              <a:satMod val="105000"/>
              <a:tint val="67000"/>
            </a:srgbClr>
          </a:gs>
          <a:gs pos="50000">
            <a:srgbClr val="FFFFFF">
              <a:lumMod val="105000"/>
              <a:satMod val="103000"/>
              <a:tint val="73000"/>
            </a:srgbClr>
          </a:gs>
          <a:gs pos="100000">
            <a:srgbClr val="FFFFFF">
              <a:lumMod val="105000"/>
              <a:satMod val="109000"/>
              <a:tint val="81000"/>
            </a:srgbClr>
          </a:gs>
        </a:gsLst>
        <a:lin ang="5400000" scaled="0"/>
      </a:gradFill>
      <a:gradFill rotWithShape="1">
        <a:gsLst>
          <a:gs pos="0">
            <a:srgbClr val="FFFFFF">
              <a:satMod val="103000"/>
              <a:lumMod val="102000"/>
              <a:tint val="94000"/>
            </a:srgbClr>
          </a:gs>
          <a:gs pos="50000">
            <a:srgbClr val="FFFFFF">
              <a:satMod val="110000"/>
              <a:lumMod val="100000"/>
              <a:shade val="100000"/>
            </a:srgbClr>
          </a:gs>
          <a:gs pos="100000">
            <a:srgbClr val="E2E2E2">
              <a:lumMod val="99000"/>
              <a:satMod val="120000"/>
              <a:shade val="78000"/>
            </a:srgbClr>
          </a:gs>
        </a:gsLst>
        <a:lin ang="5400000" scaled="0"/>
      </a:gradFill>
    </a:fillStyleLst>
    <a:lnStyleLst>
      <a:ln w="6350" cap="flat" cmpd="sng" algn="ctr">
        <a:solidFill>
          <a:srgbClr val="FFFFFF"/>
        </a:solidFill>
        <a:prstDash val="solid"/>
        <a:miter lim="800000"/>
      </a:ln>
      <a:ln w="12700" cap="flat" cmpd="sng" algn="ctr">
        <a:solidFill>
          <a:srgbClr val="FFFFFF"/>
        </a:solidFill>
        <a:prstDash val="solid"/>
        <a:miter lim="800000"/>
      </a:ln>
      <a:ln w="19050" cap="flat" cmpd="sng" algn="ctr">
        <a:solidFill>
          <a:srgbClr val="FFFFFF"/>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rgbClr val="FFFFFF"/>
      </a:solidFill>
      <a:solidFill>
        <a:srgbClr val="FFFFFF">
          <a:tint val="95000"/>
          <a:satMod val="170000"/>
        </a:srgbClr>
      </a:solidFill>
      <a:gradFill rotWithShape="1">
        <a:gsLst>
          <a:gs pos="0">
            <a:srgbClr val="FFFFFF">
              <a:tint val="93000"/>
              <a:satMod val="150000"/>
              <a:shade val="98000"/>
              <a:lumMod val="102000"/>
            </a:srgbClr>
          </a:gs>
          <a:gs pos="50000">
            <a:srgbClr val="FBFBFB">
              <a:tint val="98000"/>
              <a:satMod val="130000"/>
              <a:shade val="90000"/>
              <a:lumMod val="103000"/>
            </a:srgbClr>
          </a:gs>
          <a:gs pos="100000">
            <a:srgbClr val="D0D0D0">
              <a:shade val="63000"/>
              <a:satMod val="120000"/>
            </a:srgb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3A9FC5-B2F7-4F4D-BFA2-277440C9D8D5}">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2132</Words>
  <Characters>2631</Characters>
  <Lines>39</Lines>
  <Paragraphs>11</Paragraphs>
  <TotalTime>8</TotalTime>
  <ScaleCrop>false</ScaleCrop>
  <LinksUpToDate>false</LinksUpToDate>
  <CharactersWithSpaces>3247</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2022-08-01T08:37:00Z</dcterms:created>
  <dc:creator>Administrator</dc:creator>
  <dc:description>&lt;config cover="true" show_menu="true" version="1.0.0" doctype="SDKXY"&gt;_x000d_
&lt;/config&gt;</dc:description>
  <cp:lastModifiedBy>Andy冯</cp:lastModifiedBy>
  <cp:lastPrinted>2022-08-16T08:54:00Z</cp:lastPrinted>
  <dcterms:modified xsi:type="dcterms:W3CDTF">2022-09-20T09:35:55Z</dcterms:modified>
  <dc:title>地方标准</dc:title>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_DocHome">
    <vt:i4>470454266</vt:i4>
  </property>
  <property fmtid="{D5CDD505-2E9C-101B-9397-08002B2CF9AE}" pid="15" name="KSOProductBuildVer">
    <vt:lpwstr>2052-11.1.0.12358</vt:lpwstr>
  </property>
  <property fmtid="{D5CDD505-2E9C-101B-9397-08002B2CF9AE}" pid="16" name="ICV">
    <vt:lpwstr>149608E72FF24230A4FB6D231FAB56B4</vt:lpwstr>
  </property>
</Properties>
</file>