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64"/>
        <w:ind w:left="170"/>
        <w:rPr>
          <w:rFonts w:hint="eastAsia" w:ascii="黑体" w:eastAsia="黑体"/>
        </w:rPr>
      </w:pPr>
      <w:r>
        <w:rPr>
          <w:rFonts w:ascii="Times New Roman" w:eastAsia="Times New Roman"/>
          <w:position w:val="2"/>
        </w:rPr>
        <w:t>ICS</w:t>
      </w:r>
      <w:r>
        <w:rPr>
          <w:rFonts w:ascii="Times New Roman" w:eastAsia="Times New Roman"/>
          <w:spacing w:val="6"/>
          <w:position w:val="2"/>
        </w:rPr>
        <w:t xml:space="preserve">   </w:t>
      </w:r>
      <w:r>
        <w:rPr>
          <w:rFonts w:hint="eastAsia" w:ascii="黑体" w:eastAsia="黑体"/>
          <w:spacing w:val="-8"/>
        </w:rPr>
        <w:t xml:space="preserve">点击此处添加 </w:t>
      </w:r>
      <w:r>
        <w:rPr>
          <w:rFonts w:hint="eastAsia" w:ascii="黑体" w:eastAsia="黑体"/>
        </w:rPr>
        <w:t>ICS</w:t>
      </w:r>
      <w:r>
        <w:rPr>
          <w:rFonts w:hint="eastAsia" w:ascii="黑体" w:eastAsia="黑体"/>
          <w:spacing w:val="-28"/>
        </w:rPr>
        <w:t xml:space="preserve"> 号</w:t>
      </w:r>
    </w:p>
    <w:p>
      <w:pPr>
        <w:pStyle w:val="3"/>
        <w:spacing w:before="37"/>
        <w:ind w:left="170"/>
        <w:rPr>
          <w:rFonts w:hint="eastAsia" w:ascii="黑体" w:eastAsia="黑体"/>
        </w:rPr>
      </w:pPr>
      <w:r>
        <w:drawing>
          <wp:anchor distT="0" distB="0" distL="0" distR="0" simplePos="0" relativeHeight="251659264" behindDoc="0" locked="0" layoutInCell="1" allowOverlap="1">
            <wp:simplePos x="0" y="0"/>
            <wp:positionH relativeFrom="page">
              <wp:posOffset>4870450</wp:posOffset>
            </wp:positionH>
            <wp:positionV relativeFrom="paragraph">
              <wp:posOffset>219075</wp:posOffset>
            </wp:positionV>
            <wp:extent cx="804545" cy="4013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804304" cy="401383"/>
                    </a:xfrm>
                    <a:prstGeom prst="rect">
                      <a:avLst/>
                    </a:prstGeom>
                  </pic:spPr>
                </pic:pic>
              </a:graphicData>
            </a:graphic>
          </wp:anchor>
        </w:drawing>
      </w:r>
      <w:r>
        <w:pict>
          <v:shape id="_x0000_s1026" o:spid="_x0000_s1026" o:spt="202" type="#_x0000_t202" style="position:absolute;left:0pt;margin-left:446.5pt;margin-top:5.95pt;height:53.2pt;width:62.4pt;mso-position-horizontal-relative:page;z-index:251665408;mso-width-relative:page;mso-height-relative:page;" filled="f" stroked="f" coordsize="21600,21600">
            <v:path/>
            <v:fill on="f" focussize="0,0"/>
            <v:stroke on="f" joinstyle="miter"/>
            <v:imagedata o:title=""/>
            <o:lock v:ext="edit"/>
            <v:textbox inset="0mm,0mm,0mm,0mm">
              <w:txbxContent>
                <w:p>
                  <w:pPr>
                    <w:spacing w:before="0" w:line="1063" w:lineRule="exact"/>
                    <w:ind w:left="0" w:right="0" w:firstLine="0"/>
                    <w:jc w:val="left"/>
                    <w:rPr>
                      <w:rFonts w:ascii="Times New Roman"/>
                      <w:b/>
                      <w:sz w:val="96"/>
                    </w:rPr>
                  </w:pPr>
                  <w:r>
                    <w:rPr>
                      <w:rFonts w:ascii="Times New Roman"/>
                      <w:b/>
                      <w:w w:val="130"/>
                      <w:sz w:val="96"/>
                    </w:rPr>
                    <w:t>43</w:t>
                  </w:r>
                </w:p>
              </w:txbxContent>
            </v:textbox>
          </v:shape>
        </w:pict>
      </w:r>
      <w:r>
        <w:rPr>
          <w:rFonts w:ascii="Times New Roman" w:eastAsia="Times New Roman"/>
          <w:position w:val="2"/>
        </w:rPr>
        <w:t>CCS</w:t>
      </w:r>
      <w:r>
        <w:rPr>
          <w:rFonts w:ascii="Times New Roman" w:eastAsia="Times New Roman"/>
          <w:spacing w:val="2"/>
          <w:position w:val="2"/>
        </w:rPr>
        <w:t xml:space="preserve">  </w:t>
      </w:r>
      <w:r>
        <w:rPr>
          <w:rFonts w:hint="eastAsia" w:ascii="黑体" w:eastAsia="黑体"/>
          <w:spacing w:val="-8"/>
        </w:rPr>
        <w:t xml:space="preserve">点击此处添加 </w:t>
      </w:r>
      <w:r>
        <w:rPr>
          <w:rFonts w:hint="eastAsia" w:ascii="黑体" w:eastAsia="黑体"/>
        </w:rPr>
        <w:t>CCS</w:t>
      </w:r>
      <w:r>
        <w:rPr>
          <w:rFonts w:hint="eastAsia" w:ascii="黑体" w:eastAsia="黑体"/>
          <w:spacing w:val="-28"/>
        </w:rPr>
        <w:t xml:space="preserve"> 号</w:t>
      </w:r>
    </w:p>
    <w:p>
      <w:pPr>
        <w:pStyle w:val="3"/>
        <w:rPr>
          <w:rFonts w:ascii="黑体"/>
          <w:sz w:val="20"/>
        </w:rPr>
      </w:pPr>
    </w:p>
    <w:p>
      <w:pPr>
        <w:tabs>
          <w:tab w:val="left" w:pos="1526"/>
          <w:tab w:val="left" w:pos="3052"/>
          <w:tab w:val="left" w:pos="4579"/>
          <w:tab w:val="left" w:pos="6105"/>
          <w:tab w:val="left" w:pos="7631"/>
          <w:tab w:val="left" w:pos="9158"/>
        </w:tabs>
        <w:spacing w:before="171"/>
        <w:ind w:left="0" w:right="139" w:firstLine="0"/>
        <w:jc w:val="center"/>
        <w:rPr>
          <w:rFonts w:hint="eastAsia" w:ascii="黑体" w:eastAsia="黑体"/>
          <w:sz w:val="48"/>
        </w:rPr>
      </w:pPr>
      <w:r>
        <w:rPr>
          <w:rFonts w:hint="eastAsia" w:ascii="黑体" w:eastAsia="黑体"/>
          <w:sz w:val="48"/>
        </w:rPr>
        <w:t>湖</w:t>
      </w:r>
      <w:r>
        <w:rPr>
          <w:rFonts w:hint="eastAsia" w:ascii="黑体" w:eastAsia="黑体"/>
          <w:sz w:val="48"/>
        </w:rPr>
        <w:tab/>
      </w:r>
      <w:r>
        <w:rPr>
          <w:rFonts w:hint="eastAsia" w:ascii="黑体" w:eastAsia="黑体"/>
          <w:sz w:val="48"/>
        </w:rPr>
        <w:t>南</w:t>
      </w:r>
      <w:r>
        <w:rPr>
          <w:rFonts w:hint="eastAsia" w:ascii="黑体" w:eastAsia="黑体"/>
          <w:sz w:val="48"/>
        </w:rPr>
        <w:tab/>
      </w:r>
      <w:r>
        <w:rPr>
          <w:rFonts w:hint="eastAsia" w:ascii="黑体" w:eastAsia="黑体"/>
          <w:sz w:val="48"/>
        </w:rPr>
        <w:t>省</w:t>
      </w:r>
      <w:r>
        <w:rPr>
          <w:rFonts w:hint="eastAsia" w:ascii="黑体" w:eastAsia="黑体"/>
          <w:sz w:val="48"/>
        </w:rPr>
        <w:tab/>
      </w:r>
      <w:r>
        <w:rPr>
          <w:rFonts w:hint="eastAsia" w:ascii="黑体" w:eastAsia="黑体"/>
          <w:sz w:val="48"/>
        </w:rPr>
        <w:t>地</w:t>
      </w:r>
      <w:r>
        <w:rPr>
          <w:rFonts w:hint="eastAsia" w:ascii="黑体" w:eastAsia="黑体"/>
          <w:sz w:val="48"/>
        </w:rPr>
        <w:tab/>
      </w:r>
      <w:r>
        <w:rPr>
          <w:rFonts w:hint="eastAsia" w:ascii="黑体" w:eastAsia="黑体"/>
          <w:sz w:val="48"/>
        </w:rPr>
        <w:t>方</w:t>
      </w:r>
      <w:r>
        <w:rPr>
          <w:rFonts w:hint="eastAsia" w:ascii="黑体" w:eastAsia="黑体"/>
          <w:sz w:val="48"/>
        </w:rPr>
        <w:tab/>
      </w:r>
      <w:r>
        <w:rPr>
          <w:rFonts w:hint="eastAsia" w:ascii="黑体" w:eastAsia="黑体"/>
          <w:sz w:val="48"/>
        </w:rPr>
        <w:t>标</w:t>
      </w:r>
      <w:r>
        <w:rPr>
          <w:rFonts w:hint="eastAsia" w:ascii="黑体" w:eastAsia="黑体"/>
          <w:sz w:val="48"/>
        </w:rPr>
        <w:tab/>
      </w:r>
      <w:r>
        <w:rPr>
          <w:rFonts w:hint="eastAsia" w:ascii="黑体" w:eastAsia="黑体"/>
          <w:sz w:val="48"/>
        </w:rPr>
        <w:t>准</w:t>
      </w:r>
    </w:p>
    <w:p>
      <w:pPr>
        <w:spacing w:before="341"/>
        <w:ind w:left="0" w:right="411" w:firstLine="0"/>
        <w:jc w:val="right"/>
        <w:rPr>
          <w:rFonts w:ascii="黑体" w:hAnsi="黑体"/>
          <w:sz w:val="28"/>
        </w:rPr>
      </w:pPr>
      <w:r>
        <w:rPr>
          <w:rFonts w:ascii="黑体" w:hAnsi="黑体"/>
          <w:spacing w:val="-1"/>
          <w:sz w:val="28"/>
        </w:rPr>
        <w:t>DB43/TXXXX—2022</w:t>
      </w:r>
    </w:p>
    <w:p>
      <w:pPr>
        <w:pStyle w:val="3"/>
        <w:rPr>
          <w:rFonts w:ascii="黑体"/>
          <w:sz w:val="20"/>
        </w:rPr>
      </w:pPr>
    </w:p>
    <w:p>
      <w:pPr>
        <w:pStyle w:val="3"/>
        <w:spacing w:before="4"/>
        <w:rPr>
          <w:rFonts w:ascii="黑体"/>
          <w:sz w:val="28"/>
        </w:rPr>
      </w:pPr>
      <w:r>
        <w:pict>
          <v:line id="_x0000_s1027" o:spid="_x0000_s1027" o:spt="20" style="position:absolute;left:0pt;margin-left:70.9pt;margin-top:20.5pt;height:0pt;width:481.9pt;mso-position-horizontal-relative:page;mso-wrap-distance-bottom:0pt;mso-wrap-distance-top:0pt;z-index:-251653120;mso-width-relative:page;mso-height-relative:page;" stroked="t" coordsize="21600,21600">
            <v:path arrowok="t"/>
            <v:fill focussize="0,0"/>
            <v:stroke color="#000000"/>
            <v:imagedata o:title=""/>
            <o:lock v:ext="edit"/>
            <w10:wrap type="topAndBottom"/>
          </v:line>
        </w:pict>
      </w:r>
    </w:p>
    <w:p>
      <w:pPr>
        <w:pStyle w:val="3"/>
        <w:rPr>
          <w:rFonts w:ascii="黑体"/>
          <w:sz w:val="28"/>
        </w:rPr>
      </w:pPr>
    </w:p>
    <w:p>
      <w:pPr>
        <w:pStyle w:val="3"/>
        <w:rPr>
          <w:rFonts w:ascii="黑体"/>
          <w:sz w:val="28"/>
        </w:rPr>
      </w:pPr>
    </w:p>
    <w:p>
      <w:pPr>
        <w:pStyle w:val="3"/>
        <w:rPr>
          <w:rFonts w:ascii="黑体"/>
          <w:sz w:val="28"/>
        </w:rPr>
      </w:pPr>
    </w:p>
    <w:p>
      <w:pPr>
        <w:pStyle w:val="3"/>
        <w:rPr>
          <w:rFonts w:ascii="黑体"/>
          <w:sz w:val="28"/>
        </w:rPr>
      </w:pPr>
    </w:p>
    <w:p>
      <w:pPr>
        <w:pStyle w:val="3"/>
        <w:rPr>
          <w:rFonts w:ascii="黑体"/>
          <w:sz w:val="28"/>
        </w:rPr>
      </w:pPr>
    </w:p>
    <w:p>
      <w:pPr>
        <w:pStyle w:val="3"/>
        <w:spacing w:before="3"/>
        <w:rPr>
          <w:rFonts w:ascii="黑体"/>
          <w:sz w:val="28"/>
        </w:rPr>
      </w:pPr>
    </w:p>
    <w:p>
      <w:pPr>
        <w:spacing w:before="0"/>
        <w:ind w:left="115" w:right="29" w:firstLine="0"/>
        <w:jc w:val="center"/>
        <w:rPr>
          <w:rFonts w:hint="eastAsia" w:ascii="黑体" w:eastAsia="黑体"/>
          <w:sz w:val="52"/>
        </w:rPr>
      </w:pPr>
      <w:r>
        <w:rPr>
          <w:rFonts w:hint="eastAsia" w:ascii="黑体" w:eastAsia="黑体"/>
          <w:sz w:val="52"/>
        </w:rPr>
        <w:t>水稻镉积累特性池栽鉴定技术规程</w:t>
      </w:r>
    </w:p>
    <w:p>
      <w:pPr>
        <w:spacing w:before="392" w:line="268" w:lineRule="auto"/>
        <w:ind w:left="115" w:right="1" w:firstLine="0"/>
        <w:jc w:val="center"/>
        <w:rPr>
          <w:rFonts w:ascii="Times New Roman"/>
          <w:sz w:val="28"/>
        </w:rPr>
      </w:pPr>
      <w:r>
        <w:rPr>
          <w:rFonts w:ascii="Times New Roman"/>
          <w:sz w:val="28"/>
        </w:rPr>
        <w:t>Technical regulations for pond cultivation identification of cadmium accumulation characteristics in rice</w:t>
      </w:r>
    </w:p>
    <w:p>
      <w:pPr>
        <w:pStyle w:val="3"/>
        <w:rPr>
          <w:rFonts w:ascii="Times New Roman"/>
          <w:sz w:val="30"/>
        </w:rPr>
      </w:pPr>
    </w:p>
    <w:p>
      <w:pPr>
        <w:pStyle w:val="3"/>
        <w:rPr>
          <w:rFonts w:ascii="Times New Roman"/>
          <w:sz w:val="30"/>
        </w:rPr>
      </w:pPr>
    </w:p>
    <w:p>
      <w:pPr>
        <w:pStyle w:val="3"/>
        <w:rPr>
          <w:rFonts w:ascii="Times New Roman"/>
          <w:sz w:val="30"/>
        </w:rPr>
      </w:pPr>
    </w:p>
    <w:p>
      <w:pPr>
        <w:pStyle w:val="3"/>
        <w:rPr>
          <w:rFonts w:ascii="Times New Roman"/>
          <w:sz w:val="30"/>
        </w:rPr>
      </w:pPr>
    </w:p>
    <w:p>
      <w:pPr>
        <w:spacing w:before="205"/>
        <w:ind w:left="115" w:right="31" w:firstLine="0"/>
        <w:jc w:val="center"/>
        <w:rPr>
          <w:sz w:val="24"/>
        </w:rPr>
      </w:pPr>
      <w:r>
        <w:rPr>
          <w:sz w:val="24"/>
        </w:rPr>
        <w:t>（征求意见稿）</w:t>
      </w:r>
    </w:p>
    <w:p>
      <w:pPr>
        <w:pStyle w:val="3"/>
        <w:rPr>
          <w:sz w:val="24"/>
        </w:rPr>
      </w:pPr>
    </w:p>
    <w:p>
      <w:pPr>
        <w:pStyle w:val="3"/>
        <w:rPr>
          <w:sz w:val="24"/>
        </w:rPr>
      </w:pPr>
    </w:p>
    <w:p>
      <w:pPr>
        <w:pStyle w:val="3"/>
        <w:rPr>
          <w:sz w:val="24"/>
        </w:rPr>
      </w:pPr>
    </w:p>
    <w:p>
      <w:pPr>
        <w:pStyle w:val="3"/>
        <w:spacing w:before="3"/>
        <w:rPr>
          <w:sz w:val="19"/>
        </w:rPr>
      </w:pPr>
    </w:p>
    <w:p>
      <w:pPr>
        <w:spacing w:before="0"/>
        <w:ind w:left="115" w:right="7" w:firstLine="0"/>
        <w:jc w:val="center"/>
        <w:rPr>
          <w:b/>
          <w:sz w:val="21"/>
        </w:rPr>
      </w:pPr>
      <w:r>
        <w:rPr>
          <w:b/>
          <w:sz w:val="21"/>
        </w:rPr>
        <w:t>在提交反馈意见时，请将您知道的相关专利连同支持性文件一并附上。</w:t>
      </w:r>
    </w:p>
    <w:p>
      <w:pPr>
        <w:pStyle w:val="3"/>
        <w:rPr>
          <w:b/>
          <w:sz w:val="20"/>
        </w:rPr>
      </w:pPr>
    </w:p>
    <w:p>
      <w:pPr>
        <w:pStyle w:val="3"/>
        <w:rPr>
          <w:b/>
          <w:sz w:val="20"/>
        </w:rPr>
      </w:pPr>
    </w:p>
    <w:p>
      <w:pPr>
        <w:pStyle w:val="3"/>
        <w:rPr>
          <w:b/>
          <w:sz w:val="20"/>
        </w:rPr>
      </w:pPr>
    </w:p>
    <w:p>
      <w:pPr>
        <w:pStyle w:val="3"/>
        <w:rPr>
          <w:b/>
          <w:sz w:val="20"/>
        </w:rPr>
      </w:pPr>
    </w:p>
    <w:p>
      <w:pPr>
        <w:pStyle w:val="3"/>
        <w:rPr>
          <w:b/>
          <w:sz w:val="20"/>
        </w:rPr>
      </w:pPr>
    </w:p>
    <w:p>
      <w:pPr>
        <w:pStyle w:val="3"/>
        <w:rPr>
          <w:b/>
          <w:sz w:val="20"/>
        </w:rPr>
      </w:pPr>
    </w:p>
    <w:p>
      <w:pPr>
        <w:pStyle w:val="3"/>
        <w:rPr>
          <w:b/>
          <w:sz w:val="20"/>
        </w:rPr>
      </w:pPr>
    </w:p>
    <w:p>
      <w:pPr>
        <w:pStyle w:val="3"/>
        <w:rPr>
          <w:b/>
          <w:sz w:val="20"/>
        </w:rPr>
      </w:pPr>
    </w:p>
    <w:p>
      <w:pPr>
        <w:pStyle w:val="3"/>
        <w:rPr>
          <w:b/>
          <w:sz w:val="20"/>
        </w:rPr>
      </w:pPr>
    </w:p>
    <w:p>
      <w:pPr>
        <w:pStyle w:val="3"/>
        <w:spacing w:before="9"/>
        <w:rPr>
          <w:b/>
          <w:sz w:val="24"/>
        </w:rPr>
      </w:pPr>
    </w:p>
    <w:p>
      <w:pPr>
        <w:tabs>
          <w:tab w:val="left" w:pos="7752"/>
        </w:tabs>
        <w:spacing w:before="0"/>
        <w:ind w:left="115" w:right="0" w:firstLine="0"/>
        <w:jc w:val="center"/>
        <w:rPr>
          <w:rFonts w:hint="eastAsia" w:ascii="黑体" w:eastAsia="黑体"/>
          <w:sz w:val="28"/>
        </w:rPr>
      </w:pPr>
      <w:r>
        <w:pict>
          <v:line id="_x0000_s1028" o:spid="_x0000_s1028" o:spt="20" style="position:absolute;left:0pt;margin-left:70.8pt;margin-top:19.65pt;height:0pt;width:481.9pt;mso-position-horizontal-relative:page;mso-wrap-distance-bottom:0pt;mso-wrap-distance-top:0pt;z-index:-251652096;mso-width-relative:page;mso-height-relative:page;" stroked="t" coordsize="21600,21600">
            <v:path arrowok="t"/>
            <v:fill focussize="0,0"/>
            <v:stroke color="#000000"/>
            <v:imagedata o:title=""/>
            <o:lock v:ext="edit"/>
            <w10:wrap type="topAndBottom"/>
          </v:line>
        </w:pict>
      </w:r>
      <w:r>
        <w:rPr>
          <w:rFonts w:hint="eastAsia" w:ascii="黑体" w:eastAsia="黑体"/>
          <w:sz w:val="28"/>
        </w:rPr>
        <w:t>2022-XX-XX</w:t>
      </w:r>
      <w:r>
        <w:rPr>
          <w:rFonts w:hint="eastAsia" w:ascii="黑体" w:eastAsia="黑体"/>
          <w:spacing w:val="-72"/>
          <w:sz w:val="28"/>
        </w:rPr>
        <w:t xml:space="preserve"> </w:t>
      </w:r>
      <w:r>
        <w:rPr>
          <w:rFonts w:hint="eastAsia" w:ascii="黑体" w:eastAsia="黑体"/>
          <w:sz w:val="28"/>
        </w:rPr>
        <w:t>发布</w:t>
      </w:r>
      <w:r>
        <w:rPr>
          <w:rFonts w:hint="eastAsia" w:ascii="黑体" w:eastAsia="黑体"/>
          <w:sz w:val="28"/>
        </w:rPr>
        <w:tab/>
      </w:r>
      <w:r>
        <w:rPr>
          <w:rFonts w:hint="eastAsia" w:ascii="黑体" w:eastAsia="黑体"/>
          <w:sz w:val="28"/>
        </w:rPr>
        <w:t>2022-XX-XX</w:t>
      </w:r>
      <w:r>
        <w:rPr>
          <w:rFonts w:hint="eastAsia" w:ascii="黑体" w:eastAsia="黑体"/>
          <w:spacing w:val="-72"/>
          <w:sz w:val="28"/>
        </w:rPr>
        <w:t xml:space="preserve"> </w:t>
      </w:r>
      <w:r>
        <w:rPr>
          <w:rFonts w:hint="eastAsia" w:ascii="黑体" w:eastAsia="黑体"/>
          <w:sz w:val="28"/>
        </w:rPr>
        <w:t>实施</w:t>
      </w:r>
    </w:p>
    <w:p>
      <w:pPr>
        <w:pStyle w:val="3"/>
        <w:rPr>
          <w:rFonts w:ascii="黑体"/>
          <w:sz w:val="28"/>
        </w:rPr>
      </w:pPr>
    </w:p>
    <w:p>
      <w:pPr>
        <w:pStyle w:val="3"/>
        <w:spacing w:before="1"/>
        <w:rPr>
          <w:rFonts w:ascii="黑体"/>
          <w:sz w:val="31"/>
        </w:rPr>
      </w:pPr>
    </w:p>
    <w:p>
      <w:pPr>
        <w:spacing w:before="0"/>
        <w:ind w:left="0" w:right="194" w:firstLine="0"/>
        <w:jc w:val="center"/>
        <w:rPr>
          <w:rFonts w:hint="eastAsia" w:ascii="黑体" w:hAnsi="黑体" w:eastAsia="黑体"/>
          <w:sz w:val="28"/>
        </w:rPr>
      </w:pPr>
      <w:r>
        <w:rPr>
          <w:rFonts w:hint="eastAsia" w:ascii="黑体" w:hAnsi="黑体" w:eastAsia="黑体"/>
          <w:sz w:val="28"/>
        </w:rPr>
        <w:t>湖南省市场监督管理局</w:t>
      </w:r>
      <w:r>
        <w:rPr>
          <w:rFonts w:ascii="Times New Roman" w:hAnsi="Times New Roman" w:eastAsia="Times New Roman"/>
          <w:sz w:val="28"/>
        </w:rPr>
        <w:t>  </w:t>
      </w:r>
      <w:r>
        <w:rPr>
          <w:rFonts w:hint="eastAsia" w:ascii="黑体" w:hAnsi="黑体" w:eastAsia="黑体"/>
          <w:sz w:val="28"/>
        </w:rPr>
        <w:t>发 布</w:t>
      </w:r>
    </w:p>
    <w:p>
      <w:pPr>
        <w:spacing w:after="0"/>
        <w:jc w:val="center"/>
        <w:rPr>
          <w:rFonts w:hint="eastAsia" w:ascii="黑体" w:hAnsi="黑体" w:eastAsia="黑体"/>
          <w:sz w:val="28"/>
        </w:rPr>
        <w:sectPr>
          <w:type w:val="continuous"/>
          <w:pgSz w:w="11910" w:h="16840"/>
          <w:pgMar w:top="480" w:right="720" w:bottom="280" w:left="1200" w:header="720" w:footer="720" w:gutter="0"/>
          <w:cols w:space="720" w:num="1"/>
        </w:sectPr>
      </w:pPr>
    </w:p>
    <w:p>
      <w:pPr>
        <w:pStyle w:val="3"/>
        <w:rPr>
          <w:rFonts w:ascii="黑体"/>
          <w:sz w:val="20"/>
        </w:rPr>
      </w:pPr>
    </w:p>
    <w:p>
      <w:pPr>
        <w:pStyle w:val="3"/>
        <w:rPr>
          <w:rFonts w:ascii="黑体"/>
          <w:sz w:val="20"/>
        </w:rPr>
      </w:pPr>
    </w:p>
    <w:p>
      <w:pPr>
        <w:pStyle w:val="3"/>
        <w:spacing w:before="11"/>
        <w:rPr>
          <w:rFonts w:ascii="黑体"/>
          <w:sz w:val="22"/>
        </w:rPr>
      </w:pPr>
    </w:p>
    <w:p>
      <w:pPr>
        <w:pStyle w:val="2"/>
        <w:tabs>
          <w:tab w:val="left" w:pos="959"/>
        </w:tabs>
        <w:spacing w:before="55"/>
      </w:pPr>
      <w:r>
        <w:t>目</w:t>
      </w:r>
      <w:r>
        <w:tab/>
      </w:r>
      <w:r>
        <w:t>次</w:t>
      </w:r>
    </w:p>
    <w:p>
      <w:pPr>
        <w:pStyle w:val="3"/>
        <w:tabs>
          <w:tab w:val="left" w:pos="849"/>
          <w:tab w:val="right" w:leader="dot" w:pos="9344"/>
        </w:tabs>
        <w:spacing w:before="684"/>
        <w:ind w:right="421"/>
        <w:jc w:val="right"/>
      </w:pPr>
      <w:r>
        <w:fldChar w:fldCharType="begin"/>
      </w:r>
      <w:r>
        <w:instrText xml:space="preserve"> HYPERLINK \l "_bookmark0" </w:instrText>
      </w:r>
      <w:r>
        <w:fldChar w:fldCharType="separate"/>
      </w:r>
      <w:r>
        <w:t>前</w:t>
      </w:r>
      <w:r>
        <w:tab/>
      </w:r>
      <w:r>
        <w:t>言</w:t>
      </w:r>
      <w:r>
        <w:tab/>
      </w:r>
      <w:r>
        <w:t>II</w:t>
      </w:r>
      <w:r>
        <w:fldChar w:fldCharType="end"/>
      </w:r>
    </w:p>
    <w:p>
      <w:pPr>
        <w:pStyle w:val="7"/>
        <w:numPr>
          <w:ilvl w:val="0"/>
          <w:numId w:val="1"/>
        </w:numPr>
        <w:tabs>
          <w:tab w:val="left" w:pos="209"/>
          <w:tab w:val="right" w:leader="dot" w:pos="9342"/>
        </w:tabs>
        <w:spacing w:before="131" w:after="0" w:line="240" w:lineRule="auto"/>
        <w:ind w:left="427" w:right="423" w:hanging="428"/>
        <w:jc w:val="right"/>
        <w:rPr>
          <w:sz w:val="21"/>
        </w:rPr>
      </w:pPr>
      <w:r>
        <w:fldChar w:fldCharType="begin"/>
      </w:r>
      <w:r>
        <w:instrText xml:space="preserve"> HYPERLINK \l "_bookmark1" </w:instrText>
      </w:r>
      <w:r>
        <w:fldChar w:fldCharType="separate"/>
      </w:r>
      <w:r>
        <w:rPr>
          <w:sz w:val="21"/>
        </w:rPr>
        <w:t>范围</w:t>
      </w:r>
      <w:r>
        <w:rPr>
          <w:sz w:val="21"/>
        </w:rPr>
        <w:tab/>
      </w:r>
      <w:r>
        <w:rPr>
          <w:sz w:val="21"/>
        </w:rPr>
        <w:t>1</w:t>
      </w:r>
      <w:r>
        <w:rPr>
          <w:sz w:val="21"/>
        </w:rPr>
        <w:fldChar w:fldCharType="end"/>
      </w:r>
    </w:p>
    <w:p>
      <w:pPr>
        <w:pStyle w:val="7"/>
        <w:numPr>
          <w:ilvl w:val="0"/>
          <w:numId w:val="1"/>
        </w:numPr>
        <w:tabs>
          <w:tab w:val="left" w:pos="209"/>
          <w:tab w:val="right" w:leader="dot" w:pos="9342"/>
        </w:tabs>
        <w:spacing w:before="130" w:after="0" w:line="240" w:lineRule="auto"/>
        <w:ind w:left="427" w:right="423" w:hanging="428"/>
        <w:jc w:val="right"/>
        <w:rPr>
          <w:sz w:val="21"/>
        </w:rPr>
      </w:pPr>
      <w:r>
        <w:fldChar w:fldCharType="begin"/>
      </w:r>
      <w:r>
        <w:instrText xml:space="preserve"> HYPERLINK \l "_bookmark2" </w:instrText>
      </w:r>
      <w:r>
        <w:fldChar w:fldCharType="separate"/>
      </w:r>
      <w:r>
        <w:rPr>
          <w:sz w:val="21"/>
        </w:rPr>
        <w:t>规范性引用文件</w:t>
      </w:r>
      <w:r>
        <w:rPr>
          <w:sz w:val="21"/>
        </w:rPr>
        <w:tab/>
      </w:r>
      <w:r>
        <w:rPr>
          <w:sz w:val="21"/>
        </w:rPr>
        <w:t>1</w:t>
      </w:r>
      <w:r>
        <w:rPr>
          <w:sz w:val="21"/>
        </w:rPr>
        <w:fldChar w:fldCharType="end"/>
      </w:r>
    </w:p>
    <w:p>
      <w:pPr>
        <w:pStyle w:val="7"/>
        <w:numPr>
          <w:ilvl w:val="0"/>
          <w:numId w:val="1"/>
        </w:numPr>
        <w:tabs>
          <w:tab w:val="left" w:pos="209"/>
          <w:tab w:val="right" w:leader="dot" w:pos="9342"/>
        </w:tabs>
        <w:spacing w:before="131" w:after="0" w:line="240" w:lineRule="auto"/>
        <w:ind w:left="427" w:right="423" w:hanging="428"/>
        <w:jc w:val="right"/>
        <w:rPr>
          <w:sz w:val="21"/>
        </w:rPr>
      </w:pPr>
      <w:r>
        <w:fldChar w:fldCharType="begin"/>
      </w:r>
      <w:r>
        <w:instrText xml:space="preserve"> HYPERLINK \l "_bookmark3" </w:instrText>
      </w:r>
      <w:r>
        <w:fldChar w:fldCharType="separate"/>
      </w:r>
      <w:r>
        <w:rPr>
          <w:sz w:val="21"/>
        </w:rPr>
        <w:t>术语和定义</w:t>
      </w:r>
      <w:r>
        <w:rPr>
          <w:sz w:val="21"/>
        </w:rPr>
        <w:tab/>
      </w:r>
      <w:r>
        <w:rPr>
          <w:sz w:val="21"/>
        </w:rPr>
        <w:t>1</w:t>
      </w:r>
      <w:r>
        <w:rPr>
          <w:sz w:val="21"/>
        </w:rPr>
        <w:fldChar w:fldCharType="end"/>
      </w:r>
    </w:p>
    <w:p>
      <w:pPr>
        <w:pStyle w:val="7"/>
        <w:numPr>
          <w:ilvl w:val="1"/>
          <w:numId w:val="1"/>
        </w:numPr>
        <w:tabs>
          <w:tab w:val="left" w:pos="368"/>
          <w:tab w:val="right" w:leader="dot" w:pos="9133"/>
        </w:tabs>
        <w:spacing w:before="51" w:after="0" w:line="240" w:lineRule="auto"/>
        <w:ind w:left="794" w:right="423" w:hanging="795"/>
        <w:jc w:val="right"/>
        <w:rPr>
          <w:sz w:val="21"/>
        </w:rPr>
      </w:pPr>
      <w:r>
        <w:fldChar w:fldCharType="begin"/>
      </w:r>
      <w:r>
        <w:instrText xml:space="preserve"> HYPERLINK \l "_bookmark4" </w:instrText>
      </w:r>
      <w:r>
        <w:fldChar w:fldCharType="separate"/>
      </w:r>
      <w:r>
        <w:rPr>
          <w:sz w:val="21"/>
        </w:rPr>
        <w:t>低镉水稻品种</w:t>
      </w:r>
      <w:r>
        <w:rPr>
          <w:sz w:val="21"/>
        </w:rPr>
        <w:tab/>
      </w:r>
      <w:r>
        <w:rPr>
          <w:sz w:val="21"/>
        </w:rPr>
        <w:t>1</w:t>
      </w:r>
      <w:r>
        <w:rPr>
          <w:sz w:val="21"/>
        </w:rPr>
        <w:fldChar w:fldCharType="end"/>
      </w:r>
    </w:p>
    <w:p>
      <w:pPr>
        <w:pStyle w:val="7"/>
        <w:numPr>
          <w:ilvl w:val="1"/>
          <w:numId w:val="1"/>
        </w:numPr>
        <w:tabs>
          <w:tab w:val="left" w:pos="368"/>
          <w:tab w:val="right" w:leader="dot" w:pos="9133"/>
        </w:tabs>
        <w:spacing w:before="30" w:after="0" w:line="240" w:lineRule="auto"/>
        <w:ind w:left="794" w:right="423" w:hanging="795"/>
        <w:jc w:val="right"/>
        <w:rPr>
          <w:sz w:val="21"/>
        </w:rPr>
      </w:pPr>
      <w:r>
        <w:fldChar w:fldCharType="begin"/>
      </w:r>
      <w:r>
        <w:instrText xml:space="preserve"> HYPERLINK \l "_bookmark5" </w:instrText>
      </w:r>
      <w:r>
        <w:fldChar w:fldCharType="separate"/>
      </w:r>
      <w:r>
        <w:rPr>
          <w:sz w:val="21"/>
        </w:rPr>
        <w:t>镉池</w:t>
      </w:r>
      <w:r>
        <w:rPr>
          <w:sz w:val="21"/>
        </w:rPr>
        <w:tab/>
      </w:r>
      <w:r>
        <w:rPr>
          <w:sz w:val="21"/>
        </w:rPr>
        <w:t>1</w:t>
      </w:r>
      <w:r>
        <w:rPr>
          <w:sz w:val="21"/>
        </w:rPr>
        <w:fldChar w:fldCharType="end"/>
      </w:r>
    </w:p>
    <w:p>
      <w:pPr>
        <w:pStyle w:val="7"/>
        <w:numPr>
          <w:ilvl w:val="1"/>
          <w:numId w:val="1"/>
        </w:numPr>
        <w:tabs>
          <w:tab w:val="left" w:pos="368"/>
          <w:tab w:val="right" w:leader="dot" w:pos="9133"/>
        </w:tabs>
        <w:spacing w:before="31" w:after="0" w:line="240" w:lineRule="auto"/>
        <w:ind w:left="794" w:right="423" w:hanging="795"/>
        <w:jc w:val="right"/>
        <w:rPr>
          <w:sz w:val="21"/>
        </w:rPr>
      </w:pPr>
      <w:r>
        <w:fldChar w:fldCharType="begin"/>
      </w:r>
      <w:r>
        <w:instrText xml:space="preserve"> HYPERLINK \l "_bookmark6" </w:instrText>
      </w:r>
      <w:r>
        <w:fldChar w:fldCharType="separate"/>
      </w:r>
      <w:r>
        <w:rPr>
          <w:sz w:val="21"/>
        </w:rPr>
        <w:t>排渗孔</w:t>
      </w:r>
      <w:r>
        <w:rPr>
          <w:sz w:val="21"/>
        </w:rPr>
        <w:tab/>
      </w:r>
      <w:r>
        <w:rPr>
          <w:sz w:val="21"/>
        </w:rPr>
        <w:t>1</w:t>
      </w:r>
      <w:r>
        <w:rPr>
          <w:sz w:val="21"/>
        </w:rPr>
        <w:fldChar w:fldCharType="end"/>
      </w:r>
    </w:p>
    <w:p>
      <w:pPr>
        <w:pStyle w:val="7"/>
        <w:numPr>
          <w:ilvl w:val="0"/>
          <w:numId w:val="1"/>
        </w:numPr>
        <w:tabs>
          <w:tab w:val="left" w:pos="209"/>
          <w:tab w:val="right" w:leader="dot" w:pos="9342"/>
        </w:tabs>
        <w:spacing w:before="113" w:after="0" w:line="240" w:lineRule="auto"/>
        <w:ind w:left="427" w:right="423" w:hanging="428"/>
        <w:jc w:val="right"/>
        <w:rPr>
          <w:sz w:val="21"/>
        </w:rPr>
      </w:pPr>
      <w:r>
        <w:fldChar w:fldCharType="begin"/>
      </w:r>
      <w:r>
        <w:instrText xml:space="preserve"> HYPERLINK \l "_bookmark7" </w:instrText>
      </w:r>
      <w:r>
        <w:fldChar w:fldCharType="separate"/>
      </w:r>
      <w:r>
        <w:rPr>
          <w:sz w:val="21"/>
        </w:rPr>
        <w:t>鉴定池技术要求</w:t>
      </w:r>
      <w:r>
        <w:rPr>
          <w:sz w:val="21"/>
        </w:rPr>
        <w:tab/>
      </w:r>
      <w:r>
        <w:rPr>
          <w:sz w:val="21"/>
        </w:rPr>
        <w:t>1</w:t>
      </w:r>
      <w:r>
        <w:rPr>
          <w:sz w:val="21"/>
        </w:rPr>
        <w:fldChar w:fldCharType="end"/>
      </w:r>
    </w:p>
    <w:p>
      <w:pPr>
        <w:pStyle w:val="7"/>
        <w:numPr>
          <w:ilvl w:val="1"/>
          <w:numId w:val="1"/>
        </w:numPr>
        <w:tabs>
          <w:tab w:val="left" w:pos="420"/>
          <w:tab w:val="right" w:leader="dot" w:pos="9133"/>
        </w:tabs>
        <w:spacing w:before="50" w:after="0" w:line="240" w:lineRule="auto"/>
        <w:ind w:left="847" w:right="423" w:hanging="848"/>
        <w:jc w:val="right"/>
        <w:rPr>
          <w:sz w:val="21"/>
        </w:rPr>
      </w:pPr>
      <w:r>
        <w:fldChar w:fldCharType="begin"/>
      </w:r>
      <w:r>
        <w:instrText xml:space="preserve"> HYPERLINK \l "_bookmark8" </w:instrText>
      </w:r>
      <w:r>
        <w:fldChar w:fldCharType="separate"/>
      </w:r>
      <w:r>
        <w:rPr>
          <w:sz w:val="21"/>
        </w:rPr>
        <w:t>镉池构造设计</w:t>
      </w:r>
      <w:r>
        <w:rPr>
          <w:sz w:val="21"/>
        </w:rPr>
        <w:tab/>
      </w:r>
      <w:r>
        <w:rPr>
          <w:sz w:val="21"/>
        </w:rPr>
        <w:t>2</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"_bookmark9" </w:instrText>
      </w:r>
      <w:r>
        <w:fldChar w:fldCharType="separate"/>
      </w:r>
      <w:r>
        <w:rPr>
          <w:sz w:val="21"/>
        </w:rPr>
        <w:t>镉池土壤要求</w:t>
      </w:r>
      <w:r>
        <w:rPr>
          <w:sz w:val="21"/>
        </w:rPr>
        <w:tab/>
      </w:r>
      <w:r>
        <w:rPr>
          <w:sz w:val="21"/>
        </w:rPr>
        <w:t>2</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"_bookmark10" </w:instrText>
      </w:r>
      <w:r>
        <w:fldChar w:fldCharType="separate"/>
      </w:r>
      <w:r>
        <w:rPr>
          <w:sz w:val="21"/>
        </w:rPr>
        <w:t>土壤入池处理</w:t>
      </w:r>
      <w:r>
        <w:rPr>
          <w:sz w:val="21"/>
        </w:rPr>
        <w:tab/>
      </w:r>
      <w:r>
        <w:rPr>
          <w:sz w:val="21"/>
        </w:rPr>
        <w:t>2</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"_bookmark11" </w:instrText>
      </w:r>
      <w:r>
        <w:fldChar w:fldCharType="separate"/>
      </w:r>
      <w:r>
        <w:rPr>
          <w:sz w:val="21"/>
        </w:rPr>
        <w:t>灌溉水质要求</w:t>
      </w:r>
      <w:r>
        <w:rPr>
          <w:sz w:val="21"/>
        </w:rPr>
        <w:tab/>
      </w:r>
      <w:r>
        <w:rPr>
          <w:sz w:val="21"/>
        </w:rPr>
        <w:t>2</w:t>
      </w:r>
      <w:r>
        <w:rPr>
          <w:sz w:val="21"/>
        </w:rPr>
        <w:fldChar w:fldCharType="end"/>
      </w:r>
    </w:p>
    <w:p>
      <w:pPr>
        <w:pStyle w:val="7"/>
        <w:numPr>
          <w:ilvl w:val="0"/>
          <w:numId w:val="1"/>
        </w:numPr>
        <w:tabs>
          <w:tab w:val="left" w:pos="209"/>
          <w:tab w:val="right" w:leader="dot" w:pos="9342"/>
        </w:tabs>
        <w:spacing w:before="110" w:after="0" w:line="240" w:lineRule="auto"/>
        <w:ind w:left="427" w:right="423" w:hanging="428"/>
        <w:jc w:val="right"/>
        <w:rPr>
          <w:sz w:val="21"/>
        </w:rPr>
      </w:pPr>
      <w:r>
        <w:fldChar w:fldCharType="begin"/>
      </w:r>
      <w:r>
        <w:instrText xml:space="preserve"> HYPERLINK \l "_bookmark12" </w:instrText>
      </w:r>
      <w:r>
        <w:fldChar w:fldCharType="separate"/>
      </w:r>
      <w:r>
        <w:rPr>
          <w:sz w:val="21"/>
        </w:rPr>
        <w:t>参鉴材料分组编号</w:t>
      </w:r>
      <w:r>
        <w:rPr>
          <w:sz w:val="21"/>
        </w:rPr>
        <w:tab/>
      </w:r>
      <w:r>
        <w:rPr>
          <w:sz w:val="21"/>
        </w:rPr>
        <w:t>2</w:t>
      </w:r>
      <w:r>
        <w:rPr>
          <w:sz w:val="21"/>
        </w:rPr>
        <w:fldChar w:fldCharType="end"/>
      </w:r>
    </w:p>
    <w:p>
      <w:pPr>
        <w:pStyle w:val="7"/>
        <w:numPr>
          <w:ilvl w:val="0"/>
          <w:numId w:val="1"/>
        </w:numPr>
        <w:tabs>
          <w:tab w:val="left" w:pos="209"/>
          <w:tab w:val="right" w:leader="dot" w:pos="9342"/>
        </w:tabs>
        <w:spacing w:before="132" w:after="0" w:line="240" w:lineRule="auto"/>
        <w:ind w:left="427" w:right="423" w:hanging="428"/>
        <w:jc w:val="right"/>
        <w:rPr>
          <w:sz w:val="21"/>
        </w:rPr>
      </w:pPr>
      <w:r>
        <w:fldChar w:fldCharType="begin"/>
      </w:r>
      <w:r>
        <w:instrText xml:space="preserve"> HYPERLINK \l "_bookmark13" </w:instrText>
      </w:r>
      <w:r>
        <w:fldChar w:fldCharType="separate"/>
      </w:r>
      <w:r>
        <w:rPr>
          <w:sz w:val="21"/>
        </w:rPr>
        <w:t>池栽管理</w:t>
      </w:r>
      <w:r>
        <w:rPr>
          <w:sz w:val="21"/>
        </w:rPr>
        <w:tab/>
      </w:r>
      <w:r>
        <w:rPr>
          <w:sz w:val="21"/>
        </w:rPr>
        <w:t>2</w:t>
      </w:r>
      <w:r>
        <w:rPr>
          <w:sz w:val="21"/>
        </w:rPr>
        <w:fldChar w:fldCharType="end"/>
      </w:r>
    </w:p>
    <w:p>
      <w:pPr>
        <w:pStyle w:val="7"/>
        <w:numPr>
          <w:ilvl w:val="1"/>
          <w:numId w:val="1"/>
        </w:numPr>
        <w:tabs>
          <w:tab w:val="left" w:pos="420"/>
          <w:tab w:val="right" w:leader="dot" w:pos="9133"/>
        </w:tabs>
        <w:spacing w:before="50" w:after="0" w:line="240" w:lineRule="auto"/>
        <w:ind w:left="847" w:right="423" w:hanging="848"/>
        <w:jc w:val="right"/>
        <w:rPr>
          <w:sz w:val="21"/>
        </w:rPr>
      </w:pPr>
      <w:r>
        <w:fldChar w:fldCharType="begin"/>
      </w:r>
      <w:r>
        <w:instrText xml:space="preserve"> HYPERLINK \l "_bookmark14" </w:instrText>
      </w:r>
      <w:r>
        <w:fldChar w:fldCharType="separate"/>
      </w:r>
      <w:r>
        <w:rPr>
          <w:sz w:val="21"/>
        </w:rPr>
        <w:t>池栽品种布局</w:t>
      </w:r>
      <w:r>
        <w:rPr>
          <w:sz w:val="21"/>
        </w:rPr>
        <w:tab/>
      </w:r>
      <w:r>
        <w:rPr>
          <w:sz w:val="21"/>
        </w:rPr>
        <w:t>2</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"_bookmark15" </w:instrText>
      </w:r>
      <w:r>
        <w:fldChar w:fldCharType="separate"/>
      </w:r>
      <w:r>
        <w:rPr>
          <w:sz w:val="21"/>
        </w:rPr>
        <w:t>育秧移栽</w:t>
      </w:r>
      <w:r>
        <w:rPr>
          <w:sz w:val="21"/>
        </w:rPr>
        <w:tab/>
      </w:r>
      <w:r>
        <w:rPr>
          <w:sz w:val="21"/>
        </w:rPr>
        <w:t>2</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"_bookmark16" </w:instrText>
      </w:r>
      <w:r>
        <w:fldChar w:fldCharType="separate"/>
      </w:r>
      <w:r>
        <w:rPr>
          <w:sz w:val="21"/>
        </w:rPr>
        <w:t>水分管理</w:t>
      </w:r>
      <w:r>
        <w:rPr>
          <w:sz w:val="21"/>
        </w:rPr>
        <w:tab/>
      </w:r>
      <w:r>
        <w:rPr>
          <w:sz w:val="21"/>
        </w:rPr>
        <w:t>3</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"_bookmark17" </w:instrText>
      </w:r>
      <w:r>
        <w:fldChar w:fldCharType="separate"/>
      </w:r>
      <w:r>
        <w:rPr>
          <w:sz w:val="21"/>
        </w:rPr>
        <w:t>施肥</w:t>
      </w:r>
      <w:r>
        <w:rPr>
          <w:sz w:val="21"/>
        </w:rPr>
        <w:tab/>
      </w:r>
      <w:r>
        <w:rPr>
          <w:sz w:val="21"/>
        </w:rPr>
        <w:t>3</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"_bookmark18" </w:instrText>
      </w:r>
      <w:r>
        <w:fldChar w:fldCharType="separate"/>
      </w:r>
      <w:r>
        <w:rPr>
          <w:sz w:val="21"/>
        </w:rPr>
        <w:t>除杂</w:t>
      </w:r>
      <w:r>
        <w:rPr>
          <w:sz w:val="21"/>
        </w:rPr>
        <w:tab/>
      </w:r>
      <w:r>
        <w:rPr>
          <w:sz w:val="21"/>
        </w:rPr>
        <w:t>3</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"_bookmark19" </w:instrText>
      </w:r>
      <w:r>
        <w:fldChar w:fldCharType="separate"/>
      </w:r>
      <w:r>
        <w:rPr>
          <w:sz w:val="21"/>
        </w:rPr>
        <w:t>病虫草害防控</w:t>
      </w:r>
      <w:r>
        <w:rPr>
          <w:sz w:val="21"/>
        </w:rPr>
        <w:tab/>
      </w:r>
      <w:r>
        <w:rPr>
          <w:sz w:val="21"/>
        </w:rPr>
        <w:t>3</w:t>
      </w:r>
      <w:r>
        <w:rPr>
          <w:sz w:val="21"/>
        </w:rPr>
        <w:fldChar w:fldCharType="end"/>
      </w:r>
    </w:p>
    <w:p>
      <w:pPr>
        <w:pStyle w:val="7"/>
        <w:numPr>
          <w:ilvl w:val="0"/>
          <w:numId w:val="1"/>
        </w:numPr>
        <w:tabs>
          <w:tab w:val="left" w:pos="209"/>
          <w:tab w:val="right" w:leader="dot" w:pos="9342"/>
        </w:tabs>
        <w:spacing w:before="112" w:after="0" w:line="240" w:lineRule="auto"/>
        <w:ind w:left="427" w:right="423" w:hanging="428"/>
        <w:jc w:val="right"/>
        <w:rPr>
          <w:sz w:val="21"/>
        </w:rPr>
      </w:pPr>
      <w:r>
        <w:fldChar w:fldCharType="begin"/>
      </w:r>
      <w:r>
        <w:instrText xml:space="preserve"> HYPERLINK \l "_bookmark20" </w:instrText>
      </w:r>
      <w:r>
        <w:fldChar w:fldCharType="separate"/>
      </w:r>
      <w:r>
        <w:rPr>
          <w:sz w:val="21"/>
        </w:rPr>
        <w:t>取样</w:t>
      </w:r>
      <w:r>
        <w:rPr>
          <w:sz w:val="21"/>
        </w:rPr>
        <w:tab/>
      </w:r>
      <w:r>
        <w:rPr>
          <w:sz w:val="21"/>
        </w:rPr>
        <w:t>3</w:t>
      </w:r>
      <w:r>
        <w:rPr>
          <w:sz w:val="21"/>
        </w:rPr>
        <w:fldChar w:fldCharType="end"/>
      </w:r>
    </w:p>
    <w:p>
      <w:pPr>
        <w:pStyle w:val="7"/>
        <w:numPr>
          <w:ilvl w:val="0"/>
          <w:numId w:val="1"/>
        </w:numPr>
        <w:tabs>
          <w:tab w:val="left" w:pos="209"/>
          <w:tab w:val="right" w:leader="dot" w:pos="9342"/>
        </w:tabs>
        <w:spacing w:before="129" w:after="0" w:line="240" w:lineRule="auto"/>
        <w:ind w:left="427" w:right="423" w:hanging="428"/>
        <w:jc w:val="right"/>
        <w:rPr>
          <w:sz w:val="21"/>
        </w:rPr>
      </w:pPr>
      <w:r>
        <w:fldChar w:fldCharType="begin"/>
      </w:r>
      <w:r>
        <w:instrText xml:space="preserve"> HYPERLINK \l "_bookmark21" </w:instrText>
      </w:r>
      <w:r>
        <w:fldChar w:fldCharType="separate"/>
      </w:r>
      <w:r>
        <w:rPr>
          <w:sz w:val="21"/>
        </w:rPr>
        <w:t>镉含量检测</w:t>
      </w:r>
      <w:r>
        <w:rPr>
          <w:sz w:val="21"/>
        </w:rPr>
        <w:tab/>
      </w:r>
      <w:r>
        <w:rPr>
          <w:sz w:val="21"/>
        </w:rPr>
        <w:t>3</w:t>
      </w:r>
      <w:r>
        <w:rPr>
          <w:sz w:val="21"/>
        </w:rPr>
        <w:fldChar w:fldCharType="end"/>
      </w:r>
    </w:p>
    <w:p>
      <w:pPr>
        <w:pStyle w:val="7"/>
        <w:numPr>
          <w:ilvl w:val="0"/>
          <w:numId w:val="1"/>
        </w:numPr>
        <w:tabs>
          <w:tab w:val="left" w:pos="209"/>
          <w:tab w:val="right" w:leader="dot" w:pos="9342"/>
        </w:tabs>
        <w:spacing w:before="132" w:after="0" w:line="240" w:lineRule="auto"/>
        <w:ind w:left="427" w:right="423" w:hanging="428"/>
        <w:jc w:val="right"/>
        <w:rPr>
          <w:sz w:val="21"/>
        </w:rPr>
      </w:pPr>
      <w:r>
        <w:fldChar w:fldCharType="begin"/>
      </w:r>
      <w:r>
        <w:instrText xml:space="preserve"> HYPERLINK \l "_bookmark22" </w:instrText>
      </w:r>
      <w:r>
        <w:fldChar w:fldCharType="separate"/>
      </w:r>
      <w:r>
        <w:rPr>
          <w:sz w:val="21"/>
        </w:rPr>
        <w:t>档案管理</w:t>
      </w:r>
      <w:r>
        <w:rPr>
          <w:sz w:val="21"/>
        </w:rPr>
        <w:tab/>
      </w:r>
      <w:r>
        <w:rPr>
          <w:sz w:val="21"/>
        </w:rPr>
        <w:t>3</w:t>
      </w:r>
      <w:r>
        <w:rPr>
          <w:sz w:val="21"/>
        </w:rPr>
        <w:fldChar w:fldCharType="end"/>
      </w:r>
    </w:p>
    <w:p>
      <w:pPr>
        <w:pStyle w:val="7"/>
        <w:numPr>
          <w:ilvl w:val="1"/>
          <w:numId w:val="1"/>
        </w:numPr>
        <w:tabs>
          <w:tab w:val="left" w:pos="420"/>
          <w:tab w:val="right" w:leader="dot" w:pos="9133"/>
        </w:tabs>
        <w:spacing w:before="50" w:after="0" w:line="240" w:lineRule="auto"/>
        <w:ind w:left="847" w:right="423" w:hanging="848"/>
        <w:jc w:val="right"/>
        <w:rPr>
          <w:sz w:val="21"/>
        </w:rPr>
      </w:pPr>
      <w:r>
        <w:fldChar w:fldCharType="begin"/>
      </w:r>
      <w:r>
        <w:instrText xml:space="preserve"> HYPERLINK \l "_bookmark23" </w:instrText>
      </w:r>
      <w:r>
        <w:fldChar w:fldCharType="separate"/>
      </w:r>
      <w:r>
        <w:rPr>
          <w:sz w:val="21"/>
        </w:rPr>
        <w:t>池栽管理记载档案</w:t>
      </w:r>
      <w:r>
        <w:rPr>
          <w:sz w:val="21"/>
        </w:rPr>
        <w:tab/>
      </w:r>
      <w:r>
        <w:rPr>
          <w:sz w:val="21"/>
        </w:rPr>
        <w:t>3</w:t>
      </w:r>
      <w:r>
        <w:rPr>
          <w:sz w:val="21"/>
        </w:rPr>
        <w:fldChar w:fldCharType="end"/>
      </w:r>
    </w:p>
    <w:p>
      <w:pPr>
        <w:pStyle w:val="7"/>
        <w:numPr>
          <w:ilvl w:val="1"/>
          <w:numId w:val="1"/>
        </w:numPr>
        <w:tabs>
          <w:tab w:val="left" w:pos="420"/>
          <w:tab w:val="right" w:leader="dot" w:pos="9133"/>
        </w:tabs>
        <w:spacing w:before="31" w:after="0" w:line="240" w:lineRule="auto"/>
        <w:ind w:left="847" w:right="423" w:hanging="848"/>
        <w:jc w:val="right"/>
        <w:rPr>
          <w:sz w:val="21"/>
        </w:rPr>
      </w:pPr>
      <w:r>
        <w:fldChar w:fldCharType="begin"/>
      </w:r>
      <w:r>
        <w:instrText xml:space="preserve"> HYPERLINK \l "_bookmark24" </w:instrText>
      </w:r>
      <w:r>
        <w:fldChar w:fldCharType="separate"/>
      </w:r>
      <w:r>
        <w:rPr>
          <w:sz w:val="21"/>
        </w:rPr>
        <w:t>物候期记载档案</w:t>
      </w:r>
      <w:r>
        <w:rPr>
          <w:sz w:val="21"/>
        </w:rPr>
        <w:tab/>
      </w:r>
      <w:r>
        <w:rPr>
          <w:sz w:val="21"/>
        </w:rPr>
        <w:t>4</w:t>
      </w:r>
      <w:r>
        <w:rPr>
          <w:sz w:val="21"/>
        </w:rPr>
        <w:fldChar w:fldCharType="end"/>
      </w:r>
    </w:p>
    <w:p>
      <w:pPr>
        <w:pStyle w:val="3"/>
        <w:tabs>
          <w:tab w:val="left" w:pos="410"/>
          <w:tab w:val="left" w:pos="921"/>
          <w:tab w:val="left" w:pos="1231"/>
          <w:tab w:val="right" w:leader="dot" w:pos="9342"/>
        </w:tabs>
        <w:spacing w:before="113"/>
        <w:ind w:right="423"/>
        <w:jc w:val="right"/>
      </w:pPr>
      <w:r>
        <w:fldChar w:fldCharType="begin"/>
      </w:r>
      <w:r>
        <w:instrText xml:space="preserve"> HYPERLINK \l "_bookmark25" </w:instrText>
      </w:r>
      <w:r>
        <w:fldChar w:fldCharType="separate"/>
      </w:r>
      <w:r>
        <w:t>附</w:t>
      </w:r>
      <w:r>
        <w:tab/>
      </w:r>
      <w:r>
        <w:t>录</w:t>
      </w:r>
      <w:r>
        <w:tab/>
      </w:r>
      <w:r>
        <w:t>A</w:t>
      </w:r>
      <w:r>
        <w:tab/>
      </w:r>
      <w:r>
        <w:t>（资料性）</w:t>
      </w:r>
      <w:r>
        <w:rPr>
          <w:spacing w:val="-1"/>
        </w:rPr>
        <w:t xml:space="preserve"> </w:t>
      </w:r>
      <w:r>
        <w:t>池栽鉴定过程中的农事记载表</w:t>
      </w:r>
      <w:r>
        <w:tab/>
      </w:r>
      <w:r>
        <w:t>5</w:t>
      </w:r>
      <w:r>
        <w:fldChar w:fldCharType="end"/>
      </w:r>
    </w:p>
    <w:p>
      <w:pPr>
        <w:pStyle w:val="3"/>
        <w:tabs>
          <w:tab w:val="left" w:pos="410"/>
          <w:tab w:val="left" w:pos="921"/>
          <w:tab w:val="left" w:pos="1231"/>
          <w:tab w:val="right" w:leader="dot" w:pos="9342"/>
        </w:tabs>
        <w:spacing w:before="129"/>
        <w:ind w:right="423"/>
        <w:jc w:val="right"/>
      </w:pPr>
      <w:r>
        <w:fldChar w:fldCharType="begin"/>
      </w:r>
      <w:r>
        <w:instrText xml:space="preserve"> HYPERLINK \l "_bookmark26" </w:instrText>
      </w:r>
      <w:r>
        <w:fldChar w:fldCharType="separate"/>
      </w:r>
      <w:r>
        <w:t>附</w:t>
      </w:r>
      <w:r>
        <w:tab/>
      </w:r>
      <w:r>
        <w:t>录</w:t>
      </w:r>
      <w:r>
        <w:tab/>
      </w:r>
      <w:r>
        <w:t>B</w:t>
      </w:r>
      <w:r>
        <w:tab/>
      </w:r>
      <w:r>
        <w:t>（资料性）</w:t>
      </w:r>
      <w:r>
        <w:rPr>
          <w:spacing w:val="-1"/>
        </w:rPr>
        <w:t xml:space="preserve"> </w:t>
      </w:r>
      <w:r>
        <w:t>参鉴品种的生育期记载表</w:t>
      </w:r>
      <w:r>
        <w:tab/>
      </w:r>
      <w:r>
        <w:t>6</w:t>
      </w:r>
      <w:r>
        <w:fldChar w:fldCharType="end"/>
      </w:r>
    </w:p>
    <w:p>
      <w:pPr>
        <w:spacing w:after="0"/>
        <w:jc w:val="right"/>
        <w:sectPr>
          <w:headerReference r:id="rId5" w:type="default"/>
          <w:footerReference r:id="rId6" w:type="default"/>
          <w:pgSz w:w="11910" w:h="16840"/>
          <w:pgMar w:top="1640" w:right="720" w:bottom="1340" w:left="1200" w:header="1449" w:footer="1141" w:gutter="0"/>
          <w:pgNumType w:start="1"/>
          <w:cols w:space="720" w:num="1"/>
        </w:sectPr>
      </w:pPr>
    </w:p>
    <w:p>
      <w:pPr>
        <w:pStyle w:val="3"/>
        <w:rPr>
          <w:sz w:val="32"/>
        </w:rPr>
      </w:pPr>
    </w:p>
    <w:p>
      <w:pPr>
        <w:pStyle w:val="3"/>
        <w:spacing w:before="1"/>
        <w:rPr>
          <w:sz w:val="35"/>
        </w:rPr>
      </w:pPr>
    </w:p>
    <w:p>
      <w:pPr>
        <w:tabs>
          <w:tab w:val="left" w:pos="1180"/>
        </w:tabs>
        <w:spacing w:before="0"/>
        <w:ind w:left="221" w:right="0" w:firstLine="0"/>
        <w:jc w:val="center"/>
        <w:rPr>
          <w:rFonts w:hint="eastAsia" w:ascii="黑体" w:eastAsia="黑体"/>
          <w:sz w:val="32"/>
        </w:rPr>
      </w:pPr>
      <w:bookmarkStart w:id="0" w:name="前言"/>
      <w:bookmarkEnd w:id="0"/>
      <w:bookmarkStart w:id="1" w:name="_bookmark0"/>
      <w:bookmarkEnd w:id="1"/>
      <w:r>
        <w:rPr>
          <w:rFonts w:hint="eastAsia" w:ascii="黑体" w:eastAsia="黑体"/>
          <w:sz w:val="32"/>
        </w:rPr>
        <w:t>前</w:t>
      </w:r>
      <w:r>
        <w:rPr>
          <w:rFonts w:hint="eastAsia" w:ascii="黑体" w:eastAsia="黑体"/>
          <w:sz w:val="32"/>
        </w:rPr>
        <w:tab/>
      </w:r>
      <w:r>
        <w:rPr>
          <w:rFonts w:hint="eastAsia" w:ascii="黑体" w:eastAsia="黑体"/>
          <w:sz w:val="32"/>
        </w:rPr>
        <w:t>言</w:t>
      </w:r>
    </w:p>
    <w:p>
      <w:pPr>
        <w:pStyle w:val="3"/>
        <w:spacing w:before="6"/>
        <w:rPr>
          <w:rFonts w:ascii="黑体"/>
          <w:sz w:val="46"/>
        </w:rPr>
      </w:pPr>
    </w:p>
    <w:p>
      <w:pPr>
        <w:pStyle w:val="3"/>
        <w:tabs>
          <w:tab w:val="left" w:pos="5051"/>
        </w:tabs>
        <w:spacing w:line="278" w:lineRule="auto"/>
        <w:ind w:left="218" w:right="415" w:firstLine="420"/>
      </w:pPr>
      <w:r>
        <w:t>本文件按照GB/T</w:t>
      </w:r>
      <w:r>
        <w:rPr>
          <w:spacing w:val="-3"/>
        </w:rPr>
        <w:t xml:space="preserve"> </w:t>
      </w:r>
      <w:r>
        <w:t>1.1—2020《标准化工作导则</w:t>
      </w:r>
      <w:r>
        <w:tab/>
      </w:r>
      <w:r>
        <w:t>第1部分：标准化文件的结构和起草规则》的规定起草。</w:t>
      </w:r>
    </w:p>
    <w:p>
      <w:pPr>
        <w:pStyle w:val="3"/>
        <w:tabs>
          <w:tab w:val="left" w:pos="5051"/>
        </w:tabs>
        <w:spacing w:line="278" w:lineRule="auto"/>
        <w:ind w:left="218" w:right="415" w:firstLine="420"/>
        <w:rPr>
          <w:w w:val="95"/>
        </w:rPr>
      </w:pPr>
      <w:r>
        <w:t>请注意本文件的某些内容可能涉及专利，本文件的发布机构不承担识别专利的责任</w:t>
      </w:r>
      <w:r>
        <w:rPr>
          <w:rFonts w:hint="eastAsia"/>
          <w:lang w:eastAsia="zh-CN"/>
        </w:rPr>
        <w:t>。本</w:t>
      </w:r>
      <w:r>
        <w:t>文件由湖南省农业农村厅提出。本文件由湖南省农业标准化技术委员会归口。</w:t>
      </w:r>
      <w:r>
        <w:rPr>
          <w:w w:val="95"/>
        </w:rPr>
        <w:t xml:space="preserve"> </w:t>
      </w:r>
    </w:p>
    <w:p>
      <w:pPr>
        <w:pStyle w:val="3"/>
        <w:spacing w:line="278" w:lineRule="auto"/>
        <w:ind w:right="1576" w:firstLine="420" w:firstLineChars="200"/>
      </w:pPr>
      <w:r>
        <w:t>本文件起草单位：湖南省水稻研究所。</w:t>
      </w:r>
    </w:p>
    <w:p>
      <w:pPr>
        <w:pStyle w:val="3"/>
        <w:spacing w:line="269" w:lineRule="exact"/>
        <w:ind w:firstLine="420" w:firstLineChars="200"/>
      </w:pPr>
      <w:bookmarkStart w:id="52" w:name="_GoBack"/>
      <w:r>
        <w:t>本文件主要起草人：戴力、方宝华、赵正洪、赵杨、周昆、匡炜</w:t>
      </w:r>
      <w:r>
        <w:rPr>
          <w:rFonts w:hint="eastAsia"/>
          <w:lang w:eastAsia="zh-CN"/>
        </w:rPr>
        <w:t>、</w:t>
      </w:r>
      <w:r>
        <w:t>罗先富、梁玉刚。</w:t>
      </w:r>
    </w:p>
    <w:p>
      <w:pPr>
        <w:spacing w:after="0" w:line="269" w:lineRule="exact"/>
        <w:sectPr>
          <w:pgSz w:w="11910" w:h="16840"/>
          <w:pgMar w:top="1640" w:right="720" w:bottom="1340" w:left="1200" w:header="1449" w:footer="1141" w:gutter="0"/>
          <w:cols w:space="720" w:num="1"/>
        </w:sectPr>
      </w:pPr>
    </w:p>
    <w:bookmarkEnd w:id="52"/>
    <w:p>
      <w:pPr>
        <w:pStyle w:val="3"/>
        <w:rPr>
          <w:sz w:val="20"/>
        </w:rPr>
      </w:pPr>
    </w:p>
    <w:p>
      <w:pPr>
        <w:pStyle w:val="3"/>
        <w:rPr>
          <w:sz w:val="20"/>
        </w:rPr>
      </w:pPr>
    </w:p>
    <w:p>
      <w:pPr>
        <w:pStyle w:val="3"/>
        <w:rPr>
          <w:sz w:val="20"/>
        </w:rPr>
      </w:pPr>
    </w:p>
    <w:p>
      <w:pPr>
        <w:pStyle w:val="3"/>
        <w:rPr>
          <w:sz w:val="22"/>
        </w:rPr>
      </w:pPr>
    </w:p>
    <w:p>
      <w:pPr>
        <w:pStyle w:val="2"/>
        <w:spacing w:before="54"/>
      </w:pPr>
      <w:r>
        <w:t>水稻镉积累特性池栽鉴定技术规程（征求意见稿）</w:t>
      </w:r>
    </w:p>
    <w:p>
      <w:pPr>
        <w:pStyle w:val="3"/>
        <w:rPr>
          <w:rFonts w:ascii="黑体"/>
          <w:sz w:val="20"/>
        </w:rPr>
      </w:pPr>
    </w:p>
    <w:p>
      <w:pPr>
        <w:pStyle w:val="3"/>
        <w:spacing w:before="11"/>
        <w:rPr>
          <w:rFonts w:ascii="黑体"/>
          <w:sz w:val="28"/>
        </w:rPr>
      </w:pPr>
    </w:p>
    <w:p>
      <w:pPr>
        <w:pStyle w:val="7"/>
        <w:numPr>
          <w:ilvl w:val="0"/>
          <w:numId w:val="2"/>
        </w:numPr>
        <w:tabs>
          <w:tab w:val="left" w:pos="532"/>
          <w:tab w:val="left" w:pos="533"/>
        </w:tabs>
        <w:spacing w:before="70" w:after="0" w:line="240" w:lineRule="auto"/>
        <w:ind w:left="532" w:right="0" w:hanging="315"/>
        <w:jc w:val="left"/>
        <w:rPr>
          <w:rFonts w:hint="eastAsia" w:ascii="黑体" w:eastAsia="黑体"/>
          <w:sz w:val="21"/>
        </w:rPr>
      </w:pPr>
      <w:bookmarkStart w:id="2" w:name="_bookmark1"/>
      <w:bookmarkEnd w:id="2"/>
      <w:bookmarkStart w:id="3" w:name="1　范围"/>
      <w:bookmarkEnd w:id="3"/>
      <w:r>
        <w:rPr>
          <w:rFonts w:hint="eastAsia" w:ascii="黑体" w:eastAsia="黑体"/>
          <w:sz w:val="21"/>
        </w:rPr>
        <w:t>范围</w:t>
      </w:r>
    </w:p>
    <w:p>
      <w:pPr>
        <w:pStyle w:val="3"/>
        <w:spacing w:before="9"/>
        <w:rPr>
          <w:rFonts w:ascii="黑体"/>
          <w:sz w:val="27"/>
        </w:rPr>
      </w:pPr>
    </w:p>
    <w:p>
      <w:pPr>
        <w:pStyle w:val="3"/>
        <w:spacing w:line="278" w:lineRule="auto"/>
        <w:ind w:left="218" w:right="412" w:firstLine="420"/>
        <w:rPr>
          <w:sz w:val="21"/>
          <w:szCs w:val="21"/>
        </w:rPr>
      </w:pPr>
      <w:r>
        <w:rPr>
          <w:sz w:val="21"/>
          <w:szCs w:val="21"/>
        </w:rPr>
        <w:t>本文件规定了水稻镉积累特性池栽鉴定的鉴定池技术要求、鉴定材料编号分组、池栽管理、取样检</w:t>
      </w:r>
      <w:r>
        <w:rPr>
          <w:spacing w:val="-4"/>
          <w:sz w:val="21"/>
          <w:szCs w:val="21"/>
        </w:rPr>
        <w:t>测等技术要求。</w:t>
      </w:r>
    </w:p>
    <w:p>
      <w:pPr>
        <w:pStyle w:val="3"/>
        <w:spacing w:line="269" w:lineRule="exact"/>
        <w:ind w:left="638"/>
      </w:pPr>
      <w:r>
        <w:rPr>
          <w:sz w:val="21"/>
          <w:szCs w:val="21"/>
        </w:rPr>
        <w:t>本文件适用于水稻镉积累特性表型池栽鉴定</w:t>
      </w:r>
      <w:r>
        <w:t>。</w:t>
      </w:r>
    </w:p>
    <w:p>
      <w:pPr>
        <w:pStyle w:val="3"/>
        <w:spacing w:before="9"/>
        <w:rPr>
          <w:sz w:val="27"/>
        </w:rPr>
      </w:pPr>
    </w:p>
    <w:p>
      <w:pPr>
        <w:pStyle w:val="7"/>
        <w:numPr>
          <w:ilvl w:val="0"/>
          <w:numId w:val="2"/>
        </w:numPr>
        <w:tabs>
          <w:tab w:val="left" w:pos="532"/>
          <w:tab w:val="left" w:pos="533"/>
        </w:tabs>
        <w:spacing w:before="0" w:after="0" w:line="240" w:lineRule="auto"/>
        <w:ind w:left="532" w:right="0" w:hanging="315"/>
        <w:jc w:val="left"/>
        <w:rPr>
          <w:rFonts w:hint="eastAsia" w:ascii="黑体" w:eastAsia="黑体"/>
          <w:sz w:val="21"/>
        </w:rPr>
      </w:pPr>
      <w:bookmarkStart w:id="4" w:name="_bookmark2"/>
      <w:bookmarkEnd w:id="4"/>
      <w:bookmarkStart w:id="5" w:name="2　规范性引用文件"/>
      <w:bookmarkEnd w:id="5"/>
      <w:r>
        <w:rPr>
          <w:rFonts w:hint="eastAsia" w:ascii="黑体" w:eastAsia="黑体"/>
          <w:sz w:val="21"/>
        </w:rPr>
        <w:t>规范性引用文件</w:t>
      </w:r>
    </w:p>
    <w:p>
      <w:pPr>
        <w:pStyle w:val="3"/>
        <w:spacing w:before="9"/>
        <w:rPr>
          <w:rFonts w:ascii="黑体"/>
          <w:sz w:val="27"/>
        </w:rPr>
      </w:pPr>
    </w:p>
    <w:p>
      <w:pPr>
        <w:pStyle w:val="3"/>
        <w:spacing w:line="278" w:lineRule="auto"/>
        <w:ind w:left="218" w:right="308" w:firstLine="420"/>
      </w:pPr>
      <w:r>
        <w:rPr>
          <w:sz w:val="21"/>
          <w:szCs w:val="21"/>
        </w:rPr>
        <w:t>下列文件中的内容通过文中的规范性引用而构成本文件必不可少的条款。其中，注日期的引用文件，</w:t>
      </w:r>
      <w:r>
        <w:rPr>
          <w:spacing w:val="-10"/>
        </w:rPr>
        <w:t>仅该日期对应的版本适用于本文件；不注日期的引用文件，其最新版本</w:t>
      </w:r>
      <w:r>
        <w:t>（包括所有的修改单</w:t>
      </w:r>
      <w:r>
        <w:rPr>
          <w:spacing w:val="-25"/>
        </w:rPr>
        <w:t>）</w:t>
      </w:r>
      <w:r>
        <w:t>适用于本文件。</w:t>
      </w:r>
    </w:p>
    <w:p>
      <w:pPr>
        <w:pStyle w:val="3"/>
        <w:spacing w:line="269" w:lineRule="exact"/>
        <w:ind w:left="638"/>
        <w:rPr>
          <w:sz w:val="21"/>
          <w:szCs w:val="21"/>
        </w:rPr>
      </w:pPr>
      <w:r>
        <w:rPr>
          <w:sz w:val="21"/>
          <w:szCs w:val="21"/>
        </w:rPr>
        <w:t>GB5009.15-2014 食品中镉的测定</w:t>
      </w:r>
    </w:p>
    <w:p>
      <w:pPr>
        <w:pStyle w:val="3"/>
        <w:spacing w:line="269" w:lineRule="exact"/>
        <w:ind w:left="638"/>
        <w:rPr>
          <w:sz w:val="21"/>
          <w:szCs w:val="21"/>
        </w:rPr>
      </w:pPr>
      <w:r>
        <w:rPr>
          <w:sz w:val="21"/>
          <w:szCs w:val="21"/>
        </w:rPr>
        <w:t>GB5084-2005 农业灌溉水质标准</w:t>
      </w:r>
    </w:p>
    <w:p>
      <w:pPr>
        <w:pStyle w:val="3"/>
        <w:spacing w:line="269" w:lineRule="exact"/>
        <w:ind w:left="638"/>
        <w:rPr>
          <w:sz w:val="21"/>
          <w:szCs w:val="21"/>
        </w:rPr>
      </w:pPr>
      <w:r>
        <w:rPr>
          <w:sz w:val="21"/>
          <w:szCs w:val="21"/>
        </w:rPr>
        <w:t>GB/T 17141-1997 土壤质量铅、镉的测定</w:t>
      </w:r>
      <w:r>
        <w:rPr>
          <w:rFonts w:hint="eastAsia"/>
          <w:sz w:val="21"/>
          <w:szCs w:val="21"/>
          <w:lang w:val="en-US" w:eastAsia="zh-CN"/>
        </w:rPr>
        <w:t xml:space="preserve"> </w:t>
      </w:r>
      <w:r>
        <w:rPr>
          <w:sz w:val="21"/>
          <w:szCs w:val="21"/>
        </w:rPr>
        <w:t>石墨炉原子吸收分光光度法</w:t>
      </w:r>
    </w:p>
    <w:p>
      <w:pPr>
        <w:pStyle w:val="3"/>
        <w:spacing w:line="269" w:lineRule="exact"/>
        <w:ind w:left="638"/>
        <w:rPr>
          <w:sz w:val="21"/>
          <w:szCs w:val="21"/>
        </w:rPr>
      </w:pPr>
      <w:r>
        <w:rPr>
          <w:sz w:val="21"/>
          <w:szCs w:val="21"/>
        </w:rPr>
        <w:t>NY/T 1121.2-2006 土壤pH的测定</w:t>
      </w:r>
    </w:p>
    <w:p>
      <w:pPr>
        <w:pStyle w:val="3"/>
        <w:spacing w:before="4"/>
        <w:rPr>
          <w:sz w:val="24"/>
        </w:rPr>
      </w:pPr>
    </w:p>
    <w:p>
      <w:pPr>
        <w:pStyle w:val="7"/>
        <w:numPr>
          <w:ilvl w:val="0"/>
          <w:numId w:val="2"/>
        </w:numPr>
        <w:tabs>
          <w:tab w:val="left" w:pos="532"/>
          <w:tab w:val="left" w:pos="533"/>
        </w:tabs>
        <w:spacing w:before="0" w:after="0" w:line="240" w:lineRule="auto"/>
        <w:ind w:left="532" w:right="0" w:hanging="315"/>
        <w:jc w:val="left"/>
        <w:rPr>
          <w:rFonts w:hint="eastAsia" w:ascii="黑体" w:eastAsia="黑体"/>
          <w:sz w:val="21"/>
        </w:rPr>
      </w:pPr>
      <w:bookmarkStart w:id="6" w:name="3　术语和定义"/>
      <w:bookmarkEnd w:id="6"/>
      <w:bookmarkStart w:id="7" w:name="_bookmark3"/>
      <w:bookmarkEnd w:id="7"/>
      <w:r>
        <w:rPr>
          <w:rFonts w:hint="eastAsia" w:ascii="黑体" w:eastAsia="黑体"/>
          <w:sz w:val="21"/>
        </w:rPr>
        <w:t>术语和定义</w:t>
      </w:r>
    </w:p>
    <w:p>
      <w:pPr>
        <w:pStyle w:val="3"/>
        <w:spacing w:before="9"/>
        <w:rPr>
          <w:rFonts w:ascii="黑体"/>
          <w:sz w:val="27"/>
        </w:rPr>
      </w:pPr>
    </w:p>
    <w:p>
      <w:pPr>
        <w:pStyle w:val="3"/>
        <w:ind w:left="638"/>
      </w:pPr>
      <w:r>
        <w:t>下列术语和定义适用于本文件。</w:t>
      </w:r>
    </w:p>
    <w:p>
      <w:pPr>
        <w:pStyle w:val="3"/>
        <w:spacing w:before="6"/>
        <w:rPr>
          <w:sz w:val="15"/>
        </w:rPr>
      </w:pPr>
    </w:p>
    <w:p>
      <w:pPr>
        <w:pStyle w:val="3"/>
        <w:spacing w:before="1"/>
        <w:ind w:left="360"/>
        <w:rPr>
          <w:rFonts w:ascii="黑体"/>
        </w:rPr>
      </w:pPr>
      <w:r>
        <w:rPr>
          <w:rFonts w:ascii="黑体"/>
        </w:rPr>
        <w:t>3.1</w:t>
      </w:r>
    </w:p>
    <w:p>
      <w:pPr>
        <w:pStyle w:val="3"/>
        <w:spacing w:before="6"/>
        <w:rPr>
          <w:rFonts w:ascii="黑体"/>
          <w:sz w:val="15"/>
        </w:rPr>
      </w:pPr>
    </w:p>
    <w:p>
      <w:pPr>
        <w:pStyle w:val="3"/>
        <w:ind w:left="640"/>
        <w:rPr>
          <w:rFonts w:hint="eastAsia" w:ascii="黑体" w:eastAsia="黑体"/>
        </w:rPr>
      </w:pPr>
      <w:bookmarkStart w:id="8" w:name="_bookmark4"/>
      <w:bookmarkEnd w:id="8"/>
      <w:bookmarkStart w:id="9" w:name="低镉水稻品种 Low cadmium rice varieties"/>
      <w:bookmarkEnd w:id="9"/>
      <w:r>
        <w:rPr>
          <w:rFonts w:hint="eastAsia" w:ascii="黑体" w:eastAsia="黑体"/>
        </w:rPr>
        <w:t>低镉水稻品种 Low cadmium rice varieties</w:t>
      </w:r>
    </w:p>
    <w:p>
      <w:pPr>
        <w:pStyle w:val="3"/>
        <w:spacing w:before="7"/>
        <w:rPr>
          <w:rFonts w:ascii="黑体"/>
          <w:sz w:val="15"/>
        </w:rPr>
      </w:pPr>
    </w:p>
    <w:p>
      <w:pPr>
        <w:pStyle w:val="3"/>
        <w:spacing w:line="269" w:lineRule="exact"/>
        <w:ind w:left="638"/>
        <w:rPr>
          <w:sz w:val="21"/>
          <w:szCs w:val="21"/>
        </w:rPr>
      </w:pPr>
      <w:r>
        <w:rPr>
          <w:sz w:val="21"/>
          <w:szCs w:val="21"/>
        </w:rPr>
        <w:t>指在农用地土壤镉污染风险管制值以内或以上土壤中常规灌溉模式下种植时糙米镉含量低于0.2mg/kg的水稻品种。</w:t>
      </w:r>
    </w:p>
    <w:p>
      <w:pPr>
        <w:pStyle w:val="3"/>
        <w:spacing w:before="156"/>
        <w:ind w:left="360"/>
        <w:rPr>
          <w:rFonts w:ascii="黑体"/>
        </w:rPr>
      </w:pPr>
      <w:r>
        <w:rPr>
          <w:rFonts w:ascii="黑体"/>
        </w:rPr>
        <w:t>3.2</w:t>
      </w:r>
    </w:p>
    <w:p>
      <w:pPr>
        <w:pStyle w:val="3"/>
        <w:spacing w:before="6"/>
        <w:rPr>
          <w:rFonts w:ascii="黑体"/>
          <w:sz w:val="15"/>
        </w:rPr>
      </w:pPr>
    </w:p>
    <w:p>
      <w:pPr>
        <w:pStyle w:val="3"/>
        <w:spacing w:before="1"/>
        <w:ind w:left="640"/>
        <w:rPr>
          <w:rFonts w:hint="eastAsia" w:ascii="黑体" w:eastAsia="黑体"/>
        </w:rPr>
      </w:pPr>
      <w:bookmarkStart w:id="10" w:name="镉池 Cadmium pond"/>
      <w:bookmarkEnd w:id="10"/>
      <w:bookmarkStart w:id="11" w:name="_bookmark5"/>
      <w:bookmarkEnd w:id="11"/>
      <w:r>
        <w:rPr>
          <w:rFonts w:hint="eastAsia" w:ascii="黑体" w:eastAsia="黑体"/>
        </w:rPr>
        <w:t>镉池 Cadmium pond</w:t>
      </w:r>
    </w:p>
    <w:p>
      <w:pPr>
        <w:pStyle w:val="3"/>
        <w:spacing w:before="6"/>
        <w:rPr>
          <w:rFonts w:ascii="黑体"/>
          <w:sz w:val="15"/>
        </w:rPr>
      </w:pPr>
    </w:p>
    <w:p>
      <w:pPr>
        <w:pStyle w:val="3"/>
        <w:ind w:left="638"/>
      </w:pPr>
      <w:r>
        <w:t>指土壤中镉含量达到特定水平值，且含量均匀一致，与外界镉污染源隔离的栽培池。</w:t>
      </w:r>
    </w:p>
    <w:p>
      <w:pPr>
        <w:pStyle w:val="3"/>
        <w:spacing w:before="7"/>
        <w:rPr>
          <w:sz w:val="15"/>
        </w:rPr>
      </w:pPr>
    </w:p>
    <w:p>
      <w:pPr>
        <w:pStyle w:val="3"/>
        <w:ind w:left="360"/>
        <w:rPr>
          <w:rFonts w:ascii="黑体"/>
        </w:rPr>
      </w:pPr>
      <w:r>
        <w:rPr>
          <w:rFonts w:ascii="黑体"/>
        </w:rPr>
        <w:t>3.3</w:t>
      </w:r>
    </w:p>
    <w:p>
      <w:pPr>
        <w:pStyle w:val="3"/>
        <w:spacing w:before="7"/>
        <w:rPr>
          <w:rFonts w:ascii="黑体"/>
          <w:sz w:val="15"/>
        </w:rPr>
      </w:pPr>
    </w:p>
    <w:p>
      <w:pPr>
        <w:pStyle w:val="3"/>
        <w:ind w:left="640"/>
        <w:rPr>
          <w:rFonts w:hint="eastAsia" w:ascii="黑体" w:eastAsia="黑体"/>
        </w:rPr>
      </w:pPr>
      <w:bookmarkStart w:id="12" w:name="排渗孔 Seepage hole"/>
      <w:bookmarkEnd w:id="12"/>
      <w:bookmarkStart w:id="13" w:name="_bookmark6"/>
      <w:bookmarkEnd w:id="13"/>
      <w:r>
        <w:rPr>
          <w:rFonts w:hint="eastAsia" w:ascii="黑体" w:eastAsia="黑体"/>
        </w:rPr>
        <w:t>排渗孔 Seepage hole</w:t>
      </w:r>
    </w:p>
    <w:p>
      <w:pPr>
        <w:pStyle w:val="3"/>
        <w:spacing w:before="6"/>
        <w:rPr>
          <w:rFonts w:ascii="黑体"/>
          <w:sz w:val="15"/>
        </w:rPr>
      </w:pPr>
    </w:p>
    <w:p>
      <w:pPr>
        <w:pStyle w:val="3"/>
        <w:spacing w:before="1"/>
        <w:ind w:left="638"/>
      </w:pPr>
      <w:r>
        <w:t>指利用重力作用通过渗水的方式排出土层中水分的排水孔。</w:t>
      </w:r>
    </w:p>
    <w:p>
      <w:pPr>
        <w:pStyle w:val="3"/>
        <w:spacing w:before="8"/>
        <w:rPr>
          <w:sz w:val="27"/>
        </w:rPr>
      </w:pPr>
    </w:p>
    <w:p>
      <w:pPr>
        <w:pStyle w:val="7"/>
        <w:numPr>
          <w:ilvl w:val="0"/>
          <w:numId w:val="3"/>
        </w:numPr>
        <w:tabs>
          <w:tab w:val="left" w:pos="532"/>
          <w:tab w:val="left" w:pos="533"/>
        </w:tabs>
        <w:spacing w:before="1" w:after="0" w:line="240" w:lineRule="auto"/>
        <w:ind w:left="532" w:right="0" w:hanging="315"/>
        <w:jc w:val="left"/>
        <w:rPr>
          <w:rFonts w:hint="eastAsia" w:ascii="黑体" w:eastAsia="黑体"/>
          <w:sz w:val="21"/>
        </w:rPr>
        <w:sectPr>
          <w:footerReference r:id="rId7" w:type="default"/>
          <w:pgSz w:w="11910" w:h="16840"/>
          <w:pgMar w:top="1640" w:right="720" w:bottom="1340" w:left="1200" w:header="1449" w:footer="1141" w:gutter="0"/>
          <w:pgNumType w:start="1"/>
          <w:cols w:space="720" w:num="1"/>
        </w:sectPr>
      </w:pPr>
      <w:bookmarkStart w:id="14" w:name="4　鉴定池技术要求"/>
      <w:bookmarkEnd w:id="14"/>
      <w:bookmarkStart w:id="15" w:name="_bookmark7"/>
      <w:bookmarkEnd w:id="15"/>
      <w:r>
        <w:rPr>
          <w:rFonts w:hint="eastAsia" w:ascii="黑体" w:eastAsia="黑体"/>
          <w:sz w:val="21"/>
        </w:rPr>
        <w:t>鉴定池技术要求</w:t>
      </w:r>
    </w:p>
    <w:p>
      <w:pPr>
        <w:pStyle w:val="3"/>
        <w:rPr>
          <w:rFonts w:ascii="黑体"/>
          <w:sz w:val="20"/>
        </w:rPr>
      </w:pPr>
    </w:p>
    <w:p>
      <w:pPr>
        <w:pStyle w:val="3"/>
        <w:spacing w:before="11"/>
        <w:rPr>
          <w:rFonts w:ascii="黑体"/>
          <w:sz w:val="14"/>
        </w:rPr>
      </w:pPr>
    </w:p>
    <w:p>
      <w:pPr>
        <w:pStyle w:val="7"/>
        <w:numPr>
          <w:ilvl w:val="1"/>
          <w:numId w:val="3"/>
        </w:numPr>
        <w:tabs>
          <w:tab w:val="left" w:pos="885"/>
          <w:tab w:val="left" w:pos="886"/>
        </w:tabs>
        <w:spacing w:before="70" w:after="0" w:line="240" w:lineRule="auto"/>
        <w:ind w:left="885" w:right="0" w:hanging="526"/>
        <w:jc w:val="left"/>
        <w:rPr>
          <w:rFonts w:hint="eastAsia" w:ascii="黑体" w:eastAsia="黑体"/>
          <w:sz w:val="21"/>
        </w:rPr>
      </w:pPr>
      <w:bookmarkStart w:id="16" w:name="4.1　镉池构造设计"/>
      <w:bookmarkEnd w:id="16"/>
      <w:bookmarkStart w:id="17" w:name="_bookmark8"/>
      <w:bookmarkEnd w:id="17"/>
      <w:r>
        <w:rPr>
          <w:rFonts w:hint="eastAsia" w:ascii="黑体" w:eastAsia="黑体"/>
          <w:sz w:val="21"/>
        </w:rPr>
        <w:t>镉池构造设计</w:t>
      </w:r>
    </w:p>
    <w:p>
      <w:pPr>
        <w:pStyle w:val="3"/>
        <w:spacing w:before="7"/>
        <w:rPr>
          <w:rFonts w:ascii="黑体"/>
          <w:sz w:val="15"/>
        </w:rPr>
      </w:pPr>
    </w:p>
    <w:p>
      <w:pPr>
        <w:pStyle w:val="7"/>
        <w:numPr>
          <w:ilvl w:val="2"/>
          <w:numId w:val="3"/>
        </w:numPr>
        <w:tabs>
          <w:tab w:val="left" w:pos="1268"/>
        </w:tabs>
        <w:spacing w:before="0" w:after="0" w:line="278" w:lineRule="auto"/>
        <w:ind w:left="218" w:right="415" w:firstLine="420"/>
        <w:jc w:val="left"/>
        <w:rPr>
          <w:sz w:val="21"/>
        </w:rPr>
      </w:pPr>
      <w:r>
        <w:rPr>
          <w:spacing w:val="-7"/>
          <w:sz w:val="21"/>
        </w:rPr>
        <w:t xml:space="preserve">栽培池采用混凝土建造，并利用连通器原理设计成套池实现高效联通灌水和排水，地表上部 </w:t>
      </w:r>
      <w:r>
        <w:rPr>
          <w:spacing w:val="-7"/>
          <w:w w:val="95"/>
          <w:sz w:val="21"/>
        </w:rPr>
        <w:t xml:space="preserve">  </w:t>
      </w:r>
      <w:r>
        <w:rPr>
          <w:spacing w:val="-7"/>
          <w:sz w:val="21"/>
        </w:rPr>
        <w:t>建造阳光大棚避雨，排除自然降水干扰。</w:t>
      </w:r>
    </w:p>
    <w:p>
      <w:pPr>
        <w:pStyle w:val="7"/>
        <w:numPr>
          <w:ilvl w:val="2"/>
          <w:numId w:val="3"/>
        </w:numPr>
        <w:tabs>
          <w:tab w:val="left" w:pos="1268"/>
        </w:tabs>
        <w:spacing w:before="0" w:after="0" w:line="278" w:lineRule="auto"/>
        <w:ind w:left="218" w:right="410" w:firstLine="420"/>
        <w:jc w:val="left"/>
        <w:rPr>
          <w:sz w:val="21"/>
        </w:rPr>
      </w:pPr>
      <w:r>
        <w:rPr>
          <w:spacing w:val="-2"/>
          <w:sz w:val="21"/>
        </w:rPr>
        <w:t>混凝土池长度根据实际情况确定，内空宽</w:t>
      </w:r>
      <w:r>
        <w:rPr>
          <w:spacing w:val="-6"/>
          <w:sz w:val="21"/>
        </w:rPr>
        <w:t>3m</w:t>
      </w:r>
      <w:r>
        <w:rPr>
          <w:spacing w:val="-3"/>
          <w:sz w:val="21"/>
        </w:rPr>
        <w:t>，高</w:t>
      </w:r>
      <w:r>
        <w:rPr>
          <w:spacing w:val="-4"/>
          <w:sz w:val="21"/>
        </w:rPr>
        <w:t>0.6m</w:t>
      </w:r>
      <w:r>
        <w:rPr>
          <w:spacing w:val="-2"/>
          <w:sz w:val="21"/>
        </w:rPr>
        <w:t>，池壁厚</w:t>
      </w:r>
      <w:r>
        <w:rPr>
          <w:spacing w:val="-4"/>
          <w:sz w:val="21"/>
        </w:rPr>
        <w:t>0.4m</w:t>
      </w:r>
      <w:r>
        <w:rPr>
          <w:spacing w:val="-2"/>
          <w:sz w:val="21"/>
        </w:rPr>
        <w:t>，底部混凝土厚</w:t>
      </w:r>
      <w:r>
        <w:rPr>
          <w:spacing w:val="-4"/>
          <w:sz w:val="21"/>
        </w:rPr>
        <w:t>10cm</w:t>
      </w:r>
      <w:r>
        <w:rPr>
          <w:spacing w:val="-2"/>
          <w:sz w:val="21"/>
        </w:rPr>
        <w:t>，池内土层沉实后厚度40cm。</w:t>
      </w:r>
    </w:p>
    <w:p>
      <w:pPr>
        <w:pStyle w:val="7"/>
        <w:numPr>
          <w:ilvl w:val="2"/>
          <w:numId w:val="3"/>
        </w:numPr>
        <w:tabs>
          <w:tab w:val="left" w:pos="1268"/>
        </w:tabs>
        <w:spacing w:before="0" w:after="0" w:line="278" w:lineRule="auto"/>
        <w:ind w:left="218" w:right="415" w:firstLine="420"/>
        <w:jc w:val="left"/>
        <w:rPr>
          <w:sz w:val="21"/>
        </w:rPr>
      </w:pPr>
      <w:r>
        <w:rPr>
          <w:spacing w:val="-7"/>
          <w:sz w:val="21"/>
        </w:rPr>
        <w:t>池壁两长边40cm高度处各预留一排灌/排水孔，孔径大小1.5cm，孔间距20cm，与水稻移栽行</w:t>
      </w:r>
      <w:r>
        <w:rPr>
          <w:spacing w:val="-3"/>
          <w:w w:val="95"/>
          <w:sz w:val="21"/>
        </w:rPr>
        <w:t xml:space="preserve">   </w:t>
      </w:r>
      <w:r>
        <w:rPr>
          <w:spacing w:val="-3"/>
          <w:sz w:val="21"/>
        </w:rPr>
        <w:t>距相当，池壁底部对应位置同样设置排渗孔，并提前使用粗砂和尼龙网布覆盖，以防淤堵。</w:t>
      </w:r>
    </w:p>
    <w:p>
      <w:pPr>
        <w:pStyle w:val="7"/>
        <w:numPr>
          <w:ilvl w:val="2"/>
          <w:numId w:val="3"/>
        </w:numPr>
        <w:tabs>
          <w:tab w:val="left" w:pos="1268"/>
        </w:tabs>
        <w:spacing w:before="0" w:after="0" w:line="269" w:lineRule="exact"/>
        <w:ind w:left="1267" w:right="0" w:hanging="630"/>
        <w:jc w:val="left"/>
        <w:rPr>
          <w:sz w:val="21"/>
        </w:rPr>
      </w:pPr>
      <w:r>
        <w:rPr>
          <w:spacing w:val="-2"/>
          <w:sz w:val="21"/>
        </w:rPr>
        <w:t>池外四周套混凝土围沟，沟宽</w:t>
      </w:r>
      <w:r>
        <w:rPr>
          <w:spacing w:val="-5"/>
          <w:sz w:val="21"/>
        </w:rPr>
        <w:t>0.3m</w:t>
      </w:r>
      <w:r>
        <w:rPr>
          <w:spacing w:val="-2"/>
          <w:sz w:val="21"/>
        </w:rPr>
        <w:t>，沟壁宽</w:t>
      </w:r>
      <w:r>
        <w:rPr>
          <w:spacing w:val="-5"/>
          <w:sz w:val="21"/>
        </w:rPr>
        <w:t>0.4m</w:t>
      </w:r>
      <w:r>
        <w:rPr>
          <w:spacing w:val="-2"/>
          <w:sz w:val="21"/>
        </w:rPr>
        <w:t>，沟底比池底低</w:t>
      </w:r>
      <w:r>
        <w:rPr>
          <w:spacing w:val="-5"/>
          <w:sz w:val="21"/>
        </w:rPr>
        <w:t>10cm</w:t>
      </w:r>
      <w:r>
        <w:rPr>
          <w:spacing w:val="-2"/>
          <w:sz w:val="21"/>
        </w:rPr>
        <w:t>，围沟通过池壁中部灌</w:t>
      </w:r>
    </w:p>
    <w:p>
      <w:pPr>
        <w:pStyle w:val="3"/>
        <w:spacing w:before="42" w:line="278" w:lineRule="auto"/>
        <w:ind w:left="218" w:right="412"/>
      </w:pPr>
      <w:r>
        <w:t>/排水孔和底部排渗孔与栽培池联通，栽培池内灌排均通过围沟间接进行，以保证池内各处灌排同步一致。</w:t>
      </w:r>
    </w:p>
    <w:p>
      <w:pPr>
        <w:pStyle w:val="7"/>
        <w:numPr>
          <w:ilvl w:val="1"/>
          <w:numId w:val="3"/>
        </w:numPr>
        <w:tabs>
          <w:tab w:val="left" w:pos="885"/>
          <w:tab w:val="left" w:pos="886"/>
        </w:tabs>
        <w:spacing w:before="156" w:after="0" w:line="240" w:lineRule="auto"/>
        <w:ind w:left="885" w:right="0" w:hanging="526"/>
        <w:jc w:val="left"/>
        <w:rPr>
          <w:rFonts w:hint="eastAsia" w:ascii="黑体" w:eastAsia="黑体"/>
          <w:sz w:val="21"/>
        </w:rPr>
      </w:pPr>
      <w:bookmarkStart w:id="18" w:name="4.2　镉池土壤要求"/>
      <w:bookmarkEnd w:id="18"/>
      <w:bookmarkStart w:id="19" w:name="_bookmark9"/>
      <w:bookmarkEnd w:id="19"/>
      <w:r>
        <w:rPr>
          <w:rFonts w:hint="eastAsia" w:ascii="黑体" w:eastAsia="黑体"/>
          <w:sz w:val="21"/>
        </w:rPr>
        <w:t>镉池土壤要求</w:t>
      </w:r>
    </w:p>
    <w:p>
      <w:pPr>
        <w:pStyle w:val="3"/>
        <w:spacing w:before="7"/>
        <w:rPr>
          <w:rFonts w:ascii="黑体"/>
          <w:sz w:val="15"/>
        </w:rPr>
      </w:pPr>
    </w:p>
    <w:p>
      <w:pPr>
        <w:pStyle w:val="7"/>
        <w:numPr>
          <w:ilvl w:val="2"/>
          <w:numId w:val="3"/>
        </w:numPr>
        <w:tabs>
          <w:tab w:val="left" w:pos="1268"/>
        </w:tabs>
        <w:spacing w:before="0" w:after="0" w:line="278" w:lineRule="auto"/>
        <w:ind w:left="218" w:right="411" w:firstLine="420"/>
        <w:jc w:val="left"/>
        <w:rPr>
          <w:sz w:val="21"/>
        </w:rPr>
      </w:pPr>
      <w:r>
        <w:rPr>
          <w:sz w:val="21"/>
        </w:rPr>
        <w:t>选取典型水稻土土壤，pH</w:t>
      </w:r>
      <w:r>
        <w:rPr>
          <w:spacing w:val="-3"/>
          <w:sz w:val="21"/>
        </w:rPr>
        <w:t xml:space="preserve">值在 </w:t>
      </w:r>
      <w:r>
        <w:rPr>
          <w:sz w:val="21"/>
        </w:rPr>
        <w:t>5.0</w:t>
      </w:r>
      <w:r>
        <w:rPr>
          <w:rFonts w:ascii="Times New Roman" w:hAnsi="Times New Roman" w:eastAsia="Times New Roman"/>
          <w:sz w:val="21"/>
        </w:rPr>
        <w:t>~</w:t>
      </w:r>
      <w:r>
        <w:rPr>
          <w:sz w:val="21"/>
        </w:rPr>
        <w:t>6.0</w:t>
      </w:r>
      <w:r>
        <w:rPr>
          <w:spacing w:val="-1"/>
          <w:sz w:val="21"/>
        </w:rPr>
        <w:t xml:space="preserve">之间，全镉含量设计为二级梯度，分别为 </w:t>
      </w:r>
      <w:r>
        <w:rPr>
          <w:sz w:val="21"/>
        </w:rPr>
        <w:t>0.7±0.1 mg/kg</w:t>
      </w:r>
      <w:r>
        <w:rPr>
          <w:spacing w:val="-1"/>
          <w:sz w:val="21"/>
        </w:rPr>
        <w:t xml:space="preserve">、和 </w:t>
      </w:r>
      <w:r>
        <w:rPr>
          <w:sz w:val="21"/>
        </w:rPr>
        <w:t>1.5±0.1</w:t>
      </w:r>
      <w:r>
        <w:rPr>
          <w:spacing w:val="-1"/>
          <w:sz w:val="21"/>
        </w:rPr>
        <w:t xml:space="preserve"> </w:t>
      </w:r>
      <w:r>
        <w:rPr>
          <w:sz w:val="21"/>
        </w:rPr>
        <w:t>mg/kg。</w:t>
      </w:r>
    </w:p>
    <w:p>
      <w:pPr>
        <w:pStyle w:val="7"/>
        <w:numPr>
          <w:ilvl w:val="2"/>
          <w:numId w:val="3"/>
        </w:numPr>
        <w:tabs>
          <w:tab w:val="left" w:pos="1268"/>
        </w:tabs>
        <w:spacing w:before="0" w:after="0" w:line="278" w:lineRule="auto"/>
        <w:ind w:left="218" w:right="203" w:firstLine="420"/>
        <w:jc w:val="left"/>
        <w:rPr>
          <w:sz w:val="21"/>
        </w:rPr>
      </w:pPr>
      <w:r>
        <w:rPr>
          <w:sz w:val="21"/>
        </w:rPr>
        <w:t>每年试验前和结束后对栽培池土壤全镉含量和pH</w:t>
      </w:r>
      <w:r>
        <w:rPr>
          <w:spacing w:val="-10"/>
          <w:sz w:val="21"/>
        </w:rPr>
        <w:t>值进行取样检测复核，当土壤</w:t>
      </w:r>
      <w:r>
        <w:rPr>
          <w:sz w:val="21"/>
        </w:rPr>
        <w:t>pH</w:t>
      </w:r>
      <w:r>
        <w:rPr>
          <w:spacing w:val="-5"/>
          <w:sz w:val="21"/>
        </w:rPr>
        <w:t xml:space="preserve">值超过 </w:t>
      </w:r>
      <w:r>
        <w:rPr>
          <w:sz w:val="21"/>
        </w:rPr>
        <w:t>6.5， 或全镉含量低于设计值 0.2mg/kg时，需重新装填达标稻田土壤。</w:t>
      </w:r>
    </w:p>
    <w:p>
      <w:pPr>
        <w:pStyle w:val="7"/>
        <w:numPr>
          <w:ilvl w:val="1"/>
          <w:numId w:val="3"/>
        </w:numPr>
        <w:tabs>
          <w:tab w:val="left" w:pos="885"/>
          <w:tab w:val="left" w:pos="886"/>
        </w:tabs>
        <w:spacing w:before="156" w:after="0" w:line="240" w:lineRule="auto"/>
        <w:ind w:left="885" w:right="0" w:hanging="526"/>
        <w:jc w:val="left"/>
        <w:rPr>
          <w:rFonts w:hint="eastAsia" w:ascii="黑体" w:eastAsia="黑体"/>
          <w:sz w:val="21"/>
        </w:rPr>
      </w:pPr>
      <w:bookmarkStart w:id="20" w:name="4.3　土壤入池处理"/>
      <w:bookmarkEnd w:id="20"/>
      <w:bookmarkStart w:id="21" w:name="_bookmark10"/>
      <w:bookmarkEnd w:id="21"/>
      <w:r>
        <w:rPr>
          <w:rFonts w:hint="eastAsia" w:ascii="黑体" w:eastAsia="黑体"/>
          <w:sz w:val="21"/>
        </w:rPr>
        <w:t>土壤入池处理</w:t>
      </w:r>
    </w:p>
    <w:p>
      <w:pPr>
        <w:pStyle w:val="3"/>
        <w:spacing w:before="1"/>
        <w:rPr>
          <w:rFonts w:ascii="黑体"/>
          <w:sz w:val="10"/>
        </w:rPr>
      </w:pPr>
    </w:p>
    <w:p>
      <w:pPr>
        <w:pStyle w:val="7"/>
        <w:numPr>
          <w:ilvl w:val="2"/>
          <w:numId w:val="3"/>
        </w:numPr>
        <w:tabs>
          <w:tab w:val="left" w:pos="1268"/>
        </w:tabs>
        <w:spacing w:before="69" w:after="0" w:line="240" w:lineRule="auto"/>
        <w:ind w:left="1267" w:right="0" w:hanging="630"/>
        <w:jc w:val="left"/>
        <w:rPr>
          <w:sz w:val="21"/>
        </w:rPr>
      </w:pPr>
      <w:r>
        <w:rPr>
          <w:sz w:val="21"/>
        </w:rPr>
        <w:t>取稻田耕作层土壤晒干后粉碎混匀，检测复核镉含量及pH值符合要求后装填入栽培池中。</w:t>
      </w:r>
    </w:p>
    <w:p>
      <w:pPr>
        <w:pStyle w:val="7"/>
        <w:numPr>
          <w:ilvl w:val="2"/>
          <w:numId w:val="3"/>
        </w:numPr>
        <w:tabs>
          <w:tab w:val="left" w:pos="1268"/>
        </w:tabs>
        <w:spacing w:before="43" w:after="0" w:line="240" w:lineRule="auto"/>
        <w:ind w:left="1267" w:right="0" w:hanging="630"/>
        <w:jc w:val="left"/>
        <w:rPr>
          <w:sz w:val="21"/>
        </w:rPr>
      </w:pPr>
      <w:r>
        <w:rPr>
          <w:sz w:val="21"/>
        </w:rPr>
        <w:t>装填完毕后缓慢灌水至土壤全部浸透，保持土表水层静置30天左右。</w:t>
      </w:r>
    </w:p>
    <w:p>
      <w:pPr>
        <w:pStyle w:val="7"/>
        <w:numPr>
          <w:ilvl w:val="2"/>
          <w:numId w:val="3"/>
        </w:numPr>
        <w:tabs>
          <w:tab w:val="left" w:pos="1268"/>
        </w:tabs>
        <w:spacing w:before="43" w:after="0" w:line="240" w:lineRule="auto"/>
        <w:ind w:left="1267" w:right="0" w:hanging="630"/>
        <w:jc w:val="left"/>
        <w:rPr>
          <w:sz w:val="21"/>
        </w:rPr>
      </w:pPr>
      <w:r>
        <w:rPr>
          <w:sz w:val="21"/>
        </w:rPr>
        <w:t>土壤沉实后进行平整使池内各处土层厚度保持在0.4m</w:t>
      </w:r>
      <w:r>
        <w:rPr>
          <w:spacing w:val="-11"/>
          <w:sz w:val="21"/>
        </w:rPr>
        <w:t>左右，即土表与上层灌排孔高度基本持</w:t>
      </w:r>
    </w:p>
    <w:p>
      <w:pPr>
        <w:pStyle w:val="3"/>
        <w:spacing w:before="43"/>
        <w:ind w:left="218"/>
      </w:pPr>
      <w:r>
        <w:t>平。</w:t>
      </w:r>
    </w:p>
    <w:p>
      <w:pPr>
        <w:pStyle w:val="3"/>
        <w:spacing w:before="1"/>
        <w:rPr>
          <w:sz w:val="10"/>
        </w:rPr>
      </w:pPr>
    </w:p>
    <w:p>
      <w:pPr>
        <w:pStyle w:val="7"/>
        <w:numPr>
          <w:ilvl w:val="1"/>
          <w:numId w:val="3"/>
        </w:numPr>
        <w:tabs>
          <w:tab w:val="left" w:pos="525"/>
          <w:tab w:val="left" w:pos="886"/>
        </w:tabs>
        <w:spacing w:before="70" w:after="0" w:line="240" w:lineRule="auto"/>
        <w:ind w:left="885" w:right="7840" w:hanging="886"/>
        <w:jc w:val="right"/>
        <w:rPr>
          <w:rFonts w:hint="eastAsia" w:ascii="黑体" w:eastAsia="黑体"/>
          <w:sz w:val="21"/>
        </w:rPr>
      </w:pPr>
      <w:bookmarkStart w:id="22" w:name="_bookmark11"/>
      <w:bookmarkEnd w:id="22"/>
      <w:bookmarkStart w:id="23" w:name="4.4　灌溉水质要求"/>
      <w:bookmarkEnd w:id="23"/>
      <w:r>
        <w:rPr>
          <w:rFonts w:hint="eastAsia" w:ascii="黑体" w:eastAsia="黑体"/>
          <w:w w:val="95"/>
          <w:sz w:val="21"/>
        </w:rPr>
        <w:t>灌溉水质要求</w:t>
      </w:r>
    </w:p>
    <w:p>
      <w:pPr>
        <w:pStyle w:val="3"/>
        <w:spacing w:before="7"/>
        <w:rPr>
          <w:rFonts w:ascii="黑体"/>
          <w:sz w:val="15"/>
        </w:rPr>
      </w:pPr>
    </w:p>
    <w:p>
      <w:pPr>
        <w:pStyle w:val="7"/>
        <w:numPr>
          <w:ilvl w:val="2"/>
          <w:numId w:val="3"/>
        </w:numPr>
        <w:tabs>
          <w:tab w:val="left" w:pos="1268"/>
        </w:tabs>
        <w:spacing w:before="0" w:after="0" w:line="240" w:lineRule="auto"/>
        <w:ind w:left="1267" w:right="0" w:hanging="630"/>
        <w:jc w:val="left"/>
        <w:rPr>
          <w:sz w:val="21"/>
        </w:rPr>
      </w:pPr>
      <w:r>
        <w:rPr>
          <w:sz w:val="21"/>
        </w:rPr>
        <w:t>池栽鉴定灌溉水水质要求参照 GB</w:t>
      </w:r>
      <w:r>
        <w:rPr>
          <w:spacing w:val="-2"/>
          <w:sz w:val="21"/>
        </w:rPr>
        <w:t xml:space="preserve"> </w:t>
      </w:r>
      <w:r>
        <w:rPr>
          <w:sz w:val="21"/>
        </w:rPr>
        <w:t>5084-2005</w:t>
      </w:r>
      <w:r>
        <w:rPr>
          <w:spacing w:val="-1"/>
          <w:sz w:val="21"/>
        </w:rPr>
        <w:t xml:space="preserve"> 农业灌溉水质标准。</w:t>
      </w:r>
    </w:p>
    <w:p>
      <w:pPr>
        <w:pStyle w:val="7"/>
        <w:numPr>
          <w:ilvl w:val="2"/>
          <w:numId w:val="3"/>
        </w:numPr>
        <w:tabs>
          <w:tab w:val="left" w:pos="1268"/>
        </w:tabs>
        <w:spacing w:before="43" w:after="0" w:line="240" w:lineRule="auto"/>
        <w:ind w:left="1267" w:right="0" w:hanging="630"/>
        <w:jc w:val="left"/>
        <w:rPr>
          <w:sz w:val="21"/>
        </w:rPr>
      </w:pPr>
      <w:r>
        <w:rPr>
          <w:sz w:val="21"/>
        </w:rPr>
        <w:t>灌溉水酸碱度建议不高于7.5。</w:t>
      </w:r>
    </w:p>
    <w:p>
      <w:pPr>
        <w:pStyle w:val="3"/>
        <w:spacing w:before="9"/>
        <w:rPr>
          <w:sz w:val="27"/>
        </w:rPr>
      </w:pPr>
    </w:p>
    <w:p>
      <w:pPr>
        <w:pStyle w:val="7"/>
        <w:numPr>
          <w:ilvl w:val="0"/>
          <w:numId w:val="3"/>
        </w:numPr>
        <w:tabs>
          <w:tab w:val="left" w:pos="314"/>
          <w:tab w:val="left" w:pos="533"/>
        </w:tabs>
        <w:spacing w:before="0" w:after="0" w:line="240" w:lineRule="auto"/>
        <w:ind w:left="532" w:right="7773" w:hanging="533"/>
        <w:jc w:val="right"/>
        <w:rPr>
          <w:rFonts w:hint="eastAsia" w:ascii="黑体" w:eastAsia="黑体"/>
          <w:sz w:val="21"/>
        </w:rPr>
      </w:pPr>
      <w:bookmarkStart w:id="24" w:name="_bookmark12"/>
      <w:bookmarkEnd w:id="24"/>
      <w:bookmarkStart w:id="25" w:name="5　参鉴材料分组编号"/>
      <w:bookmarkEnd w:id="25"/>
      <w:r>
        <w:rPr>
          <w:rFonts w:hint="eastAsia" w:ascii="黑体" w:eastAsia="黑体"/>
          <w:w w:val="95"/>
          <w:sz w:val="21"/>
        </w:rPr>
        <w:t>参鉴材料分组编号</w:t>
      </w:r>
    </w:p>
    <w:p>
      <w:pPr>
        <w:pStyle w:val="3"/>
        <w:spacing w:before="9"/>
        <w:rPr>
          <w:rFonts w:ascii="黑体"/>
          <w:sz w:val="27"/>
        </w:rPr>
      </w:pPr>
    </w:p>
    <w:p>
      <w:pPr>
        <w:pStyle w:val="7"/>
        <w:numPr>
          <w:ilvl w:val="1"/>
          <w:numId w:val="3"/>
        </w:numPr>
        <w:tabs>
          <w:tab w:val="left" w:pos="1200"/>
          <w:tab w:val="left" w:pos="2251"/>
        </w:tabs>
        <w:spacing w:before="0" w:after="0" w:line="278" w:lineRule="auto"/>
        <w:ind w:left="360" w:right="412" w:firstLine="420"/>
        <w:jc w:val="left"/>
        <w:rPr>
          <w:sz w:val="21"/>
        </w:rPr>
      </w:pPr>
      <w:r>
        <w:rPr>
          <w:sz w:val="21"/>
        </w:rPr>
        <w:t>熟期分组</w:t>
      </w:r>
      <w:r>
        <w:rPr>
          <w:sz w:val="21"/>
        </w:rPr>
        <w:tab/>
      </w:r>
      <w:r>
        <w:rPr>
          <w:spacing w:val="-7"/>
          <w:sz w:val="21"/>
        </w:rPr>
        <w:t xml:space="preserve">根据参鉴品种生育期特征，按熟期分组正季种植鉴定。共分为早籼早中熟组、中  </w:t>
      </w:r>
      <w:r>
        <w:rPr>
          <w:sz w:val="21"/>
        </w:rPr>
        <w:t>籼中熟组、中籼迟熟组、晚籼早熟组和晚籼中迟熟组等</w:t>
      </w:r>
      <w:r>
        <w:rPr>
          <w:spacing w:val="-51"/>
          <w:sz w:val="21"/>
        </w:rPr>
        <w:t xml:space="preserve"> </w:t>
      </w:r>
      <w:r>
        <w:rPr>
          <w:sz w:val="21"/>
        </w:rPr>
        <w:t>5</w:t>
      </w:r>
      <w:r>
        <w:rPr>
          <w:spacing w:val="-52"/>
          <w:sz w:val="21"/>
        </w:rPr>
        <w:t xml:space="preserve"> </w:t>
      </w:r>
      <w:r>
        <w:rPr>
          <w:sz w:val="21"/>
        </w:rPr>
        <w:t>个生态组别。</w:t>
      </w:r>
    </w:p>
    <w:p>
      <w:pPr>
        <w:pStyle w:val="7"/>
        <w:numPr>
          <w:ilvl w:val="1"/>
          <w:numId w:val="3"/>
        </w:numPr>
        <w:tabs>
          <w:tab w:val="left" w:pos="1200"/>
          <w:tab w:val="left" w:pos="2251"/>
        </w:tabs>
        <w:spacing w:before="0" w:after="0" w:line="269" w:lineRule="exact"/>
        <w:ind w:left="1200" w:right="0" w:hanging="420"/>
        <w:jc w:val="left"/>
        <w:rPr>
          <w:sz w:val="21"/>
        </w:rPr>
      </w:pPr>
      <w:r>
        <w:rPr>
          <w:sz w:val="21"/>
        </w:rPr>
        <w:t>品种编号</w:t>
      </w:r>
      <w:r>
        <w:rPr>
          <w:sz w:val="21"/>
        </w:rPr>
        <w:tab/>
      </w:r>
      <w:r>
        <w:rPr>
          <w:sz w:val="21"/>
        </w:rPr>
        <w:t>按照年份+熟期编号+品种编号+重复序号，对每个参鉴品种进行编号。</w:t>
      </w:r>
    </w:p>
    <w:p>
      <w:pPr>
        <w:pStyle w:val="3"/>
        <w:spacing w:before="9"/>
        <w:rPr>
          <w:sz w:val="27"/>
        </w:rPr>
      </w:pPr>
    </w:p>
    <w:p>
      <w:pPr>
        <w:pStyle w:val="7"/>
        <w:numPr>
          <w:ilvl w:val="0"/>
          <w:numId w:val="3"/>
        </w:numPr>
        <w:tabs>
          <w:tab w:val="left" w:pos="532"/>
          <w:tab w:val="left" w:pos="533"/>
        </w:tabs>
        <w:spacing w:before="0" w:after="0" w:line="240" w:lineRule="auto"/>
        <w:ind w:left="532" w:right="0" w:hanging="315"/>
        <w:jc w:val="left"/>
        <w:rPr>
          <w:rFonts w:hint="eastAsia" w:ascii="黑体" w:eastAsia="黑体"/>
          <w:sz w:val="21"/>
        </w:rPr>
      </w:pPr>
      <w:bookmarkStart w:id="26" w:name="6　池栽管理"/>
      <w:bookmarkEnd w:id="26"/>
      <w:bookmarkStart w:id="27" w:name="_bookmark13"/>
      <w:bookmarkEnd w:id="27"/>
      <w:r>
        <w:rPr>
          <w:rFonts w:hint="eastAsia" w:ascii="黑体" w:eastAsia="黑体"/>
          <w:sz w:val="21"/>
        </w:rPr>
        <w:t>池栽管理</w:t>
      </w:r>
    </w:p>
    <w:p>
      <w:pPr>
        <w:pStyle w:val="3"/>
        <w:spacing w:before="9"/>
        <w:rPr>
          <w:rFonts w:ascii="黑体"/>
          <w:sz w:val="27"/>
        </w:rPr>
      </w:pPr>
    </w:p>
    <w:p>
      <w:pPr>
        <w:pStyle w:val="7"/>
        <w:numPr>
          <w:ilvl w:val="1"/>
          <w:numId w:val="3"/>
        </w:numPr>
        <w:tabs>
          <w:tab w:val="left" w:pos="525"/>
          <w:tab w:val="left" w:pos="526"/>
        </w:tabs>
        <w:spacing w:before="0" w:after="0" w:line="240" w:lineRule="auto"/>
        <w:ind w:left="885" w:right="7840" w:hanging="886"/>
        <w:jc w:val="right"/>
        <w:rPr>
          <w:rFonts w:hint="eastAsia" w:ascii="黑体" w:eastAsia="黑体"/>
          <w:sz w:val="21"/>
        </w:rPr>
      </w:pPr>
      <w:bookmarkStart w:id="28" w:name="6.1　池栽品种布局"/>
      <w:bookmarkEnd w:id="28"/>
      <w:bookmarkStart w:id="29" w:name="_bookmark14"/>
      <w:bookmarkEnd w:id="29"/>
      <w:r>
        <w:rPr>
          <w:rFonts w:hint="eastAsia" w:ascii="黑体" w:eastAsia="黑体"/>
          <w:w w:val="95"/>
          <w:sz w:val="21"/>
        </w:rPr>
        <w:t>池栽品种布局</w:t>
      </w:r>
    </w:p>
    <w:p>
      <w:pPr>
        <w:pStyle w:val="3"/>
        <w:spacing w:before="6"/>
        <w:rPr>
          <w:rFonts w:ascii="黑体"/>
          <w:sz w:val="15"/>
        </w:rPr>
      </w:pPr>
    </w:p>
    <w:p>
      <w:pPr>
        <w:pStyle w:val="7"/>
        <w:numPr>
          <w:ilvl w:val="2"/>
          <w:numId w:val="3"/>
        </w:numPr>
        <w:tabs>
          <w:tab w:val="left" w:pos="1268"/>
        </w:tabs>
        <w:spacing w:before="0" w:after="0" w:line="278" w:lineRule="auto"/>
        <w:ind w:left="218" w:right="412" w:firstLine="420"/>
        <w:jc w:val="left"/>
        <w:rPr>
          <w:sz w:val="21"/>
        </w:rPr>
      </w:pPr>
      <w:r>
        <w:rPr>
          <w:sz w:val="21"/>
        </w:rPr>
        <w:t>不同生态组别品种分区种植，同组品种随机排列，3次重复，每次重复1行10蔸，每蔸插2粒谷苗。</w:t>
      </w:r>
    </w:p>
    <w:p>
      <w:pPr>
        <w:pStyle w:val="7"/>
        <w:numPr>
          <w:ilvl w:val="2"/>
          <w:numId w:val="3"/>
        </w:numPr>
        <w:tabs>
          <w:tab w:val="left" w:pos="1268"/>
        </w:tabs>
        <w:spacing w:before="0" w:after="0" w:line="269" w:lineRule="exact"/>
        <w:ind w:left="1267" w:right="0" w:hanging="630"/>
        <w:jc w:val="left"/>
        <w:rPr>
          <w:sz w:val="21"/>
        </w:rPr>
      </w:pPr>
      <w:r>
        <w:rPr>
          <w:sz w:val="21"/>
        </w:rPr>
        <w:t>每隔5行种植1行湘晚籼12号（红色糙米标记不易混杂）作为土壤条件均一性质控评价样品。</w:t>
      </w:r>
    </w:p>
    <w:p>
      <w:pPr>
        <w:pStyle w:val="3"/>
        <w:spacing w:before="7"/>
        <w:rPr>
          <w:sz w:val="15"/>
        </w:rPr>
      </w:pPr>
    </w:p>
    <w:p>
      <w:pPr>
        <w:pStyle w:val="7"/>
        <w:numPr>
          <w:ilvl w:val="1"/>
          <w:numId w:val="3"/>
        </w:numPr>
        <w:tabs>
          <w:tab w:val="left" w:pos="885"/>
          <w:tab w:val="left" w:pos="886"/>
        </w:tabs>
        <w:spacing w:before="0" w:after="0" w:line="240" w:lineRule="auto"/>
        <w:ind w:left="885" w:right="0" w:hanging="526"/>
        <w:jc w:val="left"/>
        <w:rPr>
          <w:rFonts w:hint="eastAsia" w:ascii="黑体" w:eastAsia="黑体"/>
          <w:sz w:val="21"/>
        </w:rPr>
      </w:pPr>
      <w:bookmarkStart w:id="30" w:name="6.2　育秧移栽"/>
      <w:bookmarkEnd w:id="30"/>
      <w:bookmarkStart w:id="31" w:name="_bookmark15"/>
      <w:bookmarkEnd w:id="31"/>
      <w:r>
        <w:rPr>
          <w:rFonts w:hint="eastAsia" w:ascii="黑体" w:eastAsia="黑体"/>
          <w:sz w:val="21"/>
        </w:rPr>
        <w:t>育秧移栽</w:t>
      </w:r>
    </w:p>
    <w:p>
      <w:pPr>
        <w:spacing w:after="0" w:line="240" w:lineRule="auto"/>
        <w:jc w:val="left"/>
        <w:rPr>
          <w:rFonts w:hint="eastAsia" w:ascii="黑体" w:eastAsia="黑体"/>
          <w:sz w:val="21"/>
        </w:rPr>
        <w:sectPr>
          <w:pgSz w:w="11910" w:h="16840"/>
          <w:pgMar w:top="1640" w:right="720" w:bottom="1340" w:left="1200" w:header="1449" w:footer="1141" w:gutter="0"/>
          <w:cols w:space="720" w:num="1"/>
        </w:sectPr>
      </w:pPr>
    </w:p>
    <w:p>
      <w:pPr>
        <w:pStyle w:val="3"/>
        <w:rPr>
          <w:rFonts w:ascii="黑体"/>
          <w:sz w:val="20"/>
        </w:rPr>
      </w:pPr>
    </w:p>
    <w:p>
      <w:pPr>
        <w:pStyle w:val="3"/>
        <w:rPr>
          <w:rFonts w:ascii="黑体"/>
          <w:sz w:val="20"/>
        </w:rPr>
      </w:pPr>
    </w:p>
    <w:p>
      <w:pPr>
        <w:pStyle w:val="3"/>
        <w:spacing w:before="11"/>
        <w:rPr>
          <w:rFonts w:ascii="黑体"/>
          <w:sz w:val="14"/>
        </w:rPr>
      </w:pPr>
    </w:p>
    <w:p>
      <w:pPr>
        <w:pStyle w:val="7"/>
        <w:numPr>
          <w:ilvl w:val="2"/>
          <w:numId w:val="3"/>
        </w:numPr>
        <w:tabs>
          <w:tab w:val="left" w:pos="1268"/>
        </w:tabs>
        <w:spacing w:before="70" w:after="0" w:line="240" w:lineRule="auto"/>
        <w:ind w:left="1267" w:right="0" w:hanging="630"/>
        <w:jc w:val="left"/>
        <w:rPr>
          <w:sz w:val="21"/>
        </w:rPr>
      </w:pPr>
      <w:r>
        <w:rPr>
          <w:sz w:val="21"/>
        </w:rPr>
        <w:t>育秧环节同一般水稻育秧。</w:t>
      </w:r>
    </w:p>
    <w:p>
      <w:pPr>
        <w:pStyle w:val="7"/>
        <w:numPr>
          <w:ilvl w:val="2"/>
          <w:numId w:val="3"/>
        </w:numPr>
        <w:tabs>
          <w:tab w:val="left" w:pos="1268"/>
        </w:tabs>
        <w:spacing w:before="43" w:after="0" w:line="278" w:lineRule="auto"/>
        <w:ind w:left="218" w:right="412" w:firstLine="420"/>
        <w:jc w:val="left"/>
        <w:rPr>
          <w:sz w:val="21"/>
        </w:rPr>
      </w:pPr>
      <w:r>
        <w:rPr>
          <w:spacing w:val="-7"/>
          <w:sz w:val="21"/>
        </w:rPr>
        <w:t>移</w:t>
      </w:r>
      <w:r>
        <w:rPr>
          <w:spacing w:val="-7"/>
          <w:sz w:val="21"/>
        </w:rPr>
        <w:t>栽过程中使用轨道滑动平台或类似方法实现移栽过程人不踩入池中，池中无脚印扰动，充   分</w:t>
      </w:r>
      <w:r>
        <w:rPr>
          <w:spacing w:val="-4"/>
          <w:sz w:val="21"/>
        </w:rPr>
        <w:t>保证土壤平整度和水分均一性。</w:t>
      </w:r>
    </w:p>
    <w:p>
      <w:pPr>
        <w:pStyle w:val="7"/>
        <w:numPr>
          <w:ilvl w:val="1"/>
          <w:numId w:val="3"/>
        </w:numPr>
        <w:tabs>
          <w:tab w:val="left" w:pos="885"/>
          <w:tab w:val="left" w:pos="886"/>
        </w:tabs>
        <w:spacing w:before="156" w:after="0" w:line="240" w:lineRule="auto"/>
        <w:ind w:left="885" w:right="0" w:hanging="526"/>
        <w:jc w:val="left"/>
        <w:rPr>
          <w:rFonts w:hint="eastAsia" w:ascii="黑体" w:eastAsia="黑体"/>
          <w:sz w:val="21"/>
        </w:rPr>
      </w:pPr>
      <w:bookmarkStart w:id="32" w:name="6.3　水分管理"/>
      <w:bookmarkEnd w:id="32"/>
      <w:bookmarkStart w:id="33" w:name="_bookmark16"/>
      <w:bookmarkEnd w:id="33"/>
      <w:r>
        <w:rPr>
          <w:rFonts w:hint="eastAsia" w:ascii="黑体" w:eastAsia="黑体"/>
          <w:sz w:val="21"/>
        </w:rPr>
        <w:t>水分管理</w:t>
      </w:r>
    </w:p>
    <w:p>
      <w:pPr>
        <w:pStyle w:val="3"/>
        <w:spacing w:before="7"/>
        <w:rPr>
          <w:rFonts w:ascii="黑体"/>
          <w:sz w:val="15"/>
        </w:rPr>
      </w:pPr>
    </w:p>
    <w:p>
      <w:pPr>
        <w:pStyle w:val="7"/>
        <w:numPr>
          <w:ilvl w:val="2"/>
          <w:numId w:val="3"/>
        </w:numPr>
        <w:tabs>
          <w:tab w:val="left" w:pos="1268"/>
          <w:tab w:val="left" w:pos="2738"/>
        </w:tabs>
        <w:spacing w:before="0" w:after="0" w:line="278" w:lineRule="auto"/>
        <w:ind w:left="218" w:right="359" w:firstLine="420"/>
        <w:jc w:val="left"/>
        <w:rPr>
          <w:sz w:val="21"/>
        </w:rPr>
      </w:pPr>
      <w:r>
        <w:rPr>
          <w:sz w:val="21"/>
        </w:rPr>
        <w:t>前期水分管理</w:t>
      </w:r>
      <w:r>
        <w:rPr>
          <w:sz w:val="21"/>
        </w:rPr>
        <w:tab/>
      </w:r>
      <w:r>
        <w:rPr>
          <w:sz w:val="21"/>
        </w:rPr>
        <w:t>湿润插秧，浅水（1</w:t>
      </w:r>
      <w:r>
        <w:rPr>
          <w:spacing w:val="-11"/>
          <w:sz w:val="21"/>
        </w:rPr>
        <w:t xml:space="preserve"> </w:t>
      </w:r>
      <w:r>
        <w:rPr>
          <w:sz w:val="21"/>
        </w:rPr>
        <w:t>cm</w:t>
      </w:r>
      <w:r>
        <w:rPr>
          <w:spacing w:val="-56"/>
          <w:sz w:val="21"/>
        </w:rPr>
        <w:t xml:space="preserve"> </w:t>
      </w:r>
      <w:r>
        <w:rPr>
          <w:rFonts w:ascii="Times New Roman" w:eastAsia="Times New Roman"/>
          <w:sz w:val="21"/>
        </w:rPr>
        <w:t>~</w:t>
      </w:r>
      <w:r>
        <w:rPr>
          <w:sz w:val="21"/>
        </w:rPr>
        <w:t>2cm）活蔸和分蘖，分蘖期除草施药前后干水3天， 分蘖盛期晒田7天控蘖。</w:t>
      </w:r>
    </w:p>
    <w:p>
      <w:pPr>
        <w:pStyle w:val="7"/>
        <w:numPr>
          <w:ilvl w:val="2"/>
          <w:numId w:val="3"/>
        </w:numPr>
        <w:tabs>
          <w:tab w:val="left" w:pos="1268"/>
          <w:tab w:val="left" w:pos="2738"/>
        </w:tabs>
        <w:spacing w:before="0" w:after="0" w:line="278" w:lineRule="auto"/>
        <w:ind w:left="218" w:right="415" w:firstLine="420"/>
        <w:jc w:val="left"/>
        <w:rPr>
          <w:spacing w:val="-7"/>
          <w:sz w:val="21"/>
        </w:rPr>
      </w:pPr>
      <w:r>
        <w:rPr>
          <w:sz w:val="21"/>
        </w:rPr>
        <w:t>后期水分管理</w:t>
      </w:r>
      <w:r>
        <w:rPr>
          <w:sz w:val="21"/>
        </w:rPr>
        <w:tab/>
      </w:r>
      <w:r>
        <w:rPr>
          <w:spacing w:val="-7"/>
          <w:sz w:val="21"/>
        </w:rPr>
        <w:t>晒田复水后按淹三天干五天的干湿交替法进行后期水分管理直至收割，淹水  深度为3cm~5cm。</w:t>
      </w:r>
    </w:p>
    <w:p>
      <w:pPr>
        <w:pStyle w:val="7"/>
        <w:numPr>
          <w:ilvl w:val="1"/>
          <w:numId w:val="3"/>
        </w:numPr>
        <w:tabs>
          <w:tab w:val="left" w:pos="885"/>
          <w:tab w:val="left" w:pos="886"/>
        </w:tabs>
        <w:spacing w:before="155" w:after="0" w:line="240" w:lineRule="auto"/>
        <w:ind w:left="885" w:right="0" w:hanging="526"/>
        <w:jc w:val="left"/>
        <w:rPr>
          <w:rFonts w:hint="eastAsia" w:ascii="黑体" w:eastAsia="黑体"/>
          <w:sz w:val="21"/>
        </w:rPr>
      </w:pPr>
      <w:bookmarkStart w:id="34" w:name="6.4　施肥"/>
      <w:bookmarkEnd w:id="34"/>
      <w:bookmarkStart w:id="35" w:name="_bookmark17"/>
      <w:bookmarkEnd w:id="35"/>
      <w:r>
        <w:rPr>
          <w:rFonts w:hint="eastAsia" w:ascii="黑体" w:eastAsia="黑体"/>
          <w:sz w:val="21"/>
        </w:rPr>
        <w:t>施肥</w:t>
      </w:r>
    </w:p>
    <w:p>
      <w:pPr>
        <w:pStyle w:val="3"/>
        <w:spacing w:before="7"/>
        <w:rPr>
          <w:rFonts w:ascii="黑体"/>
          <w:sz w:val="15"/>
        </w:rPr>
      </w:pPr>
    </w:p>
    <w:p>
      <w:pPr>
        <w:pStyle w:val="3"/>
        <w:ind w:left="638"/>
      </w:pPr>
      <w:r>
        <w:t>基肥施用复合肥，追肥施用尿素和氯化钾，采用常规施肥水平和方法。</w:t>
      </w:r>
    </w:p>
    <w:p>
      <w:pPr>
        <w:pStyle w:val="3"/>
        <w:spacing w:before="7"/>
        <w:rPr>
          <w:sz w:val="15"/>
        </w:rPr>
      </w:pPr>
    </w:p>
    <w:p>
      <w:pPr>
        <w:pStyle w:val="7"/>
        <w:numPr>
          <w:ilvl w:val="1"/>
          <w:numId w:val="3"/>
        </w:numPr>
        <w:tabs>
          <w:tab w:val="left" w:pos="885"/>
          <w:tab w:val="left" w:pos="886"/>
        </w:tabs>
        <w:spacing w:before="0" w:after="0" w:line="240" w:lineRule="auto"/>
        <w:ind w:left="885" w:right="0" w:hanging="526"/>
        <w:jc w:val="left"/>
        <w:rPr>
          <w:rFonts w:hint="eastAsia" w:ascii="黑体" w:eastAsia="黑体"/>
          <w:sz w:val="21"/>
        </w:rPr>
      </w:pPr>
      <w:bookmarkStart w:id="36" w:name="_bookmark18"/>
      <w:bookmarkEnd w:id="36"/>
      <w:bookmarkStart w:id="37" w:name="6.5　除杂"/>
      <w:bookmarkEnd w:id="37"/>
      <w:r>
        <w:rPr>
          <w:rFonts w:hint="eastAsia" w:ascii="黑体" w:eastAsia="黑体"/>
          <w:sz w:val="21"/>
        </w:rPr>
        <w:t>除杂</w:t>
      </w:r>
    </w:p>
    <w:p>
      <w:pPr>
        <w:pStyle w:val="3"/>
        <w:spacing w:before="6"/>
        <w:rPr>
          <w:rFonts w:ascii="黑体"/>
          <w:sz w:val="15"/>
        </w:rPr>
      </w:pPr>
    </w:p>
    <w:p>
      <w:pPr>
        <w:pStyle w:val="7"/>
        <w:numPr>
          <w:ilvl w:val="2"/>
          <w:numId w:val="3"/>
        </w:numPr>
        <w:tabs>
          <w:tab w:val="left" w:pos="1268"/>
          <w:tab w:val="left" w:pos="2527"/>
        </w:tabs>
        <w:spacing w:before="1" w:after="0" w:line="278" w:lineRule="auto"/>
        <w:ind w:left="218" w:right="412" w:firstLine="420"/>
        <w:jc w:val="left"/>
        <w:rPr>
          <w:spacing w:val="-7"/>
          <w:sz w:val="21"/>
        </w:rPr>
      </w:pPr>
      <w:r>
        <w:rPr>
          <w:sz w:val="21"/>
        </w:rPr>
        <w:t>分蘖期除杂</w:t>
      </w:r>
      <w:r>
        <w:rPr>
          <w:sz w:val="21"/>
        </w:rPr>
        <w:tab/>
      </w:r>
      <w:r>
        <w:rPr>
          <w:spacing w:val="-7"/>
          <w:sz w:val="21"/>
        </w:rPr>
        <w:t>分蘖初期封行前进行第一次除杂，主要拔除株行间不成行列的水稻植株或落粒  谷苗。</w:t>
      </w:r>
    </w:p>
    <w:p>
      <w:pPr>
        <w:pStyle w:val="7"/>
        <w:numPr>
          <w:ilvl w:val="2"/>
          <w:numId w:val="3"/>
        </w:numPr>
        <w:tabs>
          <w:tab w:val="left" w:pos="1372"/>
          <w:tab w:val="left" w:pos="1373"/>
          <w:tab w:val="left" w:pos="3055"/>
        </w:tabs>
        <w:spacing w:before="0" w:after="0" w:line="278" w:lineRule="auto"/>
        <w:ind w:left="218" w:right="412" w:firstLine="420"/>
        <w:jc w:val="left"/>
        <w:rPr>
          <w:sz w:val="21"/>
        </w:rPr>
      </w:pPr>
      <w:r>
        <w:rPr>
          <w:sz w:val="21"/>
        </w:rPr>
        <w:t>抽穗开花期除杂</w:t>
      </w:r>
      <w:r>
        <w:rPr>
          <w:sz w:val="21"/>
        </w:rPr>
        <w:tab/>
      </w:r>
      <w:r>
        <w:rPr>
          <w:sz w:val="21"/>
        </w:rPr>
        <w:t>抽穗开花期进行第二次除杂，主要拔除行列中株高差异和抽穗开花时间差异显著的植株。</w:t>
      </w:r>
    </w:p>
    <w:p>
      <w:pPr>
        <w:pStyle w:val="7"/>
        <w:numPr>
          <w:ilvl w:val="1"/>
          <w:numId w:val="3"/>
        </w:numPr>
        <w:tabs>
          <w:tab w:val="left" w:pos="885"/>
          <w:tab w:val="left" w:pos="886"/>
        </w:tabs>
        <w:spacing w:before="155" w:after="0" w:line="240" w:lineRule="auto"/>
        <w:ind w:left="885" w:right="0" w:hanging="526"/>
        <w:jc w:val="left"/>
        <w:rPr>
          <w:rFonts w:hint="eastAsia" w:ascii="黑体" w:eastAsia="黑体"/>
          <w:sz w:val="21"/>
        </w:rPr>
      </w:pPr>
      <w:bookmarkStart w:id="38" w:name="_bookmark19"/>
      <w:bookmarkEnd w:id="38"/>
      <w:bookmarkStart w:id="39" w:name="6.6　病虫草害防控"/>
      <w:bookmarkEnd w:id="39"/>
      <w:r>
        <w:rPr>
          <w:rFonts w:hint="eastAsia" w:ascii="黑体" w:eastAsia="黑体"/>
          <w:sz w:val="21"/>
        </w:rPr>
        <w:t>病虫草害防控</w:t>
      </w:r>
    </w:p>
    <w:p>
      <w:pPr>
        <w:pStyle w:val="3"/>
        <w:spacing w:before="7"/>
        <w:rPr>
          <w:rFonts w:ascii="黑体"/>
          <w:sz w:val="15"/>
        </w:rPr>
      </w:pPr>
    </w:p>
    <w:p>
      <w:pPr>
        <w:pStyle w:val="3"/>
        <w:ind w:left="638"/>
      </w:pPr>
      <w:r>
        <w:t>按常规防治方法防控池栽中病、虫、草、雀、鼠等有害生物危害。</w:t>
      </w:r>
    </w:p>
    <w:p>
      <w:pPr>
        <w:pStyle w:val="3"/>
        <w:spacing w:before="9"/>
        <w:rPr>
          <w:sz w:val="27"/>
        </w:rPr>
      </w:pPr>
    </w:p>
    <w:p>
      <w:pPr>
        <w:pStyle w:val="7"/>
        <w:numPr>
          <w:ilvl w:val="0"/>
          <w:numId w:val="3"/>
        </w:numPr>
        <w:tabs>
          <w:tab w:val="left" w:pos="532"/>
          <w:tab w:val="left" w:pos="533"/>
        </w:tabs>
        <w:spacing w:before="0" w:after="0" w:line="240" w:lineRule="auto"/>
        <w:ind w:left="532" w:right="0" w:hanging="315"/>
        <w:jc w:val="left"/>
        <w:rPr>
          <w:rFonts w:ascii="黑体"/>
          <w:sz w:val="27"/>
        </w:rPr>
      </w:pPr>
      <w:bookmarkStart w:id="40" w:name="_bookmark20"/>
      <w:bookmarkEnd w:id="40"/>
      <w:bookmarkStart w:id="41" w:name="7　取样"/>
      <w:bookmarkEnd w:id="41"/>
      <w:r>
        <w:rPr>
          <w:rFonts w:hint="eastAsia" w:ascii="黑体" w:eastAsia="黑体"/>
          <w:sz w:val="21"/>
        </w:rPr>
        <w:t>取样</w:t>
      </w:r>
    </w:p>
    <w:p>
      <w:pPr>
        <w:pStyle w:val="7"/>
        <w:numPr>
          <w:ilvl w:val="1"/>
          <w:numId w:val="3"/>
        </w:numPr>
        <w:tabs>
          <w:tab w:val="left" w:pos="1059"/>
          <w:tab w:val="left" w:pos="2107"/>
        </w:tabs>
        <w:spacing w:before="0" w:after="0" w:line="240" w:lineRule="auto"/>
        <w:ind w:left="1058" w:right="0" w:hanging="421"/>
        <w:jc w:val="left"/>
        <w:rPr>
          <w:sz w:val="21"/>
        </w:rPr>
      </w:pPr>
      <w:r>
        <w:rPr>
          <w:sz w:val="21"/>
        </w:rPr>
        <w:t>取样时间</w:t>
      </w:r>
      <w:r>
        <w:rPr>
          <w:sz w:val="21"/>
        </w:rPr>
        <w:tab/>
      </w:r>
      <w:r>
        <w:rPr>
          <w:sz w:val="21"/>
        </w:rPr>
        <w:t>水稻黄熟期（早籼稻85%、中晚籼90%谷粒变黄时）收割取样和脱粒。</w:t>
      </w:r>
    </w:p>
    <w:p>
      <w:pPr>
        <w:pStyle w:val="7"/>
        <w:numPr>
          <w:ilvl w:val="1"/>
          <w:numId w:val="3"/>
        </w:numPr>
        <w:tabs>
          <w:tab w:val="left" w:pos="1059"/>
          <w:tab w:val="left" w:pos="2107"/>
        </w:tabs>
        <w:spacing w:before="43" w:after="0" w:line="278" w:lineRule="auto"/>
        <w:ind w:left="218" w:right="308" w:firstLine="420"/>
        <w:jc w:val="left"/>
        <w:rPr>
          <w:sz w:val="21"/>
        </w:rPr>
      </w:pPr>
      <w:r>
        <w:rPr>
          <w:sz w:val="21"/>
        </w:rPr>
        <w:t>分批取样</w:t>
      </w:r>
      <w:r>
        <w:rPr>
          <w:sz w:val="21"/>
        </w:rPr>
        <w:tab/>
      </w:r>
      <w:r>
        <w:rPr>
          <w:spacing w:val="-7"/>
          <w:sz w:val="21"/>
        </w:rPr>
        <w:t xml:space="preserve">第一次每行（重复）取3株稻谷混合为一个样品用于检测糙米镉含量，三次田（池） </w:t>
      </w:r>
      <w:r>
        <w:rPr>
          <w:sz w:val="21"/>
        </w:rPr>
        <w:t>间重复值中出现明显异常值时，再从该行（重复）剩余植株中取2~3株重新混合制样检测，直至三次重复值差异在允许误差范围内。</w:t>
      </w:r>
    </w:p>
    <w:p>
      <w:pPr>
        <w:pStyle w:val="7"/>
        <w:numPr>
          <w:ilvl w:val="1"/>
          <w:numId w:val="3"/>
        </w:numPr>
        <w:tabs>
          <w:tab w:val="left" w:pos="1059"/>
          <w:tab w:val="left" w:pos="2318"/>
        </w:tabs>
        <w:spacing w:before="0" w:after="0" w:line="278" w:lineRule="auto"/>
        <w:ind w:left="218" w:right="412" w:firstLine="420"/>
        <w:jc w:val="left"/>
        <w:rPr>
          <w:sz w:val="21"/>
        </w:rPr>
      </w:pPr>
      <w:r>
        <w:rPr>
          <w:sz w:val="21"/>
        </w:rPr>
        <w:t>样品预处理</w:t>
      </w:r>
      <w:r>
        <w:rPr>
          <w:sz w:val="21"/>
        </w:rPr>
        <w:tab/>
      </w:r>
      <w:r>
        <w:rPr>
          <w:sz w:val="21"/>
        </w:rPr>
        <w:t>按重复单收单晒（烘），稻谷水分含量烘晒至13%左右后去除杂质和瘪粒谷，然后碾制糙米、粉碎。</w:t>
      </w:r>
    </w:p>
    <w:p>
      <w:pPr>
        <w:pStyle w:val="3"/>
        <w:spacing w:before="4"/>
        <w:rPr>
          <w:sz w:val="24"/>
        </w:rPr>
      </w:pPr>
    </w:p>
    <w:p>
      <w:pPr>
        <w:pStyle w:val="7"/>
        <w:numPr>
          <w:ilvl w:val="0"/>
          <w:numId w:val="3"/>
        </w:numPr>
        <w:tabs>
          <w:tab w:val="left" w:pos="532"/>
          <w:tab w:val="left" w:pos="533"/>
        </w:tabs>
        <w:spacing w:before="0" w:after="0" w:line="240" w:lineRule="auto"/>
        <w:ind w:left="532" w:right="0" w:hanging="315"/>
        <w:jc w:val="left"/>
        <w:rPr>
          <w:rFonts w:ascii="黑体"/>
          <w:sz w:val="27"/>
        </w:rPr>
      </w:pPr>
      <w:bookmarkStart w:id="42" w:name="8　镉含量检测"/>
      <w:bookmarkEnd w:id="42"/>
      <w:bookmarkStart w:id="43" w:name="_bookmark21"/>
      <w:bookmarkEnd w:id="43"/>
      <w:r>
        <w:rPr>
          <w:rFonts w:hint="eastAsia" w:ascii="黑体" w:eastAsia="黑体"/>
          <w:w w:val="95"/>
          <w:sz w:val="21"/>
        </w:rPr>
        <w:t>镉含量检测</w:t>
      </w:r>
    </w:p>
    <w:p>
      <w:pPr>
        <w:pStyle w:val="3"/>
        <w:spacing w:line="278" w:lineRule="auto"/>
        <w:ind w:left="218" w:right="319" w:firstLine="420"/>
        <w:rPr>
          <w:sz w:val="24"/>
        </w:rPr>
      </w:pPr>
      <w:r>
        <w:t>按 GB5009.15-2014 《食品中镉的测定》中规定方法检测糙米镉含量。每个样品须检测水分含量， 并通过计算消除样品水分差异对检测结果准确性的影响。</w:t>
      </w:r>
    </w:p>
    <w:p>
      <w:pPr>
        <w:pStyle w:val="7"/>
        <w:numPr>
          <w:ilvl w:val="0"/>
          <w:numId w:val="3"/>
        </w:numPr>
        <w:tabs>
          <w:tab w:val="left" w:pos="532"/>
          <w:tab w:val="left" w:pos="533"/>
        </w:tabs>
        <w:spacing w:before="0" w:after="0" w:line="240" w:lineRule="auto"/>
        <w:ind w:left="532" w:right="0" w:hanging="315"/>
        <w:jc w:val="left"/>
        <w:rPr>
          <w:rFonts w:ascii="黑体"/>
          <w:sz w:val="27"/>
        </w:rPr>
      </w:pPr>
      <w:bookmarkStart w:id="44" w:name="9　档案管理"/>
      <w:bookmarkEnd w:id="44"/>
      <w:bookmarkStart w:id="45" w:name="_bookmark22"/>
      <w:bookmarkEnd w:id="45"/>
      <w:r>
        <w:rPr>
          <w:rFonts w:hint="eastAsia" w:ascii="黑体" w:eastAsia="黑体"/>
          <w:sz w:val="21"/>
        </w:rPr>
        <w:t>档案管理</w:t>
      </w:r>
    </w:p>
    <w:p>
      <w:pPr>
        <w:pStyle w:val="7"/>
        <w:numPr>
          <w:ilvl w:val="1"/>
          <w:numId w:val="3"/>
        </w:numPr>
        <w:tabs>
          <w:tab w:val="left" w:pos="743"/>
          <w:tab w:val="left" w:pos="744"/>
        </w:tabs>
        <w:spacing w:before="0" w:after="0" w:line="240" w:lineRule="auto"/>
        <w:ind w:left="744" w:right="0" w:hanging="526"/>
        <w:jc w:val="left"/>
        <w:rPr>
          <w:rFonts w:hint="eastAsia" w:ascii="黑体" w:eastAsia="黑体"/>
          <w:sz w:val="21"/>
        </w:rPr>
      </w:pPr>
      <w:bookmarkStart w:id="46" w:name="_bookmark23"/>
      <w:bookmarkEnd w:id="46"/>
      <w:bookmarkStart w:id="47" w:name="9.1　池栽管理记载档案"/>
      <w:bookmarkEnd w:id="47"/>
      <w:r>
        <w:rPr>
          <w:rFonts w:hint="eastAsia" w:ascii="黑体" w:eastAsia="黑体"/>
          <w:sz w:val="21"/>
        </w:rPr>
        <w:t>池栽管理记载档案</w:t>
      </w:r>
    </w:p>
    <w:p>
      <w:pPr>
        <w:pStyle w:val="3"/>
        <w:spacing w:before="7"/>
        <w:rPr>
          <w:rFonts w:ascii="黑体"/>
          <w:sz w:val="15"/>
        </w:rPr>
      </w:pPr>
    </w:p>
    <w:p>
      <w:pPr>
        <w:pStyle w:val="3"/>
        <w:ind w:left="638"/>
        <w:rPr>
          <w:rFonts w:hint="eastAsia"/>
          <w:lang w:eastAsia="zh-CN"/>
        </w:rPr>
      </w:pPr>
      <w:r>
        <w:t>栽培管理过程中的各项农事操作，应逐项如实记载，内容按附录A的表A.1执行</w:t>
      </w:r>
      <w:r>
        <w:rPr>
          <w:rFonts w:hint="eastAsia"/>
          <w:lang w:eastAsia="zh-CN"/>
        </w:rPr>
        <w:t>。</w:t>
      </w:r>
    </w:p>
    <w:p>
      <w:pPr>
        <w:bidi w:val="0"/>
        <w:rPr>
          <w:rFonts w:hint="eastAsia"/>
          <w:lang w:eastAsia="zh-CN"/>
        </w:rPr>
      </w:pPr>
    </w:p>
    <w:p>
      <w:pPr>
        <w:pStyle w:val="7"/>
        <w:numPr>
          <w:ilvl w:val="1"/>
          <w:numId w:val="3"/>
        </w:numPr>
        <w:tabs>
          <w:tab w:val="left" w:pos="743"/>
          <w:tab w:val="left" w:pos="744"/>
        </w:tabs>
        <w:spacing w:before="70" w:after="0" w:line="240" w:lineRule="auto"/>
        <w:ind w:left="744" w:right="0" w:hanging="526"/>
        <w:jc w:val="left"/>
        <w:rPr>
          <w:rFonts w:hint="eastAsia" w:ascii="黑体" w:eastAsia="黑体"/>
          <w:sz w:val="21"/>
        </w:rPr>
      </w:pPr>
      <w:r>
        <w:rPr>
          <w:rFonts w:hint="eastAsia" w:ascii="黑体" w:eastAsia="黑体"/>
          <w:sz w:val="21"/>
        </w:rPr>
        <w:t>物候期记载档案</w:t>
      </w:r>
    </w:p>
    <w:p>
      <w:pPr>
        <w:pStyle w:val="3"/>
        <w:spacing w:before="7"/>
        <w:rPr>
          <w:rFonts w:ascii="黑体"/>
          <w:sz w:val="15"/>
        </w:rPr>
      </w:pPr>
    </w:p>
    <w:p>
      <w:pPr>
        <w:pStyle w:val="3"/>
        <w:ind w:left="638"/>
        <w:rPr>
          <w:rFonts w:hint="eastAsia"/>
          <w:lang w:eastAsia="zh-CN"/>
        </w:rPr>
        <w:sectPr>
          <w:pgSz w:w="11910" w:h="16840"/>
          <w:pgMar w:top="1640" w:right="720" w:bottom="1340" w:left="1200" w:header="1449" w:footer="1141" w:gutter="0"/>
          <w:cols w:space="720" w:num="1"/>
        </w:sectPr>
      </w:pPr>
      <w:r>
        <w:t>参鉴品种的各个生育时期应详细记载。内容按附件B的表B.1执行。</w:t>
      </w:r>
    </w:p>
    <w:p>
      <w:pPr>
        <w:pStyle w:val="3"/>
        <w:rPr>
          <w:sz w:val="20"/>
        </w:rPr>
      </w:pPr>
      <w:bookmarkStart w:id="48" w:name="_bookmark24"/>
      <w:bookmarkEnd w:id="48"/>
      <w:bookmarkStart w:id="49" w:name="9.2　物候期记载档案"/>
      <w:bookmarkEnd w:id="49"/>
    </w:p>
    <w:p>
      <w:pPr>
        <w:pStyle w:val="3"/>
        <w:rPr>
          <w:sz w:val="20"/>
        </w:rPr>
      </w:pPr>
    </w:p>
    <w:p>
      <w:pPr>
        <w:pStyle w:val="3"/>
        <w:rPr>
          <w:sz w:val="2"/>
        </w:rPr>
      </w:pPr>
    </w:p>
    <w:p>
      <w:pPr>
        <w:pStyle w:val="3"/>
        <w:rPr>
          <w:sz w:val="2"/>
        </w:rPr>
      </w:pPr>
    </w:p>
    <w:p>
      <w:pPr>
        <w:pStyle w:val="3"/>
        <w:rPr>
          <w:sz w:val="2"/>
        </w:rPr>
      </w:pPr>
    </w:p>
    <w:p>
      <w:pPr>
        <w:pStyle w:val="3"/>
        <w:rPr>
          <w:sz w:val="2"/>
        </w:rPr>
      </w:pPr>
    </w:p>
    <w:p>
      <w:pPr>
        <w:pStyle w:val="3"/>
        <w:rPr>
          <w:sz w:val="2"/>
        </w:rPr>
      </w:pPr>
    </w:p>
    <w:p>
      <w:pPr>
        <w:pStyle w:val="3"/>
        <w:rPr>
          <w:sz w:val="2"/>
        </w:rPr>
      </w:pPr>
    </w:p>
    <w:p>
      <w:pPr>
        <w:pStyle w:val="3"/>
        <w:rPr>
          <w:sz w:val="2"/>
        </w:rPr>
      </w:pPr>
    </w:p>
    <w:p>
      <w:pPr>
        <w:pStyle w:val="3"/>
        <w:rPr>
          <w:sz w:val="2"/>
        </w:rPr>
      </w:pPr>
    </w:p>
    <w:p>
      <w:pPr>
        <w:pStyle w:val="3"/>
        <w:rPr>
          <w:sz w:val="2"/>
        </w:rPr>
      </w:pPr>
    </w:p>
    <w:p>
      <w:pPr>
        <w:spacing w:before="0" w:line="20" w:lineRule="exact"/>
        <w:ind w:left="0" w:right="182" w:firstLine="0"/>
        <w:jc w:val="center"/>
        <w:rPr>
          <w:rFonts w:ascii="黑体"/>
          <w:sz w:val="2"/>
        </w:rPr>
      </w:pPr>
      <w:r>
        <w:rPr>
          <w:rFonts w:ascii="黑体"/>
          <w:w w:val="95"/>
          <w:sz w:val="2"/>
        </w:rPr>
        <w:t>A</w:t>
      </w:r>
    </w:p>
    <w:p>
      <w:pPr>
        <w:spacing w:before="0" w:line="20" w:lineRule="exact"/>
        <w:ind w:left="218" w:right="0" w:firstLine="0"/>
        <w:jc w:val="center"/>
        <w:rPr>
          <w:sz w:val="2"/>
        </w:rPr>
      </w:pPr>
      <w:r>
        <w:rPr>
          <w:w w:val="95"/>
          <w:sz w:val="2"/>
        </w:rPr>
        <w:t>A</w:t>
      </w:r>
    </w:p>
    <w:p>
      <w:pPr>
        <w:pStyle w:val="3"/>
        <w:tabs>
          <w:tab w:val="left" w:pos="410"/>
          <w:tab w:val="left" w:pos="921"/>
        </w:tabs>
        <w:spacing w:before="96"/>
        <w:ind w:right="293"/>
        <w:jc w:val="center"/>
        <w:rPr>
          <w:rFonts w:hint="eastAsia" w:ascii="黑体" w:eastAsia="黑体"/>
        </w:rPr>
      </w:pPr>
      <w:r>
        <w:rPr>
          <w:rFonts w:hint="eastAsia" w:ascii="黑体" w:eastAsia="黑体"/>
        </w:rPr>
        <w:t>附</w:t>
      </w:r>
      <w:r>
        <w:rPr>
          <w:rFonts w:hint="eastAsia" w:ascii="黑体" w:eastAsia="黑体"/>
        </w:rPr>
        <w:tab/>
      </w:r>
      <w:r>
        <w:rPr>
          <w:rFonts w:hint="eastAsia" w:ascii="黑体" w:eastAsia="黑体"/>
        </w:rPr>
        <w:t>录</w:t>
      </w:r>
      <w:r>
        <w:rPr>
          <w:rFonts w:hint="eastAsia" w:ascii="黑体" w:eastAsia="黑体"/>
        </w:rPr>
        <w:tab/>
      </w:r>
      <w:r>
        <w:rPr>
          <w:rFonts w:hint="eastAsia" w:ascii="黑体" w:eastAsia="黑体"/>
        </w:rPr>
        <w:t>A</w:t>
      </w:r>
    </w:p>
    <w:p>
      <w:pPr>
        <w:pStyle w:val="3"/>
        <w:spacing w:before="42"/>
        <w:ind w:right="194"/>
        <w:jc w:val="center"/>
        <w:rPr>
          <w:rFonts w:hint="eastAsia" w:ascii="黑体" w:eastAsia="黑体"/>
        </w:rPr>
      </w:pPr>
      <w:bookmarkStart w:id="50" w:name="_bookmark25"/>
      <w:bookmarkEnd w:id="50"/>
      <w:r>
        <w:rPr>
          <w:rFonts w:hint="eastAsia" w:ascii="黑体" w:eastAsia="黑体"/>
        </w:rPr>
        <w:t>（资料性）</w:t>
      </w:r>
    </w:p>
    <w:p>
      <w:pPr>
        <w:pStyle w:val="3"/>
        <w:spacing w:before="43"/>
        <w:ind w:right="194"/>
        <w:jc w:val="center"/>
        <w:rPr>
          <w:rFonts w:hint="eastAsia" w:ascii="黑体" w:eastAsia="黑体"/>
        </w:rPr>
      </w:pPr>
      <w:r>
        <w:rPr>
          <w:rFonts w:hint="eastAsia" w:ascii="黑体" w:eastAsia="黑体"/>
        </w:rPr>
        <w:t>池栽鉴定过程中的农事记载表</w:t>
      </w:r>
    </w:p>
    <w:p>
      <w:pPr>
        <w:pStyle w:val="3"/>
        <w:spacing w:before="1"/>
        <w:rPr>
          <w:rFonts w:ascii="黑体"/>
          <w:sz w:val="14"/>
        </w:rPr>
      </w:pPr>
    </w:p>
    <w:p>
      <w:pPr>
        <w:pStyle w:val="3"/>
        <w:ind w:right="64"/>
        <w:jc w:val="center"/>
        <w:rPr>
          <w:rFonts w:hint="eastAsia" w:ascii="黑体" w:eastAsia="黑体"/>
        </w:rPr>
      </w:pPr>
      <w:r>
        <w:rPr>
          <w:rFonts w:hint="eastAsia" w:ascii="黑体" w:eastAsia="黑体"/>
        </w:rPr>
        <w:t>表 A.1 池栽鉴定过程中的农事记载表</w:t>
      </w:r>
    </w:p>
    <w:p>
      <w:pPr>
        <w:pStyle w:val="3"/>
        <w:spacing w:before="3" w:after="1"/>
        <w:rPr>
          <w:rFonts w:ascii="黑体"/>
          <w:sz w:val="12"/>
        </w:rPr>
      </w:pPr>
    </w:p>
    <w:tbl>
      <w:tblPr>
        <w:tblStyle w:val="4"/>
        <w:tblW w:w="0" w:type="auto"/>
        <w:tblInd w:w="6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0"/>
        <w:gridCol w:w="1522"/>
        <w:gridCol w:w="1559"/>
        <w:gridCol w:w="33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tcPr>
          <w:p>
            <w:pPr>
              <w:pStyle w:val="8"/>
              <w:spacing w:before="140" w:line="226" w:lineRule="exact"/>
              <w:ind w:left="864" w:right="855"/>
              <w:jc w:val="center"/>
              <w:rPr>
                <w:sz w:val="18"/>
              </w:rPr>
            </w:pPr>
            <w:r>
              <w:rPr>
                <w:sz w:val="18"/>
              </w:rPr>
              <w:t>类别</w:t>
            </w:r>
          </w:p>
        </w:tc>
        <w:tc>
          <w:tcPr>
            <w:tcW w:w="1522" w:type="dxa"/>
          </w:tcPr>
          <w:p>
            <w:pPr>
              <w:pStyle w:val="8"/>
              <w:spacing w:before="140" w:line="226" w:lineRule="exact"/>
              <w:ind w:left="381" w:right="371"/>
              <w:jc w:val="center"/>
              <w:rPr>
                <w:sz w:val="18"/>
              </w:rPr>
            </w:pPr>
            <w:r>
              <w:rPr>
                <w:sz w:val="18"/>
              </w:rPr>
              <w:t>项目</w:t>
            </w:r>
          </w:p>
        </w:tc>
        <w:tc>
          <w:tcPr>
            <w:tcW w:w="1559" w:type="dxa"/>
          </w:tcPr>
          <w:p>
            <w:pPr>
              <w:pStyle w:val="8"/>
              <w:spacing w:before="140" w:line="226" w:lineRule="exact"/>
              <w:ind w:left="577" w:right="571"/>
              <w:jc w:val="center"/>
              <w:rPr>
                <w:sz w:val="18"/>
              </w:rPr>
            </w:pPr>
            <w:r>
              <w:rPr>
                <w:sz w:val="18"/>
              </w:rPr>
              <w:t>日期</w:t>
            </w:r>
          </w:p>
        </w:tc>
        <w:tc>
          <w:tcPr>
            <w:tcW w:w="3311" w:type="dxa"/>
          </w:tcPr>
          <w:p>
            <w:pPr>
              <w:pStyle w:val="8"/>
              <w:spacing w:before="140" w:line="226" w:lineRule="exact"/>
              <w:ind w:left="1003" w:right="995"/>
              <w:jc w:val="center"/>
              <w:rPr>
                <w:sz w:val="18"/>
              </w:rPr>
            </w:pPr>
            <w:r>
              <w:rPr>
                <w:sz w:val="18"/>
              </w:rPr>
              <w:t>主要内容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restart"/>
          </w:tcPr>
          <w:p>
            <w:pPr>
              <w:pStyle w:val="8"/>
              <w:rPr>
                <w:rFonts w:ascii="Times New Roman"/>
                <w:sz w:val="18"/>
              </w:rPr>
            </w:pPr>
          </w:p>
        </w:tc>
        <w:tc>
          <w:tcPr>
            <w:tcW w:w="1522" w:type="dxa"/>
          </w:tcPr>
          <w:p>
            <w:pPr>
              <w:pStyle w:val="8"/>
              <w:spacing w:before="142" w:line="225" w:lineRule="exact"/>
              <w:ind w:left="381" w:right="371"/>
              <w:jc w:val="center"/>
              <w:rPr>
                <w:sz w:val="18"/>
              </w:rPr>
            </w:pPr>
            <w:r>
              <w:rPr>
                <w:sz w:val="18"/>
              </w:rPr>
              <w:t>播种</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spacing w:before="141" w:line="226" w:lineRule="exact"/>
              <w:ind w:left="381" w:right="371"/>
              <w:jc w:val="center"/>
              <w:rPr>
                <w:sz w:val="18"/>
              </w:rPr>
            </w:pPr>
            <w:r>
              <w:rPr>
                <w:sz w:val="18"/>
              </w:rPr>
              <w:t>移栽</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spacing w:before="140" w:line="227" w:lineRule="exact"/>
              <w:ind w:left="381" w:right="371"/>
              <w:jc w:val="center"/>
              <w:rPr>
                <w:sz w:val="18"/>
              </w:rPr>
            </w:pPr>
            <w:r>
              <w:rPr>
                <w:sz w:val="18"/>
              </w:rPr>
              <w:t>一次除杂</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spacing w:before="141" w:line="225" w:lineRule="exact"/>
              <w:ind w:left="381" w:right="371"/>
              <w:jc w:val="center"/>
              <w:rPr>
                <w:sz w:val="18"/>
              </w:rPr>
            </w:pPr>
            <w:r>
              <w:rPr>
                <w:sz w:val="18"/>
              </w:rPr>
              <w:t>二次除杂</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spacing w:before="140" w:line="226" w:lineRule="exact"/>
              <w:ind w:left="381" w:right="371"/>
              <w:jc w:val="center"/>
              <w:rPr>
                <w:sz w:val="18"/>
              </w:rPr>
            </w:pPr>
            <w:r>
              <w:rPr>
                <w:sz w:val="18"/>
              </w:rPr>
              <w:t>收割</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spacing w:before="142" w:line="225" w:lineRule="exact"/>
              <w:ind w:left="381" w:right="371"/>
              <w:jc w:val="center"/>
              <w:rPr>
                <w:sz w:val="18"/>
              </w:rPr>
            </w:pPr>
            <w:r>
              <w:rPr>
                <w:sz w:val="18"/>
              </w:rPr>
              <w:t>其他</w:t>
            </w: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restart"/>
          </w:tcPr>
          <w:p>
            <w:pPr>
              <w:pStyle w:val="8"/>
              <w:rPr>
                <w:rFonts w:ascii="黑体"/>
                <w:sz w:val="18"/>
              </w:rPr>
            </w:pPr>
          </w:p>
          <w:p>
            <w:pPr>
              <w:pStyle w:val="8"/>
              <w:rPr>
                <w:rFonts w:ascii="黑体"/>
                <w:sz w:val="18"/>
              </w:rPr>
            </w:pPr>
          </w:p>
          <w:p>
            <w:pPr>
              <w:pStyle w:val="8"/>
              <w:spacing w:before="11"/>
              <w:rPr>
                <w:rFonts w:ascii="黑体"/>
                <w:sz w:val="20"/>
              </w:rPr>
            </w:pPr>
          </w:p>
          <w:p>
            <w:pPr>
              <w:pStyle w:val="8"/>
              <w:ind w:left="864" w:right="855"/>
              <w:jc w:val="center"/>
              <w:rPr>
                <w:sz w:val="18"/>
              </w:rPr>
            </w:pPr>
            <w:r>
              <w:rPr>
                <w:sz w:val="18"/>
              </w:rPr>
              <w:t>施肥</w:t>
            </w:r>
          </w:p>
        </w:tc>
        <w:tc>
          <w:tcPr>
            <w:tcW w:w="1522" w:type="dxa"/>
          </w:tcPr>
          <w:p>
            <w:pPr>
              <w:pStyle w:val="8"/>
              <w:spacing w:before="141" w:line="226" w:lineRule="exact"/>
              <w:ind w:left="381" w:right="371"/>
              <w:jc w:val="center"/>
              <w:rPr>
                <w:sz w:val="18"/>
              </w:rPr>
            </w:pPr>
            <w:r>
              <w:rPr>
                <w:sz w:val="18"/>
              </w:rPr>
              <w:t>次序</w:t>
            </w:r>
          </w:p>
        </w:tc>
        <w:tc>
          <w:tcPr>
            <w:tcW w:w="1559" w:type="dxa"/>
          </w:tcPr>
          <w:p>
            <w:pPr>
              <w:pStyle w:val="8"/>
              <w:spacing w:before="141" w:line="226" w:lineRule="exact"/>
              <w:ind w:left="577" w:right="571"/>
              <w:jc w:val="center"/>
              <w:rPr>
                <w:sz w:val="18"/>
              </w:rPr>
            </w:pPr>
            <w:r>
              <w:rPr>
                <w:sz w:val="18"/>
              </w:rPr>
              <w:t>日期</w:t>
            </w:r>
          </w:p>
        </w:tc>
        <w:tc>
          <w:tcPr>
            <w:tcW w:w="3311" w:type="dxa"/>
          </w:tcPr>
          <w:p>
            <w:pPr>
              <w:pStyle w:val="8"/>
              <w:spacing w:before="141" w:line="226" w:lineRule="exact"/>
              <w:ind w:left="1003" w:right="997"/>
              <w:jc w:val="center"/>
              <w:rPr>
                <w:sz w:val="18"/>
              </w:rPr>
            </w:pPr>
            <w:r>
              <w:rPr>
                <w:sz w:val="18"/>
              </w:rPr>
              <w:t>肥料种类及数量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restart"/>
          </w:tcPr>
          <w:p>
            <w:pPr>
              <w:pStyle w:val="8"/>
              <w:rPr>
                <w:rFonts w:ascii="黑体"/>
                <w:sz w:val="18"/>
              </w:rPr>
            </w:pPr>
          </w:p>
          <w:p>
            <w:pPr>
              <w:pStyle w:val="8"/>
              <w:rPr>
                <w:rFonts w:ascii="黑体"/>
                <w:sz w:val="18"/>
              </w:rPr>
            </w:pPr>
          </w:p>
          <w:p>
            <w:pPr>
              <w:pStyle w:val="8"/>
              <w:rPr>
                <w:rFonts w:ascii="黑体"/>
                <w:sz w:val="18"/>
              </w:rPr>
            </w:pPr>
          </w:p>
          <w:p>
            <w:pPr>
              <w:pStyle w:val="8"/>
              <w:spacing w:before="6"/>
              <w:rPr>
                <w:rFonts w:ascii="黑体"/>
                <w:sz w:val="18"/>
              </w:rPr>
            </w:pPr>
          </w:p>
          <w:p>
            <w:pPr>
              <w:pStyle w:val="8"/>
              <w:ind w:left="524"/>
              <w:rPr>
                <w:sz w:val="18"/>
              </w:rPr>
            </w:pPr>
            <w:r>
              <w:rPr>
                <w:sz w:val="18"/>
              </w:rPr>
              <w:t>病虫草害防治</w:t>
            </w:r>
          </w:p>
        </w:tc>
        <w:tc>
          <w:tcPr>
            <w:tcW w:w="1522" w:type="dxa"/>
          </w:tcPr>
          <w:p>
            <w:pPr>
              <w:pStyle w:val="8"/>
              <w:spacing w:before="141" w:line="225" w:lineRule="exact"/>
              <w:ind w:left="381" w:right="371"/>
              <w:jc w:val="center"/>
              <w:rPr>
                <w:sz w:val="18"/>
              </w:rPr>
            </w:pPr>
            <w:r>
              <w:rPr>
                <w:sz w:val="18"/>
              </w:rPr>
              <w:t>次序</w:t>
            </w:r>
          </w:p>
        </w:tc>
        <w:tc>
          <w:tcPr>
            <w:tcW w:w="1559" w:type="dxa"/>
          </w:tcPr>
          <w:p>
            <w:pPr>
              <w:pStyle w:val="8"/>
              <w:spacing w:before="141" w:line="225" w:lineRule="exact"/>
              <w:ind w:left="577" w:right="571"/>
              <w:jc w:val="center"/>
              <w:rPr>
                <w:sz w:val="18"/>
              </w:rPr>
            </w:pPr>
            <w:r>
              <w:rPr>
                <w:sz w:val="18"/>
              </w:rPr>
              <w:t>日期</w:t>
            </w:r>
          </w:p>
        </w:tc>
        <w:tc>
          <w:tcPr>
            <w:tcW w:w="3311" w:type="dxa"/>
          </w:tcPr>
          <w:p>
            <w:pPr>
              <w:pStyle w:val="8"/>
              <w:spacing w:before="141" w:line="225" w:lineRule="exact"/>
              <w:ind w:left="1003" w:right="997"/>
              <w:jc w:val="center"/>
              <w:rPr>
                <w:sz w:val="18"/>
              </w:rPr>
            </w:pPr>
            <w:r>
              <w:rPr>
                <w:sz w:val="18"/>
              </w:rPr>
              <w:t>农药种类及数量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restart"/>
          </w:tcPr>
          <w:p>
            <w:pPr>
              <w:pStyle w:val="8"/>
              <w:rPr>
                <w:rFonts w:ascii="黑体"/>
                <w:sz w:val="18"/>
              </w:rPr>
            </w:pPr>
          </w:p>
          <w:p>
            <w:pPr>
              <w:pStyle w:val="8"/>
              <w:rPr>
                <w:rFonts w:ascii="黑体"/>
                <w:sz w:val="18"/>
              </w:rPr>
            </w:pPr>
          </w:p>
          <w:p>
            <w:pPr>
              <w:pStyle w:val="8"/>
              <w:rPr>
                <w:rFonts w:ascii="黑体"/>
                <w:sz w:val="18"/>
              </w:rPr>
            </w:pPr>
          </w:p>
          <w:p>
            <w:pPr>
              <w:pStyle w:val="8"/>
              <w:rPr>
                <w:rFonts w:ascii="黑体"/>
                <w:sz w:val="18"/>
              </w:rPr>
            </w:pPr>
          </w:p>
          <w:p>
            <w:pPr>
              <w:pStyle w:val="8"/>
              <w:rPr>
                <w:rFonts w:ascii="黑体"/>
                <w:sz w:val="16"/>
              </w:rPr>
            </w:pPr>
          </w:p>
          <w:p>
            <w:pPr>
              <w:pStyle w:val="8"/>
              <w:ind w:left="864" w:right="855"/>
              <w:jc w:val="center"/>
              <w:rPr>
                <w:sz w:val="18"/>
              </w:rPr>
            </w:pPr>
            <w:r>
              <w:rPr>
                <w:sz w:val="18"/>
              </w:rPr>
              <w:t>灌溉</w:t>
            </w:r>
          </w:p>
        </w:tc>
        <w:tc>
          <w:tcPr>
            <w:tcW w:w="1522" w:type="dxa"/>
          </w:tcPr>
          <w:p>
            <w:pPr>
              <w:pStyle w:val="8"/>
              <w:spacing w:before="141" w:line="225" w:lineRule="exact"/>
              <w:ind w:left="381" w:right="371"/>
              <w:jc w:val="center"/>
              <w:rPr>
                <w:sz w:val="18"/>
              </w:rPr>
            </w:pPr>
            <w:r>
              <w:rPr>
                <w:sz w:val="18"/>
              </w:rPr>
              <w:t>次序</w:t>
            </w:r>
          </w:p>
        </w:tc>
        <w:tc>
          <w:tcPr>
            <w:tcW w:w="1559" w:type="dxa"/>
          </w:tcPr>
          <w:p>
            <w:pPr>
              <w:pStyle w:val="8"/>
              <w:spacing w:before="141" w:line="225" w:lineRule="exact"/>
              <w:ind w:left="577" w:right="571"/>
              <w:jc w:val="center"/>
              <w:rPr>
                <w:sz w:val="18"/>
              </w:rPr>
            </w:pPr>
            <w:r>
              <w:rPr>
                <w:sz w:val="18"/>
              </w:rPr>
              <w:t>日期</w:t>
            </w:r>
          </w:p>
        </w:tc>
        <w:tc>
          <w:tcPr>
            <w:tcW w:w="3311" w:type="dxa"/>
          </w:tcPr>
          <w:p>
            <w:pPr>
              <w:pStyle w:val="8"/>
              <w:spacing w:before="141" w:line="225" w:lineRule="exact"/>
              <w:ind w:left="1003" w:right="995"/>
              <w:jc w:val="center"/>
              <w:rPr>
                <w:sz w:val="18"/>
              </w:rPr>
            </w:pPr>
            <w:r>
              <w:rPr>
                <w:sz w:val="18"/>
              </w:rPr>
              <w:t>方式及灌溉量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restart"/>
          </w:tcPr>
          <w:p>
            <w:pPr>
              <w:pStyle w:val="8"/>
              <w:rPr>
                <w:rFonts w:ascii="黑体"/>
                <w:sz w:val="18"/>
              </w:rPr>
            </w:pPr>
          </w:p>
          <w:p>
            <w:pPr>
              <w:pStyle w:val="8"/>
              <w:spacing w:before="6"/>
              <w:rPr>
                <w:rFonts w:ascii="黑体"/>
                <w:sz w:val="23"/>
              </w:rPr>
            </w:pPr>
          </w:p>
          <w:p>
            <w:pPr>
              <w:pStyle w:val="8"/>
              <w:ind w:left="864" w:right="855"/>
              <w:jc w:val="center"/>
              <w:rPr>
                <w:sz w:val="18"/>
              </w:rPr>
            </w:pPr>
            <w:r>
              <w:rPr>
                <w:sz w:val="18"/>
              </w:rPr>
              <w:t>其他</w:t>
            </w: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130" w:type="dxa"/>
            <w:vMerge w:val="continue"/>
            <w:tcBorders>
              <w:top w:val="nil"/>
            </w:tcBorders>
          </w:tcPr>
          <w:p>
            <w:pPr>
              <w:rPr>
                <w:sz w:val="2"/>
                <w:szCs w:val="2"/>
              </w:rPr>
            </w:pPr>
          </w:p>
        </w:tc>
        <w:tc>
          <w:tcPr>
            <w:tcW w:w="1522" w:type="dxa"/>
          </w:tcPr>
          <w:p>
            <w:pPr>
              <w:pStyle w:val="8"/>
              <w:rPr>
                <w:rFonts w:ascii="Times New Roman"/>
                <w:sz w:val="18"/>
              </w:rPr>
            </w:pPr>
          </w:p>
        </w:tc>
        <w:tc>
          <w:tcPr>
            <w:tcW w:w="1559" w:type="dxa"/>
          </w:tcPr>
          <w:p>
            <w:pPr>
              <w:pStyle w:val="8"/>
              <w:rPr>
                <w:rFonts w:ascii="Times New Roman"/>
                <w:sz w:val="18"/>
              </w:rPr>
            </w:pPr>
          </w:p>
        </w:tc>
        <w:tc>
          <w:tcPr>
            <w:tcW w:w="3311" w:type="dxa"/>
          </w:tcPr>
          <w:p>
            <w:pPr>
              <w:pStyle w:val="8"/>
              <w:rPr>
                <w:rFonts w:ascii="Times New Roman"/>
                <w:sz w:val="18"/>
              </w:rPr>
            </w:pPr>
          </w:p>
        </w:tc>
      </w:tr>
    </w:tbl>
    <w:p>
      <w:pPr>
        <w:spacing w:after="0"/>
        <w:rPr>
          <w:rFonts w:ascii="Times New Roman"/>
          <w:sz w:val="18"/>
        </w:rPr>
        <w:sectPr>
          <w:pgSz w:w="11910" w:h="16840"/>
          <w:pgMar w:top="1640" w:right="720" w:bottom="1340" w:left="1200" w:header="1449" w:footer="1141" w:gutter="0"/>
          <w:cols w:space="720" w:num="1"/>
        </w:sectPr>
      </w:pPr>
    </w:p>
    <w:p>
      <w:pPr>
        <w:pStyle w:val="3"/>
        <w:rPr>
          <w:rFonts w:ascii="黑体"/>
          <w:sz w:val="20"/>
        </w:rPr>
      </w:pPr>
    </w:p>
    <w:p>
      <w:pPr>
        <w:pStyle w:val="3"/>
        <w:rPr>
          <w:rFonts w:ascii="黑体"/>
          <w:sz w:val="20"/>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spacing w:before="0" w:line="20" w:lineRule="exact"/>
        <w:ind w:left="0" w:right="182" w:firstLine="0"/>
        <w:jc w:val="center"/>
        <w:rPr>
          <w:rFonts w:ascii="黑体"/>
          <w:sz w:val="2"/>
        </w:rPr>
      </w:pPr>
      <w:r>
        <w:rPr>
          <w:rFonts w:ascii="黑体"/>
          <w:w w:val="95"/>
          <w:sz w:val="2"/>
        </w:rPr>
        <w:t>B</w:t>
      </w:r>
    </w:p>
    <w:p>
      <w:pPr>
        <w:spacing w:before="0" w:line="20" w:lineRule="exact"/>
        <w:ind w:left="218" w:right="0" w:firstLine="0"/>
        <w:jc w:val="center"/>
        <w:rPr>
          <w:sz w:val="2"/>
        </w:rPr>
      </w:pPr>
      <w:r>
        <w:rPr>
          <w:w w:val="95"/>
          <w:sz w:val="2"/>
        </w:rPr>
        <w:t>B</w:t>
      </w:r>
    </w:p>
    <w:p>
      <w:pPr>
        <w:pStyle w:val="3"/>
        <w:tabs>
          <w:tab w:val="left" w:pos="410"/>
          <w:tab w:val="left" w:pos="921"/>
        </w:tabs>
        <w:spacing w:before="96"/>
        <w:ind w:right="293"/>
        <w:jc w:val="center"/>
        <w:rPr>
          <w:rFonts w:hint="eastAsia" w:ascii="黑体" w:eastAsia="黑体"/>
        </w:rPr>
      </w:pPr>
      <w:r>
        <w:rPr>
          <w:rFonts w:hint="eastAsia" w:ascii="黑体" w:eastAsia="黑体"/>
        </w:rPr>
        <w:t>附</w:t>
      </w:r>
      <w:r>
        <w:rPr>
          <w:rFonts w:hint="eastAsia" w:ascii="黑体" w:eastAsia="黑体"/>
        </w:rPr>
        <w:tab/>
      </w:r>
      <w:r>
        <w:rPr>
          <w:rFonts w:hint="eastAsia" w:ascii="黑体" w:eastAsia="黑体"/>
        </w:rPr>
        <w:t>录</w:t>
      </w:r>
      <w:r>
        <w:rPr>
          <w:rFonts w:hint="eastAsia" w:ascii="黑体" w:eastAsia="黑体"/>
        </w:rPr>
        <w:tab/>
      </w:r>
      <w:r>
        <w:rPr>
          <w:rFonts w:hint="eastAsia" w:ascii="黑体" w:eastAsia="黑体"/>
        </w:rPr>
        <w:t>B</w:t>
      </w:r>
    </w:p>
    <w:p>
      <w:pPr>
        <w:pStyle w:val="3"/>
        <w:spacing w:before="42"/>
        <w:ind w:right="194"/>
        <w:jc w:val="center"/>
        <w:rPr>
          <w:rFonts w:hint="eastAsia" w:ascii="黑体" w:eastAsia="黑体"/>
        </w:rPr>
      </w:pPr>
      <w:bookmarkStart w:id="51" w:name="_bookmark26"/>
      <w:bookmarkEnd w:id="51"/>
      <w:r>
        <w:rPr>
          <w:rFonts w:hint="eastAsia" w:ascii="黑体" w:eastAsia="黑体"/>
        </w:rPr>
        <w:t>（资料性）</w:t>
      </w:r>
    </w:p>
    <w:p>
      <w:pPr>
        <w:pStyle w:val="3"/>
        <w:spacing w:before="43"/>
        <w:ind w:right="196"/>
        <w:jc w:val="center"/>
        <w:rPr>
          <w:rFonts w:hint="eastAsia" w:ascii="黑体" w:eastAsia="黑体"/>
        </w:rPr>
      </w:pPr>
      <w:r>
        <w:rPr>
          <w:rFonts w:hint="eastAsia" w:ascii="黑体" w:eastAsia="黑体"/>
        </w:rPr>
        <w:t>参鉴品种的生育期记载表</w:t>
      </w:r>
    </w:p>
    <w:p>
      <w:pPr>
        <w:pStyle w:val="3"/>
        <w:spacing w:before="1"/>
        <w:rPr>
          <w:rFonts w:ascii="黑体"/>
          <w:sz w:val="14"/>
        </w:rPr>
      </w:pPr>
    </w:p>
    <w:p>
      <w:pPr>
        <w:pStyle w:val="3"/>
        <w:ind w:right="64"/>
        <w:jc w:val="center"/>
        <w:rPr>
          <w:rFonts w:hint="eastAsia" w:ascii="黑体" w:eastAsia="黑体"/>
        </w:rPr>
      </w:pPr>
      <w:r>
        <w:rPr>
          <w:rFonts w:hint="eastAsia" w:ascii="黑体" w:eastAsia="黑体"/>
        </w:rPr>
        <w:t>表 B.1 参鉴品种各生育时期记载表</w:t>
      </w:r>
    </w:p>
    <w:p>
      <w:pPr>
        <w:pStyle w:val="3"/>
        <w:spacing w:before="3" w:after="1"/>
        <w:rPr>
          <w:rFonts w:ascii="黑体"/>
          <w:sz w:val="12"/>
        </w:rPr>
      </w:pPr>
    </w:p>
    <w:tbl>
      <w:tblPr>
        <w:tblStyle w:val="4"/>
        <w:tblW w:w="0" w:type="auto"/>
        <w:tblInd w:w="6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0"/>
              <w:ind w:left="948" w:right="938"/>
              <w:jc w:val="center"/>
              <w:rPr>
                <w:sz w:val="18"/>
              </w:rPr>
            </w:pPr>
            <w:r>
              <w:rPr>
                <w:sz w:val="18"/>
              </w:rPr>
              <w:t>生育时期</w:t>
            </w:r>
          </w:p>
        </w:tc>
        <w:tc>
          <w:tcPr>
            <w:tcW w:w="2841" w:type="dxa"/>
          </w:tcPr>
          <w:p>
            <w:pPr>
              <w:pStyle w:val="8"/>
              <w:spacing w:before="140"/>
              <w:ind w:left="833"/>
              <w:rPr>
                <w:sz w:val="18"/>
              </w:rPr>
            </w:pPr>
            <w:r>
              <w:rPr>
                <w:sz w:val="18"/>
              </w:rPr>
              <w:t>日期（月-日）</w:t>
            </w:r>
          </w:p>
        </w:tc>
        <w:tc>
          <w:tcPr>
            <w:tcW w:w="2841" w:type="dxa"/>
          </w:tcPr>
          <w:p>
            <w:pPr>
              <w:pStyle w:val="8"/>
              <w:spacing w:before="140"/>
              <w:ind w:left="1219" w:right="1211"/>
              <w:jc w:val="center"/>
              <w:rPr>
                <w:sz w:val="18"/>
              </w:rPr>
            </w:pPr>
            <w:r>
              <w:rPr>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1"/>
              <w:ind w:left="948" w:right="941"/>
              <w:jc w:val="center"/>
              <w:rPr>
                <w:sz w:val="18"/>
              </w:rPr>
            </w:pPr>
            <w:r>
              <w:rPr>
                <w:sz w:val="18"/>
              </w:rPr>
              <w:t>播种期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1"/>
              <w:ind w:left="948" w:right="941"/>
              <w:jc w:val="center"/>
              <w:rPr>
                <w:sz w:val="18"/>
              </w:rPr>
            </w:pPr>
            <w:r>
              <w:rPr>
                <w:sz w:val="18"/>
              </w:rPr>
              <w:t>抛栽期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2"/>
              <w:ind w:left="948" w:right="941"/>
              <w:jc w:val="center"/>
              <w:rPr>
                <w:sz w:val="18"/>
              </w:rPr>
            </w:pPr>
            <w:r>
              <w:rPr>
                <w:sz w:val="18"/>
              </w:rPr>
              <w:t>返青期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0"/>
              <w:ind w:left="948" w:right="941"/>
              <w:jc w:val="center"/>
              <w:rPr>
                <w:sz w:val="18"/>
              </w:rPr>
            </w:pPr>
            <w:r>
              <w:rPr>
                <w:sz w:val="18"/>
              </w:rPr>
              <w:t>最高分蘖期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0"/>
              <w:ind w:left="948" w:right="941"/>
              <w:jc w:val="center"/>
              <w:rPr>
                <w:sz w:val="18"/>
              </w:rPr>
            </w:pPr>
            <w:r>
              <w:rPr>
                <w:sz w:val="18"/>
              </w:rPr>
              <w:t>抽穗期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40" w:type="dxa"/>
          </w:tcPr>
          <w:p>
            <w:pPr>
              <w:pStyle w:val="8"/>
              <w:spacing w:before="140"/>
              <w:ind w:left="948" w:right="941"/>
              <w:jc w:val="center"/>
              <w:rPr>
                <w:sz w:val="18"/>
              </w:rPr>
            </w:pPr>
            <w:r>
              <w:rPr>
                <w:sz w:val="18"/>
              </w:rPr>
              <w:t>齐穗期</w:t>
            </w:r>
          </w:p>
        </w:tc>
        <w:tc>
          <w:tcPr>
            <w:tcW w:w="2841" w:type="dxa"/>
          </w:tcPr>
          <w:p>
            <w:pPr>
              <w:pStyle w:val="8"/>
              <w:rPr>
                <w:rFonts w:ascii="Times New Roman"/>
                <w:sz w:val="18"/>
              </w:rPr>
            </w:pPr>
          </w:p>
        </w:tc>
        <w:tc>
          <w:tcPr>
            <w:tcW w:w="2841" w:type="dxa"/>
          </w:tcPr>
          <w:p>
            <w:pPr>
              <w:pStyle w:val="8"/>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40" w:type="dxa"/>
          </w:tcPr>
          <w:p>
            <w:pPr>
              <w:pStyle w:val="8"/>
              <w:spacing w:before="141"/>
              <w:ind w:left="948" w:right="941"/>
              <w:jc w:val="center"/>
              <w:rPr>
                <w:sz w:val="18"/>
              </w:rPr>
            </w:pPr>
            <w:r>
              <w:rPr>
                <w:sz w:val="18"/>
              </w:rPr>
              <w:t>收获期</w:t>
            </w:r>
          </w:p>
        </w:tc>
        <w:tc>
          <w:tcPr>
            <w:tcW w:w="2841" w:type="dxa"/>
          </w:tcPr>
          <w:p>
            <w:pPr>
              <w:pStyle w:val="8"/>
              <w:rPr>
                <w:rFonts w:ascii="Times New Roman"/>
                <w:sz w:val="18"/>
              </w:rPr>
            </w:pPr>
          </w:p>
        </w:tc>
        <w:tc>
          <w:tcPr>
            <w:tcW w:w="2841" w:type="dxa"/>
          </w:tcPr>
          <w:p>
            <w:pPr>
              <w:pStyle w:val="8"/>
              <w:rPr>
                <w:rFonts w:ascii="Times New Roman"/>
                <w:sz w:val="18"/>
              </w:rPr>
            </w:pPr>
          </w:p>
        </w:tc>
      </w:tr>
    </w:tbl>
    <w:p>
      <w:pPr>
        <w:pStyle w:val="3"/>
        <w:rPr>
          <w:rFonts w:ascii="黑体"/>
          <w:sz w:val="20"/>
        </w:rPr>
      </w:pPr>
    </w:p>
    <w:p>
      <w:pPr>
        <w:pStyle w:val="3"/>
        <w:spacing w:before="1"/>
        <w:rPr>
          <w:rFonts w:ascii="黑体"/>
        </w:rPr>
      </w:pPr>
      <w:r>
        <w:pict>
          <v:line id="_x0000_s1029" o:spid="_x0000_s1029" o:spt="20" style="position:absolute;left:0pt;margin-left:249.6pt;margin-top:15.6pt;height:0pt;width:131.2pt;mso-position-horizontal-relative:page;mso-wrap-distance-bottom:0pt;mso-wrap-distance-top:0pt;z-index:-251650048;mso-width-relative:page;mso-height-relative:page;" stroked="t" coordsize="21600,21600">
            <v:path arrowok="t"/>
            <v:fill focussize="0,0"/>
            <v:stroke weight="0.245590551181102pt" color="#000000"/>
            <v:imagedata o:title=""/>
            <o:lock v:ext="edit"/>
            <w10:wrap type="topAndBottom"/>
          </v:line>
        </w:pict>
      </w:r>
    </w:p>
    <w:p>
      <w:pPr>
        <w:spacing w:after="0"/>
        <w:rPr>
          <w:rFonts w:ascii="黑体"/>
        </w:rPr>
        <w:sectPr>
          <w:pgSz w:w="11910" w:h="16840"/>
          <w:pgMar w:top="1640" w:right="720" w:bottom="1340" w:left="1200" w:header="1449" w:footer="1141" w:gutter="0"/>
          <w:cols w:space="720" w:num="1"/>
        </w:sectPr>
      </w:pPr>
    </w:p>
    <w:p>
      <w:pPr>
        <w:pStyle w:val="3"/>
        <w:rPr>
          <w:rFonts w:ascii="黑体"/>
          <w:sz w:val="20"/>
        </w:rPr>
      </w:pPr>
    </w:p>
    <w:p>
      <w:pPr>
        <w:pStyle w:val="3"/>
        <w:rPr>
          <w:rFonts w:ascii="黑体"/>
          <w:sz w:val="20"/>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pStyle w:val="3"/>
        <w:rPr>
          <w:rFonts w:ascii="黑体"/>
          <w:sz w:val="2"/>
        </w:rPr>
      </w:pPr>
    </w:p>
    <w:p>
      <w:pPr>
        <w:spacing w:before="0"/>
        <w:ind w:left="0" w:right="182" w:firstLine="0"/>
        <w:jc w:val="center"/>
        <w:rPr>
          <w:rFonts w:ascii="黑体"/>
          <w:sz w:val="2"/>
        </w:rPr>
      </w:pPr>
      <w:r>
        <w:rPr>
          <w:rFonts w:ascii="黑体"/>
          <w:w w:val="95"/>
          <w:sz w:val="2"/>
        </w:rPr>
        <w:t>C</w:t>
      </w:r>
    </w:p>
    <w:sectPr>
      <w:pgSz w:w="11910" w:h="16840"/>
      <w:pgMar w:top="1640" w:right="720" w:bottom="1340" w:left="1200" w:header="1449" w:footer="114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50" o:spid="_x0000_s2050" o:spt="202" type="#_x0000_t202" style="position:absolute;left:0pt;margin-left:516.25pt;margin-top:773.8pt;height:11pt;width:13.1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20" w:lineRule="exact"/>
                  <w:ind w:left="40" w:right="0" w:firstLine="0"/>
                  <w:jc w:val="left"/>
                  <w:rPr>
                    <w:sz w:val="18"/>
                  </w:rPr>
                </w:pPr>
                <w:r>
                  <w:fldChar w:fldCharType="begin"/>
                </w:r>
                <w:r>
                  <w:rPr>
                    <w:sz w:val="18"/>
                  </w:rPr>
                  <w:instrText xml:space="preserve"> PAGE  \* ROMAN </w:instrText>
                </w:r>
                <w:r>
                  <w:fldChar w:fldCharType="separate"/>
                </w:r>
                <w:r>
                  <w:t>II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51" o:spid="_x0000_s2051" o:spt="202" type="#_x0000_t202" style="position:absolute;left:0pt;margin-left:520.7pt;margin-top:773.8pt;height:11pt;width:8.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49" o:spid="_x0000_s2049" o:spt="202" type="#_x0000_t202" style="position:absolute;left:0pt;margin-left:453.55pt;margin-top:71.4pt;height:12.45pt;width:86.1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pStyle w:val="3"/>
                  <w:spacing w:line="249" w:lineRule="exact"/>
                  <w:ind w:left="20"/>
                  <w:rPr>
                    <w:rFonts w:ascii="黑体" w:hAnsi="黑体"/>
                  </w:rPr>
                </w:pPr>
                <w:r>
                  <w:rPr>
                    <w:rFonts w:ascii="黑体" w:hAnsi="黑体"/>
                  </w:rPr>
                  <w:t>DB43/TXXXX</w:t>
                </w:r>
                <w:r>
                  <w:t>—</w:t>
                </w:r>
                <w:r>
                  <w:rPr>
                    <w:rFonts w:ascii="黑体" w:hAnsi="黑体"/>
                  </w:rPr>
                  <w:t>2022</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532" w:hanging="315"/>
        <w:jc w:val="left"/>
      </w:pPr>
      <w:rPr>
        <w:rFonts w:hint="default" w:ascii="黑体" w:hAnsi="黑体" w:eastAsia="黑体" w:cs="黑体"/>
        <w:w w:val="99"/>
        <w:sz w:val="21"/>
        <w:szCs w:val="21"/>
        <w:lang w:val="ca-ES" w:eastAsia="ca-ES" w:bidi="ca-ES"/>
      </w:rPr>
    </w:lvl>
    <w:lvl w:ilvl="1" w:tentative="0">
      <w:start w:val="0"/>
      <w:numFmt w:val="bullet"/>
      <w:lvlText w:val="•"/>
      <w:lvlJc w:val="left"/>
      <w:pPr>
        <w:ind w:left="1484" w:hanging="315"/>
      </w:pPr>
      <w:rPr>
        <w:rFonts w:hint="default"/>
        <w:lang w:val="ca-ES" w:eastAsia="ca-ES" w:bidi="ca-ES"/>
      </w:rPr>
    </w:lvl>
    <w:lvl w:ilvl="2" w:tentative="0">
      <w:start w:val="0"/>
      <w:numFmt w:val="bullet"/>
      <w:lvlText w:val="•"/>
      <w:lvlJc w:val="left"/>
      <w:pPr>
        <w:ind w:left="2429" w:hanging="315"/>
      </w:pPr>
      <w:rPr>
        <w:rFonts w:hint="default"/>
        <w:lang w:val="ca-ES" w:eastAsia="ca-ES" w:bidi="ca-ES"/>
      </w:rPr>
    </w:lvl>
    <w:lvl w:ilvl="3" w:tentative="0">
      <w:start w:val="0"/>
      <w:numFmt w:val="bullet"/>
      <w:lvlText w:val="•"/>
      <w:lvlJc w:val="left"/>
      <w:pPr>
        <w:ind w:left="3373" w:hanging="315"/>
      </w:pPr>
      <w:rPr>
        <w:rFonts w:hint="default"/>
        <w:lang w:val="ca-ES" w:eastAsia="ca-ES" w:bidi="ca-ES"/>
      </w:rPr>
    </w:lvl>
    <w:lvl w:ilvl="4" w:tentative="0">
      <w:start w:val="0"/>
      <w:numFmt w:val="bullet"/>
      <w:lvlText w:val="•"/>
      <w:lvlJc w:val="left"/>
      <w:pPr>
        <w:ind w:left="4318" w:hanging="315"/>
      </w:pPr>
      <w:rPr>
        <w:rFonts w:hint="default"/>
        <w:lang w:val="ca-ES" w:eastAsia="ca-ES" w:bidi="ca-ES"/>
      </w:rPr>
    </w:lvl>
    <w:lvl w:ilvl="5" w:tentative="0">
      <w:start w:val="0"/>
      <w:numFmt w:val="bullet"/>
      <w:lvlText w:val="•"/>
      <w:lvlJc w:val="left"/>
      <w:pPr>
        <w:ind w:left="5263" w:hanging="315"/>
      </w:pPr>
      <w:rPr>
        <w:rFonts w:hint="default"/>
        <w:lang w:val="ca-ES" w:eastAsia="ca-ES" w:bidi="ca-ES"/>
      </w:rPr>
    </w:lvl>
    <w:lvl w:ilvl="6" w:tentative="0">
      <w:start w:val="0"/>
      <w:numFmt w:val="bullet"/>
      <w:lvlText w:val="•"/>
      <w:lvlJc w:val="left"/>
      <w:pPr>
        <w:ind w:left="6207" w:hanging="315"/>
      </w:pPr>
      <w:rPr>
        <w:rFonts w:hint="default"/>
        <w:lang w:val="ca-ES" w:eastAsia="ca-ES" w:bidi="ca-ES"/>
      </w:rPr>
    </w:lvl>
    <w:lvl w:ilvl="7" w:tentative="0">
      <w:start w:val="0"/>
      <w:numFmt w:val="bullet"/>
      <w:lvlText w:val="•"/>
      <w:lvlJc w:val="left"/>
      <w:pPr>
        <w:ind w:left="7152" w:hanging="315"/>
      </w:pPr>
      <w:rPr>
        <w:rFonts w:hint="default"/>
        <w:lang w:val="ca-ES" w:eastAsia="ca-ES" w:bidi="ca-ES"/>
      </w:rPr>
    </w:lvl>
    <w:lvl w:ilvl="8" w:tentative="0">
      <w:start w:val="0"/>
      <w:numFmt w:val="bullet"/>
      <w:lvlText w:val="•"/>
      <w:lvlJc w:val="left"/>
      <w:pPr>
        <w:ind w:left="8096" w:hanging="315"/>
      </w:pPr>
      <w:rPr>
        <w:rFonts w:hint="default"/>
        <w:lang w:val="ca-ES" w:eastAsia="ca-ES" w:bidi="ca-ES"/>
      </w:rPr>
    </w:lvl>
  </w:abstractNum>
  <w:abstractNum w:abstractNumId="1">
    <w:nsid w:val="0053208E"/>
    <w:multiLevelType w:val="multilevel"/>
    <w:tmpl w:val="0053208E"/>
    <w:lvl w:ilvl="0" w:tentative="0">
      <w:start w:val="1"/>
      <w:numFmt w:val="decimal"/>
      <w:lvlText w:val="%1"/>
      <w:lvlJc w:val="left"/>
      <w:pPr>
        <w:ind w:left="427" w:hanging="209"/>
        <w:jc w:val="left"/>
      </w:pPr>
      <w:rPr>
        <w:rFonts w:hint="default" w:ascii="宋体" w:hAnsi="宋体" w:eastAsia="宋体" w:cs="宋体"/>
        <w:w w:val="99"/>
        <w:sz w:val="21"/>
        <w:szCs w:val="21"/>
        <w:lang w:val="ca-ES" w:eastAsia="ca-ES" w:bidi="ca-ES"/>
      </w:rPr>
    </w:lvl>
    <w:lvl w:ilvl="1" w:tentative="0">
      <w:start w:val="1"/>
      <w:numFmt w:val="decimal"/>
      <w:lvlText w:val="%1.%2"/>
      <w:lvlJc w:val="left"/>
      <w:pPr>
        <w:ind w:left="794" w:hanging="368"/>
        <w:jc w:val="left"/>
      </w:pPr>
      <w:rPr>
        <w:rFonts w:hint="default" w:ascii="宋体" w:hAnsi="宋体" w:eastAsia="宋体" w:cs="宋体"/>
        <w:spacing w:val="0"/>
        <w:w w:val="99"/>
        <w:sz w:val="21"/>
        <w:szCs w:val="21"/>
        <w:lang w:val="ca-ES" w:eastAsia="ca-ES" w:bidi="ca-ES"/>
      </w:rPr>
    </w:lvl>
    <w:lvl w:ilvl="2" w:tentative="0">
      <w:start w:val="0"/>
      <w:numFmt w:val="bullet"/>
      <w:lvlText w:val="•"/>
      <w:lvlJc w:val="left"/>
      <w:pPr>
        <w:ind w:left="840" w:hanging="368"/>
      </w:pPr>
      <w:rPr>
        <w:rFonts w:hint="default"/>
        <w:lang w:val="ca-ES" w:eastAsia="ca-ES" w:bidi="ca-ES"/>
      </w:rPr>
    </w:lvl>
    <w:lvl w:ilvl="3" w:tentative="0">
      <w:start w:val="0"/>
      <w:numFmt w:val="bullet"/>
      <w:lvlText w:val="•"/>
      <w:lvlJc w:val="left"/>
      <w:pPr>
        <w:ind w:left="1983" w:hanging="368"/>
      </w:pPr>
      <w:rPr>
        <w:rFonts w:hint="default"/>
        <w:lang w:val="ca-ES" w:eastAsia="ca-ES" w:bidi="ca-ES"/>
      </w:rPr>
    </w:lvl>
    <w:lvl w:ilvl="4" w:tentative="0">
      <w:start w:val="0"/>
      <w:numFmt w:val="bullet"/>
      <w:lvlText w:val="•"/>
      <w:lvlJc w:val="left"/>
      <w:pPr>
        <w:ind w:left="3126" w:hanging="368"/>
      </w:pPr>
      <w:rPr>
        <w:rFonts w:hint="default"/>
        <w:lang w:val="ca-ES" w:eastAsia="ca-ES" w:bidi="ca-ES"/>
      </w:rPr>
    </w:lvl>
    <w:lvl w:ilvl="5" w:tentative="0">
      <w:start w:val="0"/>
      <w:numFmt w:val="bullet"/>
      <w:lvlText w:val="•"/>
      <w:lvlJc w:val="left"/>
      <w:pPr>
        <w:ind w:left="4269" w:hanging="368"/>
      </w:pPr>
      <w:rPr>
        <w:rFonts w:hint="default"/>
        <w:lang w:val="ca-ES" w:eastAsia="ca-ES" w:bidi="ca-ES"/>
      </w:rPr>
    </w:lvl>
    <w:lvl w:ilvl="6" w:tentative="0">
      <w:start w:val="0"/>
      <w:numFmt w:val="bullet"/>
      <w:lvlText w:val="•"/>
      <w:lvlJc w:val="left"/>
      <w:pPr>
        <w:ind w:left="5413" w:hanging="368"/>
      </w:pPr>
      <w:rPr>
        <w:rFonts w:hint="default"/>
        <w:lang w:val="ca-ES" w:eastAsia="ca-ES" w:bidi="ca-ES"/>
      </w:rPr>
    </w:lvl>
    <w:lvl w:ilvl="7" w:tentative="0">
      <w:start w:val="0"/>
      <w:numFmt w:val="bullet"/>
      <w:lvlText w:val="•"/>
      <w:lvlJc w:val="left"/>
      <w:pPr>
        <w:ind w:left="6556" w:hanging="368"/>
      </w:pPr>
      <w:rPr>
        <w:rFonts w:hint="default"/>
        <w:lang w:val="ca-ES" w:eastAsia="ca-ES" w:bidi="ca-ES"/>
      </w:rPr>
    </w:lvl>
    <w:lvl w:ilvl="8" w:tentative="0">
      <w:start w:val="0"/>
      <w:numFmt w:val="bullet"/>
      <w:lvlText w:val="•"/>
      <w:lvlJc w:val="left"/>
      <w:pPr>
        <w:ind w:left="7699" w:hanging="368"/>
      </w:pPr>
      <w:rPr>
        <w:rFonts w:hint="default"/>
        <w:lang w:val="ca-ES" w:eastAsia="ca-ES" w:bidi="ca-ES"/>
      </w:rPr>
    </w:lvl>
  </w:abstractNum>
  <w:abstractNum w:abstractNumId="2">
    <w:nsid w:val="59ADCABA"/>
    <w:multiLevelType w:val="multilevel"/>
    <w:tmpl w:val="59ADCABA"/>
    <w:lvl w:ilvl="0" w:tentative="0">
      <w:start w:val="4"/>
      <w:numFmt w:val="decimal"/>
      <w:lvlText w:val="%1"/>
      <w:lvlJc w:val="left"/>
      <w:pPr>
        <w:ind w:left="532" w:hanging="315"/>
        <w:jc w:val="left"/>
      </w:pPr>
      <w:rPr>
        <w:rFonts w:hint="default" w:ascii="黑体" w:hAnsi="黑体" w:eastAsia="黑体" w:cs="黑体"/>
        <w:w w:val="99"/>
        <w:sz w:val="21"/>
        <w:szCs w:val="21"/>
        <w:lang w:val="ca-ES" w:eastAsia="ca-ES" w:bidi="ca-ES"/>
      </w:rPr>
    </w:lvl>
    <w:lvl w:ilvl="1" w:tentative="0">
      <w:start w:val="1"/>
      <w:numFmt w:val="decimal"/>
      <w:lvlText w:val="%1.%2"/>
      <w:lvlJc w:val="left"/>
      <w:pPr>
        <w:ind w:left="744" w:hanging="526"/>
        <w:jc w:val="left"/>
      </w:pPr>
      <w:rPr>
        <w:rFonts w:hint="default"/>
        <w:spacing w:val="0"/>
        <w:w w:val="99"/>
        <w:lang w:val="ca-ES" w:eastAsia="ca-ES" w:bidi="ca-ES"/>
      </w:rPr>
    </w:lvl>
    <w:lvl w:ilvl="2" w:tentative="0">
      <w:start w:val="1"/>
      <w:numFmt w:val="decimal"/>
      <w:lvlText w:val="%1.%2.%3"/>
      <w:lvlJc w:val="left"/>
      <w:pPr>
        <w:ind w:left="218" w:hanging="526"/>
        <w:jc w:val="left"/>
      </w:pPr>
      <w:rPr>
        <w:rFonts w:hint="default" w:ascii="宋体" w:hAnsi="宋体" w:eastAsia="宋体" w:cs="宋体"/>
        <w:spacing w:val="-2"/>
        <w:w w:val="99"/>
        <w:sz w:val="21"/>
        <w:szCs w:val="21"/>
        <w:lang w:val="ca-ES" w:eastAsia="ca-ES" w:bidi="ca-ES"/>
      </w:rPr>
    </w:lvl>
    <w:lvl w:ilvl="3" w:tentative="0">
      <w:start w:val="0"/>
      <w:numFmt w:val="bullet"/>
      <w:lvlText w:val="•"/>
      <w:lvlJc w:val="left"/>
      <w:pPr>
        <w:ind w:left="740" w:hanging="526"/>
      </w:pPr>
      <w:rPr>
        <w:rFonts w:hint="default"/>
        <w:lang w:val="ca-ES" w:eastAsia="ca-ES" w:bidi="ca-ES"/>
      </w:rPr>
    </w:lvl>
    <w:lvl w:ilvl="4" w:tentative="0">
      <w:start w:val="0"/>
      <w:numFmt w:val="bullet"/>
      <w:lvlText w:val="•"/>
      <w:lvlJc w:val="left"/>
      <w:pPr>
        <w:ind w:left="880" w:hanging="526"/>
      </w:pPr>
      <w:rPr>
        <w:rFonts w:hint="default"/>
        <w:lang w:val="ca-ES" w:eastAsia="ca-ES" w:bidi="ca-ES"/>
      </w:rPr>
    </w:lvl>
    <w:lvl w:ilvl="5" w:tentative="0">
      <w:start w:val="0"/>
      <w:numFmt w:val="bullet"/>
      <w:lvlText w:val="•"/>
      <w:lvlJc w:val="left"/>
      <w:pPr>
        <w:ind w:left="1060" w:hanging="526"/>
      </w:pPr>
      <w:rPr>
        <w:rFonts w:hint="default"/>
        <w:lang w:val="ca-ES" w:eastAsia="ca-ES" w:bidi="ca-ES"/>
      </w:rPr>
    </w:lvl>
    <w:lvl w:ilvl="6" w:tentative="0">
      <w:start w:val="0"/>
      <w:numFmt w:val="bullet"/>
      <w:lvlText w:val="•"/>
      <w:lvlJc w:val="left"/>
      <w:pPr>
        <w:ind w:left="1260" w:hanging="526"/>
      </w:pPr>
      <w:rPr>
        <w:rFonts w:hint="default"/>
        <w:lang w:val="ca-ES" w:eastAsia="ca-ES" w:bidi="ca-ES"/>
      </w:rPr>
    </w:lvl>
    <w:lvl w:ilvl="7" w:tentative="0">
      <w:start w:val="0"/>
      <w:numFmt w:val="bullet"/>
      <w:lvlText w:val="•"/>
      <w:lvlJc w:val="left"/>
      <w:pPr>
        <w:ind w:left="3441" w:hanging="526"/>
      </w:pPr>
      <w:rPr>
        <w:rFonts w:hint="default"/>
        <w:lang w:val="ca-ES" w:eastAsia="ca-ES" w:bidi="ca-ES"/>
      </w:rPr>
    </w:lvl>
    <w:lvl w:ilvl="8" w:tentative="0">
      <w:start w:val="0"/>
      <w:numFmt w:val="bullet"/>
      <w:lvlText w:val="•"/>
      <w:lvlJc w:val="left"/>
      <w:pPr>
        <w:ind w:left="5623" w:hanging="526"/>
      </w:pPr>
      <w:rPr>
        <w:rFonts w:hint="default"/>
        <w:lang w:val="ca-ES" w:eastAsia="ca-ES" w:bidi="ca-E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Dc5YzgyZTk4ODhmZGVkMGYwNDk5NmJjNWRlZDYyZWUifQ=="/>
  </w:docVars>
  <w:rsids>
    <w:rsidRoot w:val="00000000"/>
    <w:rsid w:val="0C6D5FEC"/>
    <w:rsid w:val="2D7870D1"/>
    <w:rsid w:val="36761B5A"/>
    <w:rsid w:val="7C2D79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ca-ES" w:eastAsia="ca-ES" w:bidi="ca-ES"/>
    </w:rPr>
  </w:style>
  <w:style w:type="paragraph" w:styleId="2">
    <w:name w:val="heading 1"/>
    <w:basedOn w:val="1"/>
    <w:next w:val="1"/>
    <w:qFormat/>
    <w:uiPriority w:val="1"/>
    <w:pPr>
      <w:ind w:right="194"/>
      <w:jc w:val="center"/>
      <w:outlineLvl w:val="1"/>
    </w:pPr>
    <w:rPr>
      <w:rFonts w:ascii="黑体" w:hAnsi="黑体" w:eastAsia="黑体" w:cs="黑体"/>
      <w:sz w:val="32"/>
      <w:szCs w:val="32"/>
      <w:lang w:val="ca-ES" w:eastAsia="ca-ES" w:bidi="ca-ES"/>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lang w:val="ca-ES" w:eastAsia="ca-ES" w:bidi="ca-ES"/>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218" w:firstLine="420"/>
    </w:pPr>
    <w:rPr>
      <w:rFonts w:ascii="宋体" w:hAnsi="宋体" w:eastAsia="宋体" w:cs="宋体"/>
      <w:lang w:val="ca-ES" w:eastAsia="ca-ES" w:bidi="ca-ES"/>
    </w:rPr>
  </w:style>
  <w:style w:type="paragraph" w:customStyle="1" w:styleId="8">
    <w:name w:val="Table Paragraph"/>
    <w:basedOn w:val="1"/>
    <w:qFormat/>
    <w:uiPriority w:val="1"/>
    <w:rPr>
      <w:rFonts w:ascii="宋体" w:hAnsi="宋体" w:eastAsia="宋体" w:cs="宋体"/>
      <w:lang w:val="ca-ES" w:eastAsia="ca-ES" w:bidi="ca-E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2050"/>
    <customShpInfo spid="_x0000_s2051"/>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2461</Words>
  <Characters>2813</Characters>
  <TotalTime>31</TotalTime>
  <ScaleCrop>false</ScaleCrop>
  <LinksUpToDate>false</LinksUpToDate>
  <CharactersWithSpaces>3661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2022-07-25T00:13:00Z</dcterms:created>
  <dc:creator>PC</dc:creator>
  <cp:lastModifiedBy>DD</cp:lastModifiedBy>
  <dcterms:modified xsi:type="dcterms:W3CDTF">2022-08-24T03:15:07Z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WPS 文字</vt:lpwstr>
  </property>
  <property fmtid="{D5CDD505-2E9C-101B-9397-08002B2CF9AE}" pid="4" name="LastSaved">
    <vt:filetime>2022-07-25T00:00:00Z</vt:filetime>
  </property>
  <property fmtid="{D5CDD505-2E9C-101B-9397-08002B2CF9AE}" pid="5" name="KSOProductBuildVer">
    <vt:lpwstr>2052-11.1.0.12302</vt:lpwstr>
  </property>
  <property fmtid="{D5CDD505-2E9C-101B-9397-08002B2CF9AE}" pid="6" name="ICV">
    <vt:lpwstr>DB00B13E5E1D41359750B86E5856CBE2</vt:lpwstr>
  </property>
</Properties>
</file>