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cs="黑体"/>
          <w:sz w:val="44"/>
          <w:szCs w:val="44"/>
        </w:rPr>
      </w:pPr>
      <w:bookmarkStart w:id="6" w:name="_GoBack"/>
      <w:bookmarkEnd w:id="6"/>
      <w:r>
        <w:rPr>
          <w:rFonts w:hint="eastAsia" w:ascii="黑体" w:hAnsi="黑体" w:eastAsia="黑体" w:cs="黑体"/>
          <w:sz w:val="44"/>
          <w:szCs w:val="44"/>
        </w:rPr>
        <w:t>湖南省地方标准</w:t>
      </w:r>
    </w:p>
    <w:p>
      <w:pPr>
        <w:jc w:val="center"/>
        <w:rPr>
          <w:rFonts w:ascii="黑体" w:hAnsi="黑体" w:eastAsia="黑体" w:cs="黑体"/>
          <w:sz w:val="44"/>
          <w:szCs w:val="44"/>
        </w:rPr>
      </w:pPr>
      <w:r>
        <w:rPr>
          <w:rFonts w:hint="eastAsia" w:ascii="黑体" w:hAnsi="黑体" w:eastAsia="黑体" w:cs="黑体"/>
          <w:sz w:val="44"/>
          <w:szCs w:val="44"/>
        </w:rPr>
        <w:t>《文化主题酒店等级划分与评定》编制说明</w:t>
      </w: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r>
        <w:rPr>
          <w:rFonts w:hint="eastAsia" w:ascii="黑体" w:hAnsi="黑体" w:eastAsia="黑体"/>
          <w:sz w:val="36"/>
          <w:szCs w:val="36"/>
        </w:rPr>
        <w:t>2022年</w:t>
      </w:r>
      <w:r>
        <w:rPr>
          <w:rFonts w:hint="eastAsia" w:ascii="黑体" w:hAnsi="黑体" w:eastAsia="黑体"/>
          <w:sz w:val="36"/>
          <w:szCs w:val="36"/>
          <w:lang w:val="en-US" w:eastAsia="zh-CN"/>
        </w:rPr>
        <w:t>8</w:t>
      </w:r>
      <w:r>
        <w:rPr>
          <w:rFonts w:hint="eastAsia" w:ascii="黑体" w:hAnsi="黑体" w:eastAsia="黑体"/>
          <w:sz w:val="36"/>
          <w:szCs w:val="36"/>
        </w:rPr>
        <w:t>月</w:t>
      </w:r>
    </w:p>
    <w:p>
      <w:pPr>
        <w:rPr>
          <w:rFonts w:ascii="黑体" w:hAnsi="黑体" w:eastAsia="黑体"/>
          <w:sz w:val="36"/>
          <w:szCs w:val="36"/>
        </w:rPr>
      </w:pPr>
      <w:r>
        <w:rPr>
          <w:rFonts w:ascii="黑体" w:hAnsi="黑体" w:eastAsia="黑体"/>
          <w:sz w:val="36"/>
          <w:szCs w:val="36"/>
        </w:rPr>
        <w:br w:type="page"/>
      </w:r>
    </w:p>
    <w:p>
      <w:pPr>
        <w:jc w:val="center"/>
        <w:rPr>
          <w:rFonts w:ascii="黑体" w:hAnsi="黑体" w:eastAsia="黑体"/>
          <w:sz w:val="36"/>
          <w:szCs w:val="36"/>
        </w:rPr>
      </w:pPr>
    </w:p>
    <w:p>
      <w:pPr>
        <w:jc w:val="center"/>
        <w:rPr>
          <w:sz w:val="28"/>
        </w:rPr>
      </w:pPr>
      <w:r>
        <w:rPr>
          <w:rFonts w:hint="eastAsia" w:ascii="黑体" w:hAnsi="黑体" w:eastAsia="黑体"/>
          <w:sz w:val="36"/>
          <w:szCs w:val="36"/>
        </w:rPr>
        <w:t>目录</w:t>
      </w:r>
      <w:r>
        <w:fldChar w:fldCharType="begin"/>
      </w:r>
      <w:r>
        <w:instrText xml:space="preserve"> TOC \o "1-3" \h \z \u </w:instrText>
      </w:r>
      <w:r>
        <w:fldChar w:fldCharType="separate"/>
      </w:r>
    </w:p>
    <w:p>
      <w:pPr>
        <w:pStyle w:val="7"/>
        <w:tabs>
          <w:tab w:val="right" w:leader="dot" w:pos="8296"/>
        </w:tabs>
        <w:rPr>
          <w:rFonts w:asciiTheme="minorHAnsi" w:hAnsiTheme="minorHAnsi" w:eastAsiaTheme="minorEastAsia" w:cstheme="minorBidi"/>
          <w:sz w:val="28"/>
        </w:rPr>
      </w:pPr>
      <w:r>
        <w:rPr>
          <w:b/>
          <w:bCs/>
          <w:lang w:val="zh-CN"/>
        </w:rPr>
        <w:fldChar w:fldCharType="end"/>
      </w:r>
    </w:p>
    <w:p>
      <w:pPr>
        <w:pStyle w:val="7"/>
        <w:tabs>
          <w:tab w:val="left" w:pos="420"/>
          <w:tab w:val="right" w:leader="dot" w:pos="8296"/>
        </w:tabs>
        <w:rPr>
          <w:rFonts w:ascii="黑体" w:hAnsi="黑体" w:eastAsia="黑体" w:cstheme="minorBidi"/>
          <w:sz w:val="28"/>
          <w:szCs w:val="28"/>
        </w:rPr>
      </w:pPr>
      <w:r>
        <w:rPr>
          <w:rFonts w:hint="eastAsia" w:ascii="黑体" w:hAnsi="黑体" w:eastAsia="黑体"/>
          <w:sz w:val="28"/>
          <w:szCs w:val="28"/>
        </w:rPr>
        <w:t>1 项目背景</w:t>
      </w:r>
      <w:r>
        <w:fldChar w:fldCharType="begin"/>
      </w:r>
      <w:r>
        <w:instrText xml:space="preserve"> HYPERLINK \l "_Toc57709198" </w:instrText>
      </w:r>
      <w:r>
        <w:fldChar w:fldCharType="separate"/>
      </w:r>
      <w:r>
        <w:rPr>
          <w:rFonts w:ascii="黑体" w:hAnsi="黑体" w:eastAsia="黑体"/>
          <w:sz w:val="28"/>
          <w:szCs w:val="28"/>
        </w:rPr>
        <w:tab/>
      </w:r>
      <w:r>
        <w:rPr>
          <w:rFonts w:ascii="黑体" w:hAnsi="黑体" w:eastAsia="黑体"/>
          <w:sz w:val="28"/>
          <w:szCs w:val="28"/>
        </w:rPr>
        <w:fldChar w:fldCharType="begin"/>
      </w:r>
      <w:r>
        <w:rPr>
          <w:rFonts w:ascii="黑体" w:hAnsi="黑体" w:eastAsia="黑体"/>
          <w:sz w:val="28"/>
          <w:szCs w:val="28"/>
        </w:rPr>
        <w:instrText xml:space="preserve"> PAGEREF _Toc57709198 \h </w:instrText>
      </w:r>
      <w:r>
        <w:rPr>
          <w:rFonts w:ascii="黑体" w:hAnsi="黑体" w:eastAsia="黑体"/>
          <w:sz w:val="28"/>
          <w:szCs w:val="28"/>
        </w:rPr>
        <w:fldChar w:fldCharType="separate"/>
      </w:r>
      <w:r>
        <w:rPr>
          <w:rFonts w:ascii="黑体" w:hAnsi="黑体" w:eastAsia="黑体"/>
          <w:sz w:val="28"/>
          <w:szCs w:val="28"/>
        </w:rPr>
        <w:t>1</w:t>
      </w:r>
      <w:r>
        <w:rPr>
          <w:rFonts w:ascii="黑体" w:hAnsi="黑体" w:eastAsia="黑体"/>
          <w:sz w:val="28"/>
          <w:szCs w:val="28"/>
        </w:rPr>
        <w:fldChar w:fldCharType="end"/>
      </w:r>
      <w:r>
        <w:rPr>
          <w:rFonts w:ascii="黑体" w:hAnsi="黑体" w:eastAsia="黑体"/>
          <w:sz w:val="28"/>
          <w:szCs w:val="28"/>
        </w:rPr>
        <w:fldChar w:fldCharType="end"/>
      </w:r>
    </w:p>
    <w:p>
      <w:pPr>
        <w:pStyle w:val="7"/>
        <w:tabs>
          <w:tab w:val="left" w:pos="420"/>
          <w:tab w:val="right" w:leader="dot" w:pos="8296"/>
        </w:tabs>
        <w:rPr>
          <w:rFonts w:ascii="黑体" w:hAnsi="黑体" w:eastAsia="黑体" w:cstheme="minorBidi"/>
          <w:sz w:val="28"/>
          <w:szCs w:val="28"/>
        </w:rPr>
      </w:pPr>
      <w:r>
        <w:fldChar w:fldCharType="begin"/>
      </w:r>
      <w:r>
        <w:instrText xml:space="preserve"> HYPERLINK \l "_Toc57709199" </w:instrText>
      </w:r>
      <w:r>
        <w:fldChar w:fldCharType="separate"/>
      </w:r>
      <w:r>
        <w:rPr>
          <w:rFonts w:hint="eastAsia" w:ascii="黑体" w:hAnsi="黑体" w:eastAsia="黑体"/>
          <w:sz w:val="28"/>
          <w:szCs w:val="28"/>
        </w:rPr>
        <w:t>2</w:t>
      </w:r>
      <w:r>
        <w:rPr>
          <w:rFonts w:hint="eastAsia" w:ascii="黑体" w:hAnsi="黑体" w:eastAsia="黑体"/>
          <w:sz w:val="28"/>
          <w:szCs w:val="28"/>
        </w:rPr>
        <w:fldChar w:fldCharType="end"/>
      </w:r>
      <w:r>
        <w:rPr>
          <w:rFonts w:hint="eastAsia" w:ascii="黑体" w:hAnsi="黑体" w:eastAsia="黑体"/>
          <w:sz w:val="28"/>
          <w:szCs w:val="28"/>
        </w:rPr>
        <w:t xml:space="preserve"> 工作简况................................................1</w:t>
      </w:r>
    </w:p>
    <w:p>
      <w:pPr>
        <w:pStyle w:val="7"/>
        <w:tabs>
          <w:tab w:val="left" w:pos="420"/>
          <w:tab w:val="right" w:leader="dot" w:pos="8296"/>
        </w:tabs>
        <w:rPr>
          <w:rFonts w:ascii="黑体" w:hAnsi="黑体" w:eastAsia="黑体" w:cstheme="minorBidi"/>
          <w:sz w:val="28"/>
          <w:szCs w:val="28"/>
        </w:rPr>
      </w:pPr>
      <w:r>
        <w:rPr>
          <w:rFonts w:hint="eastAsia" w:ascii="黑体" w:hAnsi="黑体" w:eastAsia="黑体"/>
          <w:sz w:val="28"/>
          <w:szCs w:val="28"/>
        </w:rPr>
        <w:t>3 编制原则和确定主要内容的依据............................2</w:t>
      </w:r>
    </w:p>
    <w:p>
      <w:pPr>
        <w:pStyle w:val="7"/>
        <w:tabs>
          <w:tab w:val="left" w:pos="420"/>
          <w:tab w:val="right" w:leader="dot" w:pos="8296"/>
        </w:tabs>
        <w:rPr>
          <w:rFonts w:ascii="黑体" w:hAnsi="黑体" w:eastAsia="黑体"/>
          <w:sz w:val="28"/>
          <w:szCs w:val="28"/>
        </w:rPr>
      </w:pPr>
      <w:r>
        <w:rPr>
          <w:rFonts w:hint="eastAsia" w:ascii="黑体" w:hAnsi="黑体" w:eastAsia="黑体"/>
          <w:sz w:val="28"/>
          <w:szCs w:val="28"/>
        </w:rPr>
        <w:t>4 与我国有关现行法律、法规和其他限制性标准的关系..........3</w:t>
      </w:r>
    </w:p>
    <w:p>
      <w:pPr>
        <w:rPr>
          <w:rFonts w:ascii="黑体" w:hAnsi="黑体" w:eastAsia="黑体"/>
          <w:sz w:val="28"/>
          <w:szCs w:val="28"/>
        </w:rPr>
      </w:pPr>
      <w:r>
        <w:rPr>
          <w:rFonts w:hint="eastAsia" w:ascii="黑体" w:hAnsi="黑体" w:eastAsia="黑体"/>
          <w:sz w:val="28"/>
          <w:szCs w:val="28"/>
        </w:rPr>
        <w:t>5 标准预期的社会经济效益..................................4</w:t>
      </w:r>
    </w:p>
    <w:p>
      <w:pPr>
        <w:rPr>
          <w:rFonts w:ascii="黑体" w:hAnsi="黑体" w:eastAsia="黑体"/>
          <w:sz w:val="28"/>
          <w:szCs w:val="28"/>
        </w:rPr>
      </w:pPr>
      <w:r>
        <w:rPr>
          <w:rFonts w:hint="eastAsia" w:ascii="黑体" w:hAnsi="黑体" w:eastAsia="黑体"/>
          <w:sz w:val="28"/>
          <w:szCs w:val="28"/>
        </w:rPr>
        <w:t>6重大意见分歧及处理结果...................................5</w:t>
      </w:r>
    </w:p>
    <w:p>
      <w:pPr>
        <w:rPr>
          <w:rFonts w:ascii="黑体" w:hAnsi="黑体" w:eastAsia="黑体"/>
          <w:sz w:val="28"/>
          <w:szCs w:val="28"/>
        </w:rPr>
      </w:pPr>
      <w:r>
        <w:rPr>
          <w:rFonts w:hint="eastAsia" w:ascii="黑体" w:hAnsi="黑体" w:eastAsia="黑体"/>
          <w:sz w:val="28"/>
          <w:szCs w:val="28"/>
        </w:rPr>
        <w:t>7贯彻实施本标准的措施、建议...............................6</w:t>
      </w:r>
    </w:p>
    <w:p>
      <w:pPr>
        <w:rPr>
          <w:rFonts w:ascii="黑体" w:hAnsi="黑体" w:eastAsia="黑体"/>
          <w:sz w:val="24"/>
          <w:szCs w:val="24"/>
        </w:rPr>
      </w:pPr>
    </w:p>
    <w:p>
      <w:pPr>
        <w:rPr>
          <w:rFonts w:ascii="黑体" w:hAnsi="黑体" w:eastAsia="黑体"/>
          <w:sz w:val="24"/>
          <w:szCs w:val="24"/>
        </w:rPr>
      </w:pPr>
      <w:r>
        <w:rPr>
          <w:rFonts w:ascii="黑体" w:hAnsi="黑体" w:eastAsia="黑体"/>
          <w:sz w:val="24"/>
          <w:szCs w:val="24"/>
        </w:rPr>
        <w:br w:type="page"/>
      </w:r>
    </w:p>
    <w:p>
      <w:pPr>
        <w:rPr>
          <w:rFonts w:ascii="黑体" w:hAnsi="黑体" w:eastAsia="黑体"/>
          <w:sz w:val="24"/>
          <w:szCs w:val="24"/>
        </w:rPr>
      </w:pPr>
    </w:p>
    <w:p>
      <w:pPr>
        <w:jc w:val="center"/>
        <w:rPr>
          <w:rFonts w:ascii="黑体" w:hAnsi="黑体" w:eastAsia="黑体" w:cs="黑体"/>
          <w:sz w:val="32"/>
          <w:szCs w:val="32"/>
        </w:rPr>
      </w:pPr>
      <w:r>
        <w:rPr>
          <w:rFonts w:hint="eastAsia" w:ascii="黑体" w:hAnsi="黑体" w:eastAsia="黑体" w:cs="黑体"/>
          <w:sz w:val="32"/>
          <w:szCs w:val="32"/>
        </w:rPr>
        <w:t>湖南省地方标准《</w:t>
      </w:r>
      <w:r>
        <w:rPr>
          <w:rFonts w:hint="eastAsia" w:ascii="黑体" w:hAnsi="黑体" w:eastAsia="黑体" w:cs="黑体"/>
          <w:sz w:val="32"/>
          <w:szCs w:val="32"/>
          <w:lang w:eastAsia="zh-CN"/>
        </w:rPr>
        <w:t>文化主题酒店</w:t>
      </w:r>
      <w:r>
        <w:rPr>
          <w:rFonts w:hint="eastAsia" w:ascii="黑体" w:hAnsi="黑体" w:eastAsia="黑体" w:cs="黑体"/>
          <w:sz w:val="32"/>
          <w:szCs w:val="32"/>
          <w:lang w:val="en-US" w:eastAsia="zh-CN"/>
        </w:rPr>
        <w:t>等级</w:t>
      </w:r>
      <w:r>
        <w:rPr>
          <w:rFonts w:hint="eastAsia" w:ascii="黑体" w:hAnsi="黑体" w:eastAsia="黑体" w:cs="黑体"/>
          <w:sz w:val="32"/>
          <w:szCs w:val="32"/>
        </w:rPr>
        <w:t>划分与评定》编制说明</w:t>
      </w:r>
    </w:p>
    <w:p>
      <w:pPr>
        <w:spacing w:line="400" w:lineRule="exact"/>
        <w:rPr>
          <w:rFonts w:ascii="仿宋" w:hAnsi="仿宋" w:eastAsia="仿宋"/>
          <w:b/>
          <w:bCs/>
          <w:sz w:val="28"/>
          <w:szCs w:val="28"/>
        </w:rPr>
      </w:pPr>
      <w:r>
        <w:rPr>
          <w:rFonts w:hint="eastAsia" w:ascii="仿宋" w:hAnsi="仿宋" w:eastAsia="仿宋"/>
          <w:b/>
          <w:bCs/>
          <w:sz w:val="28"/>
          <w:szCs w:val="28"/>
        </w:rPr>
        <w:t>1 项目背景</w:t>
      </w:r>
    </w:p>
    <w:p>
      <w:pPr>
        <w:pStyle w:val="2"/>
        <w:numPr>
          <w:ilvl w:val="0"/>
          <w:numId w:val="0"/>
        </w:numPr>
        <w:ind w:firstLine="560" w:firstLineChars="200"/>
        <w:rPr>
          <w:rFonts w:ascii="仿宋" w:hAnsi="仿宋" w:eastAsia="仿宋"/>
          <w:color w:val="FF0000"/>
          <w:sz w:val="28"/>
          <w:szCs w:val="28"/>
        </w:rPr>
      </w:pPr>
      <w:r>
        <w:rPr>
          <w:rFonts w:hint="eastAsia" w:ascii="仿宋" w:hAnsi="仿宋" w:eastAsia="仿宋"/>
          <w:sz w:val="28"/>
          <w:szCs w:val="28"/>
        </w:rPr>
        <w:t>2017年，原中国国家旅游局发布《文化主题旅游饭店基本要求与评价》。近年来，有关省、市陆续针对</w:t>
      </w:r>
      <w:r>
        <w:rPr>
          <w:rFonts w:hint="eastAsia" w:ascii="仿宋" w:hAnsi="仿宋" w:eastAsia="仿宋"/>
          <w:sz w:val="28"/>
          <w:szCs w:val="28"/>
          <w:lang w:eastAsia="zh-CN"/>
        </w:rPr>
        <w:t>文化主题酒店</w:t>
      </w:r>
      <w:r>
        <w:rPr>
          <w:rFonts w:hint="eastAsia" w:ascii="仿宋" w:hAnsi="仿宋" w:eastAsia="仿宋"/>
          <w:sz w:val="28"/>
          <w:szCs w:val="28"/>
        </w:rPr>
        <w:t>出台管理办法或指导意见。</w:t>
      </w:r>
      <w:r>
        <w:rPr>
          <w:rFonts w:ascii="仿宋" w:hAnsi="仿宋" w:eastAsia="仿宋"/>
          <w:sz w:val="28"/>
          <w:szCs w:val="28"/>
        </w:rPr>
        <w:t>2019年</w:t>
      </w:r>
      <w:r>
        <w:rPr>
          <w:rFonts w:hint="eastAsia" w:ascii="仿宋" w:hAnsi="仿宋" w:eastAsia="仿宋"/>
          <w:sz w:val="28"/>
          <w:szCs w:val="28"/>
          <w:lang w:val="en-US" w:eastAsia="zh-CN"/>
        </w:rPr>
        <w:t>10</w:t>
      </w:r>
      <w:r>
        <w:rPr>
          <w:rFonts w:ascii="仿宋" w:hAnsi="仿宋" w:eastAsia="仿宋"/>
          <w:sz w:val="28"/>
          <w:szCs w:val="28"/>
        </w:rPr>
        <w:t>月，</w:t>
      </w:r>
      <w:r>
        <w:rPr>
          <w:rFonts w:hint="eastAsia" w:ascii="仿宋" w:hAnsi="仿宋" w:eastAsia="仿宋"/>
          <w:sz w:val="28"/>
          <w:szCs w:val="28"/>
          <w:lang w:eastAsia="zh-CN"/>
        </w:rPr>
        <w:t>湖南师范大学饭店管理研究所唐健雄教授团队立项湖南省文化和旅游厅立项重大课题</w:t>
      </w:r>
      <w:r>
        <w:rPr>
          <w:rFonts w:ascii="仿宋" w:hAnsi="仿宋" w:eastAsia="仿宋"/>
          <w:sz w:val="28"/>
          <w:szCs w:val="28"/>
        </w:rPr>
        <w:t>《</w:t>
      </w:r>
      <w:r>
        <w:rPr>
          <w:rFonts w:hint="eastAsia" w:ascii="仿宋" w:hAnsi="仿宋" w:eastAsia="仿宋"/>
          <w:sz w:val="28"/>
          <w:szCs w:val="28"/>
          <w:lang w:eastAsia="zh-CN"/>
        </w:rPr>
        <w:t>关于文化主题酒店标准操作模式研究</w:t>
      </w:r>
      <w:r>
        <w:rPr>
          <w:rFonts w:ascii="仿宋" w:hAnsi="仿宋" w:eastAsia="仿宋"/>
          <w:sz w:val="28"/>
          <w:szCs w:val="28"/>
        </w:rPr>
        <w:t>》</w:t>
      </w:r>
      <w:r>
        <w:rPr>
          <w:rFonts w:hint="eastAsia" w:ascii="仿宋" w:hAnsi="仿宋" w:eastAsia="仿宋"/>
          <w:sz w:val="28"/>
          <w:szCs w:val="28"/>
          <w:lang w:eastAsia="zh-CN"/>
        </w:rPr>
        <w:t>，并对湖南省文化主题酒店进行调研和开始着手编制《文化主题酒店等级划分与评定》，</w:t>
      </w:r>
      <w:r>
        <w:rPr>
          <w:rFonts w:hint="eastAsia" w:ascii="仿宋" w:hAnsi="仿宋" w:eastAsia="仿宋"/>
          <w:sz w:val="28"/>
          <w:szCs w:val="28"/>
          <w:lang w:val="en-US" w:eastAsia="zh-CN"/>
        </w:rPr>
        <w:t>于2022年7月召开内部专家会议，根据专家意见，将原定标准名称</w:t>
      </w:r>
      <w:r>
        <w:rPr>
          <w:rFonts w:hint="eastAsia" w:ascii="仿宋" w:hAnsi="仿宋" w:eastAsia="仿宋"/>
          <w:sz w:val="28"/>
          <w:szCs w:val="28"/>
          <w:lang w:eastAsia="zh-CN"/>
        </w:rPr>
        <w:t>《文化主题酒店评定标准》</w:t>
      </w:r>
      <w:r>
        <w:rPr>
          <w:rFonts w:hint="eastAsia" w:ascii="仿宋" w:hAnsi="仿宋" w:eastAsia="仿宋"/>
          <w:sz w:val="28"/>
          <w:szCs w:val="28"/>
          <w:lang w:val="en-US" w:eastAsia="zh-CN"/>
        </w:rPr>
        <w:t>更改为</w:t>
      </w:r>
      <w:r>
        <w:rPr>
          <w:rFonts w:hint="eastAsia" w:ascii="仿宋" w:hAnsi="仿宋" w:eastAsia="仿宋"/>
          <w:sz w:val="28"/>
          <w:szCs w:val="28"/>
          <w:lang w:eastAsia="zh-CN"/>
        </w:rPr>
        <w:t>《文化主题酒店等级划分与评定》</w:t>
      </w:r>
      <w:r>
        <w:rPr>
          <w:rFonts w:hint="eastAsia" w:ascii="仿宋" w:hAnsi="仿宋" w:eastAsia="仿宋"/>
          <w:sz w:val="28"/>
          <w:szCs w:val="28"/>
          <w:lang w:val="en-US" w:eastAsia="zh-CN"/>
        </w:rPr>
        <w:t>。</w:t>
      </w:r>
      <w:r>
        <w:rPr>
          <w:rFonts w:hint="eastAsia" w:ascii="仿宋" w:hAnsi="仿宋" w:eastAsia="仿宋"/>
          <w:sz w:val="28"/>
          <w:szCs w:val="28"/>
        </w:rPr>
        <w:t>与此同时，湖南</w:t>
      </w:r>
      <w:r>
        <w:rPr>
          <w:rFonts w:hint="eastAsia" w:ascii="仿宋" w:hAnsi="仿宋" w:eastAsia="仿宋"/>
          <w:sz w:val="28"/>
          <w:szCs w:val="28"/>
          <w:lang w:eastAsia="zh-CN"/>
        </w:rPr>
        <w:t>文化主题酒店</w:t>
      </w:r>
      <w:r>
        <w:rPr>
          <w:rFonts w:hint="eastAsia" w:ascii="仿宋" w:hAnsi="仿宋" w:eastAsia="仿宋"/>
          <w:sz w:val="28"/>
          <w:szCs w:val="28"/>
        </w:rPr>
        <w:t>在建设与运营过程还存在诸多问题与挑战，为促进全省</w:t>
      </w:r>
      <w:r>
        <w:rPr>
          <w:rFonts w:hint="eastAsia" w:ascii="仿宋" w:hAnsi="仿宋" w:eastAsia="仿宋"/>
          <w:sz w:val="28"/>
          <w:szCs w:val="28"/>
          <w:lang w:eastAsia="zh-CN"/>
        </w:rPr>
        <w:t>文化主题酒店</w:t>
      </w:r>
      <w:r>
        <w:rPr>
          <w:rFonts w:hint="eastAsia" w:ascii="仿宋" w:hAnsi="仿宋" w:eastAsia="仿宋"/>
          <w:sz w:val="28"/>
          <w:szCs w:val="28"/>
          <w:lang w:val="en-US" w:eastAsia="zh-CN"/>
        </w:rPr>
        <w:t>规范</w:t>
      </w:r>
      <w:r>
        <w:rPr>
          <w:rFonts w:hint="eastAsia" w:ascii="仿宋" w:hAnsi="仿宋" w:eastAsia="仿宋"/>
          <w:sz w:val="28"/>
          <w:szCs w:val="28"/>
        </w:rPr>
        <w:t>发展，</w:t>
      </w:r>
      <w:r>
        <w:rPr>
          <w:rFonts w:ascii="仿宋" w:hAnsi="仿宋" w:eastAsia="仿宋"/>
          <w:sz w:val="28"/>
          <w:szCs w:val="28"/>
        </w:rPr>
        <w:t>进一步提升全省</w:t>
      </w:r>
      <w:r>
        <w:rPr>
          <w:rFonts w:hint="eastAsia" w:ascii="仿宋" w:hAnsi="仿宋" w:eastAsia="仿宋"/>
          <w:sz w:val="28"/>
          <w:szCs w:val="28"/>
          <w:lang w:eastAsia="zh-CN"/>
        </w:rPr>
        <w:t>文化主题酒店</w:t>
      </w:r>
      <w:r>
        <w:rPr>
          <w:rFonts w:ascii="仿宋" w:hAnsi="仿宋" w:eastAsia="仿宋"/>
          <w:sz w:val="28"/>
          <w:szCs w:val="28"/>
        </w:rPr>
        <w:t>管理水平和服务质量</w:t>
      </w:r>
      <w:r>
        <w:rPr>
          <w:rFonts w:hint="eastAsia" w:ascii="仿宋" w:hAnsi="仿宋" w:eastAsia="仿宋"/>
          <w:sz w:val="28"/>
          <w:szCs w:val="28"/>
        </w:rPr>
        <w:t>，亟需制订相关等级划分与评定</w:t>
      </w:r>
      <w:r>
        <w:rPr>
          <w:rFonts w:hint="eastAsia" w:ascii="仿宋" w:hAnsi="仿宋" w:eastAsia="仿宋"/>
          <w:sz w:val="28"/>
          <w:szCs w:val="28"/>
          <w:lang w:val="en-US" w:eastAsia="zh-CN"/>
        </w:rPr>
        <w:t>标准</w:t>
      </w:r>
      <w:r>
        <w:rPr>
          <w:rFonts w:hint="eastAsia" w:ascii="仿宋" w:hAnsi="仿宋" w:eastAsia="仿宋"/>
          <w:sz w:val="28"/>
          <w:szCs w:val="28"/>
        </w:rPr>
        <w:t>，科学引导湖南</w:t>
      </w:r>
      <w:r>
        <w:rPr>
          <w:rFonts w:hint="eastAsia" w:ascii="仿宋" w:hAnsi="仿宋" w:eastAsia="仿宋"/>
          <w:sz w:val="28"/>
          <w:szCs w:val="28"/>
          <w:lang w:eastAsia="zh-CN"/>
        </w:rPr>
        <w:t>文化主题酒店</w:t>
      </w:r>
      <w:r>
        <w:rPr>
          <w:rFonts w:hint="eastAsia" w:ascii="仿宋" w:hAnsi="仿宋" w:eastAsia="仿宋"/>
          <w:sz w:val="28"/>
          <w:szCs w:val="28"/>
          <w:lang w:val="en-US" w:eastAsia="zh-CN"/>
        </w:rPr>
        <w:t>高质量</w:t>
      </w:r>
      <w:r>
        <w:rPr>
          <w:rFonts w:hint="eastAsia" w:ascii="仿宋" w:hAnsi="仿宋" w:eastAsia="仿宋"/>
          <w:sz w:val="28"/>
          <w:szCs w:val="28"/>
        </w:rPr>
        <w:t>发展。</w:t>
      </w:r>
    </w:p>
    <w:p>
      <w:pPr>
        <w:spacing w:line="400" w:lineRule="exact"/>
        <w:rPr>
          <w:rFonts w:ascii="仿宋" w:hAnsi="仿宋" w:eastAsia="仿宋"/>
          <w:b/>
          <w:bCs/>
          <w:sz w:val="28"/>
          <w:szCs w:val="28"/>
        </w:rPr>
      </w:pPr>
      <w:r>
        <w:rPr>
          <w:rFonts w:hint="eastAsia" w:ascii="仿宋" w:hAnsi="仿宋" w:eastAsia="仿宋"/>
          <w:b/>
          <w:bCs/>
          <w:sz w:val="28"/>
          <w:szCs w:val="28"/>
        </w:rPr>
        <w:t>2 工作简况</w:t>
      </w:r>
    </w:p>
    <w:p>
      <w:pPr>
        <w:spacing w:line="400" w:lineRule="exact"/>
        <w:ind w:firstLine="280" w:firstLineChars="100"/>
        <w:rPr>
          <w:rFonts w:ascii="仿宋" w:hAnsi="仿宋" w:eastAsia="仿宋"/>
          <w:sz w:val="28"/>
          <w:szCs w:val="28"/>
        </w:rPr>
      </w:pPr>
      <w:r>
        <w:rPr>
          <w:rFonts w:hint="eastAsia" w:ascii="仿宋" w:hAnsi="仿宋" w:eastAsia="仿宋"/>
          <w:sz w:val="28"/>
          <w:szCs w:val="28"/>
        </w:rPr>
        <w:t>2.1任务来源</w:t>
      </w:r>
    </w:p>
    <w:p>
      <w:pPr>
        <w:adjustRightInd w:val="0"/>
        <w:snapToGrid w:val="0"/>
        <w:spacing w:line="58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202</w:t>
      </w:r>
      <w:r>
        <w:rPr>
          <w:rFonts w:hint="eastAsia" w:ascii="仿宋" w:hAnsi="仿宋" w:eastAsia="仿宋"/>
          <w:sz w:val="28"/>
          <w:szCs w:val="28"/>
          <w:lang w:val="en-US" w:eastAsia="zh-CN"/>
        </w:rPr>
        <w:t>2</w:t>
      </w:r>
      <w:r>
        <w:rPr>
          <w:rFonts w:hint="eastAsia" w:ascii="仿宋" w:hAnsi="仿宋" w:eastAsia="仿宋"/>
          <w:sz w:val="28"/>
          <w:szCs w:val="28"/>
        </w:rPr>
        <w:t>年</w:t>
      </w:r>
      <w:r>
        <w:rPr>
          <w:rFonts w:hint="eastAsia" w:ascii="仿宋" w:hAnsi="仿宋" w:eastAsia="仿宋"/>
          <w:sz w:val="28"/>
          <w:szCs w:val="28"/>
          <w:lang w:val="en-US" w:eastAsia="zh-CN"/>
        </w:rPr>
        <w:t>1</w:t>
      </w:r>
      <w:r>
        <w:rPr>
          <w:rFonts w:hint="eastAsia" w:ascii="仿宋" w:hAnsi="仿宋" w:eastAsia="仿宋"/>
          <w:sz w:val="28"/>
          <w:szCs w:val="28"/>
        </w:rPr>
        <w:t>月，本标准制定任务由省市场监督管理局标准化行政管理部门正式批准列入202</w:t>
      </w:r>
      <w:r>
        <w:rPr>
          <w:rFonts w:hint="eastAsia" w:ascii="仿宋" w:hAnsi="仿宋" w:eastAsia="仿宋"/>
          <w:sz w:val="28"/>
          <w:szCs w:val="28"/>
          <w:lang w:val="en-US" w:eastAsia="zh-CN"/>
        </w:rPr>
        <w:t>2</w:t>
      </w:r>
      <w:r>
        <w:rPr>
          <w:rFonts w:hint="eastAsia" w:ascii="仿宋" w:hAnsi="仿宋" w:eastAsia="仿宋"/>
          <w:sz w:val="28"/>
          <w:szCs w:val="28"/>
        </w:rPr>
        <w:t>年</w:t>
      </w:r>
      <w:r>
        <w:rPr>
          <w:rFonts w:hint="eastAsia" w:ascii="仿宋" w:hAnsi="仿宋" w:eastAsia="仿宋"/>
          <w:sz w:val="28"/>
          <w:szCs w:val="28"/>
          <w:lang w:val="en-US" w:eastAsia="zh-CN"/>
        </w:rPr>
        <w:t>第一批</w:t>
      </w:r>
      <w:r>
        <w:rPr>
          <w:rFonts w:hint="eastAsia" w:ascii="仿宋" w:hAnsi="仿宋" w:eastAsia="仿宋"/>
          <w:sz w:val="28"/>
          <w:szCs w:val="28"/>
        </w:rPr>
        <w:t>湖南省地方标准化制定计划。项目承担单位为湖南</w:t>
      </w:r>
      <w:r>
        <w:rPr>
          <w:rFonts w:hint="eastAsia" w:ascii="仿宋" w:hAnsi="仿宋" w:eastAsia="仿宋"/>
          <w:sz w:val="28"/>
          <w:szCs w:val="28"/>
          <w:lang w:eastAsia="zh-CN"/>
        </w:rPr>
        <w:t>师范大学饭店管理研究所，合作单位为湖南省旅游学会、湖南省城研产业发展中心有限公司。</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2.2制定过程</w:t>
      </w:r>
    </w:p>
    <w:p>
      <w:pPr>
        <w:ind w:firstLine="420" w:firstLineChars="150"/>
        <w:rPr>
          <w:rFonts w:ascii="仿宋" w:hAnsi="仿宋" w:eastAsia="仿宋"/>
          <w:sz w:val="28"/>
          <w:szCs w:val="28"/>
        </w:rPr>
      </w:pPr>
      <w:r>
        <w:rPr>
          <w:rFonts w:hint="eastAsia" w:ascii="仿宋" w:hAnsi="仿宋" w:eastAsia="仿宋"/>
          <w:sz w:val="28"/>
          <w:szCs w:val="28"/>
        </w:rPr>
        <w:t>（1）成立标准编制小组</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2020年7月，标准起草编制小组成立。</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2020年8月，经广泛咨询、征求意见，拟定了本次标准修订的技术路线、工作方案。</w:t>
      </w:r>
    </w:p>
    <w:p>
      <w:pPr>
        <w:ind w:firstLine="420" w:firstLineChars="150"/>
        <w:rPr>
          <w:rFonts w:ascii="仿宋" w:hAnsi="仿宋" w:eastAsia="仿宋"/>
          <w:sz w:val="28"/>
          <w:szCs w:val="28"/>
        </w:rPr>
      </w:pPr>
      <w:r>
        <w:rPr>
          <w:rFonts w:hint="eastAsia" w:ascii="仿宋" w:hAnsi="仿宋" w:eastAsia="仿宋"/>
          <w:sz w:val="28"/>
          <w:szCs w:val="28"/>
        </w:rPr>
        <w:t>（2）收集整理资料</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2020年7月，了解国家</w:t>
      </w:r>
      <w:r>
        <w:rPr>
          <w:rFonts w:hint="eastAsia" w:ascii="仿宋" w:hAnsi="仿宋" w:eastAsia="仿宋"/>
          <w:sz w:val="28"/>
          <w:szCs w:val="28"/>
          <w:lang w:eastAsia="zh-CN"/>
        </w:rPr>
        <w:t>、</w:t>
      </w:r>
      <w:r>
        <w:rPr>
          <w:rFonts w:hint="eastAsia" w:ascii="仿宋" w:hAnsi="仿宋" w:eastAsia="仿宋"/>
          <w:sz w:val="28"/>
          <w:szCs w:val="28"/>
          <w:lang w:val="en-US" w:eastAsia="zh-CN"/>
        </w:rPr>
        <w:t>其他省份以及本</w:t>
      </w:r>
      <w:r>
        <w:rPr>
          <w:rFonts w:hint="eastAsia" w:ascii="仿宋" w:hAnsi="仿宋" w:eastAsia="仿宋"/>
          <w:sz w:val="28"/>
          <w:szCs w:val="28"/>
        </w:rPr>
        <w:t>省</w:t>
      </w:r>
      <w:r>
        <w:rPr>
          <w:rFonts w:hint="eastAsia" w:ascii="仿宋" w:hAnsi="仿宋" w:eastAsia="仿宋"/>
          <w:sz w:val="28"/>
          <w:szCs w:val="28"/>
          <w:lang w:eastAsia="zh-CN"/>
        </w:rPr>
        <w:t>文化主题酒店</w:t>
      </w:r>
      <w:r>
        <w:rPr>
          <w:rFonts w:hint="eastAsia" w:ascii="仿宋" w:hAnsi="仿宋" w:eastAsia="仿宋"/>
          <w:sz w:val="28"/>
          <w:szCs w:val="28"/>
        </w:rPr>
        <w:t>有关的各项政策文件和法律法规，</w:t>
      </w:r>
      <w:r>
        <w:rPr>
          <w:rFonts w:hint="eastAsia" w:ascii="仿宋" w:hAnsi="仿宋" w:eastAsia="仿宋"/>
          <w:sz w:val="28"/>
          <w:szCs w:val="28"/>
          <w:lang w:eastAsia="zh-CN"/>
        </w:rPr>
        <w:t>文化主题酒店</w:t>
      </w:r>
      <w:r>
        <w:rPr>
          <w:rFonts w:hint="eastAsia" w:ascii="仿宋" w:hAnsi="仿宋" w:eastAsia="仿宋"/>
          <w:sz w:val="28"/>
          <w:szCs w:val="28"/>
        </w:rPr>
        <w:t>等级评定与划分的有关国家标准以及相关地方标准的制修订情况。收集的资料中，作为本标准的主要编制依据有：</w:t>
      </w:r>
    </w:p>
    <w:p>
      <w:pPr>
        <w:pStyle w:val="8"/>
        <w:spacing w:line="360" w:lineRule="auto"/>
        <w:ind w:firstLine="560" w:firstLineChars="200"/>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LB/T 064  文化主题旅游饭店基本要求与评价</w:t>
      </w:r>
    </w:p>
    <w:p>
      <w:pPr>
        <w:pStyle w:val="16"/>
        <w:ind w:firstLine="420"/>
        <w:rPr>
          <w:rFonts w:hint="default" w:ascii="仿宋" w:hAnsi="仿宋" w:eastAsia="仿宋" w:cstheme="minorBidi"/>
          <w:kern w:val="2"/>
          <w:sz w:val="28"/>
          <w:szCs w:val="28"/>
          <w:lang w:val="en-US" w:eastAsia="zh-CN" w:bidi="ar-SA"/>
        </w:rPr>
      </w:pPr>
      <w:r>
        <w:rPr>
          <w:rFonts w:hint="default" w:ascii="仿宋" w:hAnsi="仿宋" w:eastAsia="仿宋" w:cstheme="minorBidi"/>
          <w:kern w:val="2"/>
          <w:sz w:val="28"/>
          <w:szCs w:val="28"/>
          <w:lang w:val="en-US" w:eastAsia="zh-CN" w:bidi="ar-SA"/>
        </w:rPr>
        <w:t>GB/T 14308  旅游饭店星级的划分与评定</w:t>
      </w:r>
    </w:p>
    <w:p>
      <w:pPr>
        <w:pStyle w:val="16"/>
        <w:ind w:firstLine="420"/>
        <w:rPr>
          <w:rFonts w:hint="default" w:ascii="仿宋" w:hAnsi="仿宋" w:eastAsia="仿宋" w:cstheme="minorBidi"/>
          <w:kern w:val="2"/>
          <w:sz w:val="28"/>
          <w:szCs w:val="28"/>
          <w:lang w:val="en-US" w:eastAsia="zh-CN" w:bidi="ar-SA"/>
        </w:rPr>
      </w:pPr>
      <w:r>
        <w:rPr>
          <w:rFonts w:hint="default" w:ascii="仿宋" w:hAnsi="仿宋" w:eastAsia="仿宋" w:cstheme="minorBidi"/>
          <w:kern w:val="2"/>
          <w:sz w:val="28"/>
          <w:szCs w:val="28"/>
          <w:lang w:val="en-US" w:eastAsia="zh-CN" w:bidi="ar-SA"/>
        </w:rPr>
        <w:t>LB/T 007  绿色旅游饭店</w:t>
      </w:r>
    </w:p>
    <w:p>
      <w:pPr>
        <w:pStyle w:val="8"/>
        <w:spacing w:line="360" w:lineRule="auto"/>
        <w:ind w:firstLine="560" w:firstLineChars="200"/>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GB/T 10001.1 标志用公共信息图形符号 第1部分：通用符号</w:t>
      </w:r>
    </w:p>
    <w:p>
      <w:pPr>
        <w:pStyle w:val="16"/>
        <w:spacing w:line="360" w:lineRule="auto"/>
        <w:ind w:firstLine="420"/>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GB/T 10001.2 标志用公共信息图形符号 第2部分：旅游设施与服务符号</w:t>
      </w:r>
    </w:p>
    <w:p>
      <w:pPr>
        <w:pStyle w:val="16"/>
        <w:spacing w:line="360" w:lineRule="auto"/>
        <w:ind w:firstLine="420"/>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GB/T 10001.4 标志用公共信息图形符号 第4部分：运动健身符号</w:t>
      </w:r>
    </w:p>
    <w:p>
      <w:pPr>
        <w:pStyle w:val="16"/>
        <w:spacing w:line="360" w:lineRule="auto"/>
        <w:ind w:firstLine="420"/>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GB/T 10001.9 标志用公共信息图形符号 第9部分：无障碍设施符号</w:t>
      </w:r>
    </w:p>
    <w:p>
      <w:pPr>
        <w:pStyle w:val="16"/>
        <w:ind w:firstLine="420"/>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fldChar w:fldCharType="begin"/>
      </w:r>
      <w:r>
        <w:rPr>
          <w:rFonts w:hint="eastAsia" w:ascii="仿宋" w:hAnsi="仿宋" w:eastAsia="仿宋" w:cstheme="minorBidi"/>
          <w:kern w:val="2"/>
          <w:sz w:val="28"/>
          <w:szCs w:val="28"/>
          <w:lang w:val="en-US" w:eastAsia="zh-CN" w:bidi="ar-SA"/>
        </w:rPr>
        <w:instrText xml:space="preserve"> HYPERLINK "https://www.so.com/link?m=bbO9Sa+G69Byf/2W3FTzI7FyOhcr0A7bUoGq/zIFKItKfuob8sNOGU3L7DBjdmzTNKdbAsA3PSB5dPEWLzFuL/yIVJxajNM4RZgHel/qqCs9T6FTiPUv43E46Cl7sUBiEQDsxf9sXT3tz7zh68lJ9vyCDoEJ19Udjaa01WHnGSJ0=" \t "https://www.so.com/_blank" </w:instrText>
      </w:r>
      <w:r>
        <w:rPr>
          <w:rFonts w:hint="eastAsia" w:ascii="仿宋" w:hAnsi="仿宋" w:eastAsia="仿宋" w:cstheme="minorBidi"/>
          <w:kern w:val="2"/>
          <w:sz w:val="28"/>
          <w:szCs w:val="28"/>
          <w:lang w:val="en-US" w:eastAsia="zh-CN" w:bidi="ar-SA"/>
        </w:rPr>
        <w:fldChar w:fldCharType="separate"/>
      </w:r>
      <w:r>
        <w:rPr>
          <w:rFonts w:hint="eastAsia" w:ascii="仿宋" w:hAnsi="仿宋" w:eastAsia="仿宋" w:cstheme="minorBidi"/>
          <w:kern w:val="2"/>
          <w:sz w:val="28"/>
          <w:szCs w:val="28"/>
          <w:lang w:val="en-US" w:eastAsia="zh-CN" w:bidi="ar-SA"/>
        </w:rPr>
        <w:t>GB/T 15566.8 公共信息导向系统设置原则与要求第8部分:宾</w:t>
      </w:r>
      <w:r>
        <w:rPr>
          <w:rFonts w:hint="eastAsia" w:ascii="仿宋" w:hAnsi="仿宋" w:eastAsia="仿宋" w:cstheme="minorBidi"/>
          <w:kern w:val="2"/>
          <w:sz w:val="28"/>
          <w:szCs w:val="28"/>
          <w:lang w:val="en-US" w:eastAsia="zh-CN" w:bidi="ar-SA"/>
        </w:rPr>
        <w:fldChar w:fldCharType="end"/>
      </w:r>
      <w:r>
        <w:rPr>
          <w:rFonts w:hint="eastAsia" w:ascii="仿宋" w:hAnsi="仿宋" w:eastAsia="仿宋" w:cstheme="minorBidi"/>
          <w:kern w:val="2"/>
          <w:sz w:val="28"/>
          <w:szCs w:val="28"/>
          <w:lang w:val="en-US" w:eastAsia="zh-CN" w:bidi="ar-SA"/>
        </w:rPr>
        <w:t>馆和饭店</w:t>
      </w:r>
    </w:p>
    <w:p>
      <w:pPr>
        <w:pStyle w:val="16"/>
        <w:spacing w:line="360" w:lineRule="auto"/>
        <w:ind w:firstLine="560" w:firstLineChars="200"/>
        <w:rPr>
          <w:rFonts w:hint="eastAsia" w:ascii="仿宋" w:hAnsi="仿宋" w:eastAsia="仿宋" w:cstheme="minorBidi"/>
          <w:kern w:val="2"/>
          <w:sz w:val="28"/>
          <w:szCs w:val="28"/>
          <w:lang w:val="en-US" w:eastAsia="zh-CN" w:bidi="ar-SA"/>
        </w:rPr>
      </w:pPr>
      <w:r>
        <w:rPr>
          <w:rFonts w:hint="default" w:ascii="仿宋" w:hAnsi="仿宋" w:eastAsia="仿宋" w:cstheme="minorBidi"/>
          <w:kern w:val="2"/>
          <w:sz w:val="28"/>
          <w:szCs w:val="28"/>
          <w:lang w:val="en-US" w:eastAsia="zh-CN" w:bidi="ar-SA"/>
        </w:rPr>
        <w:t xml:space="preserve">GB/T19095 </w:t>
      </w:r>
      <w:r>
        <w:rPr>
          <w:rFonts w:hint="eastAsia" w:ascii="仿宋" w:hAnsi="仿宋" w:eastAsia="仿宋" w:cstheme="minorBidi"/>
          <w:kern w:val="2"/>
          <w:sz w:val="28"/>
          <w:szCs w:val="28"/>
          <w:lang w:val="en-US" w:eastAsia="zh-CN" w:bidi="ar-SA"/>
        </w:rPr>
        <w:t>生活垃圾分类标志</w:t>
      </w:r>
    </w:p>
    <w:p>
      <w:pPr>
        <w:pStyle w:val="16"/>
        <w:rPr>
          <w:rFonts w:hint="eastAsia" w:ascii="仿宋" w:hAnsi="仿宋" w:eastAsia="仿宋" w:cstheme="minorBidi"/>
          <w:kern w:val="2"/>
          <w:sz w:val="28"/>
          <w:szCs w:val="28"/>
          <w:lang w:val="en-US" w:eastAsia="zh-CN" w:bidi="ar-SA"/>
        </w:rPr>
      </w:pPr>
      <w:r>
        <w:rPr>
          <w:rFonts w:hint="default" w:ascii="仿宋" w:hAnsi="仿宋" w:eastAsia="仿宋" w:cstheme="minorBidi"/>
          <w:kern w:val="2"/>
          <w:sz w:val="28"/>
          <w:szCs w:val="28"/>
          <w:lang w:val="en-US" w:eastAsia="zh-CN" w:bidi="ar-SA"/>
        </w:rPr>
        <w:t>GB 5749  生活饮用水卫生标准</w:t>
      </w:r>
    </w:p>
    <w:p>
      <w:pPr>
        <w:pStyle w:val="16"/>
        <w:spacing w:line="360" w:lineRule="auto"/>
        <w:ind w:firstLine="560" w:firstLineChars="200"/>
        <w:rPr>
          <w:rFonts w:hint="default" w:ascii="仿宋" w:hAnsi="仿宋" w:eastAsia="仿宋" w:cstheme="minorBidi"/>
          <w:kern w:val="2"/>
          <w:sz w:val="28"/>
          <w:szCs w:val="28"/>
          <w:lang w:val="en-US" w:eastAsia="zh-CN" w:bidi="ar-SA"/>
        </w:rPr>
      </w:pPr>
      <w:r>
        <w:rPr>
          <w:rFonts w:hint="default" w:ascii="仿宋" w:hAnsi="仿宋" w:eastAsia="仿宋" w:cstheme="minorBidi"/>
          <w:kern w:val="2"/>
          <w:sz w:val="28"/>
          <w:szCs w:val="28"/>
          <w:lang w:val="en-US" w:eastAsia="zh-CN" w:bidi="ar-SA"/>
        </w:rPr>
        <w:t>GB 50222  建筑内部装修设计防火规范</w:t>
      </w:r>
    </w:p>
    <w:p>
      <w:pPr>
        <w:pStyle w:val="16"/>
        <w:spacing w:line="360" w:lineRule="auto"/>
        <w:ind w:firstLine="560" w:firstLineChars="200"/>
        <w:rPr>
          <w:rFonts w:hint="default" w:ascii="仿宋" w:hAnsi="仿宋" w:eastAsia="仿宋" w:cstheme="minorBidi"/>
          <w:kern w:val="2"/>
          <w:sz w:val="28"/>
          <w:szCs w:val="28"/>
          <w:lang w:val="en-US" w:eastAsia="zh-CN" w:bidi="ar-SA"/>
        </w:rPr>
      </w:pPr>
      <w:r>
        <w:rPr>
          <w:rFonts w:hint="default" w:ascii="仿宋" w:hAnsi="仿宋" w:eastAsia="仿宋" w:cstheme="minorBidi"/>
          <w:kern w:val="2"/>
          <w:sz w:val="28"/>
          <w:szCs w:val="28"/>
          <w:lang w:val="en-US" w:eastAsia="zh-CN" w:bidi="ar-SA"/>
        </w:rPr>
        <w:t>GB 8978 污水综合排放标准</w:t>
      </w:r>
    </w:p>
    <w:p>
      <w:pPr>
        <w:pStyle w:val="16"/>
        <w:ind w:firstLine="420"/>
        <w:rPr>
          <w:rFonts w:hint="default" w:ascii="仿宋" w:hAnsi="仿宋" w:eastAsia="仿宋" w:cstheme="minorBidi"/>
          <w:kern w:val="2"/>
          <w:sz w:val="28"/>
          <w:szCs w:val="28"/>
          <w:lang w:val="en-US" w:eastAsia="zh-CN" w:bidi="ar-SA"/>
        </w:rPr>
      </w:pPr>
      <w:r>
        <w:rPr>
          <w:rFonts w:hint="default" w:ascii="仿宋" w:hAnsi="仿宋" w:eastAsia="仿宋" w:cstheme="minorBidi"/>
          <w:kern w:val="2"/>
          <w:sz w:val="28"/>
          <w:szCs w:val="28"/>
          <w:lang w:val="en-US" w:eastAsia="zh-CN" w:bidi="ar-SA"/>
        </w:rPr>
        <w:t xml:space="preserve">GB 18483 </w:t>
      </w:r>
      <w:r>
        <w:rPr>
          <w:rFonts w:hint="default" w:ascii="仿宋" w:hAnsi="仿宋" w:eastAsia="仿宋" w:cstheme="minorBidi"/>
          <w:kern w:val="2"/>
          <w:sz w:val="28"/>
          <w:szCs w:val="28"/>
          <w:lang w:val="en-US" w:eastAsia="zh-CN" w:bidi="ar-SA"/>
        </w:rPr>
        <w:fldChar w:fldCharType="begin"/>
      </w:r>
      <w:r>
        <w:rPr>
          <w:rFonts w:hint="default" w:ascii="仿宋" w:hAnsi="仿宋" w:eastAsia="仿宋" w:cstheme="minorBidi"/>
          <w:kern w:val="2"/>
          <w:sz w:val="28"/>
          <w:szCs w:val="28"/>
          <w:lang w:val="en-US" w:eastAsia="zh-CN" w:bidi="ar-SA"/>
        </w:rPr>
        <w:instrText xml:space="preserve"> HYPERLINK "https://wenku.so.com/d/78288cda8ca6769771ae8250c3d00d87" \t "https://www.so.com/_blank" </w:instrText>
      </w:r>
      <w:r>
        <w:rPr>
          <w:rFonts w:hint="default" w:ascii="仿宋" w:hAnsi="仿宋" w:eastAsia="仿宋" w:cstheme="minorBidi"/>
          <w:kern w:val="2"/>
          <w:sz w:val="28"/>
          <w:szCs w:val="28"/>
          <w:lang w:val="en-US" w:eastAsia="zh-CN" w:bidi="ar-SA"/>
        </w:rPr>
        <w:fldChar w:fldCharType="separate"/>
      </w:r>
      <w:r>
        <w:rPr>
          <w:rFonts w:hint="default" w:ascii="仿宋" w:hAnsi="仿宋" w:eastAsia="仿宋" w:cstheme="minorBidi"/>
          <w:kern w:val="2"/>
          <w:sz w:val="28"/>
          <w:szCs w:val="28"/>
          <w:lang w:val="en-US" w:eastAsia="zh-CN" w:bidi="ar-SA"/>
        </w:rPr>
        <w:t>饮食业油烟排放标准</w:t>
      </w:r>
      <w:r>
        <w:rPr>
          <w:rFonts w:hint="default" w:ascii="仿宋" w:hAnsi="仿宋" w:eastAsia="仿宋" w:cstheme="minorBidi"/>
          <w:kern w:val="2"/>
          <w:sz w:val="28"/>
          <w:szCs w:val="28"/>
          <w:lang w:val="en-US" w:eastAsia="zh-CN" w:bidi="ar-SA"/>
        </w:rPr>
        <w:fldChar w:fldCharType="end"/>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（3）开展调研</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2020年8月-2020年11月，编制小组先后多次分别赴</w:t>
      </w:r>
      <w:r>
        <w:rPr>
          <w:rFonts w:hint="eastAsia" w:ascii="仿宋" w:hAnsi="仿宋" w:eastAsia="仿宋"/>
          <w:sz w:val="28"/>
          <w:szCs w:val="28"/>
          <w:lang w:eastAsia="zh-CN"/>
        </w:rPr>
        <w:t>湖南省张家界、怀化、株洲、长沙</w:t>
      </w:r>
      <w:r>
        <w:rPr>
          <w:rFonts w:hint="eastAsia" w:ascii="仿宋" w:hAnsi="仿宋" w:eastAsia="仿宋"/>
          <w:sz w:val="28"/>
          <w:szCs w:val="28"/>
        </w:rPr>
        <w:t>等进行</w:t>
      </w:r>
      <w:r>
        <w:rPr>
          <w:rFonts w:hint="eastAsia" w:ascii="仿宋" w:hAnsi="仿宋" w:eastAsia="仿宋"/>
          <w:sz w:val="28"/>
          <w:szCs w:val="28"/>
          <w:lang w:eastAsia="zh-CN"/>
        </w:rPr>
        <w:t>文化主题酒店</w:t>
      </w:r>
      <w:r>
        <w:rPr>
          <w:rFonts w:hint="eastAsia" w:ascii="仿宋" w:hAnsi="仿宋" w:eastAsia="仿宋"/>
          <w:sz w:val="28"/>
          <w:szCs w:val="28"/>
        </w:rPr>
        <w:t>调研，深入了解</w:t>
      </w:r>
      <w:r>
        <w:rPr>
          <w:rFonts w:hint="eastAsia" w:ascii="仿宋" w:hAnsi="仿宋" w:eastAsia="仿宋"/>
          <w:sz w:val="28"/>
          <w:szCs w:val="28"/>
          <w:lang w:eastAsia="zh-CN"/>
        </w:rPr>
        <w:t>文化主题酒店</w:t>
      </w:r>
      <w:r>
        <w:rPr>
          <w:rFonts w:hint="eastAsia" w:ascii="仿宋" w:hAnsi="仿宋" w:eastAsia="仿宋"/>
          <w:sz w:val="28"/>
          <w:szCs w:val="28"/>
        </w:rPr>
        <w:t>建设与服务的有关情况，对</w:t>
      </w:r>
      <w:r>
        <w:rPr>
          <w:rFonts w:hint="eastAsia" w:ascii="仿宋" w:hAnsi="仿宋" w:eastAsia="仿宋"/>
          <w:sz w:val="28"/>
          <w:szCs w:val="28"/>
          <w:lang w:eastAsia="zh-CN"/>
        </w:rPr>
        <w:t>文化主题酒店</w:t>
      </w:r>
      <w:r>
        <w:rPr>
          <w:rFonts w:hint="eastAsia" w:ascii="仿宋" w:hAnsi="仿宋" w:eastAsia="仿宋"/>
          <w:sz w:val="28"/>
          <w:szCs w:val="28"/>
        </w:rPr>
        <w:t>的安全卫生、生态环保、品质特色等重点有了进一步了解和掌握。</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（4）起草标准文本</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2020年11月-12月，在开展调研的基础上，编制组起草形成了《</w:t>
      </w:r>
      <w:r>
        <w:rPr>
          <w:rFonts w:hint="eastAsia" w:ascii="仿宋" w:hAnsi="仿宋" w:eastAsia="仿宋"/>
          <w:sz w:val="28"/>
          <w:szCs w:val="28"/>
          <w:lang w:val="en-US" w:eastAsia="zh-CN"/>
        </w:rPr>
        <w:t>文化主题酒店等级划分与评定</w:t>
      </w:r>
      <w:r>
        <w:rPr>
          <w:rFonts w:hint="eastAsia" w:ascii="仿宋" w:hAnsi="仿宋" w:eastAsia="仿宋"/>
          <w:sz w:val="28"/>
          <w:szCs w:val="28"/>
        </w:rPr>
        <w:t>》标准工作组讨论稿。编制组先后多次组织工作组研讨会，多次修改标准文本。</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编制组多次邀请来</w:t>
      </w:r>
      <w:r>
        <w:rPr>
          <w:rFonts w:hint="eastAsia" w:ascii="仿宋" w:hAnsi="仿宋" w:eastAsia="仿宋"/>
          <w:sz w:val="28"/>
          <w:szCs w:val="28"/>
          <w:lang w:eastAsia="zh-CN"/>
        </w:rPr>
        <w:t>国家文化主题酒店标准主要起草人（四川大学文化与旅游学院李原教授）、</w:t>
      </w:r>
      <w:r>
        <w:rPr>
          <w:rFonts w:hint="eastAsia" w:ascii="仿宋" w:hAnsi="仿宋" w:eastAsia="仿宋"/>
          <w:sz w:val="28"/>
          <w:szCs w:val="28"/>
        </w:rPr>
        <w:t>旅游标准化管理人员、</w:t>
      </w:r>
      <w:r>
        <w:rPr>
          <w:rFonts w:hint="eastAsia" w:ascii="仿宋" w:hAnsi="仿宋" w:eastAsia="仿宋"/>
          <w:sz w:val="28"/>
          <w:szCs w:val="28"/>
          <w:lang w:eastAsia="zh-CN"/>
        </w:rPr>
        <w:t>文化主题酒店</w:t>
      </w:r>
      <w:r>
        <w:rPr>
          <w:rFonts w:hint="eastAsia" w:ascii="仿宋" w:hAnsi="仿宋" w:eastAsia="仿宋"/>
          <w:sz w:val="28"/>
          <w:szCs w:val="28"/>
        </w:rPr>
        <w:t>管理人员、酒店管理专业高校专家等举行座谈会，对该标准的框架和主要内容进行讨论。参会专家分别来自湖南省市场监督管理局标准化处、湖南省</w:t>
      </w:r>
      <w:r>
        <w:rPr>
          <w:rFonts w:hint="eastAsia" w:ascii="仿宋" w:hAnsi="仿宋" w:eastAsia="仿宋"/>
          <w:sz w:val="28"/>
          <w:szCs w:val="28"/>
          <w:lang w:val="en-US" w:eastAsia="zh-CN"/>
        </w:rPr>
        <w:t>旅游</w:t>
      </w:r>
      <w:r>
        <w:rPr>
          <w:rFonts w:hint="eastAsia" w:ascii="仿宋" w:hAnsi="仿宋" w:eastAsia="仿宋"/>
          <w:sz w:val="28"/>
          <w:szCs w:val="28"/>
        </w:rPr>
        <w:t>标准化</w:t>
      </w:r>
      <w:r>
        <w:rPr>
          <w:rFonts w:hint="eastAsia" w:ascii="仿宋" w:hAnsi="仿宋" w:eastAsia="仿宋"/>
          <w:sz w:val="28"/>
          <w:szCs w:val="28"/>
          <w:lang w:val="en-US" w:eastAsia="zh-CN"/>
        </w:rPr>
        <w:t>技术委员会</w:t>
      </w:r>
      <w:r>
        <w:rPr>
          <w:rFonts w:hint="eastAsia" w:ascii="仿宋" w:hAnsi="仿宋" w:eastAsia="仿宋"/>
          <w:sz w:val="28"/>
          <w:szCs w:val="28"/>
        </w:rPr>
        <w:t>、</w:t>
      </w:r>
      <w:r>
        <w:rPr>
          <w:rFonts w:hint="eastAsia" w:ascii="仿宋" w:hAnsi="仿宋" w:eastAsia="仿宋"/>
          <w:sz w:val="28"/>
          <w:szCs w:val="28"/>
          <w:lang w:eastAsia="zh-CN"/>
        </w:rPr>
        <w:t>湖南工商</w:t>
      </w:r>
      <w:r>
        <w:rPr>
          <w:rFonts w:hint="eastAsia" w:ascii="仿宋" w:hAnsi="仿宋" w:eastAsia="仿宋"/>
          <w:sz w:val="28"/>
          <w:szCs w:val="28"/>
        </w:rPr>
        <w:t>大学旅游管理学院、湖南</w:t>
      </w:r>
      <w:r>
        <w:rPr>
          <w:rFonts w:hint="eastAsia" w:ascii="仿宋" w:hAnsi="仿宋" w:eastAsia="仿宋"/>
          <w:sz w:val="28"/>
          <w:szCs w:val="28"/>
          <w:lang w:eastAsia="zh-CN"/>
        </w:rPr>
        <w:t>顺天酒店管理公司、铜官窑酒店管理公司</w:t>
      </w:r>
      <w:r>
        <w:rPr>
          <w:rFonts w:hint="eastAsia" w:ascii="仿宋" w:hAnsi="仿宋" w:eastAsia="仿宋"/>
          <w:sz w:val="28"/>
          <w:szCs w:val="28"/>
        </w:rPr>
        <w:t>等单位。根据专家意见修改完善标准文本，并于202</w:t>
      </w:r>
      <w:r>
        <w:rPr>
          <w:rFonts w:hint="eastAsia" w:ascii="仿宋" w:hAnsi="仿宋" w:eastAsia="仿宋"/>
          <w:sz w:val="28"/>
          <w:szCs w:val="28"/>
          <w:lang w:val="en-US" w:eastAsia="zh-CN"/>
        </w:rPr>
        <w:t>1</w:t>
      </w:r>
      <w:r>
        <w:rPr>
          <w:rFonts w:hint="eastAsia" w:ascii="仿宋" w:hAnsi="仿宋" w:eastAsia="仿宋"/>
          <w:sz w:val="28"/>
          <w:szCs w:val="28"/>
        </w:rPr>
        <w:t>年1月形成了征求意见稿。</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（5）公开征求意见</w:t>
      </w:r>
    </w:p>
    <w:p>
      <w:pPr>
        <w:pStyle w:val="2"/>
        <w:numPr>
          <w:ilvl w:val="0"/>
          <w:numId w:val="0"/>
        </w:numPr>
        <w:ind w:left="426" w:firstLine="560" w:firstLineChars="200"/>
        <w:rPr>
          <w:rFonts w:hint="default" w:ascii="仿宋" w:hAnsi="仿宋" w:eastAsia="仿宋"/>
          <w:sz w:val="28"/>
          <w:szCs w:val="28"/>
          <w:lang w:val="en-US" w:eastAsia="zh-CN"/>
        </w:rPr>
      </w:pPr>
      <w:bookmarkStart w:id="0" w:name="_Toc14069"/>
      <w:bookmarkStart w:id="1" w:name="_Toc451952355"/>
      <w:bookmarkStart w:id="2" w:name="_Toc451850353"/>
      <w:bookmarkStart w:id="3" w:name="_Toc450205626"/>
      <w:bookmarkStart w:id="4" w:name="_Toc451849981"/>
      <w:bookmarkStart w:id="5" w:name="_Toc57709200"/>
      <w:r>
        <w:rPr>
          <w:rFonts w:hint="eastAsia" w:ascii="仿宋" w:hAnsi="仿宋" w:eastAsia="仿宋"/>
          <w:sz w:val="28"/>
          <w:szCs w:val="28"/>
          <w:lang w:val="en-US" w:eastAsia="zh-CN"/>
        </w:rPr>
        <w:t>于2022年7月召开专家会议，公开征求行业管理部门、相关院校专家以及旅游酒店行业专家的意见，根据评审专家意见，将标准名称</w:t>
      </w:r>
      <w:r>
        <w:rPr>
          <w:rFonts w:hint="eastAsia" w:ascii="仿宋" w:hAnsi="仿宋" w:eastAsia="仿宋"/>
          <w:sz w:val="28"/>
          <w:szCs w:val="28"/>
          <w:lang w:eastAsia="zh-CN"/>
        </w:rPr>
        <w:t>《文化主题酒店评定标准》</w:t>
      </w:r>
      <w:r>
        <w:rPr>
          <w:rFonts w:hint="eastAsia" w:ascii="仿宋" w:hAnsi="仿宋" w:eastAsia="仿宋"/>
          <w:sz w:val="28"/>
          <w:szCs w:val="28"/>
          <w:lang w:val="en-US" w:eastAsia="zh-CN"/>
        </w:rPr>
        <w:t>更改为</w:t>
      </w:r>
      <w:r>
        <w:rPr>
          <w:rFonts w:hint="eastAsia" w:ascii="仿宋" w:hAnsi="仿宋" w:eastAsia="仿宋"/>
          <w:sz w:val="28"/>
          <w:szCs w:val="28"/>
          <w:lang w:eastAsia="zh-CN"/>
        </w:rPr>
        <w:t>《文化主题酒店等级划分与评定》</w:t>
      </w:r>
      <w:r>
        <w:rPr>
          <w:rFonts w:hint="eastAsia" w:ascii="仿宋" w:hAnsi="仿宋" w:eastAsia="仿宋"/>
          <w:sz w:val="28"/>
          <w:szCs w:val="28"/>
          <w:lang w:val="en-US" w:eastAsia="zh-CN"/>
        </w:rPr>
        <w:t>。</w:t>
      </w:r>
    </w:p>
    <w:p>
      <w:pPr>
        <w:pStyle w:val="2"/>
        <w:numPr>
          <w:ilvl w:val="0"/>
          <w:numId w:val="0"/>
        </w:numPr>
        <w:ind w:left="426"/>
        <w:rPr>
          <w:rFonts w:ascii="仿宋" w:hAnsi="仿宋" w:eastAsia="仿宋"/>
          <w:b/>
          <w:szCs w:val="28"/>
        </w:rPr>
      </w:pPr>
      <w:r>
        <w:rPr>
          <w:rFonts w:hint="eastAsia" w:ascii="仿宋" w:hAnsi="仿宋" w:eastAsia="仿宋"/>
          <w:b/>
          <w:szCs w:val="28"/>
        </w:rPr>
        <w:t>3.编制原则和确定主要内容</w:t>
      </w:r>
      <w:bookmarkEnd w:id="0"/>
      <w:bookmarkEnd w:id="1"/>
      <w:bookmarkEnd w:id="2"/>
      <w:bookmarkEnd w:id="3"/>
      <w:bookmarkEnd w:id="4"/>
      <w:r>
        <w:rPr>
          <w:rFonts w:hint="eastAsia" w:ascii="仿宋" w:hAnsi="仿宋" w:eastAsia="仿宋"/>
          <w:b/>
          <w:szCs w:val="28"/>
        </w:rPr>
        <w:t>的依据</w:t>
      </w:r>
      <w:bookmarkEnd w:id="5"/>
    </w:p>
    <w:p>
      <w:pPr>
        <w:spacing w:line="580" w:lineRule="exact"/>
        <w:ind w:firstLine="560" w:firstLineChars="200"/>
        <w:rPr>
          <w:rFonts w:ascii="仿宋" w:hAnsi="仿宋" w:eastAsia="仿宋"/>
          <w:sz w:val="28"/>
          <w:szCs w:val="28"/>
        </w:rPr>
      </w:pPr>
      <w:r>
        <w:rPr>
          <w:rFonts w:hint="eastAsia" w:ascii="仿宋" w:hAnsi="仿宋" w:eastAsia="仿宋"/>
          <w:sz w:val="28"/>
          <w:szCs w:val="28"/>
        </w:rPr>
        <w:t>3.1 编制原则</w:t>
      </w:r>
    </w:p>
    <w:p>
      <w:pPr>
        <w:spacing w:line="580" w:lineRule="exact"/>
        <w:ind w:firstLine="573"/>
        <w:rPr>
          <w:rFonts w:ascii="仿宋" w:hAnsi="仿宋" w:eastAsia="仿宋"/>
          <w:sz w:val="28"/>
          <w:szCs w:val="28"/>
        </w:rPr>
      </w:pPr>
      <w:r>
        <w:rPr>
          <w:rFonts w:hint="eastAsia" w:ascii="仿宋" w:hAnsi="仿宋" w:eastAsia="仿宋"/>
          <w:sz w:val="28"/>
          <w:szCs w:val="28"/>
        </w:rPr>
        <w:t>本标准编制在遵循内容适用性、充分的可预见性、高效的协调和兼容性、灵活的开放性、较强的可操作性、文本的规范性等原则。</w:t>
      </w:r>
    </w:p>
    <w:p>
      <w:pPr>
        <w:spacing w:line="580" w:lineRule="exact"/>
        <w:ind w:firstLine="573"/>
        <w:rPr>
          <w:rFonts w:ascii="仿宋" w:hAnsi="仿宋" w:eastAsia="仿宋"/>
          <w:sz w:val="28"/>
          <w:szCs w:val="28"/>
        </w:rPr>
      </w:pPr>
      <w:r>
        <w:rPr>
          <w:rFonts w:hint="eastAsia" w:ascii="仿宋" w:hAnsi="仿宋" w:eastAsia="仿宋"/>
          <w:sz w:val="28"/>
          <w:szCs w:val="28"/>
        </w:rPr>
        <w:t>3.2 主要内容确定</w:t>
      </w:r>
    </w:p>
    <w:p>
      <w:pPr>
        <w:spacing w:line="580" w:lineRule="exact"/>
        <w:ind w:firstLine="573"/>
        <w:rPr>
          <w:rFonts w:ascii="仿宋" w:hAnsi="仿宋" w:eastAsia="仿宋"/>
          <w:sz w:val="28"/>
          <w:szCs w:val="28"/>
        </w:rPr>
      </w:pPr>
      <w:r>
        <w:rPr>
          <w:rFonts w:hint="eastAsia" w:ascii="仿宋" w:hAnsi="仿宋" w:eastAsia="仿宋"/>
          <w:sz w:val="28"/>
          <w:szCs w:val="28"/>
        </w:rPr>
        <w:t>（1）明确了“</w:t>
      </w:r>
      <w:r>
        <w:rPr>
          <w:rFonts w:hint="eastAsia" w:ascii="仿宋" w:hAnsi="仿宋" w:eastAsia="仿宋"/>
          <w:sz w:val="28"/>
          <w:szCs w:val="28"/>
          <w:lang w:eastAsia="zh-CN"/>
        </w:rPr>
        <w:t>文化主题酒店</w:t>
      </w:r>
      <w:r>
        <w:rPr>
          <w:rFonts w:hint="eastAsia" w:ascii="仿宋" w:hAnsi="仿宋" w:eastAsia="仿宋"/>
          <w:sz w:val="28"/>
          <w:szCs w:val="28"/>
        </w:rPr>
        <w:t>”这一术语及其定义。</w:t>
      </w:r>
    </w:p>
    <w:p>
      <w:pPr>
        <w:spacing w:line="580" w:lineRule="exact"/>
        <w:ind w:firstLine="573"/>
        <w:rPr>
          <w:rFonts w:ascii="仿宋" w:hAnsi="仿宋" w:eastAsia="仿宋"/>
          <w:sz w:val="28"/>
          <w:szCs w:val="28"/>
        </w:rPr>
      </w:pPr>
      <w:r>
        <w:rPr>
          <w:rFonts w:hint="eastAsia" w:ascii="仿宋" w:hAnsi="仿宋" w:eastAsia="仿宋"/>
          <w:sz w:val="28"/>
          <w:szCs w:val="28"/>
        </w:rPr>
        <w:t>（2）提出了</w:t>
      </w:r>
      <w:r>
        <w:rPr>
          <w:rFonts w:hint="eastAsia" w:ascii="仿宋" w:hAnsi="仿宋" w:eastAsia="仿宋"/>
          <w:sz w:val="28"/>
          <w:szCs w:val="28"/>
          <w:lang w:eastAsia="zh-CN"/>
        </w:rPr>
        <w:t>文化主题酒店</w:t>
      </w:r>
      <w:r>
        <w:rPr>
          <w:rFonts w:hint="eastAsia" w:ascii="仿宋" w:hAnsi="仿宋" w:eastAsia="仿宋"/>
          <w:sz w:val="28"/>
          <w:szCs w:val="28"/>
        </w:rPr>
        <w:t>等级划分与评定的基本要求。主要对</w:t>
      </w:r>
      <w:r>
        <w:rPr>
          <w:rFonts w:hint="eastAsia" w:ascii="仿宋" w:hAnsi="仿宋" w:eastAsia="仿宋"/>
          <w:sz w:val="28"/>
          <w:szCs w:val="28"/>
          <w:lang w:eastAsia="zh-CN"/>
        </w:rPr>
        <w:t>文化主题酒店</w:t>
      </w:r>
      <w:r>
        <w:rPr>
          <w:rFonts w:hint="eastAsia" w:ascii="仿宋" w:hAnsi="仿宋" w:eastAsia="仿宋"/>
          <w:sz w:val="28"/>
          <w:szCs w:val="28"/>
        </w:rPr>
        <w:t>的规范经营、安全卫生、生态环保等方面提出了基本要求，同时对服务标准进行了规范。</w:t>
      </w:r>
    </w:p>
    <w:p>
      <w:pPr>
        <w:spacing w:line="580" w:lineRule="exact"/>
        <w:ind w:firstLine="573"/>
        <w:rPr>
          <w:rFonts w:ascii="仿宋" w:hAnsi="仿宋" w:eastAsia="仿宋"/>
          <w:sz w:val="28"/>
          <w:szCs w:val="28"/>
        </w:rPr>
      </w:pPr>
      <w:r>
        <w:rPr>
          <w:rFonts w:hint="eastAsia" w:ascii="仿宋" w:hAnsi="仿宋" w:eastAsia="仿宋"/>
          <w:sz w:val="28"/>
          <w:szCs w:val="28"/>
        </w:rPr>
        <w:t>（3）提出了</w:t>
      </w:r>
      <w:r>
        <w:rPr>
          <w:rFonts w:hint="eastAsia" w:ascii="仿宋" w:hAnsi="仿宋" w:eastAsia="仿宋"/>
          <w:sz w:val="28"/>
          <w:szCs w:val="28"/>
          <w:lang w:eastAsia="zh-CN"/>
        </w:rPr>
        <w:t>文化主题酒店</w:t>
      </w:r>
      <w:r>
        <w:rPr>
          <w:rFonts w:hint="eastAsia" w:ascii="仿宋" w:hAnsi="仿宋" w:eastAsia="仿宋"/>
          <w:sz w:val="28"/>
          <w:szCs w:val="28"/>
        </w:rPr>
        <w:t>等级划分与评定的一般要求。包括</w:t>
      </w:r>
      <w:r>
        <w:rPr>
          <w:rFonts w:hint="eastAsia" w:ascii="仿宋" w:hAnsi="仿宋" w:eastAsia="仿宋"/>
          <w:sz w:val="28"/>
          <w:szCs w:val="28"/>
          <w:lang w:eastAsia="zh-CN"/>
        </w:rPr>
        <w:t>文化主题构建</w:t>
      </w:r>
      <w:r>
        <w:rPr>
          <w:rFonts w:hint="eastAsia" w:ascii="仿宋" w:hAnsi="仿宋" w:eastAsia="仿宋"/>
          <w:sz w:val="28"/>
          <w:szCs w:val="28"/>
        </w:rPr>
        <w:t>、</w:t>
      </w:r>
      <w:r>
        <w:rPr>
          <w:rFonts w:hint="eastAsia" w:ascii="仿宋" w:hAnsi="仿宋" w:eastAsia="仿宋"/>
          <w:sz w:val="28"/>
          <w:szCs w:val="28"/>
          <w:lang w:eastAsia="zh-CN"/>
        </w:rPr>
        <w:t>文化主题氛围</w:t>
      </w:r>
      <w:r>
        <w:rPr>
          <w:rFonts w:hint="eastAsia" w:ascii="仿宋" w:hAnsi="仿宋" w:eastAsia="仿宋"/>
          <w:sz w:val="28"/>
          <w:szCs w:val="28"/>
        </w:rPr>
        <w:t>、</w:t>
      </w:r>
      <w:r>
        <w:rPr>
          <w:rFonts w:hint="eastAsia" w:ascii="仿宋" w:hAnsi="仿宋" w:eastAsia="仿宋"/>
          <w:sz w:val="28"/>
          <w:szCs w:val="28"/>
          <w:lang w:eastAsia="zh-CN"/>
        </w:rPr>
        <w:t>文化主题产品</w:t>
      </w:r>
      <w:r>
        <w:rPr>
          <w:rFonts w:hint="eastAsia" w:ascii="仿宋" w:hAnsi="仿宋" w:eastAsia="仿宋"/>
          <w:sz w:val="28"/>
          <w:szCs w:val="28"/>
        </w:rPr>
        <w:t>、</w:t>
      </w:r>
      <w:r>
        <w:rPr>
          <w:rFonts w:hint="eastAsia" w:ascii="仿宋" w:hAnsi="仿宋" w:eastAsia="仿宋"/>
          <w:sz w:val="28"/>
          <w:szCs w:val="28"/>
          <w:lang w:eastAsia="zh-CN"/>
        </w:rPr>
        <w:t>文化主题活动、文化主题管理支撑、基本功能与服务等六</w:t>
      </w:r>
      <w:r>
        <w:rPr>
          <w:rFonts w:hint="eastAsia" w:ascii="仿宋" w:hAnsi="仿宋" w:eastAsia="仿宋"/>
          <w:sz w:val="28"/>
          <w:szCs w:val="28"/>
        </w:rPr>
        <w:t>个维度提出了明确的具体要求。</w:t>
      </w:r>
    </w:p>
    <w:p>
      <w:pPr>
        <w:widowControl/>
        <w:spacing w:line="560" w:lineRule="exact"/>
        <w:jc w:val="left"/>
        <w:rPr>
          <w:rFonts w:ascii="仿宋" w:hAnsi="仿宋" w:eastAsia="仿宋"/>
          <w:b/>
          <w:bCs/>
          <w:sz w:val="28"/>
          <w:szCs w:val="28"/>
        </w:rPr>
      </w:pPr>
      <w:r>
        <w:rPr>
          <w:rFonts w:hint="eastAsia" w:ascii="仿宋" w:hAnsi="仿宋" w:eastAsia="仿宋"/>
          <w:b/>
          <w:bCs/>
          <w:sz w:val="28"/>
          <w:szCs w:val="28"/>
        </w:rPr>
        <w:t>4.与我国现行法律、法规和其他强制性标准的关系</w:t>
      </w:r>
    </w:p>
    <w:p>
      <w:pPr>
        <w:tabs>
          <w:tab w:val="left" w:pos="360"/>
        </w:tabs>
        <w:spacing w:line="360" w:lineRule="auto"/>
        <w:ind w:firstLine="480"/>
        <w:rPr>
          <w:rFonts w:ascii="仿宋" w:hAnsi="仿宋" w:eastAsia="仿宋"/>
          <w:sz w:val="28"/>
          <w:szCs w:val="28"/>
        </w:rPr>
      </w:pPr>
      <w:r>
        <w:rPr>
          <w:rFonts w:hint="eastAsia" w:ascii="仿宋" w:hAnsi="仿宋" w:eastAsia="仿宋"/>
          <w:sz w:val="28"/>
          <w:szCs w:val="28"/>
        </w:rPr>
        <w:t>本标准条款均符合国家现行的法律、法规、条例、强制性标准及相关标准要求，不存在任何与现行法律法规等相违背之处。</w:t>
      </w:r>
    </w:p>
    <w:p>
      <w:pPr>
        <w:pStyle w:val="3"/>
        <w:ind w:firstLine="0" w:firstLineChars="0"/>
        <w:rPr>
          <w:rFonts w:ascii="仿宋" w:hAnsi="仿宋" w:eastAsia="仿宋" w:cstheme="minorBidi"/>
          <w:b/>
          <w:bCs/>
        </w:rPr>
      </w:pPr>
      <w:r>
        <w:rPr>
          <w:rFonts w:hint="eastAsia" w:ascii="仿宋" w:hAnsi="仿宋" w:eastAsia="仿宋" w:cstheme="minorBidi"/>
          <w:b/>
          <w:bCs/>
        </w:rPr>
        <w:t>5.标准预期的社会经济效益</w:t>
      </w:r>
    </w:p>
    <w:p>
      <w:pPr>
        <w:pStyle w:val="3"/>
        <w:rPr>
          <w:rFonts w:ascii="仿宋" w:hAnsi="仿宋" w:eastAsia="仿宋"/>
          <w:bCs/>
        </w:rPr>
      </w:pPr>
      <w:r>
        <w:rPr>
          <w:rFonts w:hint="eastAsia" w:ascii="仿宋" w:hAnsi="仿宋" w:eastAsia="仿宋"/>
          <w:bCs/>
        </w:rPr>
        <w:t>《</w:t>
      </w:r>
      <w:r>
        <w:rPr>
          <w:rFonts w:hint="eastAsia" w:ascii="仿宋" w:hAnsi="仿宋" w:eastAsia="仿宋"/>
          <w:bCs/>
          <w:lang w:eastAsia="zh-CN"/>
        </w:rPr>
        <w:t>文化主题酒店</w:t>
      </w:r>
      <w:r>
        <w:rPr>
          <w:rFonts w:hint="eastAsia" w:ascii="仿宋" w:hAnsi="仿宋" w:eastAsia="仿宋"/>
          <w:bCs/>
          <w:lang w:val="en-US" w:eastAsia="zh-CN"/>
        </w:rPr>
        <w:t>等级</w:t>
      </w:r>
      <w:r>
        <w:rPr>
          <w:rFonts w:hint="eastAsia" w:ascii="仿宋" w:hAnsi="仿宋" w:eastAsia="仿宋"/>
          <w:bCs/>
        </w:rPr>
        <w:t>划分与评定》</w:t>
      </w:r>
      <w:r>
        <w:rPr>
          <w:rFonts w:hint="eastAsia" w:ascii="仿宋" w:hAnsi="仿宋" w:eastAsia="仿宋" w:cstheme="minorBidi"/>
        </w:rPr>
        <w:t>地方</w:t>
      </w:r>
      <w:r>
        <w:rPr>
          <w:rFonts w:hint="eastAsia" w:ascii="仿宋" w:hAnsi="仿宋" w:eastAsia="仿宋"/>
          <w:bCs/>
        </w:rPr>
        <w:t>标准重点着力于明确</w:t>
      </w:r>
      <w:r>
        <w:rPr>
          <w:rFonts w:hint="eastAsia" w:ascii="仿宋" w:hAnsi="仿宋" w:eastAsia="仿宋"/>
          <w:bCs/>
          <w:lang w:eastAsia="zh-CN"/>
        </w:rPr>
        <w:t>文化主题酒店</w:t>
      </w:r>
      <w:r>
        <w:rPr>
          <w:rFonts w:hint="eastAsia" w:ascii="仿宋" w:hAnsi="仿宋" w:eastAsia="仿宋"/>
          <w:bCs/>
        </w:rPr>
        <w:t>范围和条件，有利于各地区</w:t>
      </w:r>
      <w:r>
        <w:rPr>
          <w:rFonts w:hint="eastAsia" w:ascii="仿宋" w:hAnsi="仿宋" w:eastAsia="仿宋"/>
          <w:bCs/>
          <w:lang w:eastAsia="zh-CN"/>
        </w:rPr>
        <w:t>文化主题酒店</w:t>
      </w:r>
      <w:r>
        <w:rPr>
          <w:rFonts w:hint="eastAsia" w:ascii="仿宋" w:hAnsi="仿宋" w:eastAsia="仿宋"/>
          <w:bCs/>
        </w:rPr>
        <w:t>确定重点建设任务，完善保障措施，积极营造健康有序的经营发展环境。本标准的</w:t>
      </w:r>
      <w:r>
        <w:rPr>
          <w:rFonts w:hint="eastAsia" w:ascii="仿宋" w:hAnsi="仿宋" w:eastAsia="仿宋" w:cstheme="minorBidi"/>
        </w:rPr>
        <w:t>发布实施是贯彻落实中央文件和省委省政府要求，促进全省</w:t>
      </w:r>
      <w:r>
        <w:rPr>
          <w:rFonts w:hint="eastAsia" w:ascii="仿宋" w:hAnsi="仿宋" w:eastAsia="仿宋" w:cstheme="minorBidi"/>
          <w:lang w:eastAsia="zh-CN"/>
        </w:rPr>
        <w:t>文化主题酒店</w:t>
      </w:r>
      <w:r>
        <w:rPr>
          <w:rFonts w:hint="eastAsia" w:ascii="仿宋" w:hAnsi="仿宋" w:eastAsia="仿宋" w:cstheme="minorBidi"/>
        </w:rPr>
        <w:t>持续健康快速发展，有利于明确</w:t>
      </w:r>
      <w:r>
        <w:rPr>
          <w:rFonts w:hint="eastAsia" w:ascii="仿宋" w:hAnsi="仿宋" w:eastAsia="仿宋" w:cstheme="minorBidi"/>
          <w:lang w:eastAsia="zh-CN"/>
        </w:rPr>
        <w:t>文化主题酒店</w:t>
      </w:r>
      <w:r>
        <w:rPr>
          <w:rFonts w:hint="eastAsia" w:ascii="仿宋" w:hAnsi="仿宋" w:eastAsia="仿宋" w:cstheme="minorBidi"/>
        </w:rPr>
        <w:t>发展方向，规范经营行为，厘清各有关部门管理职责，为有关部门开展监督管理提供参考依据，形成发展合力。本标准将有力推动全省</w:t>
      </w:r>
      <w:r>
        <w:rPr>
          <w:rFonts w:hint="eastAsia" w:ascii="仿宋" w:hAnsi="仿宋" w:eastAsia="仿宋" w:cstheme="minorBidi"/>
          <w:lang w:eastAsia="zh-CN"/>
        </w:rPr>
        <w:t>文化主题酒店</w:t>
      </w:r>
      <w:r>
        <w:rPr>
          <w:rFonts w:ascii="仿宋" w:hAnsi="仿宋" w:eastAsia="仿宋"/>
          <w:bCs/>
        </w:rPr>
        <w:t>的健康发展，成为推进全域旅游发展的重要抓手</w:t>
      </w:r>
      <w:r>
        <w:rPr>
          <w:rFonts w:hint="eastAsia" w:ascii="仿宋" w:hAnsi="仿宋" w:eastAsia="仿宋"/>
          <w:bCs/>
        </w:rPr>
        <w:t>、</w:t>
      </w:r>
      <w:r>
        <w:rPr>
          <w:rFonts w:ascii="仿宋" w:hAnsi="仿宋" w:eastAsia="仿宋"/>
          <w:bCs/>
        </w:rPr>
        <w:t>助力实施乡村振兴战略的重要渠道</w:t>
      </w:r>
      <w:r>
        <w:rPr>
          <w:rFonts w:hint="eastAsia" w:ascii="仿宋" w:hAnsi="仿宋" w:eastAsia="仿宋"/>
          <w:bCs/>
        </w:rPr>
        <w:t>、</w:t>
      </w:r>
      <w:r>
        <w:rPr>
          <w:rFonts w:ascii="仿宋" w:hAnsi="仿宋" w:eastAsia="仿宋"/>
          <w:bCs/>
        </w:rPr>
        <w:t>促进文化和旅游消费的重要途径。</w:t>
      </w:r>
    </w:p>
    <w:p>
      <w:pPr>
        <w:tabs>
          <w:tab w:val="left" w:pos="360"/>
        </w:tabs>
        <w:spacing w:line="360" w:lineRule="auto"/>
        <w:rPr>
          <w:rFonts w:ascii="仿宋" w:hAnsi="仿宋" w:eastAsia="仿宋"/>
          <w:b/>
          <w:bCs/>
          <w:sz w:val="28"/>
          <w:szCs w:val="28"/>
        </w:rPr>
      </w:pPr>
      <w:r>
        <w:rPr>
          <w:rFonts w:hint="eastAsia" w:ascii="仿宋" w:hAnsi="仿宋" w:eastAsia="仿宋"/>
          <w:b/>
          <w:bCs/>
          <w:sz w:val="28"/>
          <w:szCs w:val="28"/>
        </w:rPr>
        <w:t>6.重大意见分歧及处理结果</w:t>
      </w:r>
    </w:p>
    <w:p>
      <w:pPr>
        <w:tabs>
          <w:tab w:val="left" w:pos="360"/>
        </w:tabs>
        <w:spacing w:line="360" w:lineRule="auto"/>
        <w:ind w:firstLine="548" w:firstLineChars="196"/>
        <w:rPr>
          <w:rFonts w:ascii="仿宋" w:hAnsi="仿宋" w:eastAsia="仿宋"/>
          <w:bCs/>
          <w:sz w:val="28"/>
          <w:szCs w:val="28"/>
        </w:rPr>
      </w:pPr>
      <w:r>
        <w:rPr>
          <w:rFonts w:hint="eastAsia" w:ascii="仿宋" w:hAnsi="仿宋" w:eastAsia="仿宋"/>
          <w:bCs/>
          <w:sz w:val="28"/>
          <w:szCs w:val="28"/>
        </w:rPr>
        <w:t>《</w:t>
      </w:r>
      <w:r>
        <w:rPr>
          <w:rFonts w:hint="eastAsia" w:ascii="仿宋" w:hAnsi="仿宋" w:eastAsia="仿宋"/>
          <w:bCs/>
          <w:sz w:val="28"/>
          <w:szCs w:val="28"/>
          <w:lang w:eastAsia="zh-CN"/>
        </w:rPr>
        <w:t>文化主题酒店</w:t>
      </w:r>
      <w:r>
        <w:rPr>
          <w:rFonts w:hint="eastAsia" w:ascii="仿宋" w:hAnsi="仿宋" w:eastAsia="仿宋"/>
          <w:bCs/>
          <w:sz w:val="28"/>
          <w:szCs w:val="28"/>
          <w:lang w:val="en-US" w:eastAsia="zh-CN"/>
        </w:rPr>
        <w:t>等级</w:t>
      </w:r>
      <w:r>
        <w:rPr>
          <w:rFonts w:hint="eastAsia" w:ascii="仿宋" w:hAnsi="仿宋" w:eastAsia="仿宋"/>
          <w:bCs/>
          <w:sz w:val="28"/>
          <w:szCs w:val="28"/>
        </w:rPr>
        <w:t>划分与评定》地方标准在编制过程中无重大的</w:t>
      </w:r>
      <w:r>
        <w:rPr>
          <w:rFonts w:hint="eastAsia" w:ascii="仿宋" w:hAnsi="仿宋" w:eastAsia="仿宋"/>
          <w:bCs/>
          <w:sz w:val="28"/>
          <w:szCs w:val="28"/>
          <w:lang w:val="en-US" w:eastAsia="zh-CN"/>
        </w:rPr>
        <w:t>分歧</w:t>
      </w:r>
      <w:r>
        <w:rPr>
          <w:rFonts w:hint="eastAsia" w:ascii="仿宋" w:hAnsi="仿宋" w:eastAsia="仿宋"/>
          <w:bCs/>
          <w:sz w:val="28"/>
          <w:szCs w:val="28"/>
        </w:rPr>
        <w:t>意见。</w:t>
      </w:r>
    </w:p>
    <w:p>
      <w:pPr>
        <w:widowControl/>
        <w:spacing w:line="560" w:lineRule="exact"/>
        <w:jc w:val="left"/>
        <w:rPr>
          <w:rFonts w:ascii="仿宋" w:hAnsi="仿宋" w:eastAsia="仿宋"/>
          <w:b/>
          <w:bCs/>
          <w:sz w:val="28"/>
          <w:szCs w:val="28"/>
        </w:rPr>
      </w:pPr>
      <w:r>
        <w:rPr>
          <w:rFonts w:hint="eastAsia" w:ascii="仿宋" w:hAnsi="仿宋" w:eastAsia="仿宋"/>
          <w:b/>
          <w:bCs/>
          <w:sz w:val="28"/>
          <w:szCs w:val="28"/>
        </w:rPr>
        <w:t>7.贯彻实施标准的措施、建议</w:t>
      </w:r>
    </w:p>
    <w:p>
      <w:pPr>
        <w:widowControl/>
        <w:spacing w:line="560" w:lineRule="exact"/>
        <w:ind w:firstLine="560" w:firstLineChars="200"/>
        <w:jc w:val="left"/>
        <w:rPr>
          <w:rFonts w:ascii="仿宋" w:hAnsi="仿宋" w:eastAsia="仿宋"/>
          <w:sz w:val="28"/>
          <w:szCs w:val="28"/>
        </w:rPr>
      </w:pPr>
      <w:r>
        <w:rPr>
          <w:rFonts w:hint="eastAsia" w:ascii="仿宋" w:hAnsi="仿宋" w:eastAsia="仿宋"/>
          <w:sz w:val="28"/>
          <w:szCs w:val="28"/>
        </w:rPr>
        <w:t>为更好地贯彻实施本标准，建议在各级标准化主管部门的协调推进下，有针对性地开展本标准的宣贯和培训，并引导开展对标活动，增强实施标准的自觉性，重点做好以下几个方面的工作：</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（1）做好标准宣传。切实做好宣传和引导，不断规范全省</w:t>
      </w:r>
      <w:r>
        <w:rPr>
          <w:rFonts w:hint="eastAsia" w:ascii="仿宋" w:hAnsi="仿宋" w:eastAsia="仿宋"/>
          <w:sz w:val="28"/>
          <w:szCs w:val="28"/>
          <w:lang w:eastAsia="zh-CN"/>
        </w:rPr>
        <w:t>文化主题酒店</w:t>
      </w:r>
      <w:r>
        <w:rPr>
          <w:rFonts w:hint="eastAsia" w:ascii="仿宋" w:hAnsi="仿宋" w:eastAsia="仿宋"/>
          <w:sz w:val="28"/>
          <w:szCs w:val="28"/>
        </w:rPr>
        <w:t>建设和发展。</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（2）加深标准指导。标准归口单位进行贯标指导，组织标准编制人员进行标准宣贯、答疑和咨询。</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（3）加强监督监察。在标准的实施过程中，加强监督、抽查和指导工作。</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（4）持续开展评价改进。标准化归口单位定期开展标准实施评价活动，不断收集整理意见，并适时开展标准化修订工作。</w:t>
      </w:r>
    </w:p>
    <w:sectPr>
      <w:pgSz w:w="11906" w:h="16838"/>
      <w:pgMar w:top="2098" w:right="1531" w:bottom="153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96A84"/>
    <w:multiLevelType w:val="multilevel"/>
    <w:tmpl w:val="0D896A84"/>
    <w:lvl w:ilvl="0" w:tentative="0">
      <w:start w:val="1"/>
      <w:numFmt w:val="decimal"/>
      <w:pStyle w:val="2"/>
      <w:lvlText w:val="%1"/>
      <w:lvlJc w:val="left"/>
      <w:pPr>
        <w:tabs>
          <w:tab w:val="left" w:pos="851"/>
        </w:tabs>
        <w:ind w:left="851" w:hanging="425"/>
      </w:pPr>
      <w:rPr>
        <w:rFonts w:hint="eastAsia" w:ascii="黑体" w:hAnsi="黑体" w:eastAsia="黑体"/>
      </w:rPr>
    </w:lvl>
    <w:lvl w:ilvl="1" w:tentative="0">
      <w:start w:val="1"/>
      <w:numFmt w:val="decimal"/>
      <w:lvlText w:val="%1.%2"/>
      <w:lvlJc w:val="left"/>
      <w:pPr>
        <w:tabs>
          <w:tab w:val="left" w:pos="993"/>
        </w:tabs>
        <w:ind w:left="993" w:hanging="567"/>
      </w:pPr>
      <w:rPr>
        <w:rFonts w:hint="eastAsia" w:ascii="黑体" w:hAnsi="黑体" w:eastAsia="黑体"/>
        <w:sz w:val="24"/>
        <w:szCs w:val="24"/>
      </w:rPr>
    </w:lvl>
    <w:lvl w:ilvl="2" w:tentative="0">
      <w:start w:val="1"/>
      <w:numFmt w:val="decimal"/>
      <w:lvlText w:val="%1.%2.%3"/>
      <w:lvlJc w:val="left"/>
      <w:pPr>
        <w:tabs>
          <w:tab w:val="left" w:pos="1495"/>
        </w:tabs>
        <w:ind w:left="1495" w:hanging="709"/>
      </w:pPr>
      <w:rPr>
        <w:rFonts w:hint="eastAsia" w:ascii="黑体" w:hAnsi="黑体" w:eastAsia="黑体"/>
      </w:rPr>
    </w:lvl>
    <w:lvl w:ilvl="3" w:tentative="0">
      <w:start w:val="1"/>
      <w:numFmt w:val="decimal"/>
      <w:suff w:val="nothing"/>
      <w:lvlText w:val="（%4）"/>
      <w:lvlJc w:val="left"/>
      <w:pPr>
        <w:ind w:left="1277" w:hanging="851"/>
      </w:pPr>
      <w:rPr>
        <w:rFonts w:hint="eastAsia"/>
      </w:rPr>
    </w:lvl>
    <w:lvl w:ilvl="4" w:tentative="0">
      <w:start w:val="1"/>
      <w:numFmt w:val="decimal"/>
      <w:lvlText w:val="%1.%2.%3.%4.%5."/>
      <w:lvlJc w:val="left"/>
      <w:pPr>
        <w:tabs>
          <w:tab w:val="left" w:pos="1418"/>
        </w:tabs>
        <w:ind w:left="1418" w:hanging="992"/>
      </w:pPr>
      <w:rPr>
        <w:rFonts w:hint="eastAsia"/>
      </w:rPr>
    </w:lvl>
    <w:lvl w:ilvl="5" w:tentative="0">
      <w:start w:val="1"/>
      <w:numFmt w:val="decimal"/>
      <w:lvlText w:val="%1.%2.%3.%4.%5.%6."/>
      <w:lvlJc w:val="left"/>
      <w:pPr>
        <w:tabs>
          <w:tab w:val="left" w:pos="1560"/>
        </w:tabs>
        <w:ind w:left="1560" w:hanging="1134"/>
      </w:pPr>
      <w:rPr>
        <w:rFonts w:hint="eastAsia"/>
      </w:rPr>
    </w:lvl>
    <w:lvl w:ilvl="6" w:tentative="0">
      <w:start w:val="1"/>
      <w:numFmt w:val="decimal"/>
      <w:lvlText w:val="%1.%2.%3.%4.%5.%6.%7."/>
      <w:lvlJc w:val="left"/>
      <w:pPr>
        <w:tabs>
          <w:tab w:val="left" w:pos="1702"/>
        </w:tabs>
        <w:ind w:left="1702" w:hanging="1276"/>
      </w:pPr>
      <w:rPr>
        <w:rFonts w:hint="eastAsia"/>
      </w:rPr>
    </w:lvl>
    <w:lvl w:ilvl="7" w:tentative="0">
      <w:start w:val="1"/>
      <w:numFmt w:val="decimal"/>
      <w:lvlText w:val="%1.%2.%3.%4.%5.%6.%7.%8."/>
      <w:lvlJc w:val="left"/>
      <w:pPr>
        <w:tabs>
          <w:tab w:val="left" w:pos="1844"/>
        </w:tabs>
        <w:ind w:left="1844" w:hanging="1418"/>
      </w:pPr>
      <w:rPr>
        <w:rFonts w:hint="eastAsia"/>
      </w:rPr>
    </w:lvl>
    <w:lvl w:ilvl="8" w:tentative="0">
      <w:start w:val="1"/>
      <w:numFmt w:val="decimal"/>
      <w:lvlText w:val="%1.%2.%3.%4.%5.%6.%7.%8.%9."/>
      <w:lvlJc w:val="left"/>
      <w:pPr>
        <w:tabs>
          <w:tab w:val="left" w:pos="1985"/>
        </w:tabs>
        <w:ind w:left="1985"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hhYTUyOTZlZjg2MzQ5NDRmMTM2ZWQ1ODcwYjE5OTMifQ=="/>
  </w:docVars>
  <w:rsids>
    <w:rsidRoot w:val="007A7118"/>
    <w:rsid w:val="000110C4"/>
    <w:rsid w:val="000453D1"/>
    <w:rsid w:val="00057684"/>
    <w:rsid w:val="00075760"/>
    <w:rsid w:val="00164E8D"/>
    <w:rsid w:val="00192D2F"/>
    <w:rsid w:val="00192E30"/>
    <w:rsid w:val="002000FC"/>
    <w:rsid w:val="0024045E"/>
    <w:rsid w:val="00240710"/>
    <w:rsid w:val="00264B6A"/>
    <w:rsid w:val="00274B79"/>
    <w:rsid w:val="002F14FE"/>
    <w:rsid w:val="00306AD5"/>
    <w:rsid w:val="00386541"/>
    <w:rsid w:val="003A1D32"/>
    <w:rsid w:val="003B6E08"/>
    <w:rsid w:val="003E03E2"/>
    <w:rsid w:val="00403617"/>
    <w:rsid w:val="0048083B"/>
    <w:rsid w:val="004D0D8D"/>
    <w:rsid w:val="004D576E"/>
    <w:rsid w:val="00555E4D"/>
    <w:rsid w:val="0066173E"/>
    <w:rsid w:val="00671A33"/>
    <w:rsid w:val="00673B19"/>
    <w:rsid w:val="00696D90"/>
    <w:rsid w:val="007046C4"/>
    <w:rsid w:val="007375A5"/>
    <w:rsid w:val="0079782B"/>
    <w:rsid w:val="007A7118"/>
    <w:rsid w:val="007E234D"/>
    <w:rsid w:val="007F64D4"/>
    <w:rsid w:val="00834EFC"/>
    <w:rsid w:val="008F25BC"/>
    <w:rsid w:val="00956549"/>
    <w:rsid w:val="009A41A0"/>
    <w:rsid w:val="00A436CF"/>
    <w:rsid w:val="00A73730"/>
    <w:rsid w:val="00AE0D06"/>
    <w:rsid w:val="00B0204B"/>
    <w:rsid w:val="00BD78DF"/>
    <w:rsid w:val="00C34755"/>
    <w:rsid w:val="00C46BD1"/>
    <w:rsid w:val="00CD7672"/>
    <w:rsid w:val="00D92CE9"/>
    <w:rsid w:val="00E302A7"/>
    <w:rsid w:val="00E373E1"/>
    <w:rsid w:val="00E61A08"/>
    <w:rsid w:val="00E963DC"/>
    <w:rsid w:val="00EA2227"/>
    <w:rsid w:val="00EA44DB"/>
    <w:rsid w:val="00ED0958"/>
    <w:rsid w:val="00F55298"/>
    <w:rsid w:val="00FF25C6"/>
    <w:rsid w:val="068723D9"/>
    <w:rsid w:val="08D80086"/>
    <w:rsid w:val="0A56459C"/>
    <w:rsid w:val="12AA1929"/>
    <w:rsid w:val="198A2A75"/>
    <w:rsid w:val="19BF6656"/>
    <w:rsid w:val="1C494916"/>
    <w:rsid w:val="1D962998"/>
    <w:rsid w:val="1E192875"/>
    <w:rsid w:val="1E3649B9"/>
    <w:rsid w:val="1FC644E6"/>
    <w:rsid w:val="20401B1F"/>
    <w:rsid w:val="2468414F"/>
    <w:rsid w:val="26031625"/>
    <w:rsid w:val="28B46C06"/>
    <w:rsid w:val="2A0603D8"/>
    <w:rsid w:val="2C646D6D"/>
    <w:rsid w:val="305E78F4"/>
    <w:rsid w:val="3293788C"/>
    <w:rsid w:val="33BF2903"/>
    <w:rsid w:val="38D22F58"/>
    <w:rsid w:val="3CCA4ED7"/>
    <w:rsid w:val="3DDC3634"/>
    <w:rsid w:val="3F035B93"/>
    <w:rsid w:val="3F380E29"/>
    <w:rsid w:val="3F9B5FD2"/>
    <w:rsid w:val="40112F19"/>
    <w:rsid w:val="45115463"/>
    <w:rsid w:val="49F11E1F"/>
    <w:rsid w:val="50D17AA6"/>
    <w:rsid w:val="53BF2F48"/>
    <w:rsid w:val="573E6688"/>
    <w:rsid w:val="582F0373"/>
    <w:rsid w:val="5C0827EA"/>
    <w:rsid w:val="5CBD6EA7"/>
    <w:rsid w:val="66CC54F0"/>
    <w:rsid w:val="6A3F2BFB"/>
    <w:rsid w:val="6B8C6FFC"/>
    <w:rsid w:val="6C2D5932"/>
    <w:rsid w:val="6C592D81"/>
    <w:rsid w:val="6D2655C3"/>
    <w:rsid w:val="6E511CAD"/>
    <w:rsid w:val="6E7606E6"/>
    <w:rsid w:val="703D6AAE"/>
    <w:rsid w:val="72B73767"/>
    <w:rsid w:val="788039DC"/>
    <w:rsid w:val="7E6405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3"/>
    <w:qFormat/>
    <w:uiPriority w:val="9"/>
    <w:pPr>
      <w:keepLines/>
      <w:numPr>
        <w:ilvl w:val="0"/>
        <w:numId w:val="1"/>
      </w:numPr>
      <w:spacing w:before="60" w:after="60"/>
      <w:outlineLvl w:val="0"/>
    </w:pPr>
    <w:rPr>
      <w:rFonts w:eastAsia="黑体"/>
      <w:bCs/>
      <w:kern w:val="44"/>
      <w:sz w:val="28"/>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0"/>
    <w:pPr>
      <w:spacing w:line="360" w:lineRule="auto"/>
      <w:ind w:firstLine="560" w:firstLineChars="200"/>
    </w:pPr>
    <w:rPr>
      <w:rFonts w:ascii="仿宋_GB2312" w:hAnsi="宋体" w:eastAsia="仿宋_GB2312" w:cs="Times New Roman"/>
      <w:sz w:val="28"/>
      <w:szCs w:val="28"/>
    </w:rPr>
  </w:style>
  <w:style w:type="paragraph" w:styleId="4">
    <w:name w:val="Date"/>
    <w:basedOn w:val="1"/>
    <w:next w:val="1"/>
    <w:link w:val="14"/>
    <w:semiHidden/>
    <w:unhideWhenUsed/>
    <w:qFormat/>
    <w:uiPriority w:val="99"/>
    <w:pPr>
      <w:ind w:left="100" w:leftChars="2500"/>
    </w:pPr>
  </w:style>
  <w:style w:type="paragraph" w:styleId="5">
    <w:name w:val="footer"/>
    <w:basedOn w:val="1"/>
    <w:link w:val="13"/>
    <w:semiHidden/>
    <w:unhideWhenUsed/>
    <w:qFormat/>
    <w:uiPriority w:val="99"/>
    <w:pPr>
      <w:tabs>
        <w:tab w:val="center" w:pos="4153"/>
        <w:tab w:val="right" w:pos="8306"/>
      </w:tabs>
      <w:snapToGrid w:val="0"/>
      <w:jc w:val="left"/>
    </w:pPr>
    <w:rPr>
      <w:sz w:val="18"/>
      <w:szCs w:val="18"/>
    </w:rPr>
  </w:style>
  <w:style w:type="paragraph" w:styleId="6">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rPr>
      <w:rFonts w:ascii="Calibri" w:hAnsi="Calibri" w:eastAsia="宋体" w:cs="Times New Roman"/>
    </w:rPr>
  </w:style>
  <w:style w:type="paragraph" w:styleId="8">
    <w:name w:val="Normal (Web)"/>
    <w:basedOn w:val="1"/>
    <w:semiHidden/>
    <w:unhideWhenUsed/>
    <w:qFormat/>
    <w:uiPriority w:val="99"/>
    <w:rPr>
      <w:sz w:val="24"/>
    </w:rPr>
  </w:style>
  <w:style w:type="character" w:styleId="11">
    <w:name w:val="Hyperlink"/>
    <w:unhideWhenUsed/>
    <w:qFormat/>
    <w:uiPriority w:val="99"/>
    <w:rPr>
      <w:color w:val="0000FF"/>
      <w:u w:val="single"/>
    </w:rPr>
  </w:style>
  <w:style w:type="character" w:customStyle="1" w:styleId="12">
    <w:name w:val="页眉 Char"/>
    <w:basedOn w:val="10"/>
    <w:link w:val="6"/>
    <w:semiHidden/>
    <w:qFormat/>
    <w:uiPriority w:val="99"/>
    <w:rPr>
      <w:sz w:val="18"/>
      <w:szCs w:val="18"/>
    </w:rPr>
  </w:style>
  <w:style w:type="character" w:customStyle="1" w:styleId="13">
    <w:name w:val="页脚 Char"/>
    <w:basedOn w:val="10"/>
    <w:link w:val="5"/>
    <w:semiHidden/>
    <w:qFormat/>
    <w:uiPriority w:val="99"/>
    <w:rPr>
      <w:sz w:val="18"/>
      <w:szCs w:val="18"/>
    </w:rPr>
  </w:style>
  <w:style w:type="character" w:customStyle="1" w:styleId="14">
    <w:name w:val="日期 Char"/>
    <w:basedOn w:val="10"/>
    <w:link w:val="4"/>
    <w:semiHidden/>
    <w:qFormat/>
    <w:uiPriority w:val="99"/>
  </w:style>
  <w:style w:type="character" w:customStyle="1" w:styleId="15">
    <w:name w:val="段 Char"/>
    <w:basedOn w:val="10"/>
    <w:link w:val="16"/>
    <w:qFormat/>
    <w:uiPriority w:val="0"/>
    <w:rPr>
      <w:rFonts w:ascii="宋体"/>
    </w:rPr>
  </w:style>
  <w:style w:type="paragraph" w:customStyle="1" w:styleId="16">
    <w:name w:val="段"/>
    <w:link w:val="15"/>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character" w:customStyle="1" w:styleId="17">
    <w:name w:val="章标题 Char"/>
    <w:basedOn w:val="10"/>
    <w:link w:val="18"/>
    <w:qFormat/>
    <w:uiPriority w:val="0"/>
    <w:rPr>
      <w:rFonts w:ascii="黑体" w:eastAsia="黑体"/>
    </w:rPr>
  </w:style>
  <w:style w:type="paragraph" w:customStyle="1" w:styleId="18">
    <w:name w:val="章标题"/>
    <w:next w:val="16"/>
    <w:link w:val="17"/>
    <w:qFormat/>
    <w:uiPriority w:val="0"/>
    <w:pPr>
      <w:spacing w:beforeLines="100" w:afterLines="100"/>
      <w:ind w:left="426"/>
      <w:jc w:val="both"/>
      <w:outlineLvl w:val="1"/>
    </w:pPr>
    <w:rPr>
      <w:rFonts w:ascii="黑体" w:eastAsia="黑体" w:hAnsiTheme="minorHAnsi" w:cstheme="minorBidi"/>
      <w:kern w:val="2"/>
      <w:sz w:val="21"/>
      <w:szCs w:val="22"/>
      <w:lang w:val="en-US" w:eastAsia="zh-CN" w:bidi="ar-SA"/>
    </w:rPr>
  </w:style>
  <w:style w:type="paragraph" w:customStyle="1" w:styleId="19">
    <w:name w:val="二级无"/>
    <w:basedOn w:val="1"/>
    <w:qFormat/>
    <w:uiPriority w:val="0"/>
    <w:pPr>
      <w:widowControl/>
      <w:spacing w:before="50" w:after="50"/>
      <w:ind w:left="3686"/>
      <w:jc w:val="left"/>
      <w:outlineLvl w:val="3"/>
    </w:pPr>
    <w:rPr>
      <w:rFonts w:ascii="宋体" w:hAnsi="Times New Roman" w:eastAsia="宋体" w:cs="Times New Roman"/>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qinghua2017.com</Company>
  <Pages>7</Pages>
  <Words>2408</Words>
  <Characters>2743</Characters>
  <Lines>21</Lines>
  <Paragraphs>5</Paragraphs>
  <TotalTime>2</TotalTime>
  <ScaleCrop>false</ScaleCrop>
  <LinksUpToDate>false</LinksUpToDate>
  <CharactersWithSpaces>2792</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2021-08-12T10:34:00Z</dcterms:created>
  <dc:creator>qinghua2017.com</dc:creator>
  <cp:lastModifiedBy>Joy</cp:lastModifiedBy>
  <dcterms:modified xsi:type="dcterms:W3CDTF">2022-08-18T01:04:56Z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C64CDF44EF9D47E699D3831B73087690</vt:lpwstr>
  </property>
</Properties>
</file>