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pStyle w:val="9"/>
        <w:framePr w:w="9638" w:h="2243" w:hRule="exact" w:wrap="around" w:vAnchor="page" w:hAnchor="page" w:x="1332" w:y="5922"/>
        <w:widowControl/>
        <w:rPr>
          <w:lang w:val="en-US"/>
        </w:rPr>
      </w:pPr>
      <w:r>
        <w:t>气气板式热交换器制造技术规范</w:t>
      </w:r>
    </w:p>
    <w:p>
      <w:pPr>
        <w:pStyle w:val="9"/>
        <w:framePr w:w="9638" w:h="2243" w:hRule="exact" w:wrap="around" w:vAnchor="page" w:hAnchor="page" w:x="1332" w:y="5922"/>
        <w:widowControl/>
        <w:rPr>
          <w:lang w:val="en-US"/>
        </w:rPr>
      </w:pPr>
      <w:r>
        <w:t>（征求意见稿）</w:t>
      </w:r>
    </w:p>
    <w:p>
      <w:pPr>
        <w:pStyle w:val="9"/>
        <w:framePr w:w="9638" w:h="2243" w:hRule="exact" w:wrap="around" w:vAnchor="page" w:hAnchor="page" w:x="1332" w:y="5922"/>
        <w:widowControl/>
        <w:rPr>
          <w:lang w:val="en-US"/>
        </w:rPr>
      </w:pPr>
      <w:r>
        <w:t>编制说明</w:t>
      </w: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both"/>
        <w:rPr>
          <w:lang w:val="en-US"/>
        </w:rPr>
      </w:pPr>
    </w:p>
    <w:p>
      <w:pPr>
        <w:keepNext w:val="0"/>
        <w:keepLines w:val="0"/>
        <w:widowControl w:val="0"/>
        <w:suppressLineNumbers w:val="0"/>
        <w:adjustRightInd w:val="0"/>
        <w:spacing w:before="0" w:beforeAutospacing="0" w:after="0" w:afterAutospacing="0" w:line="400" w:lineRule="exact"/>
        <w:ind w:left="0" w:right="0"/>
        <w:jc w:val="center"/>
        <w:rPr>
          <w:rFonts w:hint="eastAsia" w:ascii="黑体" w:hAnsi="宋体" w:eastAsia="黑体" w:cs="黑体"/>
          <w:sz w:val="28"/>
          <w:szCs w:val="28"/>
          <w:lang w:val="en-US"/>
        </w:rPr>
      </w:pPr>
      <w:r>
        <w:rPr>
          <w:rFonts w:hint="eastAsia" w:ascii="黑体" w:hAnsi="宋体" w:eastAsia="黑体" w:cs="黑体"/>
          <w:kern w:val="2"/>
          <w:sz w:val="28"/>
          <w:szCs w:val="28"/>
          <w:lang w:val="en-US" w:eastAsia="zh-CN" w:bidi="ar"/>
        </w:rPr>
        <w:t>湖南力和海得热能技术有限公司</w:t>
      </w:r>
    </w:p>
    <w:p>
      <w:pPr>
        <w:keepNext w:val="0"/>
        <w:keepLines w:val="0"/>
        <w:widowControl w:val="0"/>
        <w:suppressLineNumbers w:val="0"/>
        <w:adjustRightInd w:val="0"/>
        <w:spacing w:before="0" w:beforeAutospacing="0" w:after="0" w:afterAutospacing="0" w:line="400" w:lineRule="exact"/>
        <w:ind w:left="0" w:right="0"/>
        <w:jc w:val="center"/>
        <w:rPr>
          <w:rFonts w:hint="eastAsia" w:ascii="黑体" w:hAnsi="宋体" w:eastAsia="黑体" w:cs="黑体"/>
          <w:sz w:val="28"/>
          <w:szCs w:val="28"/>
          <w:lang w:val="en-US"/>
        </w:rPr>
      </w:pPr>
      <w:r>
        <w:rPr>
          <w:rFonts w:hint="eastAsia" w:ascii="黑体" w:hAnsi="宋体" w:eastAsia="黑体" w:cs="黑体"/>
          <w:kern w:val="2"/>
          <w:sz w:val="28"/>
          <w:szCs w:val="28"/>
          <w:lang w:val="en-US" w:eastAsia="zh-CN" w:bidi="ar"/>
        </w:rPr>
        <w:t>湖南科技大学</w:t>
      </w:r>
    </w:p>
    <w:p>
      <w:pPr>
        <w:keepNext w:val="0"/>
        <w:keepLines w:val="0"/>
        <w:widowControl w:val="0"/>
        <w:suppressLineNumbers w:val="0"/>
        <w:adjustRightInd w:val="0"/>
        <w:spacing w:before="0" w:beforeAutospacing="0" w:after="0" w:afterAutospacing="0" w:line="400" w:lineRule="exact"/>
        <w:ind w:left="0" w:right="0"/>
        <w:jc w:val="center"/>
        <w:rPr>
          <w:rFonts w:hint="eastAsia" w:ascii="黑体" w:hAnsi="宋体" w:eastAsia="黑体" w:cs="黑体"/>
          <w:sz w:val="28"/>
          <w:szCs w:val="28"/>
          <w:lang w:val="en-US"/>
        </w:rPr>
      </w:pPr>
      <w:r>
        <w:rPr>
          <w:rFonts w:hint="eastAsia" w:ascii="黑体" w:hAnsi="宋体" w:eastAsia="黑体" w:cs="黑体"/>
          <w:kern w:val="2"/>
          <w:sz w:val="28"/>
          <w:szCs w:val="28"/>
          <w:lang w:val="en-US" w:eastAsia="zh-CN" w:bidi="ar"/>
        </w:rPr>
        <w:t>二零二二年八月</w:t>
      </w:r>
    </w:p>
    <w:p>
      <w:pPr>
        <w:pStyle w:val="4"/>
        <w:tabs>
          <w:tab w:val="right" w:leader="dot" w:pos="8640"/>
        </w:tabs>
      </w:pPr>
      <w:r>
        <w:rPr>
          <w:lang w:val="en-US"/>
        </w:rPr>
        <w:fldChar w:fldCharType="begin"/>
      </w:r>
      <w:r>
        <w:rPr>
          <w:lang w:val="en-US"/>
        </w:rPr>
        <w:instrText xml:space="preserve">TOC \o "1-2" \h \u </w:instrText>
      </w:r>
      <w:r>
        <w:rPr>
          <w:lang w:val="en-US"/>
        </w:rPr>
        <w:fldChar w:fldCharType="separate"/>
      </w:r>
      <w:r>
        <w:rPr>
          <w:lang w:val="en-US"/>
        </w:rPr>
        <w:fldChar w:fldCharType="begin"/>
      </w:r>
      <w:r>
        <w:rPr>
          <w:lang w:val="en-US"/>
        </w:rPr>
        <w:instrText xml:space="preserve"> HYPERLINK \l _Toc22836 </w:instrText>
      </w:r>
      <w:r>
        <w:rPr>
          <w:lang w:val="en-US"/>
        </w:rPr>
        <w:fldChar w:fldCharType="separate"/>
      </w:r>
      <w:r>
        <w:rPr>
          <w:rFonts w:hint="eastAsia" w:ascii="黑体" w:hAnsi="Times New Roman" w:eastAsia="黑体" w:cs="黑体"/>
          <w:i w:val="0"/>
          <w:lang w:val="en-US"/>
        </w:rPr>
        <w:t xml:space="preserve">1 </w:t>
      </w:r>
      <w:r>
        <w:rPr>
          <w:lang w:eastAsia="zh-CN"/>
        </w:rPr>
        <w:t>编制背景</w:t>
      </w:r>
      <w:r>
        <w:tab/>
      </w:r>
      <w:r>
        <w:fldChar w:fldCharType="begin"/>
      </w:r>
      <w:r>
        <w:instrText xml:space="preserve"> PAGEREF _Toc22836 \h </w:instrText>
      </w:r>
      <w:r>
        <w:fldChar w:fldCharType="separate"/>
      </w:r>
      <w:r>
        <w:t>1</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_Toc228 </w:instrText>
      </w:r>
      <w:r>
        <w:rPr>
          <w:lang w:val="en-US"/>
        </w:rPr>
        <w:fldChar w:fldCharType="separate"/>
      </w:r>
      <w:r>
        <w:rPr>
          <w:rFonts w:hint="eastAsia" w:ascii="黑体" w:hAnsi="Times New Roman" w:eastAsia="黑体" w:cs="黑体"/>
          <w:i w:val="0"/>
          <w:lang w:val="en-US"/>
        </w:rPr>
        <w:t xml:space="preserve">2 </w:t>
      </w:r>
      <w:r>
        <w:rPr>
          <w:lang w:eastAsia="zh-CN"/>
        </w:rPr>
        <w:t>编制意义</w:t>
      </w:r>
      <w:r>
        <w:tab/>
      </w:r>
      <w:r>
        <w:fldChar w:fldCharType="begin"/>
      </w:r>
      <w:r>
        <w:instrText xml:space="preserve"> PAGEREF _Toc228 \h </w:instrText>
      </w:r>
      <w:r>
        <w:fldChar w:fldCharType="separate"/>
      </w:r>
      <w:r>
        <w:t>1</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_Toc25671 </w:instrText>
      </w:r>
      <w:r>
        <w:rPr>
          <w:lang w:val="en-US"/>
        </w:rPr>
        <w:fldChar w:fldCharType="separate"/>
      </w:r>
      <w:r>
        <w:rPr>
          <w:rFonts w:hint="eastAsia" w:ascii="黑体" w:hAnsi="Times New Roman" w:eastAsia="黑体" w:cs="黑体"/>
          <w:i w:val="0"/>
          <w:lang w:val="en-US"/>
        </w:rPr>
        <w:t xml:space="preserve">3 </w:t>
      </w:r>
      <w:r>
        <w:rPr>
          <w:lang w:eastAsia="zh-CN"/>
        </w:rPr>
        <w:t>项目来源</w:t>
      </w:r>
      <w:r>
        <w:tab/>
      </w:r>
      <w:r>
        <w:fldChar w:fldCharType="begin"/>
      </w:r>
      <w:r>
        <w:instrText xml:space="preserve"> PAGEREF _Toc25671 \h </w:instrText>
      </w:r>
      <w:r>
        <w:fldChar w:fldCharType="separate"/>
      </w:r>
      <w:r>
        <w:t>1</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_Toc7992 </w:instrText>
      </w:r>
      <w:r>
        <w:rPr>
          <w:lang w:val="en-US"/>
        </w:rPr>
        <w:fldChar w:fldCharType="separate"/>
      </w:r>
      <w:r>
        <w:rPr>
          <w:rFonts w:hint="eastAsia" w:ascii="黑体" w:hAnsi="Times New Roman" w:eastAsia="黑体" w:cs="黑体"/>
          <w:i w:val="0"/>
          <w:lang w:val="en-US"/>
        </w:rPr>
        <w:t xml:space="preserve">4 </w:t>
      </w:r>
      <w:r>
        <w:rPr>
          <w:lang w:eastAsia="zh-CN"/>
        </w:rPr>
        <w:t>起草单位及起草人</w:t>
      </w:r>
      <w:r>
        <w:tab/>
      </w:r>
      <w:r>
        <w:fldChar w:fldCharType="begin"/>
      </w:r>
      <w:r>
        <w:instrText xml:space="preserve"> PAGEREF _Toc7992 \h </w:instrText>
      </w:r>
      <w:r>
        <w:fldChar w:fldCharType="separate"/>
      </w:r>
      <w:r>
        <w:t>2</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_Toc8651 </w:instrText>
      </w:r>
      <w:r>
        <w:rPr>
          <w:lang w:val="en-US"/>
        </w:rPr>
        <w:fldChar w:fldCharType="separate"/>
      </w:r>
      <w:r>
        <w:rPr>
          <w:rFonts w:hint="eastAsia" w:ascii="黑体" w:hAnsi="Times New Roman" w:eastAsia="黑体" w:cs="黑体"/>
          <w:i w:val="0"/>
          <w:lang w:val="en-US"/>
        </w:rPr>
        <w:t xml:space="preserve">5 </w:t>
      </w:r>
      <w:r>
        <w:rPr>
          <w:lang w:eastAsia="zh-CN"/>
        </w:rPr>
        <w:t>编制原则和依据</w:t>
      </w:r>
      <w:r>
        <w:tab/>
      </w:r>
      <w:r>
        <w:fldChar w:fldCharType="begin"/>
      </w:r>
      <w:r>
        <w:instrText xml:space="preserve"> PAGEREF _Toc8651 \h </w:instrText>
      </w:r>
      <w:r>
        <w:fldChar w:fldCharType="separate"/>
      </w:r>
      <w:r>
        <w:t>2</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_Toc6098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5.1 </w:t>
      </w:r>
      <w:r>
        <w:rPr>
          <w:lang w:eastAsia="zh-CN"/>
        </w:rPr>
        <w:t>编制原则</w:t>
      </w:r>
      <w:r>
        <w:tab/>
      </w:r>
      <w:r>
        <w:fldChar w:fldCharType="begin"/>
      </w:r>
      <w:r>
        <w:instrText xml:space="preserve"> PAGEREF _Toc6098 \h </w:instrText>
      </w:r>
      <w:r>
        <w:fldChar w:fldCharType="separate"/>
      </w:r>
      <w:r>
        <w:t>2</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_Toc13483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5.2 </w:t>
      </w:r>
      <w:r>
        <w:rPr>
          <w:lang w:eastAsia="zh-CN"/>
        </w:rPr>
        <w:t>编制依据</w:t>
      </w:r>
      <w:r>
        <w:tab/>
      </w:r>
      <w:r>
        <w:fldChar w:fldCharType="begin"/>
      </w:r>
      <w:r>
        <w:instrText xml:space="preserve"> PAGEREF _Toc13483 \h </w:instrText>
      </w:r>
      <w:r>
        <w:fldChar w:fldCharType="separate"/>
      </w:r>
      <w:r>
        <w:t>2</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_Toc14531 </w:instrText>
      </w:r>
      <w:r>
        <w:rPr>
          <w:lang w:val="en-US"/>
        </w:rPr>
        <w:fldChar w:fldCharType="separate"/>
      </w:r>
      <w:r>
        <w:rPr>
          <w:rFonts w:hint="eastAsia" w:ascii="黑体" w:hAnsi="Times New Roman" w:eastAsia="黑体" w:cs="黑体"/>
          <w:i w:val="0"/>
          <w:lang w:val="en-US"/>
        </w:rPr>
        <w:t xml:space="preserve">6 </w:t>
      </w:r>
      <w:r>
        <w:rPr>
          <w:lang w:eastAsia="zh-CN"/>
        </w:rPr>
        <w:t>编制过程</w:t>
      </w:r>
      <w:r>
        <w:tab/>
      </w:r>
      <w:r>
        <w:fldChar w:fldCharType="begin"/>
      </w:r>
      <w:r>
        <w:instrText xml:space="preserve"> PAGEREF _Toc14531 \h </w:instrText>
      </w:r>
      <w:r>
        <w:fldChar w:fldCharType="separate"/>
      </w:r>
      <w:r>
        <w:t>3</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_Toc22084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6.1 </w:t>
      </w:r>
      <w:r>
        <w:rPr>
          <w:lang w:eastAsia="zh-CN"/>
        </w:rPr>
        <w:t>筹备阶段</w:t>
      </w:r>
      <w:r>
        <w:tab/>
      </w:r>
      <w:r>
        <w:fldChar w:fldCharType="begin"/>
      </w:r>
      <w:r>
        <w:instrText xml:space="preserve"> PAGEREF _Toc22084 \h </w:instrText>
      </w:r>
      <w:r>
        <w:fldChar w:fldCharType="separate"/>
      </w:r>
      <w:r>
        <w:t>3</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_Toc4951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6.2 </w:t>
      </w:r>
      <w:r>
        <w:rPr>
          <w:lang w:eastAsia="zh-CN"/>
        </w:rPr>
        <w:t>标准立项（</w:t>
      </w:r>
      <w:r>
        <w:rPr>
          <w:lang w:val="en-US"/>
        </w:rPr>
        <w:t>2021</w:t>
      </w:r>
      <w:r>
        <w:rPr>
          <w:lang w:eastAsia="zh-CN"/>
        </w:rPr>
        <w:t>年</w:t>
      </w:r>
      <w:r>
        <w:rPr>
          <w:lang w:val="en-US"/>
        </w:rPr>
        <w:t>11</w:t>
      </w:r>
      <w:r>
        <w:rPr>
          <w:lang w:eastAsia="zh-CN"/>
        </w:rPr>
        <w:t>月</w:t>
      </w:r>
      <w:r>
        <w:rPr>
          <w:lang w:val="en-US"/>
        </w:rPr>
        <w:t>-2022</w:t>
      </w:r>
      <w:r>
        <w:rPr>
          <w:lang w:eastAsia="zh-CN"/>
        </w:rPr>
        <w:t>年</w:t>
      </w:r>
      <w:r>
        <w:rPr>
          <w:lang w:val="en-US"/>
        </w:rPr>
        <w:t>1</w:t>
      </w:r>
      <w:r>
        <w:rPr>
          <w:lang w:eastAsia="zh-CN"/>
        </w:rPr>
        <w:t>月）</w:t>
      </w:r>
      <w:r>
        <w:tab/>
      </w:r>
      <w:r>
        <w:fldChar w:fldCharType="begin"/>
      </w:r>
      <w:r>
        <w:instrText xml:space="preserve"> PAGEREF _Toc4951 \h </w:instrText>
      </w:r>
      <w:r>
        <w:fldChar w:fldCharType="separate"/>
      </w:r>
      <w:r>
        <w:t>3</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_Toc8837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6.3 </w:t>
      </w:r>
      <w:r>
        <w:rPr>
          <w:lang w:eastAsia="zh-CN"/>
        </w:rPr>
        <w:t>标准起草过程（</w:t>
      </w:r>
      <w:r>
        <w:rPr>
          <w:lang w:val="en-US"/>
        </w:rPr>
        <w:t>2022</w:t>
      </w:r>
      <w:r>
        <w:rPr>
          <w:lang w:eastAsia="zh-CN"/>
        </w:rPr>
        <w:t>年</w:t>
      </w:r>
      <w:r>
        <w:rPr>
          <w:lang w:val="en-US"/>
        </w:rPr>
        <w:t>2</w:t>
      </w:r>
      <w:r>
        <w:rPr>
          <w:lang w:eastAsia="zh-CN"/>
        </w:rPr>
        <w:t>月</w:t>
      </w:r>
      <w:r>
        <w:rPr>
          <w:lang w:val="en-US"/>
        </w:rPr>
        <w:t>-2022</w:t>
      </w:r>
      <w:r>
        <w:rPr>
          <w:lang w:eastAsia="zh-CN"/>
        </w:rPr>
        <w:t>年</w:t>
      </w:r>
      <w:r>
        <w:rPr>
          <w:lang w:val="en-US"/>
        </w:rPr>
        <w:t>5</w:t>
      </w:r>
      <w:r>
        <w:rPr>
          <w:lang w:eastAsia="zh-CN"/>
        </w:rPr>
        <w:t>月）</w:t>
      </w:r>
      <w:r>
        <w:tab/>
      </w:r>
      <w:r>
        <w:fldChar w:fldCharType="begin"/>
      </w:r>
      <w:r>
        <w:instrText xml:space="preserve"> PAGEREF _Toc8837 \h </w:instrText>
      </w:r>
      <w:r>
        <w:fldChar w:fldCharType="separate"/>
      </w:r>
      <w:r>
        <w:t>3</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_Toc19508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6.4 </w:t>
      </w:r>
      <w:r>
        <w:rPr>
          <w:lang w:eastAsia="zh-CN"/>
        </w:rPr>
        <w:t>调研环节（</w:t>
      </w:r>
      <w:r>
        <w:rPr>
          <w:lang w:val="en-US"/>
        </w:rPr>
        <w:t>2022</w:t>
      </w:r>
      <w:r>
        <w:rPr>
          <w:lang w:eastAsia="zh-CN"/>
        </w:rPr>
        <w:t>年</w:t>
      </w:r>
      <w:r>
        <w:rPr>
          <w:lang w:val="en-US"/>
        </w:rPr>
        <w:t>8</w:t>
      </w:r>
      <w:r>
        <w:rPr>
          <w:lang w:eastAsia="zh-CN"/>
        </w:rPr>
        <w:t>月</w:t>
      </w:r>
      <w:r>
        <w:rPr>
          <w:lang w:val="en-US"/>
        </w:rPr>
        <w:t>-2022</w:t>
      </w:r>
      <w:r>
        <w:rPr>
          <w:lang w:eastAsia="zh-CN"/>
        </w:rPr>
        <w:t>年</w:t>
      </w:r>
      <w:r>
        <w:rPr>
          <w:lang w:val="en-US"/>
        </w:rPr>
        <w:t>9</w:t>
      </w:r>
      <w:r>
        <w:rPr>
          <w:lang w:eastAsia="zh-CN"/>
        </w:rPr>
        <w:t>月）</w:t>
      </w:r>
      <w:r>
        <w:tab/>
      </w:r>
      <w:r>
        <w:fldChar w:fldCharType="begin"/>
      </w:r>
      <w:r>
        <w:instrText xml:space="preserve"> PAGEREF _Toc19508 \h </w:instrText>
      </w:r>
      <w:r>
        <w:fldChar w:fldCharType="separate"/>
      </w:r>
      <w:r>
        <w:t>4</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_Toc2606 </w:instrText>
      </w:r>
      <w:r>
        <w:rPr>
          <w:lang w:val="en-US"/>
        </w:rPr>
        <w:fldChar w:fldCharType="separate"/>
      </w:r>
      <w:r>
        <w:rPr>
          <w:rFonts w:hint="eastAsia" w:ascii="黑体" w:hAnsi="Times New Roman" w:eastAsia="黑体" w:cs="黑体"/>
          <w:i w:val="0"/>
          <w:lang w:val="en-US"/>
        </w:rPr>
        <w:t xml:space="preserve">7 </w:t>
      </w:r>
      <w:r>
        <w:rPr>
          <w:lang w:eastAsia="zh-CN"/>
        </w:rPr>
        <w:t>主要技术内容说明</w:t>
      </w:r>
      <w:r>
        <w:tab/>
      </w:r>
      <w:r>
        <w:fldChar w:fldCharType="begin"/>
      </w:r>
      <w:r>
        <w:instrText xml:space="preserve"> PAGEREF _Toc2606 \h </w:instrText>
      </w:r>
      <w:r>
        <w:fldChar w:fldCharType="separate"/>
      </w:r>
      <w:r>
        <w:t>4</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_Toc7454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7.1 </w:t>
      </w:r>
      <w:r>
        <w:rPr>
          <w:lang w:eastAsia="zh-CN"/>
        </w:rPr>
        <w:t>框架结构</w:t>
      </w:r>
      <w:r>
        <w:tab/>
      </w:r>
      <w:r>
        <w:fldChar w:fldCharType="begin"/>
      </w:r>
      <w:r>
        <w:instrText xml:space="preserve"> PAGEREF _Toc7454 \h </w:instrText>
      </w:r>
      <w:r>
        <w:fldChar w:fldCharType="separate"/>
      </w:r>
      <w:r>
        <w:t>4</w:t>
      </w:r>
      <w:r>
        <w:fldChar w:fldCharType="end"/>
      </w:r>
      <w:r>
        <w:rPr>
          <w:lang w:val="en-US"/>
        </w:rPr>
        <w:fldChar w:fldCharType="end"/>
      </w:r>
    </w:p>
    <w:p>
      <w:pPr>
        <w:pStyle w:val="5"/>
        <w:tabs>
          <w:tab w:val="right" w:leader="dot" w:pos="8640"/>
        </w:tabs>
      </w:pPr>
      <w:r>
        <w:rPr>
          <w:lang w:val="en-US"/>
        </w:rPr>
        <w:fldChar w:fldCharType="begin"/>
      </w:r>
      <w:r>
        <w:rPr>
          <w:lang w:val="en-US"/>
        </w:rPr>
        <w:instrText xml:space="preserve"> HYPERLINK \l _Toc17385 </w:instrText>
      </w:r>
      <w:r>
        <w:rPr>
          <w:lang w:val="en-US"/>
        </w:rPr>
        <w:fldChar w:fldCharType="separate"/>
      </w:r>
      <w:r>
        <w:rPr>
          <w:rFonts w:hint="eastAsia" w:ascii="黑体" w:hAnsi="Times New Roman" w:eastAsia="黑体" w:cs="Times New Roman"/>
          <w:bCs w:val="0"/>
          <w:i w:val="0"/>
          <w:iCs w:val="0"/>
          <w:caps w:val="0"/>
          <w:strike w:val="0"/>
          <w:dstrike w:val="0"/>
          <w:vanish w:val="0"/>
          <w:spacing w:val="0"/>
          <w:kern w:val="0"/>
          <w:position w:val="0"/>
          <w:lang w:val="en-US"/>
        </w:rPr>
        <w:t xml:space="preserve">7.2 </w:t>
      </w:r>
      <w:r>
        <w:rPr>
          <w:lang w:eastAsia="zh-CN"/>
        </w:rPr>
        <w:t>主要技术内容说明</w:t>
      </w:r>
      <w:r>
        <w:tab/>
      </w:r>
      <w:r>
        <w:fldChar w:fldCharType="begin"/>
      </w:r>
      <w:r>
        <w:instrText xml:space="preserve"> PAGEREF _Toc17385 \h </w:instrText>
      </w:r>
      <w:r>
        <w:fldChar w:fldCharType="separate"/>
      </w:r>
      <w:r>
        <w:t>4</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_Toc7715 </w:instrText>
      </w:r>
      <w:r>
        <w:rPr>
          <w:lang w:val="en-US"/>
        </w:rPr>
        <w:fldChar w:fldCharType="separate"/>
      </w:r>
      <w:r>
        <w:rPr>
          <w:rFonts w:hint="eastAsia" w:ascii="黑体" w:hAnsi="Times New Roman" w:eastAsia="黑体" w:cs="黑体"/>
          <w:i w:val="0"/>
          <w:lang w:val="en-US"/>
        </w:rPr>
        <w:t xml:space="preserve">8 </w:t>
      </w:r>
      <w:r>
        <w:rPr>
          <w:lang w:eastAsia="zh-CN"/>
        </w:rPr>
        <w:t>采用国际标准和国外先进标准的程度，与国际、国外同类标准水平的对比情况或与测试的国外样品、样机的有关数据对比情况</w:t>
      </w:r>
      <w:r>
        <w:tab/>
      </w:r>
      <w:r>
        <w:fldChar w:fldCharType="begin"/>
      </w:r>
      <w:r>
        <w:instrText xml:space="preserve"> PAGEREF _Toc7715 \h </w:instrText>
      </w:r>
      <w:r>
        <w:fldChar w:fldCharType="separate"/>
      </w:r>
      <w:r>
        <w:t>4</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_Toc6998 </w:instrText>
      </w:r>
      <w:r>
        <w:rPr>
          <w:lang w:val="en-US"/>
        </w:rPr>
        <w:fldChar w:fldCharType="separate"/>
      </w:r>
      <w:r>
        <w:rPr>
          <w:rFonts w:hint="eastAsia" w:ascii="黑体" w:hAnsi="Times New Roman" w:eastAsia="黑体" w:cs="黑体"/>
          <w:i w:val="0"/>
          <w:lang w:val="en-US"/>
        </w:rPr>
        <w:t xml:space="preserve">9 </w:t>
      </w:r>
      <w:r>
        <w:rPr>
          <w:lang w:eastAsia="zh-CN"/>
        </w:rPr>
        <w:t>与有关的现行法律、法规和强制性标准的关系</w:t>
      </w:r>
      <w:r>
        <w:tab/>
      </w:r>
      <w:r>
        <w:fldChar w:fldCharType="begin"/>
      </w:r>
      <w:r>
        <w:instrText xml:space="preserve"> PAGEREF _Toc6998 \h </w:instrText>
      </w:r>
      <w:r>
        <w:fldChar w:fldCharType="separate"/>
      </w:r>
      <w:r>
        <w:t>4</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_Toc22793 </w:instrText>
      </w:r>
      <w:r>
        <w:rPr>
          <w:lang w:val="en-US"/>
        </w:rPr>
        <w:fldChar w:fldCharType="separate"/>
      </w:r>
      <w:r>
        <w:rPr>
          <w:rFonts w:hint="eastAsia" w:ascii="黑体" w:hAnsi="Times New Roman" w:eastAsia="黑体" w:cs="黑体"/>
          <w:i w:val="0"/>
          <w:lang w:val="en-US"/>
        </w:rPr>
        <w:t xml:space="preserve">10 </w:t>
      </w:r>
      <w:r>
        <w:rPr>
          <w:lang w:eastAsia="zh-CN"/>
        </w:rPr>
        <w:t>重大分歧意见的处理经过和依据</w:t>
      </w:r>
      <w:r>
        <w:tab/>
      </w:r>
      <w:r>
        <w:fldChar w:fldCharType="begin"/>
      </w:r>
      <w:r>
        <w:instrText xml:space="preserve"> PAGEREF _Toc22793 \h </w:instrText>
      </w:r>
      <w:r>
        <w:fldChar w:fldCharType="separate"/>
      </w:r>
      <w:r>
        <w:t>4</w:t>
      </w:r>
      <w:r>
        <w:fldChar w:fldCharType="end"/>
      </w:r>
      <w:r>
        <w:rPr>
          <w:lang w:val="en-US"/>
        </w:rPr>
        <w:fldChar w:fldCharType="end"/>
      </w:r>
    </w:p>
    <w:p>
      <w:pPr>
        <w:pStyle w:val="4"/>
        <w:tabs>
          <w:tab w:val="right" w:leader="dot" w:pos="8640"/>
        </w:tabs>
      </w:pPr>
      <w:r>
        <w:rPr>
          <w:lang w:val="en-US"/>
        </w:rPr>
        <w:fldChar w:fldCharType="begin"/>
      </w:r>
      <w:r>
        <w:rPr>
          <w:lang w:val="en-US"/>
        </w:rPr>
        <w:instrText xml:space="preserve"> HYPERLINK \l _Toc13630 </w:instrText>
      </w:r>
      <w:r>
        <w:rPr>
          <w:lang w:val="en-US"/>
        </w:rPr>
        <w:fldChar w:fldCharType="separate"/>
      </w:r>
      <w:r>
        <w:rPr>
          <w:rFonts w:hint="eastAsia" w:ascii="黑体" w:hAnsi="Times New Roman" w:eastAsia="黑体" w:cs="黑体"/>
          <w:i w:val="0"/>
          <w:lang w:val="en-US"/>
        </w:rPr>
        <w:t xml:space="preserve">11 </w:t>
      </w:r>
      <w:r>
        <w:rPr>
          <w:lang w:eastAsia="zh-CN"/>
        </w:rPr>
        <w:t>实施地方标准要求和措施建议</w:t>
      </w:r>
      <w:r>
        <w:tab/>
      </w:r>
      <w:r>
        <w:fldChar w:fldCharType="begin"/>
      </w:r>
      <w:r>
        <w:instrText xml:space="preserve"> PAGEREF _Toc13630 \h </w:instrText>
      </w:r>
      <w:r>
        <w:fldChar w:fldCharType="separate"/>
      </w:r>
      <w:r>
        <w:t>5</w:t>
      </w:r>
      <w:r>
        <w:fldChar w:fldCharType="end"/>
      </w:r>
      <w:r>
        <w:rPr>
          <w:lang w:val="en-US"/>
        </w:rPr>
        <w:fldChar w:fldCharType="end"/>
      </w:r>
    </w:p>
    <w:p>
      <w:pPr>
        <w:pStyle w:val="11"/>
        <w:ind w:left="0" w:leftChars="0" w:firstLine="0" w:firstLineChars="0"/>
        <w:rPr>
          <w:lang w:val="en-US"/>
        </w:rPr>
        <w:sectPr>
          <w:pgSz w:w="12240" w:h="15840"/>
          <w:pgMar w:top="1440" w:right="1800" w:bottom="1440" w:left="1800" w:header="720" w:footer="720" w:gutter="0"/>
          <w:cols w:space="425" w:num="1"/>
          <w:docGrid w:type="lines" w:linePitch="312" w:charSpace="0"/>
        </w:sectPr>
      </w:pPr>
      <w:r>
        <w:rPr>
          <w:lang w:val="en-US"/>
        </w:rPr>
        <w:fldChar w:fldCharType="end"/>
      </w:r>
    </w:p>
    <w:p>
      <w:pPr>
        <w:pStyle w:val="13"/>
        <w:widowControl/>
        <w:numPr>
          <w:ilvl w:val="1"/>
          <w:numId w:val="1"/>
        </w:numPr>
        <w:spacing w:before="240" w:beforeLines="100" w:beforeAutospacing="0" w:after="240" w:afterLines="100" w:afterAutospacing="0"/>
        <w:ind w:left="0" w:right="0" w:firstLine="0"/>
        <w:rPr>
          <w:lang w:val="en-US"/>
        </w:rPr>
      </w:pPr>
      <w:bookmarkStart w:id="0" w:name="_Toc22836"/>
      <w:r>
        <w:rPr>
          <w:lang w:eastAsia="zh-CN"/>
        </w:rPr>
        <w:t>编制背景</w:t>
      </w:r>
      <w:bookmarkEnd w:id="0"/>
    </w:p>
    <w:p>
      <w:pPr>
        <w:pStyle w:val="11"/>
        <w:widowControl/>
        <w:ind w:left="0" w:firstLine="420"/>
        <w:rPr>
          <w:lang w:val="en-US"/>
        </w:rPr>
      </w:pPr>
      <w:r>
        <w:rPr>
          <w:lang w:eastAsia="zh-CN"/>
        </w:rPr>
        <w:t>随着全球气候变暖，温室效应加剧，各国政府和企业都加大了环保的投入和建设，民众环保意识也不断加强。我国政府更是提出了蓝天计划，绿水青山就是金山银山成为人民的普遍意识。而钢铁、造纸、化工、电力、电池等行业的废气排放，不但造成环境的热污染，影响生态环境和人体健康，也增加了企业的营运成本。对工厂废气的热利用，降低废气温度，进行低温排放，处理废气中的粉尘、有机废物等具有显著的环保意义和经济效益。废气余热回收利用高效节能换热器可以实现工厂废气的热能回收和综合利用。市场需求巨大，前景广阔。伴随着我国国民经济的发展，工厂规模不断扩大、对热回收设备需求不断增加。而废气余热回收利用高效节能换热器的研发投入和国产化，不但降低了企业设备投资成本，也增加了政府税收收入，解决了就业岗位。具有环保意义和现实意义。</w:t>
      </w:r>
    </w:p>
    <w:p>
      <w:pPr>
        <w:pStyle w:val="11"/>
        <w:widowControl/>
        <w:ind w:left="0" w:firstLine="420"/>
        <w:rPr>
          <w:lang w:val="en-US"/>
        </w:rPr>
      </w:pPr>
      <w:r>
        <w:rPr>
          <w:lang w:eastAsia="zh-CN"/>
        </w:rPr>
        <w:t>换热器有着极其广泛的应用，在发展上虽然有瓶颈但仍然有很大的需要。换热器在国民经济和化工生产领域中对产品质量、能量利用率以及系统经济性、可靠性起着举足轻重的作用因此开发新型高效和结构紧凑的换热器是目前换热器研究的一个重要方向。对于未来的发展，需要包括以下几个方面：一是器械紧凑化；二是换热高效化——减少热量的散失；三是节能减排；四是理论系统化；五是技术模型化。</w:t>
      </w:r>
    </w:p>
    <w:p>
      <w:pPr>
        <w:pStyle w:val="13"/>
        <w:widowControl/>
        <w:numPr>
          <w:ilvl w:val="1"/>
          <w:numId w:val="1"/>
        </w:numPr>
        <w:spacing w:before="240" w:beforeLines="100" w:beforeAutospacing="0" w:after="240" w:afterLines="100" w:afterAutospacing="0"/>
        <w:ind w:left="0" w:right="0" w:firstLine="0"/>
        <w:rPr>
          <w:lang w:val="en-US"/>
        </w:rPr>
      </w:pPr>
      <w:bookmarkStart w:id="1" w:name="_Toc228"/>
      <w:r>
        <w:rPr>
          <w:lang w:eastAsia="zh-CN"/>
        </w:rPr>
        <w:t>编制意义</w:t>
      </w:r>
      <w:bookmarkEnd w:id="1"/>
    </w:p>
    <w:p>
      <w:pPr>
        <w:pStyle w:val="11"/>
        <w:widowControl/>
        <w:ind w:left="0" w:firstLine="420"/>
        <w:rPr>
          <w:lang w:val="en-US"/>
        </w:rPr>
      </w:pPr>
      <w:r>
        <w:rPr>
          <w:lang w:eastAsia="zh-CN"/>
        </w:rPr>
        <w:t>节能与环保是当代全球关注的重要课题，节约能源、提高能源利用率在国家“十一五”规划纲要中列为了基本国策。节能对企业来说最直接的收益就是节省费用支出，提高经济效益，增强市场竞争力。</w:t>
      </w:r>
    </w:p>
    <w:p>
      <w:pPr>
        <w:pStyle w:val="11"/>
        <w:widowControl/>
        <w:ind w:left="0" w:firstLine="420"/>
        <w:rPr>
          <w:lang w:val="en-US"/>
        </w:rPr>
      </w:pPr>
      <w:r>
        <w:rPr>
          <w:lang w:eastAsia="zh-CN"/>
        </w:rPr>
        <w:t>余热是指能利用而未被利用的热能。余热是在一定经济技术条件下，在能源利用设备中没有被利用的能源，也就是多余、废弃的能源。它包括高温废气余热、冷却介质余热、废汽废水余热、高温产品和炉渣余热、化学反应余热、可燃废气废液和废料余热以及高压流体余压等七种。根据调查，各行业的余热总资源约占其燃料消耗总量的</w:t>
      </w:r>
      <w:r>
        <w:rPr>
          <w:lang w:val="en-US"/>
        </w:rPr>
        <w:t>17%-67%</w:t>
      </w:r>
      <w:r>
        <w:rPr>
          <w:lang w:eastAsia="zh-CN"/>
        </w:rPr>
        <w:t>，可回收利用的余热资源约为余热总资源的</w:t>
      </w:r>
      <w:r>
        <w:rPr>
          <w:lang w:val="en-US"/>
        </w:rPr>
        <w:t>60%</w:t>
      </w:r>
      <w:r>
        <w:rPr>
          <w:lang w:eastAsia="zh-CN"/>
        </w:rPr>
        <w:t>。玻璃、冶金、冶炼、石化、建材、陶瓷、轻纺等行业中具有</w:t>
      </w:r>
      <w:r>
        <w:rPr>
          <w:lang w:val="en-US"/>
        </w:rPr>
        <w:t>280</w:t>
      </w:r>
      <w:r>
        <w:rPr>
          <w:lang w:eastAsia="zh-CN"/>
        </w:rPr>
        <w:t>℃以上烟气</w:t>
      </w:r>
      <w:r>
        <w:rPr>
          <w:lang w:val="en-US"/>
        </w:rPr>
        <w:t>(</w:t>
      </w:r>
      <w:r>
        <w:rPr>
          <w:lang w:eastAsia="zh-CN"/>
        </w:rPr>
        <w:t>或其他高温污染气体</w:t>
      </w:r>
      <w:r>
        <w:rPr>
          <w:lang w:val="en-US"/>
        </w:rPr>
        <w:t>)</w:t>
      </w:r>
      <w:r>
        <w:rPr>
          <w:lang w:eastAsia="zh-CN"/>
        </w:rPr>
        <w:t>的余热回收。即只要是排烟温度高于</w:t>
      </w:r>
      <w:r>
        <w:rPr>
          <w:lang w:val="en-US"/>
        </w:rPr>
        <w:t>280</w:t>
      </w:r>
      <w:r>
        <w:rPr>
          <w:lang w:eastAsia="zh-CN"/>
        </w:rPr>
        <w:t>℃的工业锅炉、流化床锅炉、导热油炉、冶炼炉、冶金炉、高炉热风炉、加热炉，以及化肥厂、造纸厂都可应用。由于我国工业装备落后，能源利用率低。如化工、石油化工、建材、轻纺、冶金、动力、食品、造纸、电子电器等行业，在生产中有大量的热能直接排空，既浪费能源又污染环境。这些浪费的能量正在给环境带来负担的同时也在浪费我们有限的一次能源。我们有责任保护好环境并且最充分地利用我们的一次能源。这需要提出对一次能源进行更有效利用的理念，余热回收就是将浪费的热能回收利用，提高能源利用率，降低生产成本，保护环境。力和海得新型气气换热器余热回收装置的换热效率可达</w:t>
      </w:r>
      <w:r>
        <w:rPr>
          <w:lang w:val="en-US"/>
        </w:rPr>
        <w:t>98</w:t>
      </w:r>
      <w:r>
        <w:rPr>
          <w:lang w:eastAsia="zh-CN"/>
        </w:rPr>
        <w:t>％以上，响应了国家低碳环保的理念——节能、减排、降耗；</w:t>
      </w:r>
    </w:p>
    <w:p>
      <w:pPr>
        <w:pStyle w:val="13"/>
        <w:widowControl/>
        <w:numPr>
          <w:ilvl w:val="1"/>
          <w:numId w:val="1"/>
        </w:numPr>
        <w:spacing w:before="240" w:beforeLines="100" w:beforeAutospacing="0" w:after="240" w:afterLines="100" w:afterAutospacing="0"/>
        <w:ind w:left="0" w:right="0" w:firstLine="0"/>
        <w:rPr>
          <w:lang w:val="en-US"/>
        </w:rPr>
      </w:pPr>
      <w:bookmarkStart w:id="2" w:name="_Toc25671"/>
      <w:r>
        <w:rPr>
          <w:lang w:eastAsia="zh-CN"/>
        </w:rPr>
        <w:t>项目来源</w:t>
      </w:r>
      <w:bookmarkEnd w:id="2"/>
    </w:p>
    <w:p>
      <w:pPr>
        <w:pStyle w:val="11"/>
        <w:widowControl/>
        <w:ind w:left="0" w:firstLine="420"/>
        <w:rPr>
          <w:lang w:val="en-US"/>
        </w:rPr>
      </w:pPr>
      <w:r>
        <w:rPr>
          <w:lang w:val="en-US"/>
        </w:rPr>
        <w:t>2022</w:t>
      </w:r>
      <w:r>
        <w:rPr>
          <w:lang w:eastAsia="zh-CN"/>
        </w:rPr>
        <w:t>年</w:t>
      </w:r>
      <w:r>
        <w:rPr>
          <w:lang w:val="en-US"/>
        </w:rPr>
        <w:t>1</w:t>
      </w:r>
      <w:r>
        <w:rPr>
          <w:lang w:eastAsia="zh-CN"/>
        </w:rPr>
        <w:t>月</w:t>
      </w:r>
      <w:r>
        <w:rPr>
          <w:lang w:val="en-US"/>
        </w:rPr>
        <w:t>14</w:t>
      </w:r>
      <w:r>
        <w:rPr>
          <w:lang w:eastAsia="zh-CN"/>
        </w:rPr>
        <w:t>日，经湖南省市场监督管理局《湖南省市场监督管理局关于下达</w:t>
      </w:r>
      <w:r>
        <w:rPr>
          <w:lang w:val="en-US"/>
        </w:rPr>
        <w:t xml:space="preserve"> 2022 </w:t>
      </w:r>
      <w:r>
        <w:rPr>
          <w:lang w:eastAsia="zh-CN"/>
        </w:rPr>
        <w:t>年第一批地方标准制修订项目计划的通知》（湘市监标函〔</w:t>
      </w:r>
      <w:r>
        <w:rPr>
          <w:lang w:val="en-US"/>
        </w:rPr>
        <w:t>2022</w:t>
      </w:r>
      <w:r>
        <w:rPr>
          <w:lang w:eastAsia="zh-CN"/>
        </w:rPr>
        <w:t>〕</w:t>
      </w:r>
      <w:r>
        <w:rPr>
          <w:lang w:val="en-US"/>
        </w:rPr>
        <w:t xml:space="preserve">4 </w:t>
      </w:r>
      <w:r>
        <w:rPr>
          <w:lang w:eastAsia="zh-CN"/>
        </w:rPr>
        <w:t>号）审查批准，《气气板式热交换器制造技术规范》列入</w:t>
      </w:r>
      <w:r>
        <w:rPr>
          <w:lang w:val="en-US"/>
        </w:rPr>
        <w:t>2022</w:t>
      </w:r>
      <w:r>
        <w:rPr>
          <w:lang w:eastAsia="zh-CN"/>
        </w:rPr>
        <w:t>年湖南地方标准制定（修订）项目计划，项目编序号为</w:t>
      </w:r>
      <w:r>
        <w:rPr>
          <w:lang w:val="en-US"/>
        </w:rPr>
        <w:t>40</w:t>
      </w:r>
      <w:r>
        <w:rPr>
          <w:lang w:eastAsia="zh-CN"/>
        </w:rPr>
        <w:t>。</w:t>
      </w:r>
    </w:p>
    <w:p>
      <w:pPr>
        <w:pStyle w:val="11"/>
        <w:widowControl/>
        <w:ind w:left="0" w:firstLine="420"/>
        <w:rPr>
          <w:lang w:val="en-US"/>
        </w:rPr>
      </w:pPr>
      <w:r>
        <w:rPr>
          <w:lang w:eastAsia="zh-CN"/>
        </w:rPr>
        <w:t>本标准是首次制订，按照</w:t>
      </w:r>
      <w:r>
        <w:rPr>
          <w:lang w:val="en-US"/>
        </w:rPr>
        <w:t>NB/T47004-2009</w:t>
      </w:r>
      <w:r>
        <w:rPr>
          <w:lang w:eastAsia="zh-CN"/>
        </w:rPr>
        <w:t>规则起草，由湖南省工业和信息化厅提出并归口。</w:t>
      </w:r>
    </w:p>
    <w:p>
      <w:pPr>
        <w:pStyle w:val="13"/>
        <w:widowControl/>
        <w:numPr>
          <w:ilvl w:val="1"/>
          <w:numId w:val="1"/>
        </w:numPr>
        <w:spacing w:before="240" w:beforeLines="100" w:beforeAutospacing="0" w:after="240" w:afterLines="100" w:afterAutospacing="0"/>
        <w:ind w:left="0" w:right="0" w:firstLine="0"/>
        <w:rPr>
          <w:lang w:val="en-US"/>
        </w:rPr>
      </w:pPr>
      <w:bookmarkStart w:id="3" w:name="_Toc7992"/>
      <w:r>
        <w:rPr>
          <w:lang w:eastAsia="zh-CN"/>
        </w:rPr>
        <w:t>起草单位及起草人</w:t>
      </w:r>
      <w:bookmarkEnd w:id="3"/>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2165"/>
        <w:gridCol w:w="2165"/>
        <w:gridCol w:w="2165"/>
        <w:gridCol w:w="21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blHeader/>
          <w:jc w:val="center"/>
        </w:trPr>
        <w:tc>
          <w:tcPr>
            <w:tcW w:w="2336" w:type="dxa"/>
            <w:tcBorders>
              <w:top w:val="single" w:color="auto" w:sz="8" w:space="0"/>
              <w:left w:val="single" w:color="auto" w:sz="8" w:space="0"/>
              <w:bottom w:val="single" w:color="auto" w:sz="8" w:space="0"/>
              <w:right w:val="single" w:color="auto" w:sz="4" w:space="0"/>
            </w:tcBorders>
            <w:shd w:val="clear" w:color="auto" w:fill="auto"/>
            <w:vAlign w:val="center"/>
          </w:tcPr>
          <w:p>
            <w:pPr>
              <w:pStyle w:val="10"/>
              <w:widowControl/>
              <w:rPr>
                <w:lang w:val="en-US"/>
              </w:rPr>
            </w:pPr>
            <w:r>
              <w:t>姓名</w:t>
            </w:r>
          </w:p>
        </w:tc>
        <w:tc>
          <w:tcPr>
            <w:tcW w:w="2336" w:type="dxa"/>
            <w:tcBorders>
              <w:top w:val="single" w:color="auto" w:sz="8" w:space="0"/>
              <w:left w:val="single" w:color="auto" w:sz="4" w:space="0"/>
              <w:bottom w:val="single" w:color="auto" w:sz="8" w:space="0"/>
              <w:right w:val="single" w:color="auto" w:sz="4" w:space="0"/>
            </w:tcBorders>
            <w:shd w:val="clear" w:color="auto" w:fill="auto"/>
            <w:vAlign w:val="center"/>
          </w:tcPr>
          <w:p>
            <w:pPr>
              <w:pStyle w:val="10"/>
              <w:widowControl/>
              <w:rPr>
                <w:lang w:val="en-US"/>
              </w:rPr>
            </w:pPr>
            <w:r>
              <w:t>职务</w:t>
            </w:r>
            <w:r>
              <w:rPr>
                <w:lang w:val="en-US"/>
              </w:rPr>
              <w:t>/</w:t>
            </w:r>
            <w:r>
              <w:t>职称</w:t>
            </w:r>
          </w:p>
        </w:tc>
        <w:tc>
          <w:tcPr>
            <w:tcW w:w="2336" w:type="dxa"/>
            <w:tcBorders>
              <w:top w:val="single" w:color="auto" w:sz="8" w:space="0"/>
              <w:left w:val="single" w:color="auto" w:sz="4" w:space="0"/>
              <w:bottom w:val="single" w:color="auto" w:sz="8" w:space="0"/>
              <w:right w:val="single" w:color="auto" w:sz="4" w:space="0"/>
            </w:tcBorders>
            <w:shd w:val="clear" w:color="auto" w:fill="auto"/>
            <w:vAlign w:val="center"/>
          </w:tcPr>
          <w:p>
            <w:pPr>
              <w:pStyle w:val="10"/>
              <w:widowControl/>
              <w:rPr>
                <w:lang w:val="en-US"/>
              </w:rPr>
            </w:pPr>
            <w:r>
              <w:t>所在单位</w:t>
            </w:r>
          </w:p>
        </w:tc>
        <w:tc>
          <w:tcPr>
            <w:tcW w:w="2336" w:type="dxa"/>
            <w:tcBorders>
              <w:top w:val="single" w:color="auto" w:sz="8" w:space="0"/>
              <w:left w:val="single" w:color="auto" w:sz="4" w:space="0"/>
              <w:bottom w:val="single" w:color="auto" w:sz="8" w:space="0"/>
              <w:right w:val="single" w:color="auto" w:sz="8" w:space="0"/>
            </w:tcBorders>
            <w:shd w:val="clear" w:color="auto" w:fill="auto"/>
            <w:vAlign w:val="center"/>
          </w:tcPr>
          <w:p>
            <w:pPr>
              <w:pStyle w:val="10"/>
              <w:widowControl/>
              <w:rPr>
                <w:lang w:val="en-US"/>
              </w:rPr>
            </w:pPr>
            <w:r>
              <w:t>任务分工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336" w:type="dxa"/>
            <w:tcBorders>
              <w:top w:val="single" w:color="auto" w:sz="8" w:space="0"/>
              <w:left w:val="single" w:color="auto" w:sz="8" w:space="0"/>
              <w:bottom w:val="single" w:color="auto" w:sz="4" w:space="0"/>
              <w:right w:val="single" w:color="auto" w:sz="4" w:space="0"/>
            </w:tcBorders>
            <w:shd w:val="clear" w:color="auto" w:fill="auto"/>
            <w:vAlign w:val="center"/>
          </w:tcPr>
          <w:p>
            <w:pPr>
              <w:pStyle w:val="10"/>
              <w:widowControl/>
              <w:rPr>
                <w:rFonts w:hint="eastAsia" w:eastAsia="宋体"/>
                <w:lang w:val="en-US" w:eastAsia="zh-CN"/>
              </w:rPr>
            </w:pPr>
            <w:r>
              <w:rPr>
                <w:rFonts w:hint="eastAsia"/>
                <w:lang w:val="en-US" w:eastAsia="zh-CN"/>
              </w:rPr>
              <w:t>赵超</w:t>
            </w:r>
          </w:p>
        </w:tc>
        <w:tc>
          <w:tcPr>
            <w:tcW w:w="2336"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0"/>
              <w:widowControl/>
              <w:rPr>
                <w:rFonts w:hint="eastAsia" w:eastAsia="宋体"/>
                <w:lang w:val="en-US" w:eastAsia="zh-CN"/>
              </w:rPr>
            </w:pPr>
            <w:r>
              <w:rPr>
                <w:rFonts w:hint="eastAsia"/>
                <w:lang w:val="en-US" w:eastAsia="zh-CN"/>
              </w:rPr>
              <w:t>董事长</w:t>
            </w:r>
          </w:p>
        </w:tc>
        <w:tc>
          <w:tcPr>
            <w:tcW w:w="2336"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湖南力和海得热能技术有限公司</w:t>
            </w:r>
          </w:p>
        </w:tc>
        <w:tc>
          <w:tcPr>
            <w:tcW w:w="2336" w:type="dxa"/>
            <w:tcBorders>
              <w:top w:val="single" w:color="auto" w:sz="8" w:space="0"/>
              <w:left w:val="single" w:color="auto" w:sz="4" w:space="0"/>
              <w:bottom w:val="single" w:color="auto" w:sz="4" w:space="0"/>
              <w:right w:val="single" w:color="auto" w:sz="8" w:space="0"/>
            </w:tcBorders>
            <w:shd w:val="clear" w:color="auto" w:fill="auto"/>
            <w:vAlign w:val="center"/>
          </w:tcPr>
          <w:p>
            <w:pPr>
              <w:pStyle w:val="10"/>
              <w:widowControl/>
              <w:rPr>
                <w:lang w:val="en-US"/>
              </w:rPr>
            </w:pPr>
            <w:r>
              <w:t>主要编写人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0"/>
              <w:widowControl/>
              <w:rPr>
                <w:lang w:val="en-US"/>
              </w:rPr>
            </w:pPr>
            <w:r>
              <w:t>郝小礼</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副院长</w:t>
            </w:r>
            <w:r>
              <w:rPr>
                <w:lang w:val="en-US"/>
              </w:rPr>
              <w:t>/</w:t>
            </w:r>
            <w:r>
              <w:t>教授</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湖南科技大学</w:t>
            </w:r>
          </w:p>
        </w:tc>
        <w:tc>
          <w:tcPr>
            <w:tcW w:w="2336"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0"/>
              <w:widowControl/>
              <w:rPr>
                <w:lang w:val="en-US"/>
              </w:rPr>
            </w:pPr>
            <w:r>
              <w:t>技术顾问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0"/>
              <w:widowControl/>
              <w:rPr>
                <w:rFonts w:hint="eastAsia" w:eastAsia="宋体"/>
                <w:lang w:val="en-US" w:eastAsia="zh-CN"/>
              </w:rPr>
            </w:pPr>
            <w:r>
              <w:rPr>
                <w:rFonts w:hint="eastAsia"/>
                <w:lang w:val="en-US" w:eastAsia="zh-CN"/>
              </w:rPr>
              <w:t>林海波</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rFonts w:hint="eastAsia" w:eastAsia="宋体"/>
                <w:lang w:val="en-US" w:eastAsia="zh-CN"/>
              </w:rPr>
            </w:pPr>
            <w:r>
              <w:rPr>
                <w:rFonts w:hint="eastAsia"/>
                <w:lang w:val="en-US" w:eastAsia="zh-CN"/>
              </w:rPr>
              <w:t>工程师</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湖南力和海得热能技术有限公司</w:t>
            </w:r>
          </w:p>
        </w:tc>
        <w:tc>
          <w:tcPr>
            <w:tcW w:w="2336"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0"/>
              <w:widowControl/>
              <w:rPr>
                <w:rFonts w:hint="default" w:eastAsia="宋体"/>
                <w:lang w:val="en-US" w:eastAsia="zh-CN"/>
              </w:rPr>
            </w:pPr>
            <w:r>
              <w:rPr>
                <w:rFonts w:hint="eastAsia"/>
                <w:lang w:val="en-US" w:eastAsia="zh-CN"/>
              </w:rPr>
              <w:t>主要编写人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0"/>
              <w:widowControl/>
              <w:rPr>
                <w:lang w:val="en-US"/>
              </w:rPr>
            </w:pPr>
            <w:r>
              <w:t>梁永俊</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高级工程师</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湖南力和海得热能技术有限公司</w:t>
            </w:r>
          </w:p>
        </w:tc>
        <w:tc>
          <w:tcPr>
            <w:tcW w:w="2336"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0"/>
              <w:widowControl/>
              <w:rPr>
                <w:lang w:val="en-US"/>
              </w:rPr>
            </w:pPr>
            <w:r>
              <w:t>技术指导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0"/>
              <w:widowControl/>
              <w:rPr>
                <w:lang w:val="en-US"/>
              </w:rPr>
            </w:pPr>
            <w:r>
              <w:t>梁东</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工程师</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湖南力和海得热能技术有限公司</w:t>
            </w:r>
          </w:p>
        </w:tc>
        <w:tc>
          <w:tcPr>
            <w:tcW w:w="2336"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0"/>
              <w:widowControl/>
              <w:rPr>
                <w:lang w:val="en-US"/>
              </w:rPr>
            </w:pPr>
            <w:r>
              <w:t>参与编写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0"/>
              <w:widowControl/>
              <w:rPr>
                <w:lang w:val="en-US"/>
              </w:rPr>
            </w:pPr>
            <w:r>
              <w:t>张登春</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教授</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湖南科技大学</w:t>
            </w:r>
          </w:p>
        </w:tc>
        <w:tc>
          <w:tcPr>
            <w:tcW w:w="2336"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0"/>
              <w:widowControl/>
              <w:rPr>
                <w:rFonts w:hint="eastAsia" w:eastAsia="宋体"/>
                <w:lang w:val="en-US" w:eastAsia="zh-CN"/>
              </w:rPr>
            </w:pPr>
            <w:r>
              <w:t>技术</w:t>
            </w:r>
            <w:r>
              <w:rPr>
                <w:rFonts w:hint="eastAsia"/>
                <w:lang w:val="en-US" w:eastAsia="zh-CN"/>
              </w:rPr>
              <w:t>顾问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0"/>
              <w:widowControl/>
              <w:rPr>
                <w:lang w:val="en-US"/>
              </w:rPr>
            </w:pPr>
            <w:r>
              <w:t>高文涛</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总经理</w:t>
            </w:r>
          </w:p>
        </w:tc>
        <w:tc>
          <w:tcPr>
            <w:tcW w:w="23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rPr>
                <w:lang w:val="en-US"/>
              </w:rPr>
            </w:pPr>
            <w:r>
              <w:t>湖南力和海得热能技术有限公司</w:t>
            </w:r>
          </w:p>
        </w:tc>
        <w:tc>
          <w:tcPr>
            <w:tcW w:w="2336"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0"/>
              <w:widowControl/>
              <w:rPr>
                <w:rFonts w:hint="default" w:eastAsia="宋体"/>
                <w:lang w:val="en-US" w:eastAsia="zh-CN"/>
              </w:rPr>
            </w:pPr>
            <w:r>
              <w:rPr>
                <w:rFonts w:hint="eastAsia"/>
                <w:lang w:val="en-US" w:eastAsia="zh-CN"/>
              </w:rPr>
              <w:t>参与编写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336" w:type="dxa"/>
            <w:tcBorders>
              <w:top w:val="single" w:color="auto" w:sz="4" w:space="0"/>
              <w:left w:val="single" w:color="auto" w:sz="8" w:space="0"/>
              <w:bottom w:val="single" w:color="auto" w:sz="8" w:space="0"/>
              <w:right w:val="single" w:color="auto" w:sz="4" w:space="0"/>
            </w:tcBorders>
            <w:shd w:val="clear" w:color="auto" w:fill="auto"/>
            <w:vAlign w:val="center"/>
          </w:tcPr>
          <w:p>
            <w:pPr>
              <w:pStyle w:val="10"/>
              <w:widowControl/>
              <w:rPr>
                <w:lang w:val="en-US"/>
              </w:rPr>
            </w:pPr>
            <w:r>
              <w:t>陈礼瑾</w:t>
            </w:r>
          </w:p>
        </w:tc>
        <w:tc>
          <w:tcPr>
            <w:tcW w:w="2336"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0"/>
              <w:widowControl/>
              <w:rPr>
                <w:lang w:val="en-US"/>
              </w:rPr>
            </w:pPr>
            <w:r>
              <w:t>工程师</w:t>
            </w:r>
          </w:p>
        </w:tc>
        <w:tc>
          <w:tcPr>
            <w:tcW w:w="2336"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0"/>
              <w:widowControl/>
              <w:rPr>
                <w:lang w:val="en-US"/>
              </w:rPr>
            </w:pPr>
            <w:r>
              <w:t>湖南力和海得热能技术有限公司</w:t>
            </w:r>
          </w:p>
        </w:tc>
        <w:tc>
          <w:tcPr>
            <w:tcW w:w="2336" w:type="dxa"/>
            <w:tcBorders>
              <w:top w:val="single" w:color="auto" w:sz="4" w:space="0"/>
              <w:left w:val="single" w:color="auto" w:sz="4" w:space="0"/>
              <w:bottom w:val="single" w:color="auto" w:sz="8" w:space="0"/>
              <w:right w:val="single" w:color="auto" w:sz="8" w:space="0"/>
            </w:tcBorders>
            <w:shd w:val="clear" w:color="auto" w:fill="auto"/>
            <w:vAlign w:val="center"/>
          </w:tcPr>
          <w:p>
            <w:pPr>
              <w:pStyle w:val="10"/>
              <w:widowControl/>
              <w:rPr>
                <w:lang w:val="en-US"/>
              </w:rPr>
            </w:pPr>
            <w:r>
              <w:t>参与编写</w:t>
            </w:r>
          </w:p>
        </w:tc>
      </w:tr>
    </w:tbl>
    <w:p>
      <w:pPr>
        <w:pStyle w:val="13"/>
        <w:widowControl/>
        <w:numPr>
          <w:ilvl w:val="1"/>
          <w:numId w:val="1"/>
        </w:numPr>
        <w:spacing w:before="240" w:beforeLines="100" w:beforeAutospacing="0" w:after="240" w:afterLines="100" w:afterAutospacing="0"/>
        <w:ind w:left="0" w:right="0" w:firstLine="0"/>
        <w:rPr>
          <w:lang w:val="en-US"/>
        </w:rPr>
      </w:pPr>
      <w:bookmarkStart w:id="4" w:name="_Toc8651"/>
      <w:bookmarkStart w:id="19" w:name="_GoBack"/>
      <w:bookmarkEnd w:id="19"/>
      <w:r>
        <w:rPr>
          <w:lang w:eastAsia="zh-CN"/>
        </w:rPr>
        <w:t>编制原则和依据</w:t>
      </w:r>
      <w:bookmarkEnd w:id="4"/>
    </w:p>
    <w:p>
      <w:pPr>
        <w:pStyle w:val="14"/>
        <w:widowControl/>
        <w:numPr>
          <w:ilvl w:val="2"/>
          <w:numId w:val="1"/>
        </w:numPr>
        <w:spacing w:before="120" w:beforeLines="50" w:beforeAutospacing="0" w:after="120" w:afterLines="50" w:afterAutospacing="0"/>
        <w:ind w:left="0" w:right="0" w:firstLine="0"/>
        <w:rPr>
          <w:lang w:val="en-US"/>
        </w:rPr>
      </w:pPr>
      <w:bookmarkStart w:id="5" w:name="_Toc6098"/>
      <w:r>
        <w:rPr>
          <w:lang w:eastAsia="zh-CN"/>
        </w:rPr>
        <w:t>编制原则</w:t>
      </w:r>
      <w:bookmarkEnd w:id="5"/>
    </w:p>
    <w:p>
      <w:pPr>
        <w:pStyle w:val="15"/>
        <w:widowControl/>
        <w:numPr>
          <w:ilvl w:val="1"/>
          <w:numId w:val="2"/>
        </w:numPr>
        <w:rPr>
          <w:lang w:val="en-US"/>
        </w:rPr>
      </w:pPr>
      <w:r>
        <w:rPr>
          <w:lang w:eastAsia="zh-CN"/>
        </w:rPr>
        <w:t>在编制的过程中，起草规则严格遵循</w:t>
      </w:r>
      <w:r>
        <w:rPr>
          <w:lang w:val="en-US"/>
        </w:rPr>
        <w:t>GB/T 1.1-2020</w:t>
      </w:r>
      <w:r>
        <w:rPr>
          <w:lang w:eastAsia="zh-CN"/>
        </w:rPr>
        <w:t>《标准化工作导则第一部分：标准的结构和编写》的要求</w:t>
      </w:r>
    </w:p>
    <w:p>
      <w:pPr>
        <w:pStyle w:val="15"/>
        <w:widowControl/>
        <w:numPr>
          <w:ilvl w:val="1"/>
          <w:numId w:val="2"/>
        </w:numPr>
        <w:rPr>
          <w:lang w:val="en-US"/>
        </w:rPr>
      </w:pPr>
      <w:r>
        <w:rPr>
          <w:lang w:eastAsia="zh-CN"/>
        </w:rPr>
        <w:t>必须与现有国家、省内的政策、法规和标准等相关文件要求保持一致，与现行有效标准相协调，同时基于我国实际情况，编制适合我国国情的气气板式热交换器制造技术规范。</w:t>
      </w:r>
    </w:p>
    <w:p>
      <w:pPr>
        <w:pStyle w:val="15"/>
        <w:widowControl/>
        <w:numPr>
          <w:ilvl w:val="1"/>
          <w:numId w:val="2"/>
        </w:numPr>
        <w:rPr>
          <w:lang w:val="en-US"/>
        </w:rPr>
      </w:pPr>
      <w:r>
        <w:rPr>
          <w:lang w:eastAsia="zh-CN"/>
        </w:rPr>
        <w:t>本标准主要针对焊接式气气板式热交换器制造，对于其他类似结构产品可参照执行。</w:t>
      </w:r>
    </w:p>
    <w:p>
      <w:pPr>
        <w:pStyle w:val="14"/>
        <w:widowControl/>
        <w:numPr>
          <w:ilvl w:val="2"/>
          <w:numId w:val="1"/>
        </w:numPr>
        <w:spacing w:before="120" w:beforeLines="50" w:beforeAutospacing="0" w:after="120" w:afterLines="50" w:afterAutospacing="0"/>
        <w:ind w:left="0" w:right="0" w:firstLine="0"/>
        <w:rPr>
          <w:lang w:val="en-US"/>
        </w:rPr>
      </w:pPr>
      <w:bookmarkStart w:id="6" w:name="_Toc13483"/>
      <w:r>
        <w:rPr>
          <w:lang w:eastAsia="zh-CN"/>
        </w:rPr>
        <w:t>编制依据</w:t>
      </w:r>
      <w:bookmarkEnd w:id="6"/>
    </w:p>
    <w:p>
      <w:pPr>
        <w:pStyle w:val="11"/>
        <w:widowControl/>
        <w:ind w:left="0" w:firstLine="420"/>
        <w:rPr>
          <w:lang w:val="en-US"/>
        </w:rPr>
      </w:pPr>
      <w:r>
        <w:rPr>
          <w:lang w:eastAsia="zh-CN"/>
        </w:rPr>
        <w:t>本标准制定过程中主要参考了以下标准或文件：</w:t>
      </w:r>
    </w:p>
    <w:p>
      <w:pPr>
        <w:pStyle w:val="11"/>
        <w:widowControl/>
        <w:ind w:left="0" w:firstLine="420"/>
        <w:rPr>
          <w:lang w:val="en-US"/>
        </w:rPr>
      </w:pPr>
      <w:r>
        <w:rPr>
          <w:lang w:val="en-US"/>
        </w:rPr>
        <w:t xml:space="preserve">GB/T 150.2           </w:t>
      </w:r>
      <w:r>
        <w:rPr>
          <w:lang w:eastAsia="zh-CN"/>
        </w:rPr>
        <w:t>压力容器—材料</w:t>
      </w:r>
    </w:p>
    <w:p>
      <w:pPr>
        <w:pStyle w:val="11"/>
        <w:widowControl/>
        <w:ind w:left="0" w:firstLine="420"/>
        <w:rPr>
          <w:lang w:val="en-US"/>
        </w:rPr>
      </w:pPr>
      <w:r>
        <w:rPr>
          <w:lang w:val="en-US"/>
        </w:rPr>
        <w:t xml:space="preserve">GB/T 191             </w:t>
      </w:r>
      <w:r>
        <w:rPr>
          <w:lang w:eastAsia="zh-CN"/>
        </w:rPr>
        <w:t>包装储运图示标志</w:t>
      </w:r>
    </w:p>
    <w:p>
      <w:pPr>
        <w:pStyle w:val="11"/>
        <w:widowControl/>
        <w:ind w:left="0" w:firstLine="420"/>
        <w:rPr>
          <w:lang w:val="en-US"/>
        </w:rPr>
      </w:pPr>
      <w:r>
        <w:rPr>
          <w:lang w:val="en-US"/>
        </w:rPr>
        <w:t xml:space="preserve">GB/T 699             </w:t>
      </w:r>
      <w:r>
        <w:rPr>
          <w:lang w:eastAsia="zh-CN"/>
        </w:rPr>
        <w:t>优质碳素结构钢</w:t>
      </w:r>
    </w:p>
    <w:p>
      <w:pPr>
        <w:pStyle w:val="11"/>
        <w:widowControl/>
        <w:ind w:left="0" w:firstLine="420"/>
        <w:rPr>
          <w:lang w:val="en-US"/>
        </w:rPr>
      </w:pPr>
      <w:r>
        <w:rPr>
          <w:lang w:val="en-US"/>
        </w:rPr>
        <w:t xml:space="preserve">GB/T 706-2016        </w:t>
      </w:r>
      <w:r>
        <w:rPr>
          <w:lang w:eastAsia="zh-CN"/>
        </w:rPr>
        <w:t>热轧型钢</w:t>
      </w:r>
    </w:p>
    <w:p>
      <w:pPr>
        <w:pStyle w:val="11"/>
        <w:widowControl/>
        <w:ind w:left="0" w:firstLine="420"/>
        <w:rPr>
          <w:lang w:val="en-US"/>
        </w:rPr>
      </w:pPr>
      <w:r>
        <w:rPr>
          <w:lang w:val="en-US"/>
        </w:rPr>
        <w:t xml:space="preserve">GB/T 713             </w:t>
      </w:r>
      <w:r>
        <w:rPr>
          <w:lang w:eastAsia="zh-CN"/>
        </w:rPr>
        <w:t>锅炉和压力容器用钢板</w:t>
      </w:r>
    </w:p>
    <w:p>
      <w:pPr>
        <w:pStyle w:val="11"/>
        <w:widowControl/>
        <w:ind w:left="0" w:firstLine="420"/>
        <w:rPr>
          <w:lang w:val="en-US"/>
        </w:rPr>
      </w:pPr>
      <w:r>
        <w:rPr>
          <w:lang w:val="en-US"/>
        </w:rPr>
        <w:t xml:space="preserve">GB/T 1184            </w:t>
      </w:r>
      <w:r>
        <w:rPr>
          <w:lang w:eastAsia="zh-CN"/>
        </w:rPr>
        <w:t>形状和位置公差未注公差值</w:t>
      </w:r>
    </w:p>
    <w:p>
      <w:pPr>
        <w:pStyle w:val="11"/>
        <w:widowControl/>
        <w:ind w:left="0" w:firstLine="420"/>
        <w:rPr>
          <w:lang w:val="en-US"/>
        </w:rPr>
      </w:pPr>
      <w:r>
        <w:rPr>
          <w:lang w:val="en-US"/>
        </w:rPr>
        <w:t xml:space="preserve">GB/T 1220-2007       </w:t>
      </w:r>
      <w:r>
        <w:rPr>
          <w:lang w:eastAsia="zh-CN"/>
        </w:rPr>
        <w:t>不锈钢棒</w:t>
      </w:r>
    </w:p>
    <w:p>
      <w:pPr>
        <w:pStyle w:val="11"/>
        <w:widowControl/>
        <w:ind w:left="0" w:firstLine="420"/>
        <w:rPr>
          <w:lang w:val="en-US"/>
        </w:rPr>
      </w:pPr>
      <w:r>
        <w:rPr>
          <w:lang w:val="en-US"/>
        </w:rPr>
        <w:t xml:space="preserve">GB/T 3077            </w:t>
      </w:r>
      <w:r>
        <w:rPr>
          <w:lang w:eastAsia="zh-CN"/>
        </w:rPr>
        <w:t>合金结构钢</w:t>
      </w:r>
    </w:p>
    <w:p>
      <w:pPr>
        <w:pStyle w:val="11"/>
        <w:widowControl/>
        <w:ind w:left="0" w:firstLine="420"/>
        <w:rPr>
          <w:lang w:val="en-US"/>
        </w:rPr>
      </w:pPr>
      <w:r>
        <w:rPr>
          <w:lang w:val="en-US"/>
        </w:rPr>
        <w:t xml:space="preserve">GB/T 3274            </w:t>
      </w:r>
      <w:r>
        <w:rPr>
          <w:lang w:eastAsia="zh-CN"/>
        </w:rPr>
        <w:t>碳素结构钢和低合金结构钢热轧厚钢板和钢带</w:t>
      </w:r>
    </w:p>
    <w:p>
      <w:pPr>
        <w:pStyle w:val="11"/>
        <w:widowControl/>
        <w:ind w:left="0" w:firstLine="420"/>
        <w:rPr>
          <w:lang w:val="en-US"/>
        </w:rPr>
      </w:pPr>
      <w:r>
        <w:rPr>
          <w:lang w:val="en-US"/>
        </w:rPr>
        <w:t xml:space="preserve">GB/T 3280            </w:t>
      </w:r>
      <w:r>
        <w:rPr>
          <w:lang w:eastAsia="zh-CN"/>
        </w:rPr>
        <w:t>不锈钢冷轧钢板和钢带</w:t>
      </w:r>
    </w:p>
    <w:p>
      <w:pPr>
        <w:pStyle w:val="11"/>
        <w:widowControl/>
        <w:ind w:left="0" w:firstLine="420"/>
        <w:rPr>
          <w:lang w:val="en-US"/>
        </w:rPr>
      </w:pPr>
      <w:r>
        <w:rPr>
          <w:lang w:val="en-US"/>
        </w:rPr>
        <w:t xml:space="preserve">GB/T 3531            </w:t>
      </w:r>
      <w:r>
        <w:rPr>
          <w:lang w:eastAsia="zh-CN"/>
        </w:rPr>
        <w:t>低温压力容器用钢板</w:t>
      </w:r>
    </w:p>
    <w:p>
      <w:pPr>
        <w:pStyle w:val="11"/>
        <w:widowControl/>
        <w:ind w:left="0" w:firstLine="420"/>
        <w:rPr>
          <w:lang w:val="en-US"/>
        </w:rPr>
      </w:pPr>
      <w:r>
        <w:rPr>
          <w:lang w:val="en-US"/>
        </w:rPr>
        <w:t xml:space="preserve">GB/T 4272            </w:t>
      </w:r>
      <w:r>
        <w:rPr>
          <w:lang w:eastAsia="zh-CN"/>
        </w:rPr>
        <w:t>设备及管道绝热设备规则</w:t>
      </w:r>
    </w:p>
    <w:p>
      <w:pPr>
        <w:pStyle w:val="11"/>
        <w:widowControl/>
        <w:ind w:left="0" w:firstLine="420"/>
        <w:rPr>
          <w:lang w:val="en-US"/>
        </w:rPr>
      </w:pPr>
      <w:r>
        <w:rPr>
          <w:lang w:val="en-US"/>
        </w:rPr>
        <w:t xml:space="preserve">GB/T 13306           </w:t>
      </w:r>
      <w:r>
        <w:rPr>
          <w:lang w:eastAsia="zh-CN"/>
        </w:rPr>
        <w:t>标牌</w:t>
      </w:r>
    </w:p>
    <w:p>
      <w:pPr>
        <w:pStyle w:val="11"/>
        <w:widowControl/>
        <w:ind w:left="0" w:firstLine="420"/>
        <w:rPr>
          <w:lang w:val="en-US"/>
        </w:rPr>
      </w:pPr>
      <w:r>
        <w:rPr>
          <w:lang w:val="en-US"/>
        </w:rPr>
        <w:t xml:space="preserve">GB/T 14845           </w:t>
      </w:r>
      <w:r>
        <w:rPr>
          <w:lang w:eastAsia="zh-CN"/>
        </w:rPr>
        <w:t>板式热交换器用钛板</w:t>
      </w:r>
    </w:p>
    <w:p>
      <w:pPr>
        <w:pStyle w:val="11"/>
        <w:widowControl/>
        <w:ind w:left="0" w:firstLine="420"/>
        <w:rPr>
          <w:lang w:val="en-US"/>
        </w:rPr>
      </w:pPr>
      <w:r>
        <w:rPr>
          <w:lang w:val="en-US"/>
        </w:rPr>
        <w:t xml:space="preserve">GB/T 20878-2007      </w:t>
      </w:r>
      <w:r>
        <w:rPr>
          <w:lang w:eastAsia="zh-CN"/>
        </w:rPr>
        <w:t>不锈钢和耐热钢牌号及化学成分</w:t>
      </w:r>
    </w:p>
    <w:p>
      <w:pPr>
        <w:pStyle w:val="11"/>
        <w:widowControl/>
        <w:ind w:left="0" w:firstLine="420"/>
        <w:rPr>
          <w:lang w:val="en-US"/>
        </w:rPr>
      </w:pPr>
      <w:r>
        <w:rPr>
          <w:lang w:val="en-US"/>
        </w:rPr>
        <w:t xml:space="preserve">GB/T 24511           </w:t>
      </w:r>
      <w:r>
        <w:rPr>
          <w:lang w:eastAsia="zh-CN"/>
        </w:rPr>
        <w:t>承压设备用不锈钢钢板及钢带</w:t>
      </w:r>
    </w:p>
    <w:p>
      <w:pPr>
        <w:pStyle w:val="11"/>
        <w:widowControl/>
        <w:ind w:left="0" w:firstLine="420"/>
        <w:rPr>
          <w:lang w:val="en-US"/>
        </w:rPr>
      </w:pPr>
      <w:r>
        <w:rPr>
          <w:lang w:val="en-US"/>
        </w:rPr>
        <w:t xml:space="preserve">JB/T 4711            </w:t>
      </w:r>
      <w:r>
        <w:rPr>
          <w:lang w:eastAsia="zh-CN"/>
        </w:rPr>
        <w:t>压力容器涂敷与运输包装</w:t>
      </w:r>
    </w:p>
    <w:p>
      <w:pPr>
        <w:pStyle w:val="11"/>
        <w:widowControl/>
        <w:ind w:left="0" w:firstLine="420"/>
        <w:rPr>
          <w:lang w:val="en-US"/>
        </w:rPr>
      </w:pPr>
      <w:r>
        <w:rPr>
          <w:lang w:val="en-US"/>
        </w:rPr>
        <w:t xml:space="preserve">NB/T 47008           </w:t>
      </w:r>
      <w:r>
        <w:rPr>
          <w:lang w:eastAsia="zh-CN"/>
        </w:rPr>
        <w:t>承压设备用碳素钢和合金钢锻件</w:t>
      </w:r>
    </w:p>
    <w:p>
      <w:pPr>
        <w:pStyle w:val="11"/>
        <w:widowControl/>
        <w:ind w:left="0" w:firstLine="420"/>
        <w:rPr>
          <w:lang w:val="en-US"/>
        </w:rPr>
      </w:pPr>
      <w:r>
        <w:rPr>
          <w:lang w:val="en-US"/>
        </w:rPr>
        <w:t xml:space="preserve">NB/T 47010           </w:t>
      </w:r>
      <w:r>
        <w:rPr>
          <w:lang w:eastAsia="zh-CN"/>
        </w:rPr>
        <w:t>承压设备用不锈钢和耐热钢锻件</w:t>
      </w:r>
    </w:p>
    <w:p>
      <w:pPr>
        <w:pStyle w:val="11"/>
        <w:widowControl/>
        <w:ind w:left="0" w:firstLine="420"/>
        <w:rPr>
          <w:lang w:val="en-US"/>
        </w:rPr>
      </w:pPr>
      <w:r>
        <w:rPr>
          <w:lang w:val="en-US"/>
        </w:rPr>
        <w:t xml:space="preserve">NB/T 47013.2         </w:t>
      </w:r>
      <w:r>
        <w:rPr>
          <w:lang w:eastAsia="zh-CN"/>
        </w:rPr>
        <w:t>承压设备无损检测 第</w:t>
      </w:r>
      <w:r>
        <w:rPr>
          <w:lang w:val="en-US"/>
        </w:rPr>
        <w:t>2</w:t>
      </w:r>
      <w:r>
        <w:rPr>
          <w:lang w:eastAsia="zh-CN"/>
        </w:rPr>
        <w:t>部分：射线检测</w:t>
      </w:r>
    </w:p>
    <w:p>
      <w:pPr>
        <w:pStyle w:val="11"/>
        <w:widowControl/>
        <w:ind w:left="0" w:firstLine="420"/>
        <w:rPr>
          <w:lang w:val="en-US"/>
        </w:rPr>
      </w:pPr>
      <w:r>
        <w:rPr>
          <w:lang w:val="en-US"/>
        </w:rPr>
        <w:t xml:space="preserve">NB/T 47013.5         </w:t>
      </w:r>
      <w:r>
        <w:rPr>
          <w:lang w:eastAsia="zh-CN"/>
        </w:rPr>
        <w:t>承压设备无损检测 第</w:t>
      </w:r>
      <w:r>
        <w:rPr>
          <w:lang w:val="en-US"/>
        </w:rPr>
        <w:t>5</w:t>
      </w:r>
      <w:r>
        <w:rPr>
          <w:lang w:eastAsia="zh-CN"/>
        </w:rPr>
        <w:t>部分：渗透检测</w:t>
      </w:r>
    </w:p>
    <w:p>
      <w:pPr>
        <w:pStyle w:val="11"/>
        <w:widowControl/>
        <w:ind w:left="0" w:firstLine="420"/>
        <w:rPr>
          <w:lang w:val="en-US"/>
        </w:rPr>
      </w:pPr>
      <w:r>
        <w:rPr>
          <w:lang w:val="en-US"/>
        </w:rPr>
        <w:t xml:space="preserve">NB/T 47014           </w:t>
      </w:r>
      <w:r>
        <w:rPr>
          <w:lang w:eastAsia="zh-CN"/>
        </w:rPr>
        <w:t>承压设备焊接工艺评定</w:t>
      </w:r>
    </w:p>
    <w:p>
      <w:pPr>
        <w:pStyle w:val="11"/>
        <w:widowControl/>
        <w:ind w:left="0" w:firstLine="420"/>
        <w:rPr>
          <w:lang w:val="en-US"/>
        </w:rPr>
      </w:pPr>
      <w:r>
        <w:rPr>
          <w:lang w:val="en-US"/>
        </w:rPr>
        <w:t xml:space="preserve">NB/T 47015           </w:t>
      </w:r>
      <w:r>
        <w:rPr>
          <w:lang w:eastAsia="zh-CN"/>
        </w:rPr>
        <w:t>压力容器焊接规程</w:t>
      </w:r>
    </w:p>
    <w:p>
      <w:pPr>
        <w:pStyle w:val="13"/>
        <w:widowControl/>
        <w:numPr>
          <w:ilvl w:val="1"/>
          <w:numId w:val="1"/>
        </w:numPr>
        <w:spacing w:before="240" w:beforeLines="100" w:beforeAutospacing="0" w:after="240" w:afterLines="100" w:afterAutospacing="0"/>
        <w:ind w:left="0" w:right="0" w:firstLine="0"/>
        <w:rPr>
          <w:lang w:val="en-US"/>
        </w:rPr>
      </w:pPr>
      <w:bookmarkStart w:id="7" w:name="_Toc14531"/>
      <w:r>
        <w:rPr>
          <w:lang w:eastAsia="zh-CN"/>
        </w:rPr>
        <w:t>编制过程</w:t>
      </w:r>
      <w:bookmarkEnd w:id="7"/>
    </w:p>
    <w:p>
      <w:pPr>
        <w:pStyle w:val="14"/>
        <w:widowControl/>
        <w:numPr>
          <w:ilvl w:val="2"/>
          <w:numId w:val="1"/>
        </w:numPr>
        <w:spacing w:before="120" w:beforeLines="50" w:beforeAutospacing="0" w:after="120" w:afterLines="50" w:afterAutospacing="0"/>
        <w:ind w:left="0" w:right="0" w:firstLine="0"/>
        <w:rPr>
          <w:lang w:val="en-US"/>
        </w:rPr>
      </w:pPr>
      <w:bookmarkStart w:id="8" w:name="_Toc22084"/>
      <w:r>
        <w:rPr>
          <w:lang w:eastAsia="zh-CN"/>
        </w:rPr>
        <w:t>筹备阶段</w:t>
      </w:r>
      <w:bookmarkEnd w:id="8"/>
    </w:p>
    <w:p>
      <w:pPr>
        <w:pStyle w:val="11"/>
        <w:widowControl/>
        <w:ind w:left="0" w:firstLine="420"/>
        <w:rPr>
          <w:lang w:val="en-US"/>
        </w:rPr>
      </w:pPr>
      <w:r>
        <w:rPr>
          <w:lang w:val="en-US"/>
        </w:rPr>
        <w:t>2020</w:t>
      </w:r>
      <w:r>
        <w:rPr>
          <w:lang w:eastAsia="zh-CN"/>
        </w:rPr>
        <w:t>年</w:t>
      </w:r>
      <w:r>
        <w:rPr>
          <w:lang w:val="en-US"/>
        </w:rPr>
        <w:t>-2022</w:t>
      </w:r>
      <w:r>
        <w:rPr>
          <w:lang w:eastAsia="zh-CN"/>
        </w:rPr>
        <w:t>年度，湘潭市市场监督管理局牵头，由湖南力和海得热能技术有限公司联合湖南科技大学成立了标准编制小组，负责编制气气板式热交换器制造技术规范，研究和制定了标准编制工作方案，并按照机械行业标准制修订要求展开标准修订工作。</w:t>
      </w:r>
    </w:p>
    <w:p>
      <w:pPr>
        <w:pStyle w:val="14"/>
        <w:widowControl/>
        <w:numPr>
          <w:ilvl w:val="2"/>
          <w:numId w:val="1"/>
        </w:numPr>
        <w:spacing w:before="120" w:beforeLines="50" w:beforeAutospacing="0" w:after="120" w:afterLines="50" w:afterAutospacing="0"/>
        <w:ind w:left="0" w:right="0" w:firstLine="0"/>
        <w:rPr>
          <w:lang w:val="en-US"/>
        </w:rPr>
      </w:pPr>
      <w:bookmarkStart w:id="9" w:name="_Toc4951"/>
      <w:r>
        <w:rPr>
          <w:lang w:eastAsia="zh-CN"/>
        </w:rPr>
        <w:t>标准立项（</w:t>
      </w:r>
      <w:r>
        <w:rPr>
          <w:lang w:val="en-US"/>
        </w:rPr>
        <w:t>2021</w:t>
      </w:r>
      <w:r>
        <w:rPr>
          <w:lang w:eastAsia="zh-CN"/>
        </w:rPr>
        <w:t>年</w:t>
      </w:r>
      <w:r>
        <w:rPr>
          <w:lang w:val="en-US"/>
        </w:rPr>
        <w:t>11</w:t>
      </w:r>
      <w:r>
        <w:rPr>
          <w:lang w:eastAsia="zh-CN"/>
        </w:rPr>
        <w:t>月</w:t>
      </w:r>
      <w:r>
        <w:rPr>
          <w:lang w:val="en-US"/>
        </w:rPr>
        <w:t>-2022</w:t>
      </w:r>
      <w:r>
        <w:rPr>
          <w:lang w:eastAsia="zh-CN"/>
        </w:rPr>
        <w:t>年</w:t>
      </w:r>
      <w:r>
        <w:rPr>
          <w:lang w:val="en-US"/>
        </w:rPr>
        <w:t>1</w:t>
      </w:r>
      <w:r>
        <w:rPr>
          <w:lang w:eastAsia="zh-CN"/>
        </w:rPr>
        <w:t>月）</w:t>
      </w:r>
      <w:bookmarkEnd w:id="9"/>
    </w:p>
    <w:p>
      <w:pPr>
        <w:pStyle w:val="11"/>
        <w:widowControl/>
        <w:ind w:left="0" w:firstLine="420"/>
        <w:rPr>
          <w:lang w:val="en-US"/>
        </w:rPr>
      </w:pPr>
      <w:r>
        <w:rPr>
          <w:lang w:val="en-US"/>
        </w:rPr>
        <w:t>2021</w:t>
      </w:r>
      <w:r>
        <w:rPr>
          <w:lang w:eastAsia="zh-CN"/>
        </w:rPr>
        <w:t>年</w:t>
      </w:r>
      <w:r>
        <w:rPr>
          <w:lang w:val="en-US"/>
        </w:rPr>
        <w:t>11</w:t>
      </w:r>
      <w:r>
        <w:rPr>
          <w:lang w:eastAsia="zh-CN"/>
        </w:rPr>
        <w:t>月，标准提出单位填写地方标准制修订项目申请书，经湖南省工业和信息化厅科技处推荐，向湖南省市场监督管理局提交立项申请，并于</w:t>
      </w:r>
      <w:r>
        <w:rPr>
          <w:lang w:val="en-US"/>
        </w:rPr>
        <w:t>2022</w:t>
      </w:r>
      <w:r>
        <w:rPr>
          <w:lang w:eastAsia="zh-CN"/>
        </w:rPr>
        <w:t>年</w:t>
      </w:r>
      <w:r>
        <w:rPr>
          <w:lang w:val="en-US"/>
        </w:rPr>
        <w:t>1</w:t>
      </w:r>
      <w:r>
        <w:rPr>
          <w:lang w:eastAsia="zh-CN"/>
        </w:rPr>
        <w:t>月</w:t>
      </w:r>
      <w:r>
        <w:rPr>
          <w:lang w:val="en-US"/>
        </w:rPr>
        <w:t>14</w:t>
      </w:r>
      <w:r>
        <w:rPr>
          <w:lang w:eastAsia="zh-CN"/>
        </w:rPr>
        <w:t>日确定立项。</w:t>
      </w:r>
    </w:p>
    <w:p>
      <w:pPr>
        <w:pStyle w:val="14"/>
        <w:widowControl/>
        <w:numPr>
          <w:ilvl w:val="2"/>
          <w:numId w:val="1"/>
        </w:numPr>
        <w:spacing w:before="120" w:beforeLines="50" w:beforeAutospacing="0" w:after="120" w:afterLines="50" w:afterAutospacing="0"/>
        <w:ind w:left="0" w:right="0" w:firstLine="0"/>
        <w:rPr>
          <w:lang w:val="en-US"/>
        </w:rPr>
      </w:pPr>
      <w:bookmarkStart w:id="10" w:name="_Toc8837"/>
      <w:r>
        <w:rPr>
          <w:lang w:eastAsia="zh-CN"/>
        </w:rPr>
        <w:t>标准起草过程（</w:t>
      </w:r>
      <w:r>
        <w:rPr>
          <w:lang w:val="en-US"/>
        </w:rPr>
        <w:t>2022</w:t>
      </w:r>
      <w:r>
        <w:rPr>
          <w:lang w:eastAsia="zh-CN"/>
        </w:rPr>
        <w:t>年</w:t>
      </w:r>
      <w:r>
        <w:rPr>
          <w:lang w:val="en-US"/>
        </w:rPr>
        <w:t>2</w:t>
      </w:r>
      <w:r>
        <w:rPr>
          <w:lang w:eastAsia="zh-CN"/>
        </w:rPr>
        <w:t>月</w:t>
      </w:r>
      <w:r>
        <w:rPr>
          <w:lang w:val="en-US"/>
        </w:rPr>
        <w:t>-2022</w:t>
      </w:r>
      <w:r>
        <w:rPr>
          <w:lang w:eastAsia="zh-CN"/>
        </w:rPr>
        <w:t>年</w:t>
      </w:r>
      <w:r>
        <w:rPr>
          <w:lang w:val="en-US"/>
        </w:rPr>
        <w:t>5</w:t>
      </w:r>
      <w:r>
        <w:rPr>
          <w:lang w:eastAsia="zh-CN"/>
        </w:rPr>
        <w:t>月）</w:t>
      </w:r>
      <w:bookmarkEnd w:id="10"/>
    </w:p>
    <w:p>
      <w:pPr>
        <w:pStyle w:val="11"/>
        <w:widowControl/>
        <w:ind w:left="0" w:firstLine="420"/>
        <w:rPr>
          <w:lang w:val="en-US"/>
        </w:rPr>
      </w:pPr>
      <w:r>
        <w:rPr>
          <w:lang w:val="en-US"/>
        </w:rPr>
        <w:t>2021</w:t>
      </w:r>
      <w:r>
        <w:rPr>
          <w:lang w:eastAsia="zh-CN"/>
        </w:rPr>
        <w:t>年</w:t>
      </w:r>
      <w:r>
        <w:rPr>
          <w:lang w:val="en-US"/>
        </w:rPr>
        <w:t>11</w:t>
      </w:r>
      <w:r>
        <w:rPr>
          <w:lang w:eastAsia="zh-CN"/>
        </w:rPr>
        <w:t>月，提交标准修订申请后，标准提出单位、相关技术专家、项目人员参加了标准编制讨论。成立了标准编制小组、确定了主要起草人及小组成员工作职责，并确定了标准编制计划，要求在明确总体思路的同时，加强各项工作的组织和协调，并合理安排编制进度。</w:t>
      </w:r>
    </w:p>
    <w:p>
      <w:pPr>
        <w:pStyle w:val="11"/>
        <w:widowControl/>
        <w:ind w:left="0" w:firstLine="420"/>
        <w:rPr>
          <w:lang w:val="en-US"/>
        </w:rPr>
      </w:pPr>
      <w:r>
        <w:rPr>
          <w:lang w:eastAsia="zh-CN"/>
        </w:rPr>
        <w:t>工作组成员查阅了大量的国内外相关文献资料，结合我国换热设备技术规范制定的实际情况，认真听取各有关方的意见，与国内相关政策、法规和标准规范以及国际相关标准进行比对，对各工艺要求、检验方法等进行验证，对相关事宜进行调查分析，形成了标准草案。</w:t>
      </w:r>
    </w:p>
    <w:p>
      <w:pPr>
        <w:pStyle w:val="11"/>
        <w:widowControl/>
        <w:ind w:left="0" w:firstLine="420"/>
        <w:rPr>
          <w:lang w:val="en-US"/>
        </w:rPr>
      </w:pPr>
      <w:r>
        <w:rPr>
          <w:lang w:val="en-US"/>
        </w:rPr>
        <w:t>8</w:t>
      </w:r>
      <w:r>
        <w:rPr>
          <w:lang w:eastAsia="zh-CN"/>
        </w:rPr>
        <w:t>月</w:t>
      </w:r>
      <w:r>
        <w:rPr>
          <w:lang w:val="en-US"/>
        </w:rPr>
        <w:t>9</w:t>
      </w:r>
      <w:r>
        <w:rPr>
          <w:lang w:eastAsia="zh-CN"/>
        </w:rPr>
        <w:t>日，市场监督管理局、推荐单位、相关专家、企业代表等参与了地方标准启动会及标准草案研讨会，对气气板式热交换器的型号与结构、总体要求、检验与检测等提出了独到的见解，标准编制小组根据意见对标准草案完善形成《气气板式热交换器制造技术规范》工作组讨论稿。</w:t>
      </w:r>
    </w:p>
    <w:p>
      <w:pPr>
        <w:pStyle w:val="14"/>
        <w:widowControl/>
        <w:numPr>
          <w:ilvl w:val="2"/>
          <w:numId w:val="1"/>
        </w:numPr>
        <w:spacing w:before="120" w:beforeLines="50" w:beforeAutospacing="0" w:after="120" w:afterLines="50" w:afterAutospacing="0"/>
        <w:ind w:left="0" w:right="0" w:firstLine="0"/>
        <w:rPr>
          <w:lang w:val="en-US"/>
        </w:rPr>
      </w:pPr>
      <w:bookmarkStart w:id="11" w:name="_Toc19508"/>
      <w:r>
        <w:rPr>
          <w:lang w:eastAsia="zh-CN"/>
        </w:rPr>
        <w:t>调研环节（</w:t>
      </w:r>
      <w:r>
        <w:rPr>
          <w:lang w:val="en-US"/>
        </w:rPr>
        <w:t>2022</w:t>
      </w:r>
      <w:r>
        <w:rPr>
          <w:lang w:eastAsia="zh-CN"/>
        </w:rPr>
        <w:t>年</w:t>
      </w:r>
      <w:r>
        <w:rPr>
          <w:lang w:val="en-US"/>
        </w:rPr>
        <w:t>8</w:t>
      </w:r>
      <w:r>
        <w:rPr>
          <w:lang w:eastAsia="zh-CN"/>
        </w:rPr>
        <w:t>月</w:t>
      </w:r>
      <w:r>
        <w:rPr>
          <w:lang w:val="en-US"/>
        </w:rPr>
        <w:t>-2022</w:t>
      </w:r>
      <w:r>
        <w:rPr>
          <w:lang w:eastAsia="zh-CN"/>
        </w:rPr>
        <w:t>年</w:t>
      </w:r>
      <w:r>
        <w:rPr>
          <w:lang w:val="en-US"/>
        </w:rPr>
        <w:t>9</w:t>
      </w:r>
      <w:r>
        <w:rPr>
          <w:lang w:eastAsia="zh-CN"/>
        </w:rPr>
        <w:t>月）</w:t>
      </w:r>
      <w:bookmarkEnd w:id="11"/>
    </w:p>
    <w:p>
      <w:pPr>
        <w:pStyle w:val="11"/>
        <w:widowControl/>
        <w:ind w:left="0" w:firstLine="420"/>
        <w:rPr>
          <w:lang w:val="en-US"/>
        </w:rPr>
      </w:pPr>
      <w:r>
        <w:rPr>
          <w:lang w:eastAsia="zh-CN"/>
        </w:rPr>
        <w:t>根据标准起草及研讨中遇到的实际问题，编制小组组织召开了气气板式热交换技术规范修订工作研讨会，邀请了市场监督局、工信局、相关专家、同行单位、业主使用单位等单位的知名专家对本标准的讨论稿进行了详细讨论，再次在编制工作组进行内部征求意见，根据意见完善后，形成了标准征求意见稿，并编制标准编制说明。</w:t>
      </w:r>
    </w:p>
    <w:p>
      <w:pPr>
        <w:pStyle w:val="13"/>
        <w:widowControl/>
        <w:numPr>
          <w:ilvl w:val="1"/>
          <w:numId w:val="1"/>
        </w:numPr>
        <w:spacing w:before="240" w:beforeLines="100" w:beforeAutospacing="0" w:after="240" w:afterLines="100" w:afterAutospacing="0"/>
        <w:ind w:left="0" w:right="0" w:firstLine="0"/>
        <w:rPr>
          <w:lang w:val="en-US"/>
        </w:rPr>
      </w:pPr>
      <w:bookmarkStart w:id="12" w:name="_Toc2606"/>
      <w:r>
        <w:rPr>
          <w:lang w:eastAsia="zh-CN"/>
        </w:rPr>
        <w:t>主要技术内容说明</w:t>
      </w:r>
      <w:bookmarkEnd w:id="12"/>
    </w:p>
    <w:p>
      <w:pPr>
        <w:pStyle w:val="14"/>
        <w:widowControl/>
        <w:numPr>
          <w:ilvl w:val="2"/>
          <w:numId w:val="1"/>
        </w:numPr>
        <w:spacing w:before="120" w:beforeLines="50" w:beforeAutospacing="0" w:after="120" w:afterLines="50" w:afterAutospacing="0"/>
        <w:ind w:left="0" w:right="0" w:firstLine="0"/>
        <w:rPr>
          <w:lang w:val="en-US"/>
        </w:rPr>
      </w:pPr>
      <w:bookmarkStart w:id="13" w:name="_Toc7454"/>
      <w:r>
        <w:rPr>
          <w:lang w:eastAsia="zh-CN"/>
        </w:rPr>
        <w:t>框架结构</w:t>
      </w:r>
      <w:bookmarkEnd w:id="13"/>
    </w:p>
    <w:p>
      <w:pPr>
        <w:pStyle w:val="11"/>
        <w:widowControl/>
        <w:ind w:left="0" w:firstLine="420"/>
        <w:rPr>
          <w:lang w:val="en-US"/>
        </w:rPr>
      </w:pPr>
      <w:r>
        <w:rPr>
          <w:lang w:eastAsia="zh-CN"/>
        </w:rPr>
        <w:t>标准的总体结构包括标准的范围、规范性引用文件、型号与结构形式、材料要求、工艺要求、设备要求、检验方法、标志、包装、运输、贮存等内容。</w:t>
      </w:r>
    </w:p>
    <w:p>
      <w:pPr>
        <w:pStyle w:val="14"/>
        <w:widowControl/>
        <w:numPr>
          <w:ilvl w:val="2"/>
          <w:numId w:val="1"/>
        </w:numPr>
        <w:spacing w:before="120" w:beforeLines="50" w:beforeAutospacing="0" w:after="120" w:afterLines="50" w:afterAutospacing="0"/>
        <w:ind w:left="0" w:right="0" w:firstLine="0"/>
        <w:rPr>
          <w:lang w:val="en-US"/>
        </w:rPr>
      </w:pPr>
      <w:bookmarkStart w:id="14" w:name="_Toc17385"/>
      <w:r>
        <w:rPr>
          <w:lang w:eastAsia="zh-CN"/>
        </w:rPr>
        <w:t>主要技术内容说明</w:t>
      </w:r>
      <w:bookmarkEnd w:id="14"/>
    </w:p>
    <w:p>
      <w:pPr>
        <w:pStyle w:val="11"/>
        <w:widowControl/>
        <w:ind w:left="0" w:firstLine="420"/>
        <w:rPr>
          <w:lang w:val="en-US"/>
        </w:rPr>
      </w:pPr>
      <w:r>
        <w:rPr>
          <w:lang w:eastAsia="zh-CN"/>
        </w:rPr>
        <w:t>标准第</w:t>
      </w:r>
      <w:r>
        <w:rPr>
          <w:lang w:val="en-US"/>
        </w:rPr>
        <w:t>1</w:t>
      </w:r>
      <w:r>
        <w:rPr>
          <w:lang w:eastAsia="zh-CN"/>
        </w:rPr>
        <w:t>章范围规定了焊接式气气板式热交换器制造技术的内容及适用范围。明确本标准适用于设计压力不大于</w:t>
      </w:r>
      <w:r>
        <w:rPr>
          <w:lang w:val="en-US"/>
        </w:rPr>
        <w:t>0.2MPa</w:t>
      </w:r>
      <w:r>
        <w:rPr>
          <w:lang w:eastAsia="zh-CN"/>
        </w:rPr>
        <w:t>，设计温度不高于</w:t>
      </w:r>
      <w:r>
        <w:rPr>
          <w:lang w:val="en-US"/>
        </w:rPr>
        <w:t>900</w:t>
      </w:r>
      <w:r>
        <w:rPr>
          <w:lang w:eastAsia="zh-CN"/>
        </w:rPr>
        <w:t>℃的气气板式热交换器制造。</w:t>
      </w:r>
    </w:p>
    <w:p>
      <w:pPr>
        <w:pStyle w:val="11"/>
        <w:widowControl/>
        <w:ind w:left="0" w:firstLine="420"/>
        <w:rPr>
          <w:lang w:val="en-US"/>
        </w:rPr>
      </w:pPr>
      <w:r>
        <w:rPr>
          <w:lang w:eastAsia="zh-CN"/>
        </w:rPr>
        <w:t>标准第</w:t>
      </w:r>
      <w:r>
        <w:rPr>
          <w:lang w:val="en-US"/>
        </w:rPr>
        <w:t>4</w:t>
      </w:r>
      <w:r>
        <w:rPr>
          <w:lang w:eastAsia="zh-CN"/>
        </w:rPr>
        <w:t>章“型号与结构形式”对气气板式热交换器的型号与结构形式作出了文字与图例说明。</w:t>
      </w:r>
    </w:p>
    <w:p>
      <w:pPr>
        <w:pStyle w:val="11"/>
        <w:widowControl/>
        <w:ind w:left="0" w:firstLine="420"/>
        <w:rPr>
          <w:lang w:val="en-US"/>
        </w:rPr>
      </w:pPr>
      <w:r>
        <w:rPr>
          <w:lang w:eastAsia="zh-CN"/>
        </w:rPr>
        <w:t>标准第五章“材料要求”对气气板式热交换器制造所用材料给出了具体要求。</w:t>
      </w:r>
    </w:p>
    <w:p>
      <w:pPr>
        <w:pStyle w:val="11"/>
        <w:widowControl/>
        <w:ind w:left="0" w:firstLine="420"/>
        <w:rPr>
          <w:lang w:val="en-US"/>
        </w:rPr>
      </w:pPr>
      <w:r>
        <w:rPr>
          <w:lang w:eastAsia="zh-CN"/>
        </w:rPr>
        <w:t>标准第六章“工艺要求”对气气板式热交换器制造工艺给出了具体要求，主要包括焊接要求及装配要求。</w:t>
      </w:r>
    </w:p>
    <w:p>
      <w:pPr>
        <w:pStyle w:val="11"/>
        <w:widowControl/>
        <w:ind w:left="0" w:firstLine="420"/>
        <w:rPr>
          <w:lang w:val="en-US"/>
        </w:rPr>
      </w:pPr>
      <w:r>
        <w:rPr>
          <w:lang w:eastAsia="zh-CN"/>
        </w:rPr>
        <w:t>标准第七章“设备要求”对板片、板片固定板、板片侧板、设备支撑、设备进出集风口、检修人孔、进出接口、起吊结构、排净口、设备外观、气密性要求及设备保温给出了具体要求。</w:t>
      </w:r>
    </w:p>
    <w:p>
      <w:pPr>
        <w:pStyle w:val="11"/>
        <w:widowControl/>
        <w:ind w:left="0" w:firstLine="420"/>
        <w:rPr>
          <w:lang w:val="en-US"/>
        </w:rPr>
      </w:pPr>
      <w:r>
        <w:rPr>
          <w:lang w:eastAsia="zh-CN"/>
        </w:rPr>
        <w:t>标准第八章“检验方法”对板片、板片固定板与侧板、设备进出集风口与回转集箱、设备连接法兰、焊接、压力试验给出了具体的检验方法。</w:t>
      </w:r>
    </w:p>
    <w:p>
      <w:pPr>
        <w:pStyle w:val="11"/>
        <w:widowControl/>
        <w:ind w:left="0" w:firstLine="420"/>
        <w:rPr>
          <w:lang w:val="en-US"/>
        </w:rPr>
      </w:pPr>
      <w:r>
        <w:rPr>
          <w:lang w:eastAsia="zh-CN"/>
        </w:rPr>
        <w:t>标准第九章“标志、包装、运输、贮存”对气气板式热交换器的标志、包装、运输及贮存作了规定。</w:t>
      </w:r>
    </w:p>
    <w:p>
      <w:pPr>
        <w:pStyle w:val="13"/>
        <w:widowControl/>
        <w:numPr>
          <w:ilvl w:val="1"/>
          <w:numId w:val="1"/>
        </w:numPr>
        <w:spacing w:before="240" w:beforeLines="100" w:beforeAutospacing="0" w:after="240" w:afterLines="100" w:afterAutospacing="0"/>
        <w:ind w:left="0" w:right="0" w:firstLine="0"/>
        <w:rPr>
          <w:lang w:val="en-US"/>
        </w:rPr>
      </w:pPr>
      <w:bookmarkStart w:id="15" w:name="_Toc7715"/>
      <w:r>
        <w:rPr>
          <w:lang w:eastAsia="zh-CN"/>
        </w:rPr>
        <w:t>采用国际标准和国外先进标准的程度，与国际、国外同类标准水平的对比情况或与测试的国外样品、样机的有关数据对比情况</w:t>
      </w:r>
      <w:bookmarkEnd w:id="15"/>
    </w:p>
    <w:p>
      <w:pPr>
        <w:pStyle w:val="11"/>
        <w:widowControl/>
        <w:ind w:left="0" w:firstLine="420"/>
        <w:rPr>
          <w:lang w:val="en-US"/>
        </w:rPr>
      </w:pPr>
      <w:r>
        <w:rPr>
          <w:lang w:eastAsia="zh-CN"/>
        </w:rPr>
        <w:t>本标准与现行法律、法规、政策及相关标准无冲突。</w:t>
      </w:r>
    </w:p>
    <w:p>
      <w:pPr>
        <w:pStyle w:val="13"/>
        <w:widowControl/>
        <w:numPr>
          <w:ilvl w:val="1"/>
          <w:numId w:val="1"/>
        </w:numPr>
        <w:spacing w:before="240" w:beforeLines="100" w:beforeAutospacing="0" w:after="240" w:afterLines="100" w:afterAutospacing="0"/>
        <w:ind w:left="0" w:right="0" w:firstLine="0"/>
        <w:rPr>
          <w:lang w:val="en-US"/>
        </w:rPr>
      </w:pPr>
      <w:bookmarkStart w:id="16" w:name="_Toc6998"/>
      <w:r>
        <w:rPr>
          <w:lang w:eastAsia="zh-CN"/>
        </w:rPr>
        <w:t>与有关的现行法律、法规和强制性标准的关系</w:t>
      </w:r>
      <w:bookmarkEnd w:id="16"/>
    </w:p>
    <w:p>
      <w:pPr>
        <w:pStyle w:val="11"/>
        <w:widowControl/>
        <w:ind w:left="0" w:firstLine="420"/>
        <w:rPr>
          <w:lang w:val="en-US"/>
        </w:rPr>
      </w:pPr>
      <w:r>
        <w:rPr>
          <w:lang w:eastAsia="zh-CN"/>
        </w:rPr>
        <w:t>本标准主要引用了</w:t>
      </w:r>
      <w:r>
        <w:rPr>
          <w:lang w:val="en-US"/>
        </w:rPr>
        <w:t>NB/T47004-2009</w:t>
      </w:r>
      <w:r>
        <w:rPr>
          <w:lang w:eastAsia="zh-CN"/>
        </w:rPr>
        <w:t>、</w:t>
      </w:r>
      <w:r>
        <w:rPr>
          <w:lang w:val="en-US"/>
        </w:rPr>
        <w:t>GB/T14296-2008</w:t>
      </w:r>
      <w:r>
        <w:rPr>
          <w:lang w:eastAsia="zh-CN"/>
        </w:rPr>
        <w:t>标准，并结合余热回收行业应用实际进行了部分内容适度调整。与现行法律、法规和强制性标准无相互矛盾和抵触的条款。</w:t>
      </w:r>
    </w:p>
    <w:p>
      <w:pPr>
        <w:pStyle w:val="13"/>
        <w:widowControl/>
        <w:numPr>
          <w:ilvl w:val="1"/>
          <w:numId w:val="1"/>
        </w:numPr>
        <w:spacing w:before="240" w:beforeLines="100" w:beforeAutospacing="0" w:after="240" w:afterLines="100" w:afterAutospacing="0"/>
        <w:ind w:left="0" w:right="0" w:firstLine="0"/>
        <w:rPr>
          <w:lang w:val="en-US"/>
        </w:rPr>
      </w:pPr>
      <w:bookmarkStart w:id="17" w:name="_Toc22793"/>
      <w:r>
        <w:rPr>
          <w:lang w:eastAsia="zh-CN"/>
        </w:rPr>
        <w:t>重大分歧意见的处理经过和依据</w:t>
      </w:r>
      <w:bookmarkEnd w:id="17"/>
    </w:p>
    <w:p>
      <w:pPr>
        <w:pStyle w:val="11"/>
        <w:widowControl/>
        <w:ind w:left="0" w:firstLine="420"/>
        <w:rPr>
          <w:lang w:val="en-US"/>
        </w:rPr>
      </w:pPr>
      <w:r>
        <w:rPr>
          <w:lang w:eastAsia="zh-CN"/>
        </w:rPr>
        <w:t>本标准在制定过程中未出现重大分歧意见。</w:t>
      </w:r>
    </w:p>
    <w:p>
      <w:pPr>
        <w:pStyle w:val="13"/>
        <w:widowControl/>
        <w:numPr>
          <w:ilvl w:val="1"/>
          <w:numId w:val="1"/>
        </w:numPr>
        <w:spacing w:before="240" w:beforeLines="100" w:beforeAutospacing="0" w:after="240" w:afterLines="100" w:afterAutospacing="0"/>
        <w:ind w:left="0" w:right="0" w:firstLine="0"/>
        <w:rPr>
          <w:lang w:val="en-US"/>
        </w:rPr>
      </w:pPr>
      <w:bookmarkStart w:id="18" w:name="_Toc13630"/>
      <w:r>
        <w:rPr>
          <w:lang w:eastAsia="zh-CN"/>
        </w:rPr>
        <w:t>实施地方标准要求和措施建议</w:t>
      </w:r>
      <w:bookmarkEnd w:id="18"/>
    </w:p>
    <w:p>
      <w:pPr>
        <w:pStyle w:val="11"/>
        <w:widowControl/>
        <w:ind w:left="0" w:firstLine="420"/>
        <w:rPr>
          <w:lang w:val="en-US"/>
        </w:rPr>
      </w:pPr>
      <w:r>
        <w:rPr>
          <w:lang w:eastAsia="zh-CN"/>
        </w:rPr>
        <w:t>建议作为推荐性地方标准发布，建议发布之日三个月后正式实施。标准发布后，由标准主管部门及时组织宣贯，确保标准的顺利实施。</w:t>
      </w:r>
    </w:p>
    <w:p/>
    <w:sectPr>
      <w:footerReference r:id="rId3" w:type="default"/>
      <w:pgSz w:w="12240" w:h="15840"/>
      <w:pgMar w:top="1440" w:right="1800" w:bottom="1440" w:left="1800" w:header="720" w:footer="72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23C5E"/>
    <w:multiLevelType w:val="multilevel"/>
    <w:tmpl w:val="ED523C5E"/>
    <w:lvl w:ilvl="0" w:tentative="0">
      <w:start w:val="1"/>
      <w:numFmt w:val="none"/>
      <w:suff w:val="nothing"/>
      <w:lvlText w:val="%1"/>
      <w:lvlJc w:val="left"/>
      <w:pPr>
        <w:ind w:left="0" w:firstLine="0"/>
      </w:pPr>
    </w:lvl>
    <w:lvl w:ilvl="1" w:tentative="0">
      <w:start w:val="1"/>
      <w:numFmt w:val="decimal"/>
      <w:pStyle w:val="13"/>
      <w:suff w:val="nothing"/>
      <w:lvlText w:val="%1%2　"/>
      <w:lvlJc w:val="left"/>
      <w:pPr>
        <w:ind w:left="284" w:firstLine="0"/>
      </w:pPr>
      <w:rPr>
        <w:rFonts w:hint="eastAsia" w:ascii="黑体" w:hAnsi="Times New Roman" w:eastAsia="黑体" w:cs="黑体"/>
        <w:b w:val="0"/>
        <w:i w:val="0"/>
        <w:sz w:val="21"/>
      </w:rPr>
    </w:lvl>
    <w:lvl w:ilvl="2" w:tentative="0">
      <w:start w:val="1"/>
      <w:numFmt w:val="decimal"/>
      <w:pStyle w:val="14"/>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1">
    <w:nsid w:val="5F706455"/>
    <w:multiLevelType w:val="multilevel"/>
    <w:tmpl w:val="5F706455"/>
    <w:lvl w:ilvl="0" w:tentative="0">
      <w:start w:val="1"/>
      <w:numFmt w:val="lowerLetter"/>
      <w:lvlText w:val="%1)"/>
      <w:lvlJc w:val="left"/>
      <w:pPr>
        <w:tabs>
          <w:tab w:val="left" w:pos="851"/>
        </w:tabs>
        <w:ind w:left="851" w:hanging="426"/>
      </w:pPr>
      <w:rPr>
        <w:rFonts w:hint="eastAsia" w:ascii="宋体" w:hAnsi="Times New Roman" w:eastAsia="宋体" w:cs="宋体"/>
        <w:sz w:val="21"/>
      </w:rPr>
    </w:lvl>
    <w:lvl w:ilvl="1" w:tentative="0">
      <w:start w:val="1"/>
      <w:numFmt w:val="decimal"/>
      <w:pStyle w:val="15"/>
      <w:lvlText w:val="%2)"/>
      <w:lvlJc w:val="left"/>
      <w:pPr>
        <w:tabs>
          <w:tab w:val="left" w:pos="1276"/>
        </w:tabs>
        <w:ind w:left="1276" w:hanging="425"/>
      </w:pPr>
      <w:rPr>
        <w:rFonts w:hint="eastAsia" w:ascii="宋体" w:hAnsi="Times New Roman" w:eastAsia="宋体" w:cs="宋体"/>
        <w:sz w:val="21"/>
      </w:rPr>
    </w:lvl>
    <w:lvl w:ilvl="2" w:tentative="0">
      <w:start w:val="1"/>
      <w:numFmt w:val="decimal"/>
      <w:lvlText w:val="(%3)"/>
      <w:lvlJc w:val="left"/>
      <w:pPr>
        <w:ind w:left="1702" w:hanging="425"/>
      </w:pPr>
      <w:rPr>
        <w:rFonts w:hint="eastAsia" w:ascii="宋体" w:hAnsi="Times New Roman" w:eastAsia="宋体" w:cs="宋体"/>
        <w:sz w:val="21"/>
      </w:rPr>
    </w:lvl>
    <w:lvl w:ilvl="3" w:tentative="0">
      <w:start w:val="1"/>
      <w:numFmt w:val="decimal"/>
      <w:lvlText w:val="%4."/>
      <w:lvlJc w:val="left"/>
      <w:pPr>
        <w:tabs>
          <w:tab w:val="left" w:pos="2100"/>
        </w:tabs>
        <w:ind w:left="2099" w:hanging="419"/>
      </w:pPr>
    </w:lvl>
    <w:lvl w:ilvl="4" w:tentative="0">
      <w:start w:val="1"/>
      <w:numFmt w:val="lowerLetter"/>
      <w:lvlText w:val="%5)"/>
      <w:lvlJc w:val="left"/>
      <w:pPr>
        <w:tabs>
          <w:tab w:val="left" w:pos="2520"/>
        </w:tabs>
        <w:ind w:left="2519" w:hanging="419"/>
      </w:pPr>
    </w:lvl>
    <w:lvl w:ilvl="5" w:tentative="0">
      <w:start w:val="1"/>
      <w:numFmt w:val="lowerRoman"/>
      <w:lvlText w:val="%6."/>
      <w:lvlJc w:val="right"/>
      <w:pPr>
        <w:tabs>
          <w:tab w:val="left" w:pos="2940"/>
        </w:tabs>
        <w:ind w:left="2939" w:hanging="419"/>
      </w:pPr>
    </w:lvl>
    <w:lvl w:ilvl="6" w:tentative="0">
      <w:start w:val="1"/>
      <w:numFmt w:val="decimal"/>
      <w:lvlText w:val="%7."/>
      <w:lvlJc w:val="left"/>
      <w:pPr>
        <w:tabs>
          <w:tab w:val="left" w:pos="3360"/>
        </w:tabs>
        <w:ind w:left="3359" w:hanging="419"/>
      </w:pPr>
    </w:lvl>
    <w:lvl w:ilvl="7" w:tentative="0">
      <w:start w:val="1"/>
      <w:numFmt w:val="lowerLetter"/>
      <w:lvlText w:val="%8)"/>
      <w:lvlJc w:val="left"/>
      <w:pPr>
        <w:tabs>
          <w:tab w:val="left" w:pos="3780"/>
        </w:tabs>
        <w:ind w:left="3779" w:hanging="419"/>
      </w:pPr>
    </w:lvl>
    <w:lvl w:ilvl="8" w:tentative="0">
      <w:start w:val="1"/>
      <w:numFmt w:val="lowerRoman"/>
      <w:lvlText w:val="%9."/>
      <w:lvlJc w:val="right"/>
      <w:pPr>
        <w:tabs>
          <w:tab w:val="left" w:pos="4200"/>
        </w:tabs>
        <w:ind w:left="4199" w:hanging="419"/>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NDc5ZmU4YTM1ZjVhODcyYWQyMzg0ZjkxMzkzMmMifQ=="/>
  </w:docVars>
  <w:rsids>
    <w:rsidRoot w:val="7F6B5B3E"/>
    <w:rsid w:val="1CC84D28"/>
    <w:rsid w:val="26106FBE"/>
    <w:rsid w:val="7F6B5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12"/>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styleId="5">
    <w:name w:val="toc 2"/>
    <w:basedOn w:val="1"/>
    <w:next w:val="1"/>
    <w:uiPriority w:val="0"/>
    <w:pPr>
      <w:ind w:left="420" w:leftChars="200"/>
    </w:pPr>
  </w:style>
  <w:style w:type="table" w:styleId="7">
    <w:name w:val="Table Grid"/>
    <w:basedOn w:val="6"/>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9">
    <w:name w:val="封面标准名称"/>
    <w:basedOn w:val="1"/>
    <w:qFormat/>
    <w:uiPriority w:val="0"/>
    <w:pPr>
      <w:keepNext w:val="0"/>
      <w:keepLines w:val="0"/>
      <w:widowControl w:val="0"/>
      <w:suppressLineNumbers w:val="0"/>
      <w:adjustRightInd/>
      <w:spacing w:before="0" w:beforeAutospacing="0" w:after="0" w:afterAutospacing="0" w:line="680" w:lineRule="exact"/>
      <w:ind w:left="0" w:right="0"/>
      <w:jc w:val="center"/>
    </w:pPr>
    <w:rPr>
      <w:rFonts w:hint="eastAsia" w:ascii="黑体" w:hAnsi="Times New Roman" w:eastAsia="黑体" w:cs="Times New Roman"/>
      <w:kern w:val="0"/>
      <w:sz w:val="52"/>
      <w:szCs w:val="20"/>
      <w:lang w:val="en-US" w:eastAsia="zh-CN" w:bidi="ar"/>
    </w:rPr>
  </w:style>
  <w:style w:type="paragraph" w:customStyle="1" w:styleId="10">
    <w:name w:val="标准文件_表格"/>
    <w:basedOn w:val="11"/>
    <w:uiPriority w:val="0"/>
    <w:pPr>
      <w:keepNext w:val="0"/>
      <w:keepLines w:val="0"/>
      <w:widowControl/>
      <w:suppressLineNumbers w:val="0"/>
      <w:autoSpaceDE w:val="0"/>
      <w:autoSpaceDN w:val="0"/>
      <w:spacing w:before="0" w:beforeAutospacing="0" w:after="0" w:afterAutospacing="0"/>
      <w:ind w:left="0" w:right="0" w:firstLine="0" w:firstLineChars="0"/>
      <w:jc w:val="center"/>
    </w:pPr>
    <w:rPr>
      <w:rFonts w:hint="eastAsia" w:ascii="宋体" w:hAnsi="Times New Roman" w:eastAsia="宋体" w:cs="Times New Roman"/>
      <w:kern w:val="0"/>
      <w:sz w:val="18"/>
      <w:szCs w:val="20"/>
      <w:lang w:val="en-US" w:eastAsia="zh-CN" w:bidi="ar"/>
    </w:rPr>
  </w:style>
  <w:style w:type="paragraph" w:customStyle="1" w:styleId="11">
    <w:name w:val="标准文件_段"/>
    <w:basedOn w:val="1"/>
    <w:link w:val="16"/>
    <w:uiPriority w:val="0"/>
    <w:pPr>
      <w:keepNext w:val="0"/>
      <w:keepLines w:val="0"/>
      <w:widowControl/>
      <w:suppressLineNumbers w:val="0"/>
      <w:autoSpaceDE w:val="0"/>
      <w:autoSpaceDN w:val="0"/>
      <w:adjustRightInd/>
      <w:spacing w:before="0" w:beforeAutospacing="0" w:after="0" w:afterAutospacing="0" w:line="240" w:lineRule="auto"/>
      <w:ind w:left="0" w:right="0" w:firstLine="200" w:firstLineChars="200"/>
      <w:jc w:val="both"/>
    </w:pPr>
    <w:rPr>
      <w:rFonts w:hint="eastAsia" w:ascii="宋体" w:hAnsi="Times New Roman" w:eastAsia="宋体" w:cs="Times New Roman"/>
      <w:kern w:val="0"/>
      <w:sz w:val="21"/>
      <w:szCs w:val="20"/>
      <w:lang w:val="en-US" w:eastAsia="zh-CN" w:bidi="ar"/>
    </w:rPr>
  </w:style>
  <w:style w:type="character" w:customStyle="1" w:styleId="12">
    <w:name w:val="页眉 字符"/>
    <w:basedOn w:val="8"/>
    <w:link w:val="3"/>
    <w:qFormat/>
    <w:uiPriority w:val="0"/>
    <w:rPr>
      <w:kern w:val="2"/>
      <w:sz w:val="18"/>
      <w:szCs w:val="18"/>
    </w:rPr>
  </w:style>
  <w:style w:type="paragraph" w:customStyle="1" w:styleId="13">
    <w:name w:val="标准文件_章标题"/>
    <w:basedOn w:val="1"/>
    <w:next w:val="11"/>
    <w:uiPriority w:val="0"/>
    <w:pPr>
      <w:keepNext w:val="0"/>
      <w:keepLines w:val="0"/>
      <w:widowControl/>
      <w:numPr>
        <w:ilvl w:val="1"/>
        <w:numId w:val="1"/>
      </w:numPr>
      <w:suppressLineNumbers w:val="0"/>
      <w:adjustRightInd/>
      <w:spacing w:before="100" w:beforeLines="100" w:beforeAutospacing="0" w:after="100" w:afterLines="100" w:afterAutospacing="0" w:line="240" w:lineRule="auto"/>
      <w:ind w:left="0" w:right="0" w:firstLine="0"/>
      <w:jc w:val="both"/>
      <w:outlineLvl w:val="0"/>
    </w:pPr>
    <w:rPr>
      <w:rFonts w:hint="eastAsia" w:ascii="黑体" w:hAnsi="Times New Roman" w:eastAsia="黑体" w:cs="Times New Roman"/>
      <w:kern w:val="0"/>
      <w:sz w:val="21"/>
      <w:szCs w:val="20"/>
      <w:lang w:val="en-US" w:eastAsia="zh-CN" w:bidi="ar"/>
    </w:rPr>
  </w:style>
  <w:style w:type="paragraph" w:customStyle="1" w:styleId="14">
    <w:name w:val="标准文件_一级条标题"/>
    <w:basedOn w:val="13"/>
    <w:next w:val="11"/>
    <w:qFormat/>
    <w:uiPriority w:val="0"/>
    <w:pPr>
      <w:keepNext w:val="0"/>
      <w:keepLines w:val="0"/>
      <w:widowControl/>
      <w:numPr>
        <w:ilvl w:val="2"/>
        <w:numId w:val="1"/>
      </w:numPr>
      <w:suppressLineNumbers w:val="0"/>
      <w:spacing w:before="50" w:beforeLines="50" w:beforeAutospacing="0" w:after="50" w:afterLines="50" w:afterAutospacing="0"/>
      <w:ind w:left="0" w:right="0" w:firstLine="0"/>
      <w:jc w:val="both"/>
      <w:outlineLvl w:val="1"/>
    </w:pPr>
    <w:rPr>
      <w:rFonts w:hint="eastAsia" w:ascii="黑体" w:hAnsi="Times New Roman" w:eastAsia="黑体" w:cs="Times New Roman"/>
      <w:kern w:val="0"/>
      <w:sz w:val="21"/>
      <w:szCs w:val="20"/>
      <w:lang w:val="en-US" w:eastAsia="zh-CN" w:bidi="ar"/>
    </w:rPr>
  </w:style>
  <w:style w:type="paragraph" w:customStyle="1" w:styleId="15">
    <w:name w:val="标准文件_数字编号列项（二级）"/>
    <w:basedOn w:val="1"/>
    <w:qFormat/>
    <w:uiPriority w:val="0"/>
    <w:pPr>
      <w:keepNext w:val="0"/>
      <w:keepLines w:val="0"/>
      <w:widowControl/>
      <w:numPr>
        <w:ilvl w:val="1"/>
        <w:numId w:val="2"/>
      </w:numPr>
      <w:suppressLineNumbers w:val="0"/>
      <w:adjustRightInd/>
      <w:spacing w:before="0" w:beforeAutospacing="0" w:after="0" w:afterAutospacing="0" w:line="240" w:lineRule="auto"/>
      <w:ind w:left="1276" w:right="0" w:hanging="425"/>
      <w:jc w:val="both"/>
    </w:pPr>
    <w:rPr>
      <w:rFonts w:hint="eastAsia" w:ascii="宋体" w:hAnsi="Times New Roman" w:eastAsia="宋体" w:cs="Times New Roman"/>
      <w:kern w:val="0"/>
      <w:sz w:val="21"/>
      <w:szCs w:val="20"/>
      <w:lang w:val="en-US" w:eastAsia="zh-CN" w:bidi="ar"/>
    </w:rPr>
  </w:style>
  <w:style w:type="character" w:customStyle="1" w:styleId="16">
    <w:name w:val="标准文件_段 Char"/>
    <w:basedOn w:val="8"/>
    <w:link w:val="11"/>
    <w:qFormat/>
    <w:uiPriority w:val="0"/>
    <w:rPr>
      <w:rFonts w:hint="eastAsia" w:ascii="宋体" w:hAnsi="Times New Roman" w:eastAsia="宋体" w:cs="宋体"/>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3754</Words>
  <Characters>4082</Characters>
  <Lines>0</Lines>
  <Paragraphs>0</Paragraphs>
  <TotalTime>4</TotalTime>
  <ScaleCrop>false</ScaleCrop>
  <LinksUpToDate>false</LinksUpToDate>
  <CharactersWithSpaces>4399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2022-08-16T07:22:00Z</dcterms:created>
  <dc:creator>力和海得</dc:creator>
  <cp:lastModifiedBy>力和海得</cp:lastModifiedBy>
  <dcterms:modified xsi:type="dcterms:W3CDTF">2022-08-16T07:46:33Z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5FA6C6551ED24A55AF3A8B0CF4D5C62C</vt:lpwstr>
  </property>
</Properties>
</file>