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p>
    <w:p>
      <w:pPr>
        <w:jc w:val="distribute"/>
        <w:rPr>
          <w:b/>
          <w:bCs/>
          <w:sz w:val="48"/>
          <w:szCs w:val="48"/>
        </w:rPr>
      </w:pPr>
      <w:r>
        <w:rPr>
          <w:rFonts w:hint="eastAsia"/>
          <w:b/>
          <w:bCs/>
          <w:sz w:val="48"/>
          <w:szCs w:val="48"/>
        </w:rPr>
        <w:t>湖南地方标准</w:t>
      </w:r>
    </w:p>
    <w:p>
      <w:pPr>
        <w:jc w:val="center"/>
        <w:rPr>
          <w:b/>
          <w:bCs/>
          <w:sz w:val="44"/>
          <w:szCs w:val="44"/>
        </w:rPr>
      </w:pPr>
    </w:p>
    <w:p>
      <w:pPr>
        <w:jc w:val="center"/>
        <w:rPr>
          <w:b/>
          <w:bCs/>
          <w:sz w:val="44"/>
          <w:szCs w:val="44"/>
        </w:rPr>
      </w:pPr>
    </w:p>
    <w:p>
      <w:pPr>
        <w:jc w:val="center"/>
        <w:rPr>
          <w:b/>
          <w:bCs/>
          <w:sz w:val="44"/>
          <w:szCs w:val="44"/>
        </w:rPr>
      </w:pPr>
    </w:p>
    <w:p>
      <w:pPr>
        <w:jc w:val="center"/>
        <w:rPr>
          <w:b/>
          <w:bCs/>
          <w:sz w:val="44"/>
          <w:szCs w:val="44"/>
        </w:rPr>
      </w:pPr>
    </w:p>
    <w:p>
      <w:pPr>
        <w:jc w:val="center"/>
        <w:rPr>
          <w:b/>
          <w:bCs/>
          <w:sz w:val="44"/>
          <w:szCs w:val="44"/>
        </w:rPr>
      </w:pPr>
    </w:p>
    <w:p>
      <w:pPr>
        <w:jc w:val="center"/>
        <w:rPr>
          <w:b/>
          <w:bCs/>
          <w:sz w:val="44"/>
          <w:szCs w:val="44"/>
        </w:rPr>
      </w:pPr>
    </w:p>
    <w:p>
      <w:pPr>
        <w:jc w:val="center"/>
        <w:rPr>
          <w:rFonts w:hint="eastAsia" w:ascii="黑体" w:hAnsi="ºÚÌå" w:eastAsia="黑体" w:cs="黑体"/>
          <w:color w:val="000000"/>
          <w:kern w:val="0"/>
          <w:sz w:val="52"/>
          <w:szCs w:val="52"/>
          <w:lang w:val="en-US" w:eastAsia="zh-CN"/>
        </w:rPr>
      </w:pPr>
      <w:r>
        <w:rPr>
          <w:rFonts w:hint="eastAsia" w:ascii="黑体" w:hAnsi="ºÚÌå" w:eastAsia="黑体" w:cs="黑体"/>
          <w:color w:val="000000"/>
          <w:kern w:val="0"/>
          <w:sz w:val="52"/>
          <w:szCs w:val="52"/>
          <w:lang w:val="en-US" w:eastAsia="zh-CN"/>
        </w:rPr>
        <w:t>压力烧结炉通用技术要求</w:t>
      </w:r>
    </w:p>
    <w:p>
      <w:pPr>
        <w:jc w:val="center"/>
        <w:rPr>
          <w:rFonts w:hint="default" w:eastAsia="宋体"/>
          <w:bCs/>
          <w:sz w:val="30"/>
          <w:szCs w:val="30"/>
          <w:lang w:val="en-US" w:eastAsia="zh-CN"/>
        </w:rPr>
      </w:pPr>
      <w:r>
        <w:rPr>
          <w:rFonts w:hint="eastAsia"/>
          <w:bCs/>
          <w:sz w:val="30"/>
          <w:szCs w:val="30"/>
          <w:lang w:val="en-US" w:eastAsia="zh-CN"/>
        </w:rPr>
        <w:t>General technical requirements for pressure sintering furnace</w:t>
      </w:r>
    </w:p>
    <w:p>
      <w:pPr>
        <w:jc w:val="center"/>
        <w:rPr>
          <w:bCs/>
          <w:sz w:val="30"/>
          <w:szCs w:val="30"/>
        </w:rPr>
      </w:pPr>
      <w:r>
        <w:rPr>
          <w:bCs/>
          <w:sz w:val="30"/>
          <w:szCs w:val="30"/>
        </w:rPr>
        <w:t>(</w:t>
      </w:r>
      <w:r>
        <w:rPr>
          <w:rFonts w:hint="eastAsia"/>
          <w:bCs/>
          <w:sz w:val="30"/>
          <w:szCs w:val="30"/>
        </w:rPr>
        <w:t>征求意见稿</w:t>
      </w:r>
      <w:r>
        <w:rPr>
          <w:bCs/>
          <w:sz w:val="30"/>
          <w:szCs w:val="30"/>
        </w:rPr>
        <w:t>)</w:t>
      </w:r>
    </w:p>
    <w:p>
      <w:pPr>
        <w:jc w:val="center"/>
        <w:rPr>
          <w:b/>
          <w:bCs/>
          <w:sz w:val="44"/>
          <w:szCs w:val="44"/>
        </w:rPr>
      </w:pPr>
    </w:p>
    <w:p>
      <w:pPr>
        <w:spacing w:line="1440" w:lineRule="auto"/>
        <w:jc w:val="center"/>
        <w:rPr>
          <w:rFonts w:ascii="宋体"/>
          <w:b/>
          <w:spacing w:val="-20"/>
          <w:sz w:val="52"/>
          <w:szCs w:val="52"/>
        </w:rPr>
      </w:pPr>
      <w:r>
        <w:rPr>
          <w:rFonts w:hint="eastAsia" w:ascii="宋体" w:hAnsi="宋体"/>
          <w:b/>
          <w:spacing w:val="-20"/>
          <w:sz w:val="52"/>
          <w:szCs w:val="52"/>
        </w:rPr>
        <w:t>编制说明</w:t>
      </w:r>
    </w:p>
    <w:p>
      <w:pPr>
        <w:jc w:val="center"/>
        <w:rPr>
          <w:b/>
          <w:bCs/>
          <w:sz w:val="44"/>
          <w:szCs w:val="44"/>
        </w:rPr>
      </w:pPr>
    </w:p>
    <w:p>
      <w:pPr>
        <w:jc w:val="center"/>
        <w:rPr>
          <w:b/>
          <w:bCs/>
          <w:sz w:val="44"/>
          <w:szCs w:val="44"/>
        </w:rPr>
      </w:pPr>
    </w:p>
    <w:p>
      <w:pPr>
        <w:jc w:val="center"/>
        <w:rPr>
          <w:b/>
          <w:bCs/>
          <w:sz w:val="44"/>
          <w:szCs w:val="44"/>
        </w:rPr>
      </w:pPr>
    </w:p>
    <w:p>
      <w:pPr>
        <w:jc w:val="center"/>
        <w:rPr>
          <w:b/>
          <w:bCs/>
          <w:sz w:val="44"/>
          <w:szCs w:val="44"/>
        </w:rPr>
      </w:pPr>
    </w:p>
    <w:p>
      <w:pPr>
        <w:jc w:val="center"/>
        <w:rPr>
          <w:rFonts w:hAnsi="宋体"/>
          <w:b/>
          <w:bCs/>
          <w:sz w:val="30"/>
          <w:szCs w:val="30"/>
        </w:rPr>
      </w:pPr>
    </w:p>
    <w:p>
      <w:pPr>
        <w:jc w:val="center"/>
        <w:rPr>
          <w:rFonts w:hint="eastAsia" w:hAnsi="宋体"/>
          <w:b/>
          <w:bCs/>
          <w:sz w:val="30"/>
          <w:szCs w:val="30"/>
          <w:lang w:val="en-US" w:eastAsia="zh-CN"/>
        </w:rPr>
      </w:pPr>
      <w:r>
        <w:rPr>
          <w:rFonts w:hint="eastAsia" w:hAnsi="宋体"/>
          <w:b/>
          <w:bCs/>
          <w:sz w:val="30"/>
          <w:szCs w:val="30"/>
          <w:lang w:val="en-US" w:eastAsia="zh-CN"/>
        </w:rPr>
        <w:t>株洲瑞德尔智能装备有限公司</w:t>
      </w:r>
    </w:p>
    <w:p>
      <w:pPr>
        <w:jc w:val="center"/>
        <w:rPr>
          <w:b/>
          <w:bCs/>
          <w:sz w:val="28"/>
          <w:szCs w:val="28"/>
        </w:rPr>
      </w:pPr>
      <w:r>
        <w:rPr>
          <w:rFonts w:hint="eastAsia" w:hAnsi="宋体"/>
          <w:b/>
          <w:bCs/>
          <w:sz w:val="28"/>
          <w:szCs w:val="28"/>
        </w:rPr>
        <w:t>二〇二二年</w:t>
      </w:r>
      <w:r>
        <w:rPr>
          <w:rFonts w:hint="eastAsia" w:hAnsi="宋体"/>
          <w:b/>
          <w:bCs/>
          <w:sz w:val="28"/>
          <w:szCs w:val="28"/>
          <w:lang w:val="en-US" w:eastAsia="zh-CN"/>
        </w:rPr>
        <w:t>八</w:t>
      </w:r>
      <w:r>
        <w:rPr>
          <w:rFonts w:hint="eastAsia" w:hAnsi="宋体"/>
          <w:b/>
          <w:bCs/>
          <w:sz w:val="28"/>
          <w:szCs w:val="28"/>
        </w:rPr>
        <w:t>月</w:t>
      </w:r>
    </w:p>
    <w:p>
      <w:pPr>
        <w:jc w:val="center"/>
        <w:rPr>
          <w:b/>
          <w:bCs/>
          <w:sz w:val="44"/>
          <w:szCs w:val="44"/>
        </w:rPr>
      </w:pPr>
      <w:r>
        <w:rPr>
          <w:rFonts w:hint="eastAsia" w:ascii="宋体" w:hAnsi="宋体"/>
          <w:b/>
          <w:bCs/>
          <w:sz w:val="44"/>
          <w:szCs w:val="44"/>
        </w:rPr>
        <w:t>编制说明</w:t>
      </w:r>
    </w:p>
    <w:p>
      <w:pPr>
        <w:adjustRightInd w:val="0"/>
        <w:snapToGrid w:val="0"/>
        <w:spacing w:line="440" w:lineRule="exact"/>
        <w:outlineLvl w:val="0"/>
        <w:rPr>
          <w:rFonts w:ascii="新宋体" w:hAnsi="新宋体" w:eastAsia="新宋体" w:cs="新宋体"/>
          <w:b/>
          <w:sz w:val="24"/>
        </w:rPr>
      </w:pPr>
    </w:p>
    <w:p>
      <w:pPr>
        <w:adjustRightInd w:val="0"/>
        <w:snapToGrid w:val="0"/>
        <w:spacing w:line="440" w:lineRule="exact"/>
        <w:outlineLvl w:val="0"/>
        <w:rPr>
          <w:rFonts w:ascii="新宋体" w:hAnsi="新宋体" w:eastAsia="新宋体" w:cs="新宋体"/>
          <w:b/>
          <w:sz w:val="24"/>
        </w:rPr>
      </w:pPr>
      <w:r>
        <w:rPr>
          <w:rFonts w:hint="eastAsia" w:ascii="新宋体" w:hAnsi="新宋体" w:eastAsia="新宋体" w:cs="新宋体"/>
          <w:b/>
          <w:sz w:val="24"/>
        </w:rPr>
        <w:t>一、工作简况</w:t>
      </w:r>
    </w:p>
    <w:p>
      <w:pPr>
        <w:adjustRightInd w:val="0"/>
        <w:snapToGrid w:val="0"/>
        <w:spacing w:line="440" w:lineRule="exact"/>
        <w:ind w:firstLine="420"/>
        <w:outlineLvl w:val="1"/>
        <w:rPr>
          <w:rFonts w:ascii="新宋体" w:hAnsi="新宋体" w:eastAsia="新宋体" w:cs="新宋体"/>
          <w:b/>
          <w:sz w:val="24"/>
        </w:rPr>
      </w:pPr>
      <w:r>
        <w:rPr>
          <w:rFonts w:hint="eastAsia" w:ascii="新宋体" w:hAnsi="新宋体" w:eastAsia="新宋体" w:cs="新宋体"/>
          <w:b/>
          <w:sz w:val="24"/>
        </w:rPr>
        <w:t>（一）标准项目的来源、制定标准的目的和意义、参加单位和协作单位人员分工。</w:t>
      </w:r>
    </w:p>
    <w:p>
      <w:pPr>
        <w:adjustRightInd w:val="0"/>
        <w:snapToGrid w:val="0"/>
        <w:spacing w:line="440" w:lineRule="exact"/>
        <w:ind w:firstLine="420"/>
        <w:outlineLvl w:val="2"/>
        <w:rPr>
          <w:rFonts w:ascii="新宋体" w:hAnsi="新宋体" w:eastAsia="新宋体" w:cs="新宋体"/>
          <w:b/>
          <w:sz w:val="24"/>
        </w:rPr>
      </w:pPr>
      <w:r>
        <w:rPr>
          <w:rFonts w:hint="eastAsia" w:ascii="新宋体" w:hAnsi="新宋体" w:eastAsia="新宋体" w:cs="新宋体"/>
          <w:b/>
          <w:sz w:val="24"/>
        </w:rPr>
        <w:t>1、标准项目的来源</w:t>
      </w:r>
    </w:p>
    <w:p>
      <w:pPr>
        <w:pStyle w:val="29"/>
        <w:spacing w:line="360" w:lineRule="auto"/>
        <w:ind w:firstLine="480"/>
        <w:jc w:val="left"/>
        <w:rPr>
          <w:rFonts w:asciiTheme="minorEastAsia" w:hAnsiTheme="minorEastAsia" w:eastAsiaTheme="minorEastAsia"/>
          <w:sz w:val="24"/>
          <w:szCs w:val="24"/>
          <w:highlight w:val="none"/>
        </w:rPr>
      </w:pPr>
      <w:r>
        <w:rPr>
          <w:rFonts w:hint="eastAsia" w:asciiTheme="minorEastAsia" w:hAnsiTheme="minorEastAsia" w:eastAsiaTheme="minorEastAsia"/>
          <w:color w:val="auto"/>
          <w:sz w:val="24"/>
          <w:szCs w:val="24"/>
          <w:highlight w:val="none"/>
          <w:lang w:val="en-US" w:eastAsia="zh-CN"/>
        </w:rPr>
        <w:t>2022年1</w:t>
      </w:r>
      <w:r>
        <w:rPr>
          <w:rFonts w:hint="eastAsia" w:asciiTheme="minorEastAsia" w:hAnsiTheme="minorEastAsia" w:eastAsiaTheme="minorEastAsia"/>
          <w:color w:val="auto"/>
          <w:sz w:val="24"/>
          <w:szCs w:val="24"/>
          <w:highlight w:val="none"/>
          <w:lang w:val="en-US" w:eastAsia="zh-CN"/>
        </w:rPr>
        <w:t>月14</w:t>
      </w:r>
      <w:r>
        <w:rPr>
          <w:rFonts w:hint="eastAsia" w:asciiTheme="minorEastAsia" w:hAnsiTheme="minorEastAsia" w:eastAsiaTheme="minorEastAsia"/>
          <w:color w:val="auto"/>
          <w:sz w:val="24"/>
          <w:szCs w:val="24"/>
          <w:highlight w:val="none"/>
          <w:lang w:val="en-US" w:eastAsia="zh-CN"/>
        </w:rPr>
        <w:t>日，</w:t>
      </w:r>
      <w:r>
        <w:rPr>
          <w:rFonts w:hint="eastAsia" w:asciiTheme="minorEastAsia" w:hAnsiTheme="minorEastAsia" w:eastAsiaTheme="minorEastAsia"/>
          <w:sz w:val="24"/>
          <w:szCs w:val="24"/>
          <w:highlight w:val="none"/>
        </w:rPr>
        <w:t>由</w:t>
      </w:r>
      <w:r>
        <w:rPr>
          <w:rFonts w:hint="eastAsia" w:asciiTheme="minorEastAsia" w:hAnsiTheme="minorEastAsia" w:eastAsiaTheme="minorEastAsia"/>
          <w:sz w:val="24"/>
          <w:szCs w:val="24"/>
          <w:highlight w:val="none"/>
          <w:lang w:val="en-US" w:eastAsia="zh-CN"/>
        </w:rPr>
        <w:t>株洲瑞德尔智能装备有限公司</w:t>
      </w:r>
      <w:r>
        <w:rPr>
          <w:rFonts w:hint="eastAsia" w:asciiTheme="minorEastAsia" w:hAnsiTheme="minorEastAsia" w:eastAsiaTheme="minorEastAsia"/>
          <w:sz w:val="24"/>
          <w:szCs w:val="24"/>
          <w:highlight w:val="none"/>
        </w:rPr>
        <w:t>提出的地方标准《</w:t>
      </w:r>
      <w:r>
        <w:rPr>
          <w:rFonts w:hint="eastAsia" w:asciiTheme="minorEastAsia" w:hAnsiTheme="minorEastAsia" w:eastAsiaTheme="minorEastAsia"/>
          <w:sz w:val="24"/>
          <w:szCs w:val="24"/>
          <w:highlight w:val="none"/>
          <w:lang w:val="en-US" w:eastAsia="zh-CN"/>
        </w:rPr>
        <w:t>压力烧结炉通用技术要求</w:t>
      </w:r>
      <w:r>
        <w:rPr>
          <w:rFonts w:hint="eastAsia" w:asciiTheme="minorEastAsia" w:hAnsiTheme="minorEastAsia" w:eastAsiaTheme="minorEastAsia"/>
          <w:sz w:val="24"/>
          <w:szCs w:val="24"/>
          <w:highlight w:val="none"/>
        </w:rPr>
        <w:t>》在湖南省市场监督管理局立项。根据湘市监标函〔2022〕4 号（2021年1月14日）《湖南省市场监督管理局关于下达 2022 年第一批地方标准制修订项目计划的通知》正式将《</w:t>
      </w:r>
      <w:r>
        <w:rPr>
          <w:rFonts w:hint="eastAsia" w:asciiTheme="minorEastAsia" w:hAnsiTheme="minorEastAsia" w:eastAsiaTheme="minorEastAsia"/>
          <w:sz w:val="24"/>
          <w:szCs w:val="24"/>
          <w:highlight w:val="none"/>
          <w:lang w:val="en-US" w:eastAsia="zh-CN"/>
        </w:rPr>
        <w:t>压力烧结炉通用技术要求</w:t>
      </w:r>
      <w:r>
        <w:rPr>
          <w:rFonts w:hint="eastAsia" w:asciiTheme="minorEastAsia" w:hAnsiTheme="minorEastAsia" w:eastAsiaTheme="minorEastAsia"/>
          <w:sz w:val="24"/>
          <w:szCs w:val="24"/>
          <w:highlight w:val="none"/>
        </w:rPr>
        <w:t>》列为湖南省市场监督监督局地方标准制定项目，项目编号：</w:t>
      </w:r>
      <w:r>
        <w:rPr>
          <w:rFonts w:hint="eastAsia" w:asciiTheme="minorEastAsia" w:hAnsiTheme="minorEastAsia" w:eastAsiaTheme="minorEastAsia"/>
          <w:sz w:val="24"/>
          <w:szCs w:val="24"/>
          <w:highlight w:val="none"/>
          <w:lang w:val="en-US" w:eastAsia="zh-CN"/>
        </w:rPr>
        <w:t>60</w:t>
      </w:r>
      <w:r>
        <w:rPr>
          <w:rFonts w:hint="eastAsia" w:asciiTheme="minorEastAsia" w:hAnsiTheme="minorEastAsia" w:eastAsiaTheme="minorEastAsia"/>
          <w:sz w:val="24"/>
          <w:szCs w:val="24"/>
          <w:highlight w:val="none"/>
        </w:rPr>
        <w:t>。归口单位：湖南省市场监督管理局。行政主管部门：湖南省市场监督管理局。由湖南省市场监督管理局提出。由</w:t>
      </w:r>
      <w:r>
        <w:rPr>
          <w:rFonts w:hint="eastAsia" w:asciiTheme="minorEastAsia" w:hAnsiTheme="minorEastAsia" w:eastAsiaTheme="minorEastAsia"/>
          <w:sz w:val="24"/>
          <w:szCs w:val="24"/>
          <w:highlight w:val="none"/>
          <w:lang w:val="en-US" w:eastAsia="zh-CN"/>
        </w:rPr>
        <w:t>株洲市瑞德尔智能装备有限公司、中南大学和株洲市市场监督管理局</w:t>
      </w:r>
      <w:r>
        <w:rPr>
          <w:rFonts w:hint="eastAsia" w:asciiTheme="minorEastAsia" w:hAnsiTheme="minorEastAsia" w:eastAsiaTheme="minorEastAsia"/>
          <w:sz w:val="24"/>
          <w:szCs w:val="24"/>
          <w:highlight w:val="none"/>
        </w:rPr>
        <w:t>共同组成《</w:t>
      </w:r>
      <w:r>
        <w:rPr>
          <w:rFonts w:hint="eastAsia" w:asciiTheme="minorEastAsia" w:hAnsiTheme="minorEastAsia" w:eastAsiaTheme="minorEastAsia"/>
          <w:sz w:val="24"/>
          <w:szCs w:val="24"/>
          <w:highlight w:val="none"/>
          <w:lang w:val="en-US" w:eastAsia="zh-CN"/>
        </w:rPr>
        <w:t>压力烧结炉通用技术</w:t>
      </w:r>
      <w:bookmarkStart w:id="0" w:name="_GoBack"/>
      <w:bookmarkEnd w:id="0"/>
      <w:r>
        <w:rPr>
          <w:rFonts w:hint="eastAsia" w:asciiTheme="minorEastAsia" w:hAnsiTheme="minorEastAsia" w:eastAsiaTheme="minorEastAsia"/>
          <w:sz w:val="24"/>
          <w:szCs w:val="24"/>
          <w:highlight w:val="none"/>
          <w:lang w:val="en-US" w:eastAsia="zh-CN"/>
        </w:rPr>
        <w:t>要求</w:t>
      </w:r>
      <w:r>
        <w:rPr>
          <w:rFonts w:hint="eastAsia" w:asciiTheme="minorEastAsia" w:hAnsiTheme="minorEastAsia" w:eastAsiaTheme="minorEastAsia"/>
          <w:sz w:val="24"/>
          <w:szCs w:val="24"/>
          <w:highlight w:val="none"/>
        </w:rPr>
        <w:t>》地方技术标准起草组，负责本技术标准的撰写。</w:t>
      </w:r>
    </w:p>
    <w:p>
      <w:pPr>
        <w:adjustRightInd w:val="0"/>
        <w:snapToGrid w:val="0"/>
        <w:spacing w:line="440" w:lineRule="exact"/>
        <w:ind w:firstLine="420"/>
        <w:rPr>
          <w:rFonts w:ascii="新宋体" w:hAnsi="新宋体" w:eastAsia="新宋体" w:cs="新宋体"/>
          <w:b/>
          <w:sz w:val="24"/>
        </w:rPr>
      </w:pPr>
      <w:r>
        <w:rPr>
          <w:rFonts w:hint="eastAsia" w:ascii="新宋体" w:hAnsi="新宋体" w:eastAsia="新宋体" w:cs="新宋体"/>
          <w:b/>
          <w:sz w:val="24"/>
        </w:rPr>
        <w:t>2、制定标准的目的和意义</w:t>
      </w:r>
    </w:p>
    <w:p>
      <w:pPr>
        <w:pStyle w:val="29"/>
        <w:spacing w:line="360" w:lineRule="auto"/>
        <w:ind w:firstLine="48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2021年7月22日，国务院发布了关于新时代推动中部地区高质量发展的意见，提出着力构建以先进制造业为支撑的现代产业体系，在全面建设社会主义现代化国家新征程中作出更大贡献，《意见》指出要做大做强先进制造业，建设长株潭装备制造产业集群，深入实施制造业重大技术改造升级工程，重点促进湖南冶金等传统产业向智能化、绿色化、服务化发展。</w:t>
      </w:r>
    </w:p>
    <w:p>
      <w:pPr>
        <w:pStyle w:val="29"/>
        <w:spacing w:line="360" w:lineRule="auto"/>
        <w:ind w:firstLine="48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粉末冶金技术作为当前新材料科学中最具发展活力的分支之一，已被广泛应用于交通、机械、电子、航空航天等领域，在经济发展与国防建设中具有极其重要的战略意义。烧结作为粉末冶金生产过程中的最后一道主要工序，对最终产品的性能起着决定性的作用，因烧结造成的废品是无法通过以后的工序挽救的，烧结炉的整体技术性能与结构设计水平将直接决定产品的质量和竞争能力。</w:t>
      </w:r>
    </w:p>
    <w:p>
      <w:pPr>
        <w:pStyle w:val="29"/>
        <w:spacing w:line="360" w:lineRule="auto"/>
        <w:ind w:firstLine="48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目前的压力烧结炉主要采用卧式结构，维护空间相对狭小，在温度控制、冷却效率与操作灵活性上与国外仍存在不小的差距。例如，国内烧结炉的热效率不到40%，而国际水平已经达到60%以上。由此可见，提高压力烧结炉的技术指标水平具有重要的意义。</w:t>
      </w:r>
    </w:p>
    <w:p>
      <w:pPr>
        <w:pStyle w:val="29"/>
        <w:spacing w:line="360" w:lineRule="auto"/>
        <w:ind w:firstLine="480"/>
        <w:jc w:val="left"/>
        <w:rPr>
          <w:rFonts w:asciiTheme="minorEastAsia" w:hAnsiTheme="minorEastAsia" w:eastAsiaTheme="minorEastAsia"/>
          <w:sz w:val="24"/>
          <w:szCs w:val="24"/>
        </w:rPr>
      </w:pPr>
      <w:r>
        <w:rPr>
          <w:rFonts w:hint="eastAsia" w:asciiTheme="minorEastAsia" w:hAnsiTheme="minorEastAsia" w:eastAsiaTheme="minorEastAsia"/>
          <w:sz w:val="24"/>
          <w:szCs w:val="24"/>
          <w:highlight w:val="none"/>
        </w:rPr>
        <w:t>株洲瑞德尔</w:t>
      </w:r>
      <w:r>
        <w:rPr>
          <w:rFonts w:hint="eastAsia" w:asciiTheme="minorEastAsia" w:hAnsiTheme="minorEastAsia" w:eastAsiaTheme="minorEastAsia"/>
          <w:sz w:val="24"/>
          <w:szCs w:val="24"/>
          <w:highlight w:val="none"/>
          <w:lang w:val="en-US" w:eastAsia="zh-CN"/>
        </w:rPr>
        <w:t>智能装备</w:t>
      </w:r>
      <w:r>
        <w:rPr>
          <w:rFonts w:hint="eastAsia" w:asciiTheme="minorEastAsia" w:hAnsiTheme="minorEastAsia" w:eastAsiaTheme="minorEastAsia"/>
          <w:sz w:val="24"/>
          <w:szCs w:val="24"/>
          <w:highlight w:val="none"/>
        </w:rPr>
        <w:t>有限公司</w:t>
      </w:r>
      <w:r>
        <w:rPr>
          <w:rFonts w:hint="eastAsia" w:asciiTheme="minorEastAsia" w:hAnsiTheme="minorEastAsia" w:eastAsiaTheme="minorEastAsia"/>
          <w:sz w:val="24"/>
          <w:szCs w:val="24"/>
        </w:rPr>
        <w:t>（以下简称“瑞德尔”）潜心钻研压力烧结炉技术攻关，在株洲市相关政府部门的大力支持下，多项技术实现成果转化，有效提高了硬质合金生产企业的产品良率和生产效率。为压力烧结炉制定标准是对粉末冶金行业技术创新的有力支撑，是实现压力烧结炉关键技术突破的重要指导，保障压力烧结炉安全使用，有效弥补我国在压力烧结炉相关领域的标准规范空白，对先进硬质材料产业链的优化升级具有重要意义。</w:t>
      </w:r>
    </w:p>
    <w:p>
      <w:pPr>
        <w:adjustRightInd w:val="0"/>
        <w:snapToGrid w:val="0"/>
        <w:spacing w:line="440" w:lineRule="exact"/>
        <w:ind w:firstLine="420"/>
        <w:outlineLvl w:val="2"/>
        <w:rPr>
          <w:rFonts w:ascii="新宋体" w:hAnsi="新宋体" w:eastAsia="新宋体" w:cs="新宋体"/>
          <w:b/>
          <w:sz w:val="24"/>
        </w:rPr>
      </w:pPr>
      <w:r>
        <w:rPr>
          <w:rFonts w:hint="eastAsia" w:ascii="新宋体" w:hAnsi="新宋体" w:eastAsia="新宋体" w:cs="新宋体"/>
          <w:b/>
          <w:sz w:val="24"/>
        </w:rPr>
        <w:t>3、项目主要参加单位及人员</w:t>
      </w:r>
    </w:p>
    <w:p>
      <w:pPr>
        <w:pStyle w:val="29"/>
        <w:spacing w:line="360" w:lineRule="auto"/>
        <w:ind w:firstLine="480"/>
        <w:jc w:val="left"/>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项目组成员多年从事</w:t>
      </w:r>
      <w:r>
        <w:rPr>
          <w:rFonts w:hint="eastAsia" w:cs="Times New Roman" w:asciiTheme="minorEastAsia" w:hAnsiTheme="minorEastAsia" w:eastAsiaTheme="minorEastAsia"/>
          <w:sz w:val="24"/>
          <w:szCs w:val="24"/>
          <w:lang w:val="en-US" w:eastAsia="zh-CN"/>
        </w:rPr>
        <w:t>冶金设备制造</w:t>
      </w:r>
      <w:r>
        <w:rPr>
          <w:rFonts w:hint="eastAsia" w:cs="Times New Roman" w:asciiTheme="minorEastAsia" w:hAnsiTheme="minorEastAsia" w:eastAsiaTheme="minorEastAsia"/>
          <w:sz w:val="24"/>
          <w:szCs w:val="24"/>
        </w:rPr>
        <w:t>工作及相关研究，熟悉</w:t>
      </w:r>
      <w:r>
        <w:rPr>
          <w:rFonts w:hint="eastAsia" w:cs="Times New Roman" w:asciiTheme="minorEastAsia" w:hAnsiTheme="minorEastAsia" w:eastAsiaTheme="minorEastAsia"/>
          <w:sz w:val="24"/>
          <w:szCs w:val="24"/>
          <w:lang w:val="en-US" w:eastAsia="zh-CN"/>
        </w:rPr>
        <w:t>压力烧结炉</w:t>
      </w:r>
      <w:r>
        <w:rPr>
          <w:rFonts w:hint="eastAsia" w:cs="Times New Roman" w:asciiTheme="minorEastAsia" w:hAnsiTheme="minorEastAsia" w:eastAsiaTheme="minorEastAsia"/>
          <w:sz w:val="24"/>
          <w:szCs w:val="24"/>
        </w:rPr>
        <w:t>的相关技术要求和方法研究，成员主要来自</w:t>
      </w:r>
      <w:r>
        <w:rPr>
          <w:rFonts w:hint="eastAsia" w:cs="Times New Roman" w:asciiTheme="minorEastAsia" w:hAnsiTheme="minorEastAsia" w:eastAsiaTheme="minorEastAsia"/>
          <w:sz w:val="24"/>
          <w:szCs w:val="24"/>
          <w:lang w:val="en-US" w:eastAsia="zh-CN"/>
        </w:rPr>
        <w:t>株洲瑞德尔智能装备有限公司</w:t>
      </w:r>
      <w:r>
        <w:rPr>
          <w:rFonts w:hint="eastAsia" w:cs="Times New Roman" w:asciiTheme="minorEastAsia" w:hAnsiTheme="minorEastAsia" w:eastAsiaTheme="minorEastAsia"/>
          <w:sz w:val="24"/>
          <w:szCs w:val="24"/>
        </w:rPr>
        <w:t>。</w:t>
      </w:r>
    </w:p>
    <w:p>
      <w:pPr>
        <w:pStyle w:val="29"/>
        <w:spacing w:line="360" w:lineRule="auto"/>
        <w:ind w:firstLine="480"/>
        <w:jc w:val="left"/>
        <w:rPr>
          <w:rFonts w:hint="eastAsia" w:cs="Times New Roman" w:asciiTheme="minorEastAsia" w:hAnsiTheme="minorEastAsia" w:eastAsiaTheme="minorEastAsia"/>
          <w:sz w:val="24"/>
          <w:szCs w:val="24"/>
        </w:rPr>
      </w:pPr>
    </w:p>
    <w:p>
      <w:pPr>
        <w:jc w:val="center"/>
        <w:rPr>
          <w:rFonts w:hint="eastAsia" w:ascii="宋体" w:hAnsi="宋体" w:eastAsia="宋体" w:cs="宋体"/>
          <w:sz w:val="24"/>
        </w:rPr>
      </w:pPr>
      <w:r>
        <w:rPr>
          <w:rFonts w:hint="eastAsia" w:ascii="宋体" w:hAnsi="宋体" w:eastAsia="宋体" w:cs="宋体"/>
          <w:sz w:val="24"/>
        </w:rPr>
        <w:t>表1 项目主要参加单位及人员分工</w:t>
      </w:r>
    </w:p>
    <w:tbl>
      <w:tblPr>
        <w:tblStyle w:val="13"/>
        <w:tblW w:w="9435" w:type="dxa"/>
        <w:tblInd w:w="-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050"/>
        <w:gridCol w:w="1642"/>
        <w:gridCol w:w="1005"/>
        <w:gridCol w:w="2603"/>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35" w:type="dxa"/>
            <w:vAlign w:val="center"/>
          </w:tcPr>
          <w:p>
            <w:pPr>
              <w:adjustRightInd w:val="0"/>
              <w:snapToGrid w:val="0"/>
              <w:spacing w:line="440" w:lineRule="exact"/>
              <w:jc w:val="center"/>
              <w:outlineLvl w:val="1"/>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序号</w:t>
            </w:r>
          </w:p>
        </w:tc>
        <w:tc>
          <w:tcPr>
            <w:tcW w:w="1050" w:type="dxa"/>
            <w:vAlign w:val="center"/>
          </w:tcPr>
          <w:p>
            <w:pPr>
              <w:adjustRightInd w:val="0"/>
              <w:snapToGrid w:val="0"/>
              <w:spacing w:line="440" w:lineRule="exact"/>
              <w:jc w:val="center"/>
              <w:outlineLvl w:val="1"/>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姓名</w:t>
            </w:r>
          </w:p>
        </w:tc>
        <w:tc>
          <w:tcPr>
            <w:tcW w:w="1642" w:type="dxa"/>
            <w:vAlign w:val="center"/>
          </w:tcPr>
          <w:p>
            <w:pPr>
              <w:adjustRightInd w:val="0"/>
              <w:snapToGrid w:val="0"/>
              <w:spacing w:line="440" w:lineRule="exact"/>
              <w:jc w:val="center"/>
              <w:outlineLvl w:val="1"/>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职务/职称</w:t>
            </w:r>
          </w:p>
        </w:tc>
        <w:tc>
          <w:tcPr>
            <w:tcW w:w="1005" w:type="dxa"/>
            <w:vAlign w:val="center"/>
          </w:tcPr>
          <w:p>
            <w:pPr>
              <w:adjustRightInd w:val="0"/>
              <w:snapToGrid w:val="0"/>
              <w:spacing w:line="440" w:lineRule="exact"/>
              <w:jc w:val="center"/>
              <w:outlineLvl w:val="1"/>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学历</w:t>
            </w:r>
          </w:p>
        </w:tc>
        <w:tc>
          <w:tcPr>
            <w:tcW w:w="2603" w:type="dxa"/>
            <w:vAlign w:val="center"/>
          </w:tcPr>
          <w:p>
            <w:pPr>
              <w:adjustRightInd w:val="0"/>
              <w:snapToGrid w:val="0"/>
              <w:spacing w:line="440" w:lineRule="exact"/>
              <w:jc w:val="center"/>
              <w:outlineLvl w:val="1"/>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项目任务分工</w:t>
            </w:r>
          </w:p>
        </w:tc>
        <w:tc>
          <w:tcPr>
            <w:tcW w:w="2400" w:type="dxa"/>
            <w:vAlign w:val="center"/>
          </w:tcPr>
          <w:p>
            <w:pPr>
              <w:adjustRightInd w:val="0"/>
              <w:snapToGrid w:val="0"/>
              <w:spacing w:line="440" w:lineRule="exact"/>
              <w:jc w:val="center"/>
              <w:outlineLvl w:val="1"/>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trPr>
        <w:tc>
          <w:tcPr>
            <w:tcW w:w="735" w:type="dxa"/>
            <w:vAlign w:val="center"/>
          </w:tcPr>
          <w:p>
            <w:pPr>
              <w:numPr>
                <w:ilvl w:val="0"/>
                <w:numId w:val="0"/>
              </w:numPr>
              <w:spacing w:line="400" w:lineRule="exact"/>
              <w:ind w:leftChars="0"/>
              <w:jc w:val="center"/>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1</w:t>
            </w:r>
          </w:p>
        </w:tc>
        <w:tc>
          <w:tcPr>
            <w:tcW w:w="1050" w:type="dxa"/>
            <w:vAlign w:val="center"/>
          </w:tcPr>
          <w:p>
            <w:pPr>
              <w:numPr>
                <w:ilvl w:val="0"/>
                <w:numId w:val="0"/>
              </w:numPr>
              <w:spacing w:line="400" w:lineRule="exact"/>
              <w:ind w:leftChars="0"/>
              <w:jc w:val="center"/>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邹思敏</w:t>
            </w:r>
          </w:p>
        </w:tc>
        <w:tc>
          <w:tcPr>
            <w:tcW w:w="1642" w:type="dxa"/>
            <w:vAlign w:val="center"/>
          </w:tcPr>
          <w:p>
            <w:pPr>
              <w:spacing w:line="400" w:lineRule="exact"/>
              <w:jc w:val="center"/>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科技部部长</w:t>
            </w:r>
          </w:p>
        </w:tc>
        <w:tc>
          <w:tcPr>
            <w:tcW w:w="1005" w:type="dxa"/>
            <w:vAlign w:val="center"/>
          </w:tcPr>
          <w:p>
            <w:pPr>
              <w:spacing w:line="400" w:lineRule="exact"/>
              <w:jc w:val="center"/>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硕士</w:t>
            </w:r>
          </w:p>
        </w:tc>
        <w:tc>
          <w:tcPr>
            <w:tcW w:w="2603" w:type="dxa"/>
            <w:vAlign w:val="center"/>
          </w:tcPr>
          <w:p>
            <w:pPr>
              <w:spacing w:line="400" w:lineRule="exact"/>
              <w:jc w:val="center"/>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项目负责人</w:t>
            </w:r>
          </w:p>
        </w:tc>
        <w:tc>
          <w:tcPr>
            <w:tcW w:w="2400" w:type="dxa"/>
            <w:vAlign w:val="center"/>
          </w:tcPr>
          <w:p>
            <w:pPr>
              <w:adjustRightInd w:val="0"/>
              <w:snapToGrid w:val="0"/>
              <w:spacing w:line="440" w:lineRule="exact"/>
              <w:jc w:val="center"/>
              <w:outlineLvl w:val="1"/>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株洲瑞德尔智能装备有限公司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trPr>
        <w:tc>
          <w:tcPr>
            <w:tcW w:w="735" w:type="dxa"/>
            <w:vAlign w:val="center"/>
          </w:tcPr>
          <w:p>
            <w:pPr>
              <w:numPr>
                <w:ilvl w:val="0"/>
                <w:numId w:val="0"/>
              </w:numPr>
              <w:spacing w:line="400" w:lineRule="exact"/>
              <w:ind w:leftChars="0"/>
              <w:jc w:val="center"/>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2</w:t>
            </w:r>
          </w:p>
        </w:tc>
        <w:tc>
          <w:tcPr>
            <w:tcW w:w="1050" w:type="dxa"/>
            <w:vAlign w:val="center"/>
          </w:tcPr>
          <w:p>
            <w:pPr>
              <w:numPr>
                <w:ilvl w:val="0"/>
                <w:numId w:val="0"/>
              </w:numPr>
              <w:spacing w:line="400" w:lineRule="exact"/>
              <w:ind w:leftChars="0"/>
              <w:jc w:val="center"/>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李应新</w:t>
            </w:r>
          </w:p>
        </w:tc>
        <w:tc>
          <w:tcPr>
            <w:tcW w:w="1642" w:type="dxa"/>
            <w:vAlign w:val="center"/>
          </w:tcPr>
          <w:p>
            <w:pPr>
              <w:spacing w:line="400" w:lineRule="exact"/>
              <w:jc w:val="center"/>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总经理</w:t>
            </w:r>
          </w:p>
        </w:tc>
        <w:tc>
          <w:tcPr>
            <w:tcW w:w="1005" w:type="dxa"/>
            <w:vAlign w:val="center"/>
          </w:tcPr>
          <w:p>
            <w:pPr>
              <w:spacing w:line="400" w:lineRule="exact"/>
              <w:jc w:val="center"/>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本科</w:t>
            </w:r>
          </w:p>
        </w:tc>
        <w:tc>
          <w:tcPr>
            <w:tcW w:w="2603" w:type="dxa"/>
            <w:vAlign w:val="center"/>
          </w:tcPr>
          <w:p>
            <w:pPr>
              <w:spacing w:line="400" w:lineRule="exact"/>
              <w:jc w:val="center"/>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总工程师</w:t>
            </w:r>
          </w:p>
        </w:tc>
        <w:tc>
          <w:tcPr>
            <w:tcW w:w="2400" w:type="dxa"/>
            <w:vAlign w:val="center"/>
          </w:tcPr>
          <w:p>
            <w:pPr>
              <w:adjustRightInd w:val="0"/>
              <w:snapToGrid w:val="0"/>
              <w:spacing w:line="440" w:lineRule="exact"/>
              <w:jc w:val="center"/>
              <w:outlineLvl w:val="1"/>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株洲瑞德尔智能装备有限公司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trPr>
        <w:tc>
          <w:tcPr>
            <w:tcW w:w="735" w:type="dxa"/>
            <w:vAlign w:val="center"/>
          </w:tcPr>
          <w:p>
            <w:pPr>
              <w:adjustRightInd w:val="0"/>
              <w:snapToGrid w:val="0"/>
              <w:spacing w:line="440" w:lineRule="exact"/>
              <w:jc w:val="center"/>
              <w:outlineLvl w:val="1"/>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3</w:t>
            </w:r>
          </w:p>
        </w:tc>
        <w:tc>
          <w:tcPr>
            <w:tcW w:w="1050" w:type="dxa"/>
            <w:vAlign w:val="center"/>
          </w:tcPr>
          <w:p>
            <w:pPr>
              <w:spacing w:line="400" w:lineRule="exact"/>
              <w:jc w:val="center"/>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李慧中</w:t>
            </w:r>
          </w:p>
        </w:tc>
        <w:tc>
          <w:tcPr>
            <w:tcW w:w="1642" w:type="dxa"/>
            <w:vAlign w:val="center"/>
          </w:tcPr>
          <w:p>
            <w:pPr>
              <w:spacing w:line="400" w:lineRule="exact"/>
              <w:jc w:val="center"/>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教授</w:t>
            </w:r>
          </w:p>
        </w:tc>
        <w:tc>
          <w:tcPr>
            <w:tcW w:w="1005" w:type="dxa"/>
            <w:vAlign w:val="center"/>
          </w:tcPr>
          <w:p>
            <w:pPr>
              <w:spacing w:line="400" w:lineRule="exact"/>
              <w:jc w:val="center"/>
              <w:rPr>
                <w:rFonts w:hint="eastAsia" w:ascii="宋体" w:hAnsi="宋体" w:eastAsia="宋体" w:cs="宋体"/>
                <w:b/>
                <w:sz w:val="24"/>
                <w:vertAlign w:val="baseline"/>
                <w:lang w:val="en-US"/>
              </w:rPr>
            </w:pPr>
            <w:r>
              <w:rPr>
                <w:rFonts w:hint="eastAsia" w:ascii="宋体" w:hAnsi="宋体" w:eastAsia="宋体" w:cs="宋体"/>
                <w:spacing w:val="-6"/>
                <w:sz w:val="24"/>
                <w:szCs w:val="24"/>
                <w:lang w:val="en-US" w:eastAsia="zh-CN"/>
              </w:rPr>
              <w:t>博士后</w:t>
            </w:r>
          </w:p>
        </w:tc>
        <w:tc>
          <w:tcPr>
            <w:tcW w:w="2603"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总技术指导</w:t>
            </w:r>
          </w:p>
        </w:tc>
        <w:tc>
          <w:tcPr>
            <w:tcW w:w="2400"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中南大学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trPr>
        <w:tc>
          <w:tcPr>
            <w:tcW w:w="735" w:type="dxa"/>
            <w:vAlign w:val="center"/>
          </w:tcPr>
          <w:p>
            <w:pPr>
              <w:numPr>
                <w:ilvl w:val="0"/>
                <w:numId w:val="0"/>
              </w:numPr>
              <w:spacing w:line="400" w:lineRule="exact"/>
              <w:ind w:leftChars="0"/>
              <w:jc w:val="center"/>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4</w:t>
            </w:r>
          </w:p>
        </w:tc>
        <w:tc>
          <w:tcPr>
            <w:tcW w:w="1050" w:type="dxa"/>
            <w:vAlign w:val="center"/>
          </w:tcPr>
          <w:p>
            <w:pPr>
              <w:spacing w:line="400" w:lineRule="exact"/>
              <w:jc w:val="center"/>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梁霄鹏</w:t>
            </w:r>
          </w:p>
        </w:tc>
        <w:tc>
          <w:tcPr>
            <w:tcW w:w="1642" w:type="dxa"/>
            <w:vAlign w:val="center"/>
          </w:tcPr>
          <w:p>
            <w:pPr>
              <w:spacing w:line="400" w:lineRule="exact"/>
              <w:jc w:val="center"/>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副教授</w:t>
            </w:r>
          </w:p>
        </w:tc>
        <w:tc>
          <w:tcPr>
            <w:tcW w:w="1005"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博士</w:t>
            </w:r>
          </w:p>
        </w:tc>
        <w:tc>
          <w:tcPr>
            <w:tcW w:w="2603" w:type="dxa"/>
            <w:vAlign w:val="center"/>
          </w:tcPr>
          <w:p>
            <w:pPr>
              <w:spacing w:line="400" w:lineRule="exact"/>
              <w:jc w:val="center"/>
              <w:rPr>
                <w:rFonts w:hint="eastAsia" w:ascii="宋体" w:hAnsi="宋体" w:eastAsia="宋体" w:cs="宋体"/>
                <w:b/>
                <w:sz w:val="24"/>
                <w:vertAlign w:val="baseline"/>
                <w:lang w:val="en-US" w:eastAsia="zh-CN"/>
              </w:rPr>
            </w:pPr>
            <w:r>
              <w:rPr>
                <w:rFonts w:hint="eastAsia" w:ascii="宋体" w:hAnsi="宋体" w:eastAsia="宋体" w:cs="宋体"/>
                <w:spacing w:val="-6"/>
                <w:sz w:val="24"/>
                <w:szCs w:val="24"/>
                <w:lang w:val="en-US" w:eastAsia="zh-CN"/>
              </w:rPr>
              <w:t>技术指导</w:t>
            </w:r>
          </w:p>
        </w:tc>
        <w:tc>
          <w:tcPr>
            <w:tcW w:w="2400"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中南大学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trPr>
        <w:tc>
          <w:tcPr>
            <w:tcW w:w="735" w:type="dxa"/>
            <w:vAlign w:val="center"/>
          </w:tcPr>
          <w:p>
            <w:pPr>
              <w:numPr>
                <w:ilvl w:val="0"/>
                <w:numId w:val="0"/>
              </w:numPr>
              <w:spacing w:line="400" w:lineRule="exact"/>
              <w:ind w:leftChars="0"/>
              <w:jc w:val="center"/>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5</w:t>
            </w:r>
          </w:p>
        </w:tc>
        <w:tc>
          <w:tcPr>
            <w:tcW w:w="1050"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肖骏光</w:t>
            </w:r>
          </w:p>
        </w:tc>
        <w:tc>
          <w:tcPr>
            <w:tcW w:w="1642"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kern w:val="2"/>
                <w:sz w:val="24"/>
                <w:szCs w:val="24"/>
                <w:lang w:val="en-US" w:eastAsia="zh-CN" w:bidi="ar-SA"/>
              </w:rPr>
              <w:t>工艺部经理</w:t>
            </w:r>
          </w:p>
        </w:tc>
        <w:tc>
          <w:tcPr>
            <w:tcW w:w="1005"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本科</w:t>
            </w:r>
          </w:p>
        </w:tc>
        <w:tc>
          <w:tcPr>
            <w:tcW w:w="2603"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highlight w:val="none"/>
                <w:lang w:val="en-US" w:eastAsia="zh-CN"/>
              </w:rPr>
              <w:t>项目组工程师</w:t>
            </w:r>
          </w:p>
        </w:tc>
        <w:tc>
          <w:tcPr>
            <w:tcW w:w="2400"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株洲瑞德尔智能装备有限公司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trPr>
        <w:tc>
          <w:tcPr>
            <w:tcW w:w="735" w:type="dxa"/>
            <w:vAlign w:val="center"/>
          </w:tcPr>
          <w:p>
            <w:pPr>
              <w:numPr>
                <w:ilvl w:val="0"/>
                <w:numId w:val="0"/>
              </w:numPr>
              <w:spacing w:line="400" w:lineRule="exact"/>
              <w:ind w:leftChars="0"/>
              <w:jc w:val="center"/>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6</w:t>
            </w:r>
          </w:p>
        </w:tc>
        <w:tc>
          <w:tcPr>
            <w:tcW w:w="1050"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刘赞</w:t>
            </w:r>
          </w:p>
        </w:tc>
        <w:tc>
          <w:tcPr>
            <w:tcW w:w="1642"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kern w:val="2"/>
                <w:sz w:val="24"/>
                <w:szCs w:val="24"/>
                <w:lang w:val="en-US" w:eastAsia="zh-CN" w:bidi="ar-SA"/>
              </w:rPr>
              <w:t>机械部经理</w:t>
            </w:r>
          </w:p>
        </w:tc>
        <w:tc>
          <w:tcPr>
            <w:tcW w:w="1005"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本科</w:t>
            </w:r>
          </w:p>
        </w:tc>
        <w:tc>
          <w:tcPr>
            <w:tcW w:w="2603"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kern w:val="2"/>
                <w:sz w:val="24"/>
                <w:szCs w:val="24"/>
                <w:highlight w:val="none"/>
                <w:lang w:val="en-US" w:eastAsia="zh-CN" w:bidi="ar-SA"/>
              </w:rPr>
              <w:t>质量监督</w:t>
            </w:r>
          </w:p>
        </w:tc>
        <w:tc>
          <w:tcPr>
            <w:tcW w:w="2400"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株洲瑞德尔智能装备有限公司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trPr>
        <w:tc>
          <w:tcPr>
            <w:tcW w:w="735" w:type="dxa"/>
            <w:vAlign w:val="center"/>
          </w:tcPr>
          <w:p>
            <w:pPr>
              <w:numPr>
                <w:ilvl w:val="0"/>
                <w:numId w:val="0"/>
              </w:numPr>
              <w:spacing w:line="400" w:lineRule="exact"/>
              <w:ind w:leftChars="0"/>
              <w:jc w:val="center"/>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7</w:t>
            </w:r>
          </w:p>
        </w:tc>
        <w:tc>
          <w:tcPr>
            <w:tcW w:w="1050"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刘国华</w:t>
            </w:r>
          </w:p>
        </w:tc>
        <w:tc>
          <w:tcPr>
            <w:tcW w:w="1642"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副总经理</w:t>
            </w:r>
          </w:p>
        </w:tc>
        <w:tc>
          <w:tcPr>
            <w:tcW w:w="1005"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本科</w:t>
            </w:r>
          </w:p>
        </w:tc>
        <w:tc>
          <w:tcPr>
            <w:tcW w:w="2603"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数据采集和处理标准制定</w:t>
            </w:r>
          </w:p>
        </w:tc>
        <w:tc>
          <w:tcPr>
            <w:tcW w:w="2400"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株洲瑞德尔智能装备有限公司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trPr>
        <w:tc>
          <w:tcPr>
            <w:tcW w:w="735" w:type="dxa"/>
            <w:vAlign w:val="center"/>
          </w:tcPr>
          <w:p>
            <w:pPr>
              <w:numPr>
                <w:ilvl w:val="0"/>
                <w:numId w:val="0"/>
              </w:numPr>
              <w:spacing w:line="400" w:lineRule="exact"/>
              <w:ind w:leftChars="0"/>
              <w:jc w:val="center"/>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8</w:t>
            </w:r>
          </w:p>
        </w:tc>
        <w:tc>
          <w:tcPr>
            <w:tcW w:w="1050"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沈俊华</w:t>
            </w:r>
          </w:p>
        </w:tc>
        <w:tc>
          <w:tcPr>
            <w:tcW w:w="1642"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售后1部经理</w:t>
            </w:r>
          </w:p>
        </w:tc>
        <w:tc>
          <w:tcPr>
            <w:tcW w:w="1005"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本科</w:t>
            </w:r>
          </w:p>
        </w:tc>
        <w:tc>
          <w:tcPr>
            <w:tcW w:w="2603"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数据分析</w:t>
            </w:r>
          </w:p>
        </w:tc>
        <w:tc>
          <w:tcPr>
            <w:tcW w:w="2400"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株洲瑞德尔智能装备有限公司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trPr>
        <w:tc>
          <w:tcPr>
            <w:tcW w:w="735" w:type="dxa"/>
            <w:vAlign w:val="center"/>
          </w:tcPr>
          <w:p>
            <w:pPr>
              <w:numPr>
                <w:ilvl w:val="0"/>
                <w:numId w:val="0"/>
              </w:numPr>
              <w:spacing w:line="400" w:lineRule="exact"/>
              <w:ind w:leftChars="0"/>
              <w:jc w:val="center"/>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9</w:t>
            </w:r>
          </w:p>
        </w:tc>
        <w:tc>
          <w:tcPr>
            <w:tcW w:w="1050"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kern w:val="2"/>
                <w:sz w:val="24"/>
                <w:szCs w:val="24"/>
                <w:lang w:val="en-US" w:eastAsia="zh-CN" w:bidi="ar-SA"/>
              </w:rPr>
              <w:t>吕亚洲</w:t>
            </w:r>
          </w:p>
        </w:tc>
        <w:tc>
          <w:tcPr>
            <w:tcW w:w="1642"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kern w:val="2"/>
                <w:sz w:val="24"/>
                <w:szCs w:val="24"/>
                <w:lang w:val="en-US" w:eastAsia="zh-CN" w:bidi="ar-SA"/>
              </w:rPr>
              <w:t>售后2部经理</w:t>
            </w:r>
          </w:p>
        </w:tc>
        <w:tc>
          <w:tcPr>
            <w:tcW w:w="1005"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本科</w:t>
            </w:r>
          </w:p>
        </w:tc>
        <w:tc>
          <w:tcPr>
            <w:tcW w:w="2603"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highlight w:val="none"/>
                <w:lang w:val="en-US" w:eastAsia="zh-CN"/>
              </w:rPr>
              <w:t>项目组工程师</w:t>
            </w:r>
          </w:p>
        </w:tc>
        <w:tc>
          <w:tcPr>
            <w:tcW w:w="2400"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株洲瑞德尔智能装备有限公司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trPr>
        <w:tc>
          <w:tcPr>
            <w:tcW w:w="735" w:type="dxa"/>
            <w:vAlign w:val="center"/>
          </w:tcPr>
          <w:p>
            <w:pPr>
              <w:numPr>
                <w:ilvl w:val="0"/>
                <w:numId w:val="0"/>
              </w:numPr>
              <w:spacing w:line="400" w:lineRule="exact"/>
              <w:ind w:leftChars="0"/>
              <w:jc w:val="center"/>
              <w:rPr>
                <w:rFonts w:hint="eastAsia" w:ascii="宋体" w:hAnsi="宋体" w:eastAsia="宋体" w:cs="宋体"/>
                <w:b w:val="0"/>
                <w:bCs/>
                <w:sz w:val="24"/>
                <w:vertAlign w:val="baseline"/>
                <w:lang w:val="en-US" w:eastAsia="zh-CN"/>
              </w:rPr>
            </w:pPr>
            <w:r>
              <w:rPr>
                <w:rFonts w:hint="eastAsia" w:ascii="宋体" w:hAnsi="宋体" w:eastAsia="宋体" w:cs="宋体"/>
                <w:b w:val="0"/>
                <w:bCs/>
                <w:sz w:val="24"/>
                <w:vertAlign w:val="baseline"/>
                <w:lang w:val="en-US" w:eastAsia="zh-CN"/>
              </w:rPr>
              <w:t>10</w:t>
            </w:r>
          </w:p>
        </w:tc>
        <w:tc>
          <w:tcPr>
            <w:tcW w:w="1050"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陈克剑</w:t>
            </w:r>
          </w:p>
        </w:tc>
        <w:tc>
          <w:tcPr>
            <w:tcW w:w="1642"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电气研发部长</w:t>
            </w:r>
          </w:p>
        </w:tc>
        <w:tc>
          <w:tcPr>
            <w:tcW w:w="1005"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本科</w:t>
            </w:r>
          </w:p>
        </w:tc>
        <w:tc>
          <w:tcPr>
            <w:tcW w:w="2603"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烧结装备控制系统及对应标准制定</w:t>
            </w:r>
          </w:p>
        </w:tc>
        <w:tc>
          <w:tcPr>
            <w:tcW w:w="2400" w:type="dxa"/>
            <w:vAlign w:val="center"/>
          </w:tcPr>
          <w:p>
            <w:pPr>
              <w:spacing w:line="400" w:lineRule="exact"/>
              <w:jc w:val="center"/>
              <w:rPr>
                <w:rFonts w:hint="eastAsia" w:ascii="宋体" w:hAnsi="宋体" w:eastAsia="宋体" w:cs="宋体"/>
                <w:b/>
                <w:sz w:val="24"/>
                <w:vertAlign w:val="baseline"/>
              </w:rPr>
            </w:pPr>
            <w:r>
              <w:rPr>
                <w:rFonts w:hint="eastAsia" w:ascii="宋体" w:hAnsi="宋体" w:eastAsia="宋体" w:cs="宋体"/>
                <w:spacing w:val="-6"/>
                <w:sz w:val="24"/>
                <w:szCs w:val="24"/>
                <w:lang w:val="en-US" w:eastAsia="zh-CN"/>
              </w:rPr>
              <w:t>株洲瑞德尔智能装备有限公司</w:t>
            </w:r>
          </w:p>
        </w:tc>
      </w:tr>
    </w:tbl>
    <w:p>
      <w:pPr>
        <w:adjustRightInd w:val="0"/>
        <w:snapToGrid w:val="0"/>
        <w:spacing w:line="440" w:lineRule="exact"/>
        <w:ind w:firstLine="420"/>
        <w:outlineLvl w:val="1"/>
        <w:rPr>
          <w:rFonts w:ascii="新宋体" w:hAnsi="新宋体" w:eastAsia="新宋体" w:cs="新宋体"/>
          <w:b/>
          <w:sz w:val="24"/>
        </w:rPr>
      </w:pPr>
      <w:r>
        <w:rPr>
          <w:rFonts w:hint="eastAsia" w:ascii="新宋体" w:hAnsi="新宋体" w:eastAsia="新宋体" w:cs="新宋体"/>
          <w:b/>
          <w:sz w:val="24"/>
        </w:rPr>
        <w:t>4、主要工作过程</w:t>
      </w:r>
    </w:p>
    <w:p>
      <w:pPr>
        <w:pStyle w:val="29"/>
        <w:spacing w:line="360" w:lineRule="auto"/>
        <w:ind w:firstLine="480"/>
        <w:jc w:val="left"/>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（1）已具备的科研工作基础</w:t>
      </w:r>
    </w:p>
    <w:p>
      <w:pPr>
        <w:pStyle w:val="29"/>
        <w:spacing w:line="360" w:lineRule="auto"/>
        <w:ind w:firstLine="480"/>
        <w:jc w:val="left"/>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瑞德尔建有研发中心、工业设计中心以及5G云控烧结炉工程技术研究中心，公司技术研发队伍稳定、高效，拥有研发人员36名，占比达20%，公司拥有一批机械设计、工业自动化、金属材料、冶金技术、热工与计算机等相关专业技术领域的专业技术人才，掌握了国内领先的成熟技术，具有坚实的理论基础和丰富的实践经验，严谨的科学作风和团队攻关协作精神，在烧结炉技术领域具有较为深入的研究。为保持创新活力，公司通过相关人才、技术引进机构引进本行业技术人才及前沿技术成果，以获取技术储备。公司与中南大学、湖南大学、湖南工业大学建立了长期的产学研合作关系，并聘请多为专家进行技术合作和指导，攻克技术难关。</w:t>
      </w:r>
    </w:p>
    <w:p>
      <w:pPr>
        <w:pStyle w:val="29"/>
        <w:spacing w:line="360" w:lineRule="auto"/>
        <w:ind w:firstLine="480"/>
        <w:jc w:val="left"/>
        <w:rPr>
          <w:rFonts w:hint="eastAsia" w:ascii="新宋体" w:hAnsi="新宋体" w:eastAsia="新宋体" w:cs="新宋体"/>
          <w:b/>
          <w:sz w:val="24"/>
        </w:rPr>
      </w:pPr>
      <w:r>
        <w:rPr>
          <w:rFonts w:hint="eastAsia" w:cs="Times New Roman" w:asciiTheme="minorEastAsia" w:hAnsiTheme="minorEastAsia" w:eastAsiaTheme="minorEastAsia"/>
          <w:sz w:val="24"/>
          <w:szCs w:val="24"/>
          <w:lang w:val="en-US" w:eastAsia="zh-CN"/>
        </w:rPr>
        <w:t>2021年累计研发投入达823万元，占公司销售营业收入的6%以上，公司拥有知识产权77项，其中发明专利10项，国际专利4项。</w:t>
      </w:r>
    </w:p>
    <w:p>
      <w:pPr>
        <w:adjustRightInd w:val="0"/>
        <w:snapToGrid w:val="0"/>
        <w:spacing w:line="440" w:lineRule="exact"/>
        <w:ind w:firstLine="420"/>
        <w:outlineLvl w:val="2"/>
        <w:rPr>
          <w:rFonts w:ascii="新宋体" w:hAnsi="新宋体" w:eastAsia="新宋体" w:cs="新宋体"/>
          <w:b/>
          <w:sz w:val="24"/>
        </w:rPr>
      </w:pPr>
      <w:r>
        <w:rPr>
          <w:rFonts w:hint="eastAsia" w:ascii="新宋体" w:hAnsi="新宋体" w:eastAsia="新宋体" w:cs="新宋体"/>
          <w:b/>
          <w:sz w:val="24"/>
        </w:rPr>
        <w:t>（2）完成标准项目的步骤、方法和技术路线</w:t>
      </w:r>
    </w:p>
    <w:p>
      <w:pPr>
        <w:pStyle w:val="29"/>
        <w:spacing w:line="360" w:lineRule="auto"/>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本项目组在查阅大量的文献和多年对</w:t>
      </w:r>
      <w:r>
        <w:rPr>
          <w:rFonts w:hint="eastAsia" w:asciiTheme="minorEastAsia" w:hAnsiTheme="minorEastAsia" w:eastAsiaTheme="minorEastAsia"/>
          <w:sz w:val="24"/>
          <w:szCs w:val="24"/>
          <w:lang w:val="en-US" w:eastAsia="zh-CN"/>
        </w:rPr>
        <w:t>压力烧结炉市场</w:t>
      </w:r>
      <w:r>
        <w:rPr>
          <w:rFonts w:hint="eastAsia" w:asciiTheme="minorEastAsia" w:hAnsiTheme="minorEastAsia" w:eastAsiaTheme="minorEastAsia"/>
          <w:sz w:val="24"/>
          <w:szCs w:val="24"/>
        </w:rPr>
        <w:t>中发现较为突出问题的基础上，做了大量的调研工作，与这些领域的专家学者进行了广泛的交流和探讨，为《</w:t>
      </w:r>
      <w:r>
        <w:rPr>
          <w:rFonts w:hint="eastAsia" w:asciiTheme="minorEastAsia" w:hAnsiTheme="minorEastAsia" w:eastAsiaTheme="minorEastAsia"/>
          <w:sz w:val="24"/>
          <w:szCs w:val="24"/>
          <w:lang w:val="en-US" w:eastAsia="zh-CN"/>
        </w:rPr>
        <w:t>压力烧结炉通用技术要求</w:t>
      </w:r>
      <w:r>
        <w:rPr>
          <w:rFonts w:hint="eastAsia" w:asciiTheme="minorEastAsia" w:hAnsiTheme="minorEastAsia" w:eastAsiaTheme="minorEastAsia"/>
          <w:sz w:val="24"/>
          <w:szCs w:val="24"/>
        </w:rPr>
        <w:t>》规范的起草坚定了基础。整个项目的进展为：</w:t>
      </w:r>
    </w:p>
    <w:p>
      <w:pPr>
        <w:spacing w:line="360" w:lineRule="auto"/>
        <w:ind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1）2021年10月至2022年11月，按照地方标准的立项要求，联合相关的科研机构以及行业主管部门一同申报立项。</w:t>
      </w:r>
    </w:p>
    <w:p>
      <w:pPr>
        <w:pStyle w:val="29"/>
        <w:numPr>
          <w:ilvl w:val="0"/>
          <w:numId w:val="2"/>
        </w:numPr>
        <w:spacing w:line="360" w:lineRule="auto"/>
        <w:ind w:firstLine="48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2021年10月-2021年12月，瑞德尔联合合作院校对压力烧结炉关键技术研究、生产示范稳定性验证。</w:t>
      </w:r>
    </w:p>
    <w:p>
      <w:pPr>
        <w:pStyle w:val="29"/>
        <w:numPr>
          <w:ilvl w:val="0"/>
          <w:numId w:val="2"/>
        </w:numPr>
        <w:spacing w:line="360" w:lineRule="auto"/>
        <w:ind w:left="0" w:leftChars="0" w:firstLine="480" w:firstLineChars="200"/>
        <w:rPr>
          <w:rFonts w:hint="default"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2022年01月-2022年03月，瑞德尔联合合作院校相关研究人员开展压力烧结炉升温速率、脱蜡效果、温度均匀性等技术指标的研究，并进行多模式多点示范。</w:t>
      </w:r>
    </w:p>
    <w:p>
      <w:pPr>
        <w:pStyle w:val="29"/>
        <w:numPr>
          <w:ilvl w:val="0"/>
          <w:numId w:val="2"/>
        </w:numPr>
        <w:spacing w:line="360" w:lineRule="auto"/>
        <w:ind w:left="0" w:leftChars="0"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2022年04月-2022年06月，瑞德尔联合合作院校相关研究人员对压力烧结炉进行数字化仿真模拟，形成技术集成方案。</w:t>
      </w:r>
    </w:p>
    <w:p>
      <w:pPr>
        <w:pStyle w:val="29"/>
        <w:numPr>
          <w:ilvl w:val="0"/>
          <w:numId w:val="2"/>
        </w:numPr>
        <w:spacing w:line="360" w:lineRule="auto"/>
        <w:ind w:left="0" w:leftChars="0"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2022年07月至2022年09月，瑞德尔联合合作院校相关研究人员完成《10MPa智能压力烧结炉通用技术要求》的编制工作。</w:t>
      </w:r>
    </w:p>
    <w:p>
      <w:pPr>
        <w:pStyle w:val="29"/>
        <w:numPr>
          <w:ilvl w:val="0"/>
          <w:numId w:val="2"/>
        </w:numPr>
        <w:spacing w:line="360" w:lineRule="auto"/>
        <w:ind w:left="0" w:leftChars="0"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2022年10月-2022年12月，瑞德尔联合合作院校相关研究人员完成《10MPa智能压力烧结炉通用技术要求》的项目验收。</w:t>
      </w:r>
    </w:p>
    <w:p>
      <w:pPr>
        <w:adjustRightInd w:val="0"/>
        <w:snapToGrid w:val="0"/>
        <w:spacing w:line="440" w:lineRule="exact"/>
        <w:ind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项目实施的技术路线为：利用已有的技术基础，根据项目实施方案在株洲瑞德尔智能装备有限公司进行，学习国家新出版的国家标准编写格式，首先完成标准试行稿，并广泛征求国内有关专家、应用单位人员的意见，逐步修改完善，形成征求意见稿后进行公开征求意见。</w:t>
      </w:r>
    </w:p>
    <w:p>
      <w:pPr>
        <w:adjustRightInd w:val="0"/>
        <w:snapToGrid w:val="0"/>
        <w:spacing w:line="440" w:lineRule="exact"/>
        <w:ind w:firstLine="482" w:firstLineChars="200"/>
        <w:outlineLvl w:val="0"/>
        <w:rPr>
          <w:rFonts w:ascii="新宋体" w:hAnsi="新宋体" w:eastAsia="新宋体" w:cs="新宋体"/>
          <w:b/>
          <w:sz w:val="24"/>
        </w:rPr>
      </w:pPr>
      <w:r>
        <w:rPr>
          <w:rFonts w:hint="eastAsia" w:ascii="新宋体" w:hAnsi="新宋体" w:eastAsia="新宋体" w:cs="新宋体"/>
          <w:b/>
          <w:sz w:val="24"/>
        </w:rPr>
        <w:t>二、标准编制原则和主要内容及论据</w:t>
      </w:r>
    </w:p>
    <w:p>
      <w:pPr>
        <w:adjustRightInd w:val="0"/>
        <w:snapToGrid w:val="0"/>
        <w:spacing w:line="440" w:lineRule="exact"/>
        <w:ind w:firstLine="420"/>
        <w:outlineLvl w:val="2"/>
        <w:rPr>
          <w:rFonts w:ascii="新宋体" w:hAnsi="新宋体" w:eastAsia="新宋体" w:cs="新宋体"/>
          <w:b/>
          <w:sz w:val="24"/>
        </w:rPr>
      </w:pPr>
      <w:r>
        <w:rPr>
          <w:rFonts w:hint="eastAsia" w:ascii="新宋体" w:hAnsi="新宋体" w:eastAsia="新宋体" w:cs="新宋体"/>
          <w:b/>
          <w:sz w:val="24"/>
        </w:rPr>
        <w:t>（一）标准的编制原则</w:t>
      </w:r>
    </w:p>
    <w:p>
      <w:pPr>
        <w:spacing w:line="360" w:lineRule="auto"/>
        <w:ind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1、编写格式按中华人民共和国国家标准GB/T1.1-2020标准化工作导则 第1部分：标准的结构和编写规则。</w:t>
      </w:r>
    </w:p>
    <w:p>
      <w:pPr>
        <w:spacing w:line="360" w:lineRule="auto"/>
        <w:ind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2、标准的规范性引用文件有：</w:t>
      </w:r>
      <w:r>
        <w:rPr>
          <w:rFonts w:hint="default" w:cs="Times New Roman" w:asciiTheme="minorEastAsia" w:hAnsiTheme="minorEastAsia" w:eastAsiaTheme="minorEastAsia"/>
          <w:kern w:val="0"/>
          <w:sz w:val="24"/>
          <w:szCs w:val="24"/>
          <w:lang w:val="en-US" w:eastAsia="zh-CN" w:bidi="ar-SA"/>
        </w:rPr>
        <w:t>GB/T 5242 硬质合金制品检验规则及试验方法</w:t>
      </w:r>
      <w:r>
        <w:rPr>
          <w:rFonts w:hint="eastAsia" w:cs="Times New Roman" w:asciiTheme="minorEastAsia" w:hAnsiTheme="minorEastAsia" w:eastAsiaTheme="minorEastAsia"/>
          <w:kern w:val="0"/>
          <w:sz w:val="24"/>
          <w:szCs w:val="24"/>
          <w:lang w:val="en-US" w:eastAsia="zh-CN" w:bidi="ar-SA"/>
        </w:rPr>
        <w:t>、</w:t>
      </w:r>
      <w:r>
        <w:rPr>
          <w:rFonts w:hint="default" w:cs="Times New Roman" w:asciiTheme="minorEastAsia" w:hAnsiTheme="minorEastAsia" w:eastAsiaTheme="minorEastAsia"/>
          <w:kern w:val="0"/>
          <w:sz w:val="24"/>
          <w:szCs w:val="24"/>
          <w:lang w:val="en-US" w:eastAsia="zh-CN" w:bidi="ar-SA"/>
        </w:rPr>
        <w:t>GB/T 5243 硬质合金制品的标志、包装、运输和贮存</w:t>
      </w:r>
      <w:r>
        <w:rPr>
          <w:rFonts w:hint="eastAsia" w:cs="Times New Roman" w:asciiTheme="minorEastAsia" w:hAnsiTheme="minorEastAsia" w:eastAsiaTheme="minorEastAsia"/>
          <w:kern w:val="0"/>
          <w:sz w:val="24"/>
          <w:szCs w:val="24"/>
          <w:lang w:val="en-US" w:eastAsia="zh-CN" w:bidi="ar-SA"/>
        </w:rPr>
        <w:t>、</w:t>
      </w:r>
      <w:r>
        <w:rPr>
          <w:rFonts w:hint="default" w:cs="Times New Roman" w:asciiTheme="minorEastAsia" w:hAnsiTheme="minorEastAsia" w:eastAsiaTheme="minorEastAsia"/>
          <w:kern w:val="0"/>
          <w:sz w:val="24"/>
          <w:szCs w:val="24"/>
          <w:lang w:val="en-US" w:eastAsia="zh-CN" w:bidi="ar-SA"/>
        </w:rPr>
        <w:t>JB/T 5000.15 重型机械通用技术条件 锻钢件无损探伤</w:t>
      </w:r>
      <w:r>
        <w:rPr>
          <w:rFonts w:hint="eastAsia" w:cs="Times New Roman" w:asciiTheme="minorEastAsia" w:hAnsiTheme="minorEastAsia" w:eastAsiaTheme="minorEastAsia"/>
          <w:kern w:val="0"/>
          <w:sz w:val="24"/>
          <w:szCs w:val="24"/>
          <w:lang w:val="en-US" w:eastAsia="zh-CN" w:bidi="ar-SA"/>
        </w:rPr>
        <w:t>。</w:t>
      </w:r>
    </w:p>
    <w:p>
      <w:pPr>
        <w:spacing w:line="360" w:lineRule="auto"/>
        <w:ind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3、积极吸纳国家相关政策和标准，在此基础上使该标准总体水平达到国内先进。</w:t>
      </w:r>
    </w:p>
    <w:p>
      <w:pPr>
        <w:spacing w:line="360" w:lineRule="auto"/>
        <w:ind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4、综合国内相关标准，因地制宜，结合湖南省冶金设备制造的市场现状、发展趋势，满足市场需求。</w:t>
      </w:r>
    </w:p>
    <w:p>
      <w:pPr>
        <w:adjustRightInd w:val="0"/>
        <w:snapToGrid w:val="0"/>
        <w:spacing w:line="440" w:lineRule="exact"/>
        <w:ind w:firstLine="482" w:firstLineChars="200"/>
        <w:rPr>
          <w:rFonts w:ascii="新宋体" w:hAnsi="新宋体" w:eastAsia="新宋体" w:cs="新宋体"/>
          <w:b/>
          <w:sz w:val="24"/>
        </w:rPr>
      </w:pPr>
      <w:r>
        <w:rPr>
          <w:rFonts w:hint="eastAsia" w:ascii="新宋体" w:hAnsi="新宋体" w:eastAsia="新宋体" w:cs="新宋体"/>
          <w:b/>
          <w:sz w:val="24"/>
        </w:rPr>
        <w:t>（二）主要内容</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规范在编制格式上执行了</w:t>
      </w:r>
      <w:r>
        <w:rPr>
          <w:rFonts w:asciiTheme="minorEastAsia" w:hAnsiTheme="minorEastAsia" w:eastAsiaTheme="minorEastAsia"/>
          <w:sz w:val="24"/>
        </w:rPr>
        <w:t>GB/T1.1-20</w:t>
      </w:r>
      <w:r>
        <w:rPr>
          <w:rFonts w:hint="eastAsia" w:asciiTheme="minorEastAsia" w:hAnsiTheme="minorEastAsia" w:eastAsiaTheme="minorEastAsia"/>
          <w:sz w:val="24"/>
        </w:rPr>
        <w:t>20《标准化工作指导第</w:t>
      </w:r>
      <w:r>
        <w:rPr>
          <w:rFonts w:asciiTheme="minorEastAsia" w:hAnsiTheme="minorEastAsia" w:eastAsiaTheme="minorEastAsia"/>
          <w:sz w:val="24"/>
        </w:rPr>
        <w:t>1</w:t>
      </w:r>
      <w:r>
        <w:rPr>
          <w:rFonts w:hint="eastAsia" w:asciiTheme="minorEastAsia" w:hAnsiTheme="minorEastAsia" w:eastAsiaTheme="minorEastAsia"/>
          <w:sz w:val="24"/>
        </w:rPr>
        <w:t>部分：标准的结构与编写》，主要内容包括</w:t>
      </w:r>
      <w:r>
        <w:rPr>
          <w:rFonts w:hint="eastAsia" w:asciiTheme="minorEastAsia" w:hAnsiTheme="minorEastAsia" w:eastAsiaTheme="minorEastAsia"/>
          <w:sz w:val="24"/>
          <w:lang w:val="en-US" w:eastAsia="zh-CN"/>
        </w:rPr>
        <w:t>六个</w:t>
      </w:r>
      <w:r>
        <w:rPr>
          <w:rFonts w:hint="eastAsia" w:asciiTheme="minorEastAsia" w:hAnsiTheme="minorEastAsia" w:eastAsiaTheme="minorEastAsia"/>
          <w:sz w:val="24"/>
        </w:rPr>
        <w:t>章节 具体为：</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1.范围；</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2.规范性引用文件；</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3.</w:t>
      </w:r>
      <w:r>
        <w:rPr>
          <w:rFonts w:hint="eastAsia" w:asciiTheme="minorEastAsia" w:hAnsiTheme="minorEastAsia" w:eastAsiaTheme="minorEastAsia"/>
          <w:sz w:val="24"/>
          <w:lang w:val="en-US" w:eastAsia="zh-CN"/>
        </w:rPr>
        <w:t>技术要求</w:t>
      </w:r>
      <w:r>
        <w:rPr>
          <w:rFonts w:hint="eastAsia" w:asciiTheme="minorEastAsia" w:hAnsiTheme="minorEastAsia" w:eastAsiaTheme="minorEastAsia"/>
          <w:sz w:val="24"/>
        </w:rPr>
        <w:t>；</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4.</w:t>
      </w:r>
      <w:r>
        <w:rPr>
          <w:rFonts w:hint="eastAsia" w:asciiTheme="minorEastAsia" w:hAnsiTheme="minorEastAsia" w:eastAsiaTheme="minorEastAsia"/>
          <w:sz w:val="24"/>
          <w:lang w:val="en-US" w:eastAsia="zh-CN"/>
        </w:rPr>
        <w:t>试验方法</w:t>
      </w:r>
      <w:r>
        <w:rPr>
          <w:rFonts w:hint="eastAsia" w:asciiTheme="minorEastAsia" w:hAnsiTheme="minorEastAsia" w:eastAsiaTheme="minorEastAsia"/>
          <w:sz w:val="24"/>
        </w:rPr>
        <w:t>；</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5.</w:t>
      </w:r>
      <w:r>
        <w:rPr>
          <w:rFonts w:hint="eastAsia" w:asciiTheme="minorEastAsia" w:hAnsiTheme="minorEastAsia" w:eastAsiaTheme="minorEastAsia"/>
          <w:sz w:val="24"/>
          <w:lang w:val="en-US" w:eastAsia="zh-CN"/>
        </w:rPr>
        <w:t>检验规则</w:t>
      </w:r>
      <w:r>
        <w:rPr>
          <w:rFonts w:hint="eastAsia" w:asciiTheme="minorEastAsia" w:hAnsiTheme="minorEastAsia" w:eastAsiaTheme="minorEastAsia"/>
          <w:sz w:val="24"/>
        </w:rPr>
        <w:t>；</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6.</w:t>
      </w:r>
      <w:r>
        <w:rPr>
          <w:rFonts w:hint="eastAsia" w:asciiTheme="minorEastAsia" w:hAnsiTheme="minorEastAsia" w:eastAsiaTheme="minorEastAsia"/>
          <w:sz w:val="24"/>
          <w:lang w:val="en-US" w:eastAsia="zh-CN"/>
        </w:rPr>
        <w:t>标志、包装、运输和贮存</w:t>
      </w:r>
      <w:r>
        <w:rPr>
          <w:rFonts w:hint="eastAsia" w:asciiTheme="minorEastAsia" w:hAnsiTheme="minorEastAsia" w:eastAsiaTheme="minorEastAsia"/>
          <w:sz w:val="24"/>
        </w:rPr>
        <w:t>。</w:t>
      </w:r>
    </w:p>
    <w:p>
      <w:pPr>
        <w:spacing w:line="440" w:lineRule="exact"/>
        <w:ind w:firstLine="482" w:firstLineChars="200"/>
        <w:rPr>
          <w:rFonts w:ascii="新宋体" w:hAnsi="新宋体" w:eastAsia="新宋体" w:cs="新宋体"/>
          <w:b/>
          <w:sz w:val="24"/>
        </w:rPr>
      </w:pPr>
      <w:r>
        <w:rPr>
          <w:rFonts w:hint="eastAsia" w:ascii="新宋体" w:hAnsi="新宋体" w:eastAsia="新宋体" w:cs="新宋体"/>
          <w:b/>
          <w:sz w:val="24"/>
        </w:rPr>
        <w:t>三、预期的效果</w:t>
      </w:r>
    </w:p>
    <w:p>
      <w:pPr>
        <w:spacing w:line="360" w:lineRule="auto"/>
        <w:ind w:firstLine="480" w:firstLineChars="200"/>
        <w:rPr>
          <w:rFonts w:hint="default"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本标准的试行，能够达到国内外先进标准，并为湖南省冶金装备制造商提供地方标准参照，为压力烧结炉制定标准能够为粉末冶金行业技术创新提供有力支撑，是实现压力烧结炉关键技术突破的重要指导，</w:t>
      </w:r>
      <w:r>
        <w:rPr>
          <w:rFonts w:hint="default" w:cs="Times New Roman" w:asciiTheme="minorEastAsia" w:hAnsiTheme="minorEastAsia" w:eastAsiaTheme="minorEastAsia"/>
          <w:kern w:val="0"/>
          <w:sz w:val="24"/>
          <w:szCs w:val="24"/>
          <w:lang w:val="en-US" w:eastAsia="zh-CN" w:bidi="ar-SA"/>
        </w:rPr>
        <w:t>保障压力烧结炉安全使用，有效弥补我国在压力烧结炉相关领域的标准规范空白，对先进硬质材料产业链的优化升级具有重要意义。</w:t>
      </w:r>
    </w:p>
    <w:p>
      <w:pPr>
        <w:spacing w:line="440" w:lineRule="exact"/>
        <w:ind w:firstLine="482" w:firstLineChars="200"/>
        <w:rPr>
          <w:rFonts w:ascii="新宋体" w:hAnsi="新宋体" w:eastAsia="新宋体" w:cs="新宋体"/>
          <w:b/>
          <w:sz w:val="24"/>
        </w:rPr>
      </w:pPr>
      <w:r>
        <w:rPr>
          <w:rFonts w:hint="eastAsia" w:ascii="新宋体" w:hAnsi="新宋体" w:eastAsia="新宋体" w:cs="新宋体"/>
          <w:b/>
          <w:sz w:val="24"/>
        </w:rPr>
        <w:t>四、采用国内外先进标准的程度，以及与国内外同类标准水平的对比情况</w:t>
      </w:r>
    </w:p>
    <w:p>
      <w:pPr>
        <w:spacing w:line="360" w:lineRule="auto"/>
        <w:ind w:firstLine="480" w:firstLineChars="200"/>
        <w:rPr>
          <w:rFonts w:hint="eastAsia" w:cs="Times New Roman" w:asciiTheme="minorEastAsia" w:hAnsiTheme="minorEastAsia" w:eastAsiaTheme="minorEastAsia"/>
          <w:kern w:val="0"/>
          <w:sz w:val="24"/>
          <w:szCs w:val="24"/>
          <w:highlight w:val="none"/>
          <w:lang w:val="en-US" w:eastAsia="zh-CN" w:bidi="ar-SA"/>
        </w:rPr>
      </w:pPr>
      <w:r>
        <w:rPr>
          <w:rFonts w:hint="eastAsia" w:cs="Times New Roman" w:asciiTheme="minorEastAsia" w:hAnsiTheme="minorEastAsia" w:eastAsiaTheme="minorEastAsia"/>
          <w:kern w:val="0"/>
          <w:sz w:val="24"/>
          <w:szCs w:val="24"/>
          <w:highlight w:val="none"/>
          <w:lang w:val="en-US" w:eastAsia="zh-CN" w:bidi="ar-SA"/>
        </w:rPr>
        <w:t>本标准在制定过程中没有查询到压力烧结炉相关的国际、国家、行业及地方标准，因此没有采标。</w:t>
      </w:r>
    </w:p>
    <w:p>
      <w:pPr>
        <w:spacing w:line="360" w:lineRule="auto"/>
        <w:ind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本规范规定了压力烧结炉技术要求、试验方法、检验规则等内容。标准符合国家法律法规和有关规范性标准的规定，适用性、可操作性强。该标准的发布实施, 将填补国内空白, 达到了国内标准制订的先进水平,对规范行业发展，提升产业的质量和水平具有重要意义。</w:t>
      </w:r>
    </w:p>
    <w:p>
      <w:pPr>
        <w:spacing w:line="440" w:lineRule="exact"/>
        <w:ind w:firstLine="482" w:firstLineChars="200"/>
        <w:rPr>
          <w:rFonts w:ascii="新宋体" w:hAnsi="新宋体" w:eastAsia="新宋体" w:cs="新宋体"/>
          <w:b/>
          <w:sz w:val="24"/>
        </w:rPr>
      </w:pPr>
      <w:r>
        <w:rPr>
          <w:rFonts w:hint="eastAsia" w:ascii="新宋体" w:hAnsi="新宋体" w:eastAsia="新宋体" w:cs="新宋体"/>
          <w:b/>
          <w:sz w:val="24"/>
        </w:rPr>
        <w:t>五、标准内容分岐意见的处理经过和依据</w:t>
      </w:r>
    </w:p>
    <w:p>
      <w:pPr>
        <w:spacing w:line="360" w:lineRule="auto"/>
        <w:ind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本规范编制及讨论过程中，没有出现重大意见分歧。</w:t>
      </w:r>
    </w:p>
    <w:p>
      <w:pPr>
        <w:spacing w:line="440" w:lineRule="exact"/>
        <w:ind w:firstLine="482" w:firstLineChars="200"/>
        <w:rPr>
          <w:rFonts w:ascii="新宋体" w:hAnsi="新宋体" w:eastAsia="新宋体" w:cs="新宋体"/>
          <w:b/>
          <w:sz w:val="24"/>
        </w:rPr>
      </w:pPr>
      <w:r>
        <w:rPr>
          <w:rFonts w:hint="eastAsia" w:ascii="新宋体" w:hAnsi="新宋体" w:eastAsia="新宋体" w:cs="新宋体"/>
          <w:b/>
          <w:sz w:val="24"/>
        </w:rPr>
        <w:t>六、贯彻标准的要求和措施建议</w:t>
      </w:r>
    </w:p>
    <w:p>
      <w:pPr>
        <w:adjustRightInd w:val="0"/>
        <w:snapToGrid w:val="0"/>
        <w:spacing w:line="440" w:lineRule="exact"/>
        <w:ind w:firstLine="479" w:firstLineChars="199"/>
        <w:outlineLvl w:val="1"/>
        <w:rPr>
          <w:rFonts w:ascii="新宋体" w:hAnsi="新宋体" w:eastAsia="新宋体" w:cs="新宋体"/>
          <w:b/>
          <w:sz w:val="24"/>
        </w:rPr>
      </w:pPr>
      <w:r>
        <w:rPr>
          <w:rFonts w:hint="eastAsia" w:ascii="新宋体" w:hAnsi="新宋体" w:eastAsia="新宋体" w:cs="新宋体"/>
          <w:b/>
          <w:sz w:val="24"/>
        </w:rPr>
        <w:t>1、组织措施</w:t>
      </w:r>
    </w:p>
    <w:p>
      <w:pPr>
        <w:spacing w:line="360" w:lineRule="auto"/>
        <w:ind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本标准作为推荐性标准由湖南市场监督管理局归口并发布实施，建议湖南省有关政府部门加强对压力烧结炉通用技术要求的组织宣贯，并组织相关单位学习，加强对湖南省压力烧结炉通用技术要求标准的管理，确保标准的实施。</w:t>
      </w:r>
    </w:p>
    <w:p>
      <w:pPr>
        <w:adjustRightInd w:val="0"/>
        <w:snapToGrid w:val="0"/>
        <w:spacing w:line="440" w:lineRule="exact"/>
        <w:ind w:firstLine="479" w:firstLineChars="199"/>
        <w:outlineLvl w:val="1"/>
        <w:rPr>
          <w:rFonts w:ascii="新宋体" w:hAnsi="新宋体" w:eastAsia="新宋体" w:cs="新宋体"/>
          <w:b/>
          <w:sz w:val="24"/>
        </w:rPr>
      </w:pPr>
      <w:r>
        <w:rPr>
          <w:rFonts w:hint="eastAsia" w:ascii="新宋体" w:hAnsi="新宋体" w:eastAsia="新宋体" w:cs="新宋体"/>
          <w:b/>
          <w:sz w:val="24"/>
        </w:rPr>
        <w:t>2、技术措施</w:t>
      </w:r>
    </w:p>
    <w:p>
      <w:pPr>
        <w:spacing w:line="360" w:lineRule="auto"/>
        <w:ind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1、首先应在实施前保证文本的充足供应，让每个使用者都能及时得到文本。这是保证新规范贯彻实施的基础。</w:t>
      </w:r>
    </w:p>
    <w:p>
      <w:pPr>
        <w:spacing w:line="360" w:lineRule="auto"/>
        <w:ind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2、发布后、实施前应将信息在媒体上广为宣传，必要时组织宣贯。</w:t>
      </w:r>
    </w:p>
    <w:p>
      <w:pPr>
        <w:spacing w:line="360" w:lineRule="auto"/>
        <w:ind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3、本标准可操作性强。</w:t>
      </w:r>
    </w:p>
    <w:p>
      <w:pPr>
        <w:spacing w:line="360" w:lineRule="auto"/>
        <w:ind w:firstLine="480" w:firstLineChars="200"/>
        <w:rPr>
          <w:rFonts w:hint="eastAsia" w:cs="Times New Roman" w:asciiTheme="minorEastAsia" w:hAnsiTheme="minorEastAsia" w:eastAsiaTheme="minorEastAsia"/>
          <w:kern w:val="0"/>
          <w:sz w:val="24"/>
          <w:szCs w:val="24"/>
          <w:lang w:val="en-US" w:eastAsia="zh-CN" w:bidi="ar-SA"/>
        </w:rPr>
      </w:pPr>
      <w:r>
        <w:rPr>
          <w:rFonts w:hint="eastAsia" w:cs="Times New Roman" w:asciiTheme="minorEastAsia" w:hAnsiTheme="minorEastAsia" w:eastAsiaTheme="minorEastAsia"/>
          <w:kern w:val="0"/>
          <w:sz w:val="24"/>
          <w:szCs w:val="24"/>
          <w:lang w:val="en-US" w:eastAsia="zh-CN" w:bidi="ar-SA"/>
        </w:rPr>
        <w:t>4、针对实施过程中所发现的问题应及时反馈给起草部门，以利于标准的进一步修订和完善。</w:t>
      </w:r>
    </w:p>
    <w:sectPr>
      <w:headerReference r:id="rId3" w:type="default"/>
      <w:footerReference r:id="rId4" w:type="default"/>
      <w:footerReference r:id="rId5" w:type="even"/>
      <w:pgSz w:w="11906" w:h="16838"/>
      <w:pgMar w:top="1418" w:right="1418" w:bottom="1418" w:left="1418" w:header="851" w:footer="992" w:gutter="0"/>
      <w:pgNumType w:fmt="numberInDas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ºÚÌå">
    <w:altName w:val="Arial"/>
    <w:panose1 w:val="00000000000000000000"/>
    <w:charset w:val="00"/>
    <w:family w:val="modern"/>
    <w:pitch w:val="default"/>
    <w:sig w:usb0="00000000" w:usb1="00000000" w:usb2="00000000" w:usb3="00000000" w:csb0="00000001"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7"/>
      </w:rPr>
    </w:pPr>
    <w:r>
      <w:fldChar w:fldCharType="begin"/>
    </w:r>
    <w:r>
      <w:rPr>
        <w:rStyle w:val="17"/>
      </w:rPr>
      <w:instrText xml:space="preserve">PAGE  </w:instrText>
    </w:r>
    <w:r>
      <w:fldChar w:fldCharType="separate"/>
    </w:r>
    <w:r>
      <w:rPr>
        <w:rStyle w:val="17"/>
      </w:rPr>
      <w:t>- 6 -</w:t>
    </w:r>
    <w:r>
      <w:fldChar w:fldCharType="end"/>
    </w:r>
  </w:p>
  <w:p>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7"/>
      </w:rPr>
    </w:pPr>
    <w:r>
      <w:fldChar w:fldCharType="begin"/>
    </w:r>
    <w:r>
      <w:rPr>
        <w:rStyle w:val="17"/>
      </w:rPr>
      <w:instrText xml:space="preserve">PAGE  </w:instrText>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F473E"/>
    <w:multiLevelType w:val="singleLevel"/>
    <w:tmpl w:val="5BFF473E"/>
    <w:lvl w:ilvl="0" w:tentative="0">
      <w:start w:val="2"/>
      <w:numFmt w:val="decimal"/>
      <w:suff w:val="space"/>
      <w:lvlText w:val="%1)"/>
      <w:lvlJc w:val="left"/>
    </w:lvl>
  </w:abstractNum>
  <w:abstractNum w:abstractNumId="1">
    <w:nsid w:val="6D6C07CD"/>
    <w:multiLevelType w:val="multilevel"/>
    <w:tmpl w:val="6D6C07CD"/>
    <w:lvl w:ilvl="0" w:tentative="0">
      <w:start w:val="1"/>
      <w:numFmt w:val="lowerLetter"/>
      <w:lvlText w:val="%1)"/>
      <w:lvlJc w:val="left"/>
      <w:pPr>
        <w:tabs>
          <w:tab w:val="left" w:pos="839"/>
        </w:tabs>
        <w:ind w:left="839" w:hanging="419"/>
      </w:pPr>
      <w:rPr>
        <w:rFonts w:hint="eastAsia" w:ascii="宋体" w:eastAsia="宋体"/>
        <w:b w:val="0"/>
        <w:i w:val="0"/>
        <w:sz w:val="21"/>
      </w:rPr>
    </w:lvl>
    <w:lvl w:ilvl="1" w:tentative="0">
      <w:start w:val="1"/>
      <w:numFmt w:val="decimal"/>
      <w:pStyle w:val="4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VjMGRkMjE2MTRiZDk3ZDAyNGIzMzdkZGY4YmE1NzMifQ=="/>
  </w:docVars>
  <w:rsids>
    <w:rsidRoot w:val="009B2E61"/>
    <w:rsid w:val="000006E8"/>
    <w:rsid w:val="00001A06"/>
    <w:rsid w:val="000021DA"/>
    <w:rsid w:val="00003EF3"/>
    <w:rsid w:val="000046E1"/>
    <w:rsid w:val="000065CB"/>
    <w:rsid w:val="00011C65"/>
    <w:rsid w:val="000122E8"/>
    <w:rsid w:val="000136E0"/>
    <w:rsid w:val="000145F7"/>
    <w:rsid w:val="00015687"/>
    <w:rsid w:val="00015DF6"/>
    <w:rsid w:val="00017520"/>
    <w:rsid w:val="00020E73"/>
    <w:rsid w:val="0002224A"/>
    <w:rsid w:val="000233EB"/>
    <w:rsid w:val="00025B9E"/>
    <w:rsid w:val="00031041"/>
    <w:rsid w:val="00032B28"/>
    <w:rsid w:val="000333D4"/>
    <w:rsid w:val="00034C50"/>
    <w:rsid w:val="00034D3D"/>
    <w:rsid w:val="000364C8"/>
    <w:rsid w:val="00040EB8"/>
    <w:rsid w:val="000509F1"/>
    <w:rsid w:val="00051C52"/>
    <w:rsid w:val="000552CA"/>
    <w:rsid w:val="00055A5C"/>
    <w:rsid w:val="0005751C"/>
    <w:rsid w:val="0005765D"/>
    <w:rsid w:val="00065B92"/>
    <w:rsid w:val="00067745"/>
    <w:rsid w:val="000733B3"/>
    <w:rsid w:val="00074B47"/>
    <w:rsid w:val="00080DEF"/>
    <w:rsid w:val="0008649D"/>
    <w:rsid w:val="00090764"/>
    <w:rsid w:val="00090E6B"/>
    <w:rsid w:val="00091BAD"/>
    <w:rsid w:val="00095C69"/>
    <w:rsid w:val="0009736A"/>
    <w:rsid w:val="000A0493"/>
    <w:rsid w:val="000A0683"/>
    <w:rsid w:val="000B235C"/>
    <w:rsid w:val="000B44A2"/>
    <w:rsid w:val="000B5A4E"/>
    <w:rsid w:val="000B5A7D"/>
    <w:rsid w:val="000B732E"/>
    <w:rsid w:val="000C524A"/>
    <w:rsid w:val="000D36E2"/>
    <w:rsid w:val="000D7A82"/>
    <w:rsid w:val="000E297D"/>
    <w:rsid w:val="000E4270"/>
    <w:rsid w:val="000E48EF"/>
    <w:rsid w:val="000E500F"/>
    <w:rsid w:val="000E566C"/>
    <w:rsid w:val="000E6F92"/>
    <w:rsid w:val="000E7716"/>
    <w:rsid w:val="000F422A"/>
    <w:rsid w:val="000F53F7"/>
    <w:rsid w:val="000F6ACB"/>
    <w:rsid w:val="000F739B"/>
    <w:rsid w:val="0010129E"/>
    <w:rsid w:val="00102D8F"/>
    <w:rsid w:val="0010557F"/>
    <w:rsid w:val="00106391"/>
    <w:rsid w:val="001104CC"/>
    <w:rsid w:val="001112E9"/>
    <w:rsid w:val="00113727"/>
    <w:rsid w:val="001155FA"/>
    <w:rsid w:val="00120BAD"/>
    <w:rsid w:val="00120D12"/>
    <w:rsid w:val="001215F2"/>
    <w:rsid w:val="00121799"/>
    <w:rsid w:val="0012212F"/>
    <w:rsid w:val="00123CC2"/>
    <w:rsid w:val="00124F89"/>
    <w:rsid w:val="001277E5"/>
    <w:rsid w:val="001345D0"/>
    <w:rsid w:val="00136D6E"/>
    <w:rsid w:val="0013757A"/>
    <w:rsid w:val="001438C5"/>
    <w:rsid w:val="00143A89"/>
    <w:rsid w:val="00145D32"/>
    <w:rsid w:val="00151198"/>
    <w:rsid w:val="00151E2D"/>
    <w:rsid w:val="00156161"/>
    <w:rsid w:val="00156904"/>
    <w:rsid w:val="00164871"/>
    <w:rsid w:val="00171ADA"/>
    <w:rsid w:val="00173D3D"/>
    <w:rsid w:val="00176645"/>
    <w:rsid w:val="00176D08"/>
    <w:rsid w:val="00177B4E"/>
    <w:rsid w:val="001843F2"/>
    <w:rsid w:val="001923F5"/>
    <w:rsid w:val="00194071"/>
    <w:rsid w:val="00195110"/>
    <w:rsid w:val="0019555D"/>
    <w:rsid w:val="001975A3"/>
    <w:rsid w:val="001A0E56"/>
    <w:rsid w:val="001A1562"/>
    <w:rsid w:val="001A246A"/>
    <w:rsid w:val="001A2A15"/>
    <w:rsid w:val="001A3D54"/>
    <w:rsid w:val="001A5AE1"/>
    <w:rsid w:val="001A5BA0"/>
    <w:rsid w:val="001B0BA8"/>
    <w:rsid w:val="001B0BC9"/>
    <w:rsid w:val="001B1AAF"/>
    <w:rsid w:val="001B1FF3"/>
    <w:rsid w:val="001B668E"/>
    <w:rsid w:val="001C4866"/>
    <w:rsid w:val="001C4A81"/>
    <w:rsid w:val="001C52F3"/>
    <w:rsid w:val="001C6592"/>
    <w:rsid w:val="001C668A"/>
    <w:rsid w:val="001D0DAB"/>
    <w:rsid w:val="001D13D2"/>
    <w:rsid w:val="001D36C1"/>
    <w:rsid w:val="001D3BF2"/>
    <w:rsid w:val="001D4A62"/>
    <w:rsid w:val="001D4D80"/>
    <w:rsid w:val="001D7D6A"/>
    <w:rsid w:val="001E0AD4"/>
    <w:rsid w:val="001E39BD"/>
    <w:rsid w:val="001E48B3"/>
    <w:rsid w:val="001E6A9E"/>
    <w:rsid w:val="001F4685"/>
    <w:rsid w:val="00206989"/>
    <w:rsid w:val="00210387"/>
    <w:rsid w:val="002105D8"/>
    <w:rsid w:val="0021298C"/>
    <w:rsid w:val="002132D6"/>
    <w:rsid w:val="0021528D"/>
    <w:rsid w:val="0021705B"/>
    <w:rsid w:val="002208F9"/>
    <w:rsid w:val="00223270"/>
    <w:rsid w:val="0022332C"/>
    <w:rsid w:val="002236EC"/>
    <w:rsid w:val="00230713"/>
    <w:rsid w:val="002309EC"/>
    <w:rsid w:val="00231052"/>
    <w:rsid w:val="002325E3"/>
    <w:rsid w:val="00233BDD"/>
    <w:rsid w:val="00235065"/>
    <w:rsid w:val="0023566E"/>
    <w:rsid w:val="00235B0A"/>
    <w:rsid w:val="0024232F"/>
    <w:rsid w:val="00244707"/>
    <w:rsid w:val="00244DDF"/>
    <w:rsid w:val="00246E75"/>
    <w:rsid w:val="00247BEB"/>
    <w:rsid w:val="0025160A"/>
    <w:rsid w:val="00252BEF"/>
    <w:rsid w:val="00253697"/>
    <w:rsid w:val="002606F4"/>
    <w:rsid w:val="00262FF5"/>
    <w:rsid w:val="00274917"/>
    <w:rsid w:val="00274E82"/>
    <w:rsid w:val="00281F56"/>
    <w:rsid w:val="00282221"/>
    <w:rsid w:val="00286383"/>
    <w:rsid w:val="0028755E"/>
    <w:rsid w:val="00292053"/>
    <w:rsid w:val="002A2301"/>
    <w:rsid w:val="002A3B3E"/>
    <w:rsid w:val="002A5DE1"/>
    <w:rsid w:val="002B0819"/>
    <w:rsid w:val="002B1909"/>
    <w:rsid w:val="002B2F52"/>
    <w:rsid w:val="002B57E4"/>
    <w:rsid w:val="002B5848"/>
    <w:rsid w:val="002C1E5F"/>
    <w:rsid w:val="002C55DA"/>
    <w:rsid w:val="002C6BE8"/>
    <w:rsid w:val="002D274E"/>
    <w:rsid w:val="002D4156"/>
    <w:rsid w:val="002D7BD5"/>
    <w:rsid w:val="002E06AF"/>
    <w:rsid w:val="002E11E5"/>
    <w:rsid w:val="002E6894"/>
    <w:rsid w:val="002F13DA"/>
    <w:rsid w:val="002F2ACA"/>
    <w:rsid w:val="002F3024"/>
    <w:rsid w:val="002F50DD"/>
    <w:rsid w:val="002F6F18"/>
    <w:rsid w:val="002F725D"/>
    <w:rsid w:val="00302BD6"/>
    <w:rsid w:val="00302D5C"/>
    <w:rsid w:val="00302E01"/>
    <w:rsid w:val="00302FDD"/>
    <w:rsid w:val="00303781"/>
    <w:rsid w:val="00303A39"/>
    <w:rsid w:val="00303DDE"/>
    <w:rsid w:val="00304D51"/>
    <w:rsid w:val="00305D5F"/>
    <w:rsid w:val="00306982"/>
    <w:rsid w:val="0031106B"/>
    <w:rsid w:val="0031129C"/>
    <w:rsid w:val="00312738"/>
    <w:rsid w:val="0031552D"/>
    <w:rsid w:val="00315837"/>
    <w:rsid w:val="00322CA4"/>
    <w:rsid w:val="0032466F"/>
    <w:rsid w:val="00325FE6"/>
    <w:rsid w:val="00327B64"/>
    <w:rsid w:val="00330367"/>
    <w:rsid w:val="00330E16"/>
    <w:rsid w:val="00331E24"/>
    <w:rsid w:val="00332138"/>
    <w:rsid w:val="003343BE"/>
    <w:rsid w:val="00334C36"/>
    <w:rsid w:val="00336656"/>
    <w:rsid w:val="00336E94"/>
    <w:rsid w:val="003379CD"/>
    <w:rsid w:val="00337AC0"/>
    <w:rsid w:val="003433F8"/>
    <w:rsid w:val="00346F49"/>
    <w:rsid w:val="00350D6A"/>
    <w:rsid w:val="003514B0"/>
    <w:rsid w:val="00351621"/>
    <w:rsid w:val="003526C6"/>
    <w:rsid w:val="003527F9"/>
    <w:rsid w:val="00353A8A"/>
    <w:rsid w:val="003547C3"/>
    <w:rsid w:val="003611F2"/>
    <w:rsid w:val="003669E6"/>
    <w:rsid w:val="0036750B"/>
    <w:rsid w:val="00371457"/>
    <w:rsid w:val="0038181F"/>
    <w:rsid w:val="003834E6"/>
    <w:rsid w:val="00385F98"/>
    <w:rsid w:val="00386621"/>
    <w:rsid w:val="00386A01"/>
    <w:rsid w:val="00387F12"/>
    <w:rsid w:val="00391836"/>
    <w:rsid w:val="003945F6"/>
    <w:rsid w:val="00397DE5"/>
    <w:rsid w:val="003A1429"/>
    <w:rsid w:val="003A4F9B"/>
    <w:rsid w:val="003A5080"/>
    <w:rsid w:val="003A647E"/>
    <w:rsid w:val="003B1867"/>
    <w:rsid w:val="003B1C06"/>
    <w:rsid w:val="003B3886"/>
    <w:rsid w:val="003B50EA"/>
    <w:rsid w:val="003B664C"/>
    <w:rsid w:val="003C07C1"/>
    <w:rsid w:val="003C0D60"/>
    <w:rsid w:val="003C17A0"/>
    <w:rsid w:val="003C47BD"/>
    <w:rsid w:val="003C75CF"/>
    <w:rsid w:val="003D1B40"/>
    <w:rsid w:val="003D525F"/>
    <w:rsid w:val="003D5F0E"/>
    <w:rsid w:val="003E0B64"/>
    <w:rsid w:val="003E10C7"/>
    <w:rsid w:val="003E3D55"/>
    <w:rsid w:val="003E461C"/>
    <w:rsid w:val="003E4A2B"/>
    <w:rsid w:val="003E595E"/>
    <w:rsid w:val="003E7E63"/>
    <w:rsid w:val="003F063B"/>
    <w:rsid w:val="003F0D1F"/>
    <w:rsid w:val="003F3755"/>
    <w:rsid w:val="003F4994"/>
    <w:rsid w:val="00400080"/>
    <w:rsid w:val="004047EF"/>
    <w:rsid w:val="004053E9"/>
    <w:rsid w:val="0040619D"/>
    <w:rsid w:val="00412C73"/>
    <w:rsid w:val="004141F8"/>
    <w:rsid w:val="0042057D"/>
    <w:rsid w:val="00420D63"/>
    <w:rsid w:val="00420DC8"/>
    <w:rsid w:val="00422A7E"/>
    <w:rsid w:val="00423002"/>
    <w:rsid w:val="00423289"/>
    <w:rsid w:val="004238A3"/>
    <w:rsid w:val="00424272"/>
    <w:rsid w:val="00424BBF"/>
    <w:rsid w:val="00425813"/>
    <w:rsid w:val="00430A0E"/>
    <w:rsid w:val="00437B70"/>
    <w:rsid w:val="004406D7"/>
    <w:rsid w:val="00443A85"/>
    <w:rsid w:val="004462A4"/>
    <w:rsid w:val="00453D3D"/>
    <w:rsid w:val="0045580F"/>
    <w:rsid w:val="00457C5A"/>
    <w:rsid w:val="004603A0"/>
    <w:rsid w:val="00461151"/>
    <w:rsid w:val="00462405"/>
    <w:rsid w:val="0046298C"/>
    <w:rsid w:val="0047029F"/>
    <w:rsid w:val="00470843"/>
    <w:rsid w:val="004708DE"/>
    <w:rsid w:val="004721C0"/>
    <w:rsid w:val="004730D5"/>
    <w:rsid w:val="004749C0"/>
    <w:rsid w:val="004755CA"/>
    <w:rsid w:val="00475ED1"/>
    <w:rsid w:val="004778C5"/>
    <w:rsid w:val="0048299E"/>
    <w:rsid w:val="00483FE9"/>
    <w:rsid w:val="00484274"/>
    <w:rsid w:val="00484335"/>
    <w:rsid w:val="00484D73"/>
    <w:rsid w:val="004864DD"/>
    <w:rsid w:val="004872EB"/>
    <w:rsid w:val="00490BD1"/>
    <w:rsid w:val="004910EA"/>
    <w:rsid w:val="0049323B"/>
    <w:rsid w:val="004953F3"/>
    <w:rsid w:val="004967EE"/>
    <w:rsid w:val="004A30CF"/>
    <w:rsid w:val="004A3C0B"/>
    <w:rsid w:val="004A5D0B"/>
    <w:rsid w:val="004A65A4"/>
    <w:rsid w:val="004B1352"/>
    <w:rsid w:val="004B2FED"/>
    <w:rsid w:val="004B3680"/>
    <w:rsid w:val="004B397E"/>
    <w:rsid w:val="004C2353"/>
    <w:rsid w:val="004C339E"/>
    <w:rsid w:val="004C4216"/>
    <w:rsid w:val="004C5B46"/>
    <w:rsid w:val="004C5F79"/>
    <w:rsid w:val="004C6A0B"/>
    <w:rsid w:val="004C722B"/>
    <w:rsid w:val="004D18E0"/>
    <w:rsid w:val="004D2C69"/>
    <w:rsid w:val="004D34A8"/>
    <w:rsid w:val="004D502F"/>
    <w:rsid w:val="004D5B99"/>
    <w:rsid w:val="004D5F2A"/>
    <w:rsid w:val="004D7387"/>
    <w:rsid w:val="004D78B6"/>
    <w:rsid w:val="004E2670"/>
    <w:rsid w:val="004E43B0"/>
    <w:rsid w:val="004E4E5B"/>
    <w:rsid w:val="004E552E"/>
    <w:rsid w:val="004E77EB"/>
    <w:rsid w:val="004E78CC"/>
    <w:rsid w:val="004F02BE"/>
    <w:rsid w:val="004F4561"/>
    <w:rsid w:val="004F48AB"/>
    <w:rsid w:val="004F6395"/>
    <w:rsid w:val="004F670C"/>
    <w:rsid w:val="004F770E"/>
    <w:rsid w:val="004F7C5E"/>
    <w:rsid w:val="0050025B"/>
    <w:rsid w:val="00504F1D"/>
    <w:rsid w:val="00506E65"/>
    <w:rsid w:val="00511E0F"/>
    <w:rsid w:val="005144B2"/>
    <w:rsid w:val="00514623"/>
    <w:rsid w:val="00516EA7"/>
    <w:rsid w:val="005253BE"/>
    <w:rsid w:val="00525859"/>
    <w:rsid w:val="00527FD4"/>
    <w:rsid w:val="00531E84"/>
    <w:rsid w:val="005320C1"/>
    <w:rsid w:val="00532C97"/>
    <w:rsid w:val="00534D2A"/>
    <w:rsid w:val="00534F85"/>
    <w:rsid w:val="005369D7"/>
    <w:rsid w:val="00537255"/>
    <w:rsid w:val="005424FD"/>
    <w:rsid w:val="0054309A"/>
    <w:rsid w:val="00544BE1"/>
    <w:rsid w:val="00553938"/>
    <w:rsid w:val="005539C2"/>
    <w:rsid w:val="00554BC4"/>
    <w:rsid w:val="0056304C"/>
    <w:rsid w:val="005666B5"/>
    <w:rsid w:val="00566A74"/>
    <w:rsid w:val="00570874"/>
    <w:rsid w:val="00570C3E"/>
    <w:rsid w:val="005725E5"/>
    <w:rsid w:val="00574AD8"/>
    <w:rsid w:val="005765D0"/>
    <w:rsid w:val="005807BE"/>
    <w:rsid w:val="00580C67"/>
    <w:rsid w:val="005832D9"/>
    <w:rsid w:val="005859CE"/>
    <w:rsid w:val="005877C4"/>
    <w:rsid w:val="005901F2"/>
    <w:rsid w:val="00590C0D"/>
    <w:rsid w:val="00592416"/>
    <w:rsid w:val="00592F61"/>
    <w:rsid w:val="00595DDB"/>
    <w:rsid w:val="00597A69"/>
    <w:rsid w:val="005A0F4D"/>
    <w:rsid w:val="005A1E06"/>
    <w:rsid w:val="005A3933"/>
    <w:rsid w:val="005A4D1C"/>
    <w:rsid w:val="005A54FC"/>
    <w:rsid w:val="005A6C62"/>
    <w:rsid w:val="005B0E8A"/>
    <w:rsid w:val="005B22EB"/>
    <w:rsid w:val="005B2BA3"/>
    <w:rsid w:val="005B3639"/>
    <w:rsid w:val="005B5FC7"/>
    <w:rsid w:val="005B7A41"/>
    <w:rsid w:val="005C0096"/>
    <w:rsid w:val="005C00B4"/>
    <w:rsid w:val="005C0580"/>
    <w:rsid w:val="005C5947"/>
    <w:rsid w:val="005C7BAA"/>
    <w:rsid w:val="005D0100"/>
    <w:rsid w:val="005D0250"/>
    <w:rsid w:val="005D0821"/>
    <w:rsid w:val="005D1531"/>
    <w:rsid w:val="005D1A06"/>
    <w:rsid w:val="005D2E05"/>
    <w:rsid w:val="005D3069"/>
    <w:rsid w:val="005D6D5B"/>
    <w:rsid w:val="005D76DF"/>
    <w:rsid w:val="005D7C9F"/>
    <w:rsid w:val="005E39C9"/>
    <w:rsid w:val="005F0F74"/>
    <w:rsid w:val="005F1957"/>
    <w:rsid w:val="005F1982"/>
    <w:rsid w:val="005F2BD2"/>
    <w:rsid w:val="005F5800"/>
    <w:rsid w:val="005F628E"/>
    <w:rsid w:val="0060200C"/>
    <w:rsid w:val="006023E0"/>
    <w:rsid w:val="00602DA0"/>
    <w:rsid w:val="00602E8A"/>
    <w:rsid w:val="0060458E"/>
    <w:rsid w:val="00604F41"/>
    <w:rsid w:val="00605AC7"/>
    <w:rsid w:val="00606472"/>
    <w:rsid w:val="006065A9"/>
    <w:rsid w:val="00606DC7"/>
    <w:rsid w:val="00610F83"/>
    <w:rsid w:val="00615D41"/>
    <w:rsid w:val="00617708"/>
    <w:rsid w:val="00621520"/>
    <w:rsid w:val="00622525"/>
    <w:rsid w:val="006248E3"/>
    <w:rsid w:val="0062502D"/>
    <w:rsid w:val="00633055"/>
    <w:rsid w:val="00633F76"/>
    <w:rsid w:val="006351A9"/>
    <w:rsid w:val="0064521E"/>
    <w:rsid w:val="00646878"/>
    <w:rsid w:val="00646CA5"/>
    <w:rsid w:val="006531F0"/>
    <w:rsid w:val="0065592E"/>
    <w:rsid w:val="00655947"/>
    <w:rsid w:val="0066096D"/>
    <w:rsid w:val="00661150"/>
    <w:rsid w:val="00671007"/>
    <w:rsid w:val="006712A3"/>
    <w:rsid w:val="00671AB2"/>
    <w:rsid w:val="0067218B"/>
    <w:rsid w:val="00677A72"/>
    <w:rsid w:val="00680A99"/>
    <w:rsid w:val="006811D0"/>
    <w:rsid w:val="0068332B"/>
    <w:rsid w:val="00685B67"/>
    <w:rsid w:val="00685FA0"/>
    <w:rsid w:val="006907A7"/>
    <w:rsid w:val="0069345C"/>
    <w:rsid w:val="00694FDA"/>
    <w:rsid w:val="00696586"/>
    <w:rsid w:val="006A168B"/>
    <w:rsid w:val="006A2B51"/>
    <w:rsid w:val="006A53D6"/>
    <w:rsid w:val="006A6E93"/>
    <w:rsid w:val="006A744C"/>
    <w:rsid w:val="006B0D55"/>
    <w:rsid w:val="006B4ADE"/>
    <w:rsid w:val="006B4FB1"/>
    <w:rsid w:val="006B52B9"/>
    <w:rsid w:val="006B7733"/>
    <w:rsid w:val="006C384F"/>
    <w:rsid w:val="006C39CD"/>
    <w:rsid w:val="006C5759"/>
    <w:rsid w:val="006C7356"/>
    <w:rsid w:val="006D0027"/>
    <w:rsid w:val="006D11C2"/>
    <w:rsid w:val="006D2209"/>
    <w:rsid w:val="006D2D75"/>
    <w:rsid w:val="006D3080"/>
    <w:rsid w:val="006D37C3"/>
    <w:rsid w:val="006D4627"/>
    <w:rsid w:val="006D5E33"/>
    <w:rsid w:val="006D6D02"/>
    <w:rsid w:val="006E291E"/>
    <w:rsid w:val="006E2A1A"/>
    <w:rsid w:val="006E5F4D"/>
    <w:rsid w:val="006E5F72"/>
    <w:rsid w:val="006E62F6"/>
    <w:rsid w:val="006E73D1"/>
    <w:rsid w:val="006E7736"/>
    <w:rsid w:val="006F00D1"/>
    <w:rsid w:val="006F4F33"/>
    <w:rsid w:val="006F7482"/>
    <w:rsid w:val="00704353"/>
    <w:rsid w:val="00704B99"/>
    <w:rsid w:val="007101D7"/>
    <w:rsid w:val="00710593"/>
    <w:rsid w:val="00710D1C"/>
    <w:rsid w:val="00712789"/>
    <w:rsid w:val="0071356A"/>
    <w:rsid w:val="00717593"/>
    <w:rsid w:val="00724A10"/>
    <w:rsid w:val="00726EEE"/>
    <w:rsid w:val="00727357"/>
    <w:rsid w:val="00730587"/>
    <w:rsid w:val="00730931"/>
    <w:rsid w:val="00731888"/>
    <w:rsid w:val="0073321F"/>
    <w:rsid w:val="00736760"/>
    <w:rsid w:val="007424C4"/>
    <w:rsid w:val="00743E39"/>
    <w:rsid w:val="0075186F"/>
    <w:rsid w:val="007541A5"/>
    <w:rsid w:val="0075573A"/>
    <w:rsid w:val="00756A72"/>
    <w:rsid w:val="007606A2"/>
    <w:rsid w:val="00762537"/>
    <w:rsid w:val="00762B32"/>
    <w:rsid w:val="007633EA"/>
    <w:rsid w:val="00772BD4"/>
    <w:rsid w:val="007737D2"/>
    <w:rsid w:val="00776BDB"/>
    <w:rsid w:val="00780DD6"/>
    <w:rsid w:val="007849DC"/>
    <w:rsid w:val="00786832"/>
    <w:rsid w:val="0079015D"/>
    <w:rsid w:val="00792413"/>
    <w:rsid w:val="00795520"/>
    <w:rsid w:val="00795809"/>
    <w:rsid w:val="0079746F"/>
    <w:rsid w:val="0079791E"/>
    <w:rsid w:val="007A3FF7"/>
    <w:rsid w:val="007A49D6"/>
    <w:rsid w:val="007A5C76"/>
    <w:rsid w:val="007A6F6A"/>
    <w:rsid w:val="007A7043"/>
    <w:rsid w:val="007B0E91"/>
    <w:rsid w:val="007B208E"/>
    <w:rsid w:val="007B3DFB"/>
    <w:rsid w:val="007B5B37"/>
    <w:rsid w:val="007B7B20"/>
    <w:rsid w:val="007C1065"/>
    <w:rsid w:val="007C3EF1"/>
    <w:rsid w:val="007D198A"/>
    <w:rsid w:val="007D4120"/>
    <w:rsid w:val="007D4C0A"/>
    <w:rsid w:val="007D5B5B"/>
    <w:rsid w:val="007D6B35"/>
    <w:rsid w:val="007D7E0F"/>
    <w:rsid w:val="007E08B5"/>
    <w:rsid w:val="007E1A34"/>
    <w:rsid w:val="007E32F1"/>
    <w:rsid w:val="007E43A5"/>
    <w:rsid w:val="007E6131"/>
    <w:rsid w:val="007F1581"/>
    <w:rsid w:val="007F1D54"/>
    <w:rsid w:val="007F6889"/>
    <w:rsid w:val="007F6E24"/>
    <w:rsid w:val="0080495E"/>
    <w:rsid w:val="008066C2"/>
    <w:rsid w:val="008074DF"/>
    <w:rsid w:val="00807A5C"/>
    <w:rsid w:val="00811669"/>
    <w:rsid w:val="00812B71"/>
    <w:rsid w:val="00814F65"/>
    <w:rsid w:val="00817D96"/>
    <w:rsid w:val="00824749"/>
    <w:rsid w:val="008260ED"/>
    <w:rsid w:val="00826E81"/>
    <w:rsid w:val="008308A4"/>
    <w:rsid w:val="00837A08"/>
    <w:rsid w:val="008405A9"/>
    <w:rsid w:val="008433ED"/>
    <w:rsid w:val="00845227"/>
    <w:rsid w:val="00846870"/>
    <w:rsid w:val="008468F5"/>
    <w:rsid w:val="008476F3"/>
    <w:rsid w:val="008508F9"/>
    <w:rsid w:val="008511A9"/>
    <w:rsid w:val="00860046"/>
    <w:rsid w:val="00860F46"/>
    <w:rsid w:val="00861B4B"/>
    <w:rsid w:val="00865367"/>
    <w:rsid w:val="008758FA"/>
    <w:rsid w:val="00875B73"/>
    <w:rsid w:val="00880B31"/>
    <w:rsid w:val="00880BBB"/>
    <w:rsid w:val="00881A8B"/>
    <w:rsid w:val="00883E52"/>
    <w:rsid w:val="00884A13"/>
    <w:rsid w:val="00886F34"/>
    <w:rsid w:val="008870EE"/>
    <w:rsid w:val="00887E8E"/>
    <w:rsid w:val="00893686"/>
    <w:rsid w:val="008943CA"/>
    <w:rsid w:val="008A11CE"/>
    <w:rsid w:val="008A4C3F"/>
    <w:rsid w:val="008B0462"/>
    <w:rsid w:val="008B0BB6"/>
    <w:rsid w:val="008B2B55"/>
    <w:rsid w:val="008B3E0C"/>
    <w:rsid w:val="008C04BC"/>
    <w:rsid w:val="008C0F83"/>
    <w:rsid w:val="008C15C2"/>
    <w:rsid w:val="008C1D8E"/>
    <w:rsid w:val="008C3A9C"/>
    <w:rsid w:val="008C3F58"/>
    <w:rsid w:val="008C6D78"/>
    <w:rsid w:val="008C78F0"/>
    <w:rsid w:val="008D18DD"/>
    <w:rsid w:val="008D437C"/>
    <w:rsid w:val="008D48D1"/>
    <w:rsid w:val="008D51B4"/>
    <w:rsid w:val="008D5E0C"/>
    <w:rsid w:val="008D5F34"/>
    <w:rsid w:val="008D6E7C"/>
    <w:rsid w:val="008E0EB7"/>
    <w:rsid w:val="008E291E"/>
    <w:rsid w:val="008E44D2"/>
    <w:rsid w:val="008E5608"/>
    <w:rsid w:val="008F136E"/>
    <w:rsid w:val="008F194D"/>
    <w:rsid w:val="008F5248"/>
    <w:rsid w:val="008F672C"/>
    <w:rsid w:val="0090073E"/>
    <w:rsid w:val="00902CED"/>
    <w:rsid w:val="00912CBC"/>
    <w:rsid w:val="00915354"/>
    <w:rsid w:val="009174A5"/>
    <w:rsid w:val="00923BDE"/>
    <w:rsid w:val="009273CB"/>
    <w:rsid w:val="00930E85"/>
    <w:rsid w:val="00931BF6"/>
    <w:rsid w:val="00932986"/>
    <w:rsid w:val="00932BF0"/>
    <w:rsid w:val="009342ED"/>
    <w:rsid w:val="00936C87"/>
    <w:rsid w:val="009374B8"/>
    <w:rsid w:val="00937528"/>
    <w:rsid w:val="00937692"/>
    <w:rsid w:val="00941ADD"/>
    <w:rsid w:val="009424ED"/>
    <w:rsid w:val="00944571"/>
    <w:rsid w:val="00947C36"/>
    <w:rsid w:val="009503E0"/>
    <w:rsid w:val="0095071F"/>
    <w:rsid w:val="0095308E"/>
    <w:rsid w:val="0095357F"/>
    <w:rsid w:val="00953DF6"/>
    <w:rsid w:val="0096129D"/>
    <w:rsid w:val="009623FD"/>
    <w:rsid w:val="00962EDB"/>
    <w:rsid w:val="009642F5"/>
    <w:rsid w:val="009703C7"/>
    <w:rsid w:val="00971117"/>
    <w:rsid w:val="0097365C"/>
    <w:rsid w:val="009741D8"/>
    <w:rsid w:val="00974AF0"/>
    <w:rsid w:val="0097595C"/>
    <w:rsid w:val="00976276"/>
    <w:rsid w:val="009762B8"/>
    <w:rsid w:val="009819BB"/>
    <w:rsid w:val="00984935"/>
    <w:rsid w:val="00987DA3"/>
    <w:rsid w:val="00990838"/>
    <w:rsid w:val="00993D3D"/>
    <w:rsid w:val="00995E0C"/>
    <w:rsid w:val="00996040"/>
    <w:rsid w:val="009A17B2"/>
    <w:rsid w:val="009A7B8E"/>
    <w:rsid w:val="009B2E61"/>
    <w:rsid w:val="009B2FF1"/>
    <w:rsid w:val="009B4D01"/>
    <w:rsid w:val="009B5808"/>
    <w:rsid w:val="009B6E23"/>
    <w:rsid w:val="009B726C"/>
    <w:rsid w:val="009C20D3"/>
    <w:rsid w:val="009C2205"/>
    <w:rsid w:val="009C34B9"/>
    <w:rsid w:val="009C5949"/>
    <w:rsid w:val="009D00F1"/>
    <w:rsid w:val="009D1FC9"/>
    <w:rsid w:val="009D4048"/>
    <w:rsid w:val="009D4C55"/>
    <w:rsid w:val="009E2AA4"/>
    <w:rsid w:val="009E4B4C"/>
    <w:rsid w:val="009E4EF0"/>
    <w:rsid w:val="009E54E8"/>
    <w:rsid w:val="009E6403"/>
    <w:rsid w:val="009E7A5E"/>
    <w:rsid w:val="009F2775"/>
    <w:rsid w:val="009F3300"/>
    <w:rsid w:val="009F426C"/>
    <w:rsid w:val="00A060FB"/>
    <w:rsid w:val="00A063C5"/>
    <w:rsid w:val="00A113BD"/>
    <w:rsid w:val="00A11E1A"/>
    <w:rsid w:val="00A124C7"/>
    <w:rsid w:val="00A14D66"/>
    <w:rsid w:val="00A14EB7"/>
    <w:rsid w:val="00A1726C"/>
    <w:rsid w:val="00A205BF"/>
    <w:rsid w:val="00A20991"/>
    <w:rsid w:val="00A23FDB"/>
    <w:rsid w:val="00A251A7"/>
    <w:rsid w:val="00A335B6"/>
    <w:rsid w:val="00A361B6"/>
    <w:rsid w:val="00A36C1B"/>
    <w:rsid w:val="00A37385"/>
    <w:rsid w:val="00A47108"/>
    <w:rsid w:val="00A53443"/>
    <w:rsid w:val="00A554B3"/>
    <w:rsid w:val="00A55B95"/>
    <w:rsid w:val="00A602FE"/>
    <w:rsid w:val="00A60A27"/>
    <w:rsid w:val="00A628B8"/>
    <w:rsid w:val="00A63359"/>
    <w:rsid w:val="00A65D20"/>
    <w:rsid w:val="00A66260"/>
    <w:rsid w:val="00A707B5"/>
    <w:rsid w:val="00A70A0C"/>
    <w:rsid w:val="00A71649"/>
    <w:rsid w:val="00A71C9C"/>
    <w:rsid w:val="00A72489"/>
    <w:rsid w:val="00A74351"/>
    <w:rsid w:val="00A801F5"/>
    <w:rsid w:val="00A8056D"/>
    <w:rsid w:val="00A80921"/>
    <w:rsid w:val="00A873C3"/>
    <w:rsid w:val="00A90422"/>
    <w:rsid w:val="00A91779"/>
    <w:rsid w:val="00A919E7"/>
    <w:rsid w:val="00A95181"/>
    <w:rsid w:val="00A95F07"/>
    <w:rsid w:val="00A9643E"/>
    <w:rsid w:val="00A964FC"/>
    <w:rsid w:val="00A96900"/>
    <w:rsid w:val="00AA31FA"/>
    <w:rsid w:val="00AA5061"/>
    <w:rsid w:val="00AB117B"/>
    <w:rsid w:val="00AB1976"/>
    <w:rsid w:val="00AB1BBB"/>
    <w:rsid w:val="00AB3080"/>
    <w:rsid w:val="00AB4177"/>
    <w:rsid w:val="00AB666B"/>
    <w:rsid w:val="00AC007D"/>
    <w:rsid w:val="00AC0C8F"/>
    <w:rsid w:val="00AC148B"/>
    <w:rsid w:val="00AC17FE"/>
    <w:rsid w:val="00AC2A33"/>
    <w:rsid w:val="00AC3C82"/>
    <w:rsid w:val="00AC5A5D"/>
    <w:rsid w:val="00AC5B2F"/>
    <w:rsid w:val="00AC5E83"/>
    <w:rsid w:val="00AD09D2"/>
    <w:rsid w:val="00AD6153"/>
    <w:rsid w:val="00AE003B"/>
    <w:rsid w:val="00AE069F"/>
    <w:rsid w:val="00AE231B"/>
    <w:rsid w:val="00AE411A"/>
    <w:rsid w:val="00AF1F65"/>
    <w:rsid w:val="00AF4C65"/>
    <w:rsid w:val="00AF50BB"/>
    <w:rsid w:val="00AF54B0"/>
    <w:rsid w:val="00AF5FD3"/>
    <w:rsid w:val="00B00358"/>
    <w:rsid w:val="00B00F78"/>
    <w:rsid w:val="00B01922"/>
    <w:rsid w:val="00B049F5"/>
    <w:rsid w:val="00B04D08"/>
    <w:rsid w:val="00B1211E"/>
    <w:rsid w:val="00B13053"/>
    <w:rsid w:val="00B13FC6"/>
    <w:rsid w:val="00B17BC8"/>
    <w:rsid w:val="00B26535"/>
    <w:rsid w:val="00B26F28"/>
    <w:rsid w:val="00B271F9"/>
    <w:rsid w:val="00B27FD3"/>
    <w:rsid w:val="00B309EE"/>
    <w:rsid w:val="00B36158"/>
    <w:rsid w:val="00B42769"/>
    <w:rsid w:val="00B428FD"/>
    <w:rsid w:val="00B42BF2"/>
    <w:rsid w:val="00B42C94"/>
    <w:rsid w:val="00B43E30"/>
    <w:rsid w:val="00B44B7B"/>
    <w:rsid w:val="00B47913"/>
    <w:rsid w:val="00B54E1B"/>
    <w:rsid w:val="00B54F5C"/>
    <w:rsid w:val="00B578AF"/>
    <w:rsid w:val="00B57986"/>
    <w:rsid w:val="00B656A7"/>
    <w:rsid w:val="00B66211"/>
    <w:rsid w:val="00B66D78"/>
    <w:rsid w:val="00B67B0A"/>
    <w:rsid w:val="00B67E4E"/>
    <w:rsid w:val="00B764E9"/>
    <w:rsid w:val="00B80C74"/>
    <w:rsid w:val="00B82327"/>
    <w:rsid w:val="00B8559A"/>
    <w:rsid w:val="00B90950"/>
    <w:rsid w:val="00B915EF"/>
    <w:rsid w:val="00B92BB2"/>
    <w:rsid w:val="00B932C1"/>
    <w:rsid w:val="00B93DCB"/>
    <w:rsid w:val="00B94906"/>
    <w:rsid w:val="00BA20E0"/>
    <w:rsid w:val="00BA3E18"/>
    <w:rsid w:val="00BB02CE"/>
    <w:rsid w:val="00BB49A1"/>
    <w:rsid w:val="00BB5175"/>
    <w:rsid w:val="00BB694F"/>
    <w:rsid w:val="00BB7E50"/>
    <w:rsid w:val="00BC028A"/>
    <w:rsid w:val="00BC2540"/>
    <w:rsid w:val="00BC27C2"/>
    <w:rsid w:val="00BC2B20"/>
    <w:rsid w:val="00BC5D46"/>
    <w:rsid w:val="00BC72D6"/>
    <w:rsid w:val="00BD01DE"/>
    <w:rsid w:val="00BD672E"/>
    <w:rsid w:val="00BE06E4"/>
    <w:rsid w:val="00BE2108"/>
    <w:rsid w:val="00BE2997"/>
    <w:rsid w:val="00BE2E98"/>
    <w:rsid w:val="00BE2F45"/>
    <w:rsid w:val="00BE3118"/>
    <w:rsid w:val="00BE51FF"/>
    <w:rsid w:val="00BE52DE"/>
    <w:rsid w:val="00BE53F2"/>
    <w:rsid w:val="00BE5590"/>
    <w:rsid w:val="00BE5C5A"/>
    <w:rsid w:val="00BF2324"/>
    <w:rsid w:val="00BF69F1"/>
    <w:rsid w:val="00BF6C08"/>
    <w:rsid w:val="00BF7441"/>
    <w:rsid w:val="00BF7442"/>
    <w:rsid w:val="00C02FC7"/>
    <w:rsid w:val="00C05D5A"/>
    <w:rsid w:val="00C1088B"/>
    <w:rsid w:val="00C1631C"/>
    <w:rsid w:val="00C17CE3"/>
    <w:rsid w:val="00C17FA7"/>
    <w:rsid w:val="00C22896"/>
    <w:rsid w:val="00C236FB"/>
    <w:rsid w:val="00C24B8D"/>
    <w:rsid w:val="00C26CA1"/>
    <w:rsid w:val="00C33751"/>
    <w:rsid w:val="00C340D4"/>
    <w:rsid w:val="00C375FC"/>
    <w:rsid w:val="00C4465A"/>
    <w:rsid w:val="00C45585"/>
    <w:rsid w:val="00C45759"/>
    <w:rsid w:val="00C51B8E"/>
    <w:rsid w:val="00C57C90"/>
    <w:rsid w:val="00C6065C"/>
    <w:rsid w:val="00C61E5D"/>
    <w:rsid w:val="00C633E1"/>
    <w:rsid w:val="00C636EF"/>
    <w:rsid w:val="00C63C41"/>
    <w:rsid w:val="00C6519D"/>
    <w:rsid w:val="00C66BD1"/>
    <w:rsid w:val="00C70027"/>
    <w:rsid w:val="00C71E16"/>
    <w:rsid w:val="00C73695"/>
    <w:rsid w:val="00C73C84"/>
    <w:rsid w:val="00C73FB5"/>
    <w:rsid w:val="00C74BEB"/>
    <w:rsid w:val="00C77E58"/>
    <w:rsid w:val="00C8013F"/>
    <w:rsid w:val="00C801C2"/>
    <w:rsid w:val="00C864F1"/>
    <w:rsid w:val="00C86502"/>
    <w:rsid w:val="00C86528"/>
    <w:rsid w:val="00C915F6"/>
    <w:rsid w:val="00C9268F"/>
    <w:rsid w:val="00C93768"/>
    <w:rsid w:val="00C94C66"/>
    <w:rsid w:val="00C94CE7"/>
    <w:rsid w:val="00C964AD"/>
    <w:rsid w:val="00CA2451"/>
    <w:rsid w:val="00CA3696"/>
    <w:rsid w:val="00CB4366"/>
    <w:rsid w:val="00CB436D"/>
    <w:rsid w:val="00CB7538"/>
    <w:rsid w:val="00CC062E"/>
    <w:rsid w:val="00CC17FE"/>
    <w:rsid w:val="00CC2211"/>
    <w:rsid w:val="00CC3428"/>
    <w:rsid w:val="00CC3746"/>
    <w:rsid w:val="00CC7E81"/>
    <w:rsid w:val="00CD235C"/>
    <w:rsid w:val="00CD4F9A"/>
    <w:rsid w:val="00CD6993"/>
    <w:rsid w:val="00CD7383"/>
    <w:rsid w:val="00CE0E98"/>
    <w:rsid w:val="00CE26CF"/>
    <w:rsid w:val="00CE2E1C"/>
    <w:rsid w:val="00CE5628"/>
    <w:rsid w:val="00CE5851"/>
    <w:rsid w:val="00CF1607"/>
    <w:rsid w:val="00CF455F"/>
    <w:rsid w:val="00CF5C48"/>
    <w:rsid w:val="00D03D0E"/>
    <w:rsid w:val="00D0481B"/>
    <w:rsid w:val="00D0560D"/>
    <w:rsid w:val="00D06344"/>
    <w:rsid w:val="00D06A09"/>
    <w:rsid w:val="00D07584"/>
    <w:rsid w:val="00D11DE2"/>
    <w:rsid w:val="00D14D2C"/>
    <w:rsid w:val="00D17FD7"/>
    <w:rsid w:val="00D22FBD"/>
    <w:rsid w:val="00D24362"/>
    <w:rsid w:val="00D253C1"/>
    <w:rsid w:val="00D26315"/>
    <w:rsid w:val="00D36C6B"/>
    <w:rsid w:val="00D4312E"/>
    <w:rsid w:val="00D454DD"/>
    <w:rsid w:val="00D45BB0"/>
    <w:rsid w:val="00D50D55"/>
    <w:rsid w:val="00D52D65"/>
    <w:rsid w:val="00D53238"/>
    <w:rsid w:val="00D547BB"/>
    <w:rsid w:val="00D55E2C"/>
    <w:rsid w:val="00D602B2"/>
    <w:rsid w:val="00D62CF7"/>
    <w:rsid w:val="00D63E24"/>
    <w:rsid w:val="00D64F18"/>
    <w:rsid w:val="00D6506C"/>
    <w:rsid w:val="00D66947"/>
    <w:rsid w:val="00D671F3"/>
    <w:rsid w:val="00D705EE"/>
    <w:rsid w:val="00D70606"/>
    <w:rsid w:val="00D71D4A"/>
    <w:rsid w:val="00D75B1A"/>
    <w:rsid w:val="00D76E87"/>
    <w:rsid w:val="00D76F05"/>
    <w:rsid w:val="00D84089"/>
    <w:rsid w:val="00D847F6"/>
    <w:rsid w:val="00D84F9C"/>
    <w:rsid w:val="00D86C07"/>
    <w:rsid w:val="00D87268"/>
    <w:rsid w:val="00D875F4"/>
    <w:rsid w:val="00D90BD5"/>
    <w:rsid w:val="00D91D7F"/>
    <w:rsid w:val="00D9645B"/>
    <w:rsid w:val="00D97286"/>
    <w:rsid w:val="00D97382"/>
    <w:rsid w:val="00DA0B2D"/>
    <w:rsid w:val="00DA14D3"/>
    <w:rsid w:val="00DA4B56"/>
    <w:rsid w:val="00DA5211"/>
    <w:rsid w:val="00DA5224"/>
    <w:rsid w:val="00DB28A5"/>
    <w:rsid w:val="00DB64A0"/>
    <w:rsid w:val="00DB6E07"/>
    <w:rsid w:val="00DC1794"/>
    <w:rsid w:val="00DC202E"/>
    <w:rsid w:val="00DC34D7"/>
    <w:rsid w:val="00DC5A53"/>
    <w:rsid w:val="00DC68B5"/>
    <w:rsid w:val="00DC6AFB"/>
    <w:rsid w:val="00DD1203"/>
    <w:rsid w:val="00DD4A05"/>
    <w:rsid w:val="00DD6E10"/>
    <w:rsid w:val="00DE1A43"/>
    <w:rsid w:val="00DE1B29"/>
    <w:rsid w:val="00DE562A"/>
    <w:rsid w:val="00DE7765"/>
    <w:rsid w:val="00DF19BB"/>
    <w:rsid w:val="00DF266E"/>
    <w:rsid w:val="00DF3977"/>
    <w:rsid w:val="00DF47C1"/>
    <w:rsid w:val="00E00FD9"/>
    <w:rsid w:val="00E04F65"/>
    <w:rsid w:val="00E11A31"/>
    <w:rsid w:val="00E21DD4"/>
    <w:rsid w:val="00E2629B"/>
    <w:rsid w:val="00E27470"/>
    <w:rsid w:val="00E30F42"/>
    <w:rsid w:val="00E3462F"/>
    <w:rsid w:val="00E34C09"/>
    <w:rsid w:val="00E378D0"/>
    <w:rsid w:val="00E40A52"/>
    <w:rsid w:val="00E47AA8"/>
    <w:rsid w:val="00E47EBF"/>
    <w:rsid w:val="00E5109F"/>
    <w:rsid w:val="00E51EC4"/>
    <w:rsid w:val="00E53A07"/>
    <w:rsid w:val="00E55035"/>
    <w:rsid w:val="00E5523D"/>
    <w:rsid w:val="00E56295"/>
    <w:rsid w:val="00E56FA6"/>
    <w:rsid w:val="00E57DCC"/>
    <w:rsid w:val="00E64B4B"/>
    <w:rsid w:val="00E64E9C"/>
    <w:rsid w:val="00E654AA"/>
    <w:rsid w:val="00E66359"/>
    <w:rsid w:val="00E67AF5"/>
    <w:rsid w:val="00E705B0"/>
    <w:rsid w:val="00E7124B"/>
    <w:rsid w:val="00E72426"/>
    <w:rsid w:val="00E7250A"/>
    <w:rsid w:val="00E7317C"/>
    <w:rsid w:val="00E7485C"/>
    <w:rsid w:val="00E74A47"/>
    <w:rsid w:val="00E7535E"/>
    <w:rsid w:val="00E760FE"/>
    <w:rsid w:val="00E77701"/>
    <w:rsid w:val="00E77DC7"/>
    <w:rsid w:val="00E77E79"/>
    <w:rsid w:val="00E86DED"/>
    <w:rsid w:val="00E90ED6"/>
    <w:rsid w:val="00E930E7"/>
    <w:rsid w:val="00E96137"/>
    <w:rsid w:val="00EA1722"/>
    <w:rsid w:val="00EA6216"/>
    <w:rsid w:val="00EB1680"/>
    <w:rsid w:val="00EB2314"/>
    <w:rsid w:val="00EC214D"/>
    <w:rsid w:val="00EC61C9"/>
    <w:rsid w:val="00EC682D"/>
    <w:rsid w:val="00EC7DFB"/>
    <w:rsid w:val="00ED0E9B"/>
    <w:rsid w:val="00ED18E8"/>
    <w:rsid w:val="00ED3250"/>
    <w:rsid w:val="00EE1C43"/>
    <w:rsid w:val="00EE2A46"/>
    <w:rsid w:val="00EE6329"/>
    <w:rsid w:val="00EE643E"/>
    <w:rsid w:val="00EE7895"/>
    <w:rsid w:val="00EF0FE2"/>
    <w:rsid w:val="00EF6DEB"/>
    <w:rsid w:val="00EF74AE"/>
    <w:rsid w:val="00F062DD"/>
    <w:rsid w:val="00F122D8"/>
    <w:rsid w:val="00F143D0"/>
    <w:rsid w:val="00F149CA"/>
    <w:rsid w:val="00F1663B"/>
    <w:rsid w:val="00F17196"/>
    <w:rsid w:val="00F1757B"/>
    <w:rsid w:val="00F200A2"/>
    <w:rsid w:val="00F20551"/>
    <w:rsid w:val="00F20ABE"/>
    <w:rsid w:val="00F21111"/>
    <w:rsid w:val="00F2467E"/>
    <w:rsid w:val="00F25AC0"/>
    <w:rsid w:val="00F261DE"/>
    <w:rsid w:val="00F27676"/>
    <w:rsid w:val="00F310C3"/>
    <w:rsid w:val="00F330E6"/>
    <w:rsid w:val="00F33E8D"/>
    <w:rsid w:val="00F40095"/>
    <w:rsid w:val="00F402BE"/>
    <w:rsid w:val="00F46874"/>
    <w:rsid w:val="00F50A7A"/>
    <w:rsid w:val="00F511C9"/>
    <w:rsid w:val="00F517CE"/>
    <w:rsid w:val="00F52424"/>
    <w:rsid w:val="00F534AB"/>
    <w:rsid w:val="00F54A54"/>
    <w:rsid w:val="00F60BE4"/>
    <w:rsid w:val="00F61749"/>
    <w:rsid w:val="00F61C38"/>
    <w:rsid w:val="00F6362E"/>
    <w:rsid w:val="00F643A9"/>
    <w:rsid w:val="00F6463D"/>
    <w:rsid w:val="00F64683"/>
    <w:rsid w:val="00F65399"/>
    <w:rsid w:val="00F74007"/>
    <w:rsid w:val="00F745A4"/>
    <w:rsid w:val="00F80A51"/>
    <w:rsid w:val="00F8182F"/>
    <w:rsid w:val="00F8320D"/>
    <w:rsid w:val="00F83B1E"/>
    <w:rsid w:val="00F9123B"/>
    <w:rsid w:val="00F9125F"/>
    <w:rsid w:val="00F96A41"/>
    <w:rsid w:val="00F96AC6"/>
    <w:rsid w:val="00F97437"/>
    <w:rsid w:val="00FA07A3"/>
    <w:rsid w:val="00FA3354"/>
    <w:rsid w:val="00FA3FEA"/>
    <w:rsid w:val="00FA5EAC"/>
    <w:rsid w:val="00FA67D2"/>
    <w:rsid w:val="00FA73A8"/>
    <w:rsid w:val="00FB14AC"/>
    <w:rsid w:val="00FB30A7"/>
    <w:rsid w:val="00FB3D9A"/>
    <w:rsid w:val="00FB4846"/>
    <w:rsid w:val="00FB4874"/>
    <w:rsid w:val="00FB5132"/>
    <w:rsid w:val="00FC2021"/>
    <w:rsid w:val="00FC35D3"/>
    <w:rsid w:val="00FC67C7"/>
    <w:rsid w:val="00FC7CC6"/>
    <w:rsid w:val="00FD0D8D"/>
    <w:rsid w:val="00FD15BD"/>
    <w:rsid w:val="00FE1FAA"/>
    <w:rsid w:val="00FE3BC2"/>
    <w:rsid w:val="00FE6E6F"/>
    <w:rsid w:val="00FF0C4B"/>
    <w:rsid w:val="00FF2413"/>
    <w:rsid w:val="00FF3AC7"/>
    <w:rsid w:val="00FF6AB3"/>
    <w:rsid w:val="0342604F"/>
    <w:rsid w:val="0D2D6A5E"/>
    <w:rsid w:val="174470A1"/>
    <w:rsid w:val="237F6852"/>
    <w:rsid w:val="2BB768EA"/>
    <w:rsid w:val="2E08687D"/>
    <w:rsid w:val="2EA34B80"/>
    <w:rsid w:val="2F886A4E"/>
    <w:rsid w:val="31F14508"/>
    <w:rsid w:val="336E207E"/>
    <w:rsid w:val="33DA2AA2"/>
    <w:rsid w:val="361379F7"/>
    <w:rsid w:val="386B7755"/>
    <w:rsid w:val="39297079"/>
    <w:rsid w:val="3D585040"/>
    <w:rsid w:val="40F91112"/>
    <w:rsid w:val="421F2A30"/>
    <w:rsid w:val="42825BCB"/>
    <w:rsid w:val="437B1086"/>
    <w:rsid w:val="45052002"/>
    <w:rsid w:val="45547CAD"/>
    <w:rsid w:val="45684169"/>
    <w:rsid w:val="458A1509"/>
    <w:rsid w:val="46097A10"/>
    <w:rsid w:val="4B984561"/>
    <w:rsid w:val="4DC91DF4"/>
    <w:rsid w:val="4E955356"/>
    <w:rsid w:val="50111335"/>
    <w:rsid w:val="507D6E9E"/>
    <w:rsid w:val="5BF7157A"/>
    <w:rsid w:val="5C950630"/>
    <w:rsid w:val="5DCF2430"/>
    <w:rsid w:val="5F6956FE"/>
    <w:rsid w:val="615F49C5"/>
    <w:rsid w:val="62352126"/>
    <w:rsid w:val="65E7556D"/>
    <w:rsid w:val="73830400"/>
    <w:rsid w:val="74BE00F0"/>
    <w:rsid w:val="76C604F9"/>
    <w:rsid w:val="79B9742F"/>
    <w:rsid w:val="7B412636"/>
    <w:rsid w:val="7EE26A3D"/>
    <w:rsid w:val="7F436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qFormat="1" w:unhideWhenUsed="0" w:uiPriority="99"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locked/>
    <w:uiPriority w:val="0"/>
    <w:pPr>
      <w:spacing w:beforeAutospacing="1" w:afterAutospacing="1"/>
      <w:jc w:val="left"/>
      <w:outlineLvl w:val="1"/>
    </w:pPr>
    <w:rPr>
      <w:rFonts w:hint="eastAsia" w:ascii="宋体" w:hAnsi="宋体"/>
      <w:b/>
      <w:kern w:val="0"/>
      <w:sz w:val="36"/>
      <w:szCs w:val="36"/>
    </w:rPr>
  </w:style>
  <w:style w:type="character" w:default="1" w:styleId="15">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rPr>
      <w:szCs w:val="21"/>
    </w:rPr>
  </w:style>
  <w:style w:type="paragraph" w:styleId="4">
    <w:name w:val="Document Map"/>
    <w:basedOn w:val="1"/>
    <w:link w:val="24"/>
    <w:semiHidden/>
    <w:qFormat/>
    <w:uiPriority w:val="99"/>
    <w:pPr>
      <w:shd w:val="clear" w:color="auto" w:fill="000080"/>
    </w:pPr>
  </w:style>
  <w:style w:type="paragraph" w:styleId="5">
    <w:name w:val="Body Text Indent"/>
    <w:basedOn w:val="1"/>
    <w:link w:val="22"/>
    <w:qFormat/>
    <w:uiPriority w:val="99"/>
    <w:pPr>
      <w:ind w:firstLine="480" w:firstLineChars="200"/>
    </w:pPr>
    <w:rPr>
      <w:sz w:val="24"/>
    </w:rPr>
  </w:style>
  <w:style w:type="paragraph" w:styleId="6">
    <w:name w:val="Date"/>
    <w:basedOn w:val="1"/>
    <w:next w:val="1"/>
    <w:link w:val="31"/>
    <w:qFormat/>
    <w:uiPriority w:val="99"/>
    <w:pPr>
      <w:ind w:left="100" w:leftChars="2500"/>
    </w:pPr>
  </w:style>
  <w:style w:type="paragraph" w:styleId="7">
    <w:name w:val="Balloon Text"/>
    <w:basedOn w:val="1"/>
    <w:link w:val="27"/>
    <w:semiHidden/>
    <w:qFormat/>
    <w:uiPriority w:val="99"/>
    <w:rPr>
      <w:sz w:val="18"/>
      <w:szCs w:val="18"/>
    </w:rPr>
  </w:style>
  <w:style w:type="paragraph" w:styleId="8">
    <w:name w:val="footer"/>
    <w:basedOn w:val="1"/>
    <w:link w:val="26"/>
    <w:qFormat/>
    <w:uiPriority w:val="99"/>
    <w:pPr>
      <w:tabs>
        <w:tab w:val="center" w:pos="4153"/>
        <w:tab w:val="right" w:pos="8306"/>
      </w:tabs>
      <w:snapToGrid w:val="0"/>
      <w:jc w:val="left"/>
    </w:pPr>
    <w:rPr>
      <w:sz w:val="18"/>
      <w:szCs w:val="18"/>
    </w:rPr>
  </w:style>
  <w:style w:type="paragraph" w:styleId="9">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1">
    <w:name w:val="Title"/>
    <w:basedOn w:val="1"/>
    <w:next w:val="1"/>
    <w:link w:val="23"/>
    <w:qFormat/>
    <w:uiPriority w:val="99"/>
    <w:pPr>
      <w:spacing w:before="240" w:after="60"/>
      <w:jc w:val="center"/>
      <w:outlineLvl w:val="0"/>
    </w:pPr>
    <w:rPr>
      <w:rFonts w:ascii="Cambria" w:hAnsi="Cambria"/>
      <w:b/>
      <w:bCs/>
      <w:sz w:val="24"/>
      <w:szCs w:val="32"/>
    </w:rPr>
  </w:style>
  <w:style w:type="table" w:styleId="13">
    <w:name w:val="Table Grid"/>
    <w:basedOn w:val="1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4">
    <w:name w:val="Table Simple 1"/>
    <w:basedOn w:val="12"/>
    <w:qFormat/>
    <w:uiPriority w:val="99"/>
    <w:pPr>
      <w:widowControl w:val="0"/>
      <w:jc w:val="both"/>
    </w:pPr>
    <w:tblPr>
      <w:tblBorders>
        <w:top w:val="single" w:color="008000" w:sz="12" w:space="0"/>
        <w:bottom w:val="single" w:color="008000" w:sz="12" w:space="0"/>
      </w:tblBorders>
      <w:tblCellMar>
        <w:top w:w="0" w:type="dxa"/>
        <w:left w:w="108" w:type="dxa"/>
        <w:bottom w:w="0" w:type="dxa"/>
        <w:right w:w="108" w:type="dxa"/>
      </w:tblCellMar>
    </w:tblPr>
    <w:tblStylePr w:type="firstRow">
      <w:rPr>
        <w:rFonts w:cs="Times New Roman"/>
      </w:rPr>
      <w:tblPr/>
      <w:tcPr>
        <w:tcBorders>
          <w:top w:val="nil"/>
          <w:left w:val="single" w:color="008000" w:sz="6" w:space="0"/>
          <w:bottom w:val="nil"/>
          <w:right w:val="nil"/>
          <w:insideH w:val="nil"/>
          <w:insideV w:val="nil"/>
          <w:tl2br w:val="nil"/>
          <w:tr2bl w:val="nil"/>
        </w:tcBorders>
      </w:tcPr>
    </w:tblStylePr>
    <w:tblStylePr w:type="lastRow">
      <w:rPr>
        <w:rFonts w:cs="Times New Roman"/>
      </w:rPr>
      <w:tblPr/>
      <w:tcPr>
        <w:tcBorders>
          <w:top w:val="single" w:color="008000" w:sz="6" w:space="0"/>
          <w:left w:val="nil"/>
          <w:bottom w:val="nil"/>
          <w:right w:val="nil"/>
          <w:insideH w:val="nil"/>
          <w:insideV w:val="nil"/>
          <w:tl2br w:val="nil"/>
          <w:tr2bl w:val="nil"/>
        </w:tcBorders>
      </w:tcPr>
    </w:tblStylePr>
  </w:style>
  <w:style w:type="character" w:styleId="16">
    <w:name w:val="Strong"/>
    <w:basedOn w:val="15"/>
    <w:qFormat/>
    <w:locked/>
    <w:uiPriority w:val="22"/>
    <w:rPr>
      <w:b/>
    </w:rPr>
  </w:style>
  <w:style w:type="character" w:styleId="17">
    <w:name w:val="page number"/>
    <w:basedOn w:val="15"/>
    <w:qFormat/>
    <w:uiPriority w:val="99"/>
    <w:rPr>
      <w:rFonts w:cs="Times New Roman"/>
    </w:rPr>
  </w:style>
  <w:style w:type="character" w:styleId="18">
    <w:name w:val="Hyperlink"/>
    <w:basedOn w:val="15"/>
    <w:unhideWhenUsed/>
    <w:qFormat/>
    <w:uiPriority w:val="99"/>
    <w:rPr>
      <w:color w:val="0000FF"/>
      <w:u w:val="single"/>
    </w:rPr>
  </w:style>
  <w:style w:type="character" w:customStyle="1" w:styleId="19">
    <w:name w:val="页眉 Char"/>
    <w:basedOn w:val="15"/>
    <w:link w:val="9"/>
    <w:semiHidden/>
    <w:qFormat/>
    <w:locked/>
    <w:uiPriority w:val="99"/>
    <w:rPr>
      <w:rFonts w:cs="Times New Roman"/>
      <w:sz w:val="18"/>
      <w:szCs w:val="18"/>
    </w:rPr>
  </w:style>
  <w:style w:type="character" w:customStyle="1" w:styleId="20">
    <w:name w:val="font11"/>
    <w:basedOn w:val="15"/>
    <w:qFormat/>
    <w:uiPriority w:val="0"/>
    <w:rPr>
      <w:rFonts w:hint="eastAsia" w:ascii="宋体" w:hAnsi="宋体" w:eastAsia="宋体" w:cs="宋体"/>
      <w:color w:val="000000"/>
      <w:sz w:val="20"/>
      <w:szCs w:val="20"/>
      <w:u w:val="none"/>
    </w:rPr>
  </w:style>
  <w:style w:type="character" w:customStyle="1" w:styleId="21">
    <w:name w:val="font21"/>
    <w:basedOn w:val="15"/>
    <w:qFormat/>
    <w:uiPriority w:val="0"/>
    <w:rPr>
      <w:rFonts w:hint="eastAsia" w:ascii="宋体" w:hAnsi="宋体" w:eastAsia="宋体" w:cs="宋体"/>
      <w:color w:val="000000"/>
      <w:sz w:val="21"/>
      <w:szCs w:val="21"/>
      <w:u w:val="none"/>
    </w:rPr>
  </w:style>
  <w:style w:type="character" w:customStyle="1" w:styleId="22">
    <w:name w:val="正文文本缩进 Char"/>
    <w:basedOn w:val="15"/>
    <w:link w:val="5"/>
    <w:semiHidden/>
    <w:qFormat/>
    <w:locked/>
    <w:uiPriority w:val="99"/>
    <w:rPr>
      <w:rFonts w:cs="Times New Roman"/>
      <w:sz w:val="24"/>
      <w:szCs w:val="24"/>
    </w:rPr>
  </w:style>
  <w:style w:type="character" w:customStyle="1" w:styleId="23">
    <w:name w:val="标题 Char"/>
    <w:basedOn w:val="15"/>
    <w:link w:val="11"/>
    <w:qFormat/>
    <w:locked/>
    <w:uiPriority w:val="99"/>
    <w:rPr>
      <w:rFonts w:ascii="Cambria" w:hAnsi="Cambria" w:cs="Times New Roman"/>
      <w:b/>
      <w:bCs/>
      <w:sz w:val="32"/>
      <w:szCs w:val="32"/>
    </w:rPr>
  </w:style>
  <w:style w:type="character" w:customStyle="1" w:styleId="24">
    <w:name w:val="文档结构图 Char"/>
    <w:basedOn w:val="15"/>
    <w:link w:val="4"/>
    <w:semiHidden/>
    <w:qFormat/>
    <w:locked/>
    <w:uiPriority w:val="99"/>
    <w:rPr>
      <w:rFonts w:cs="Times New Roman"/>
      <w:sz w:val="2"/>
    </w:rPr>
  </w:style>
  <w:style w:type="character" w:customStyle="1" w:styleId="25">
    <w:name w:val="font41"/>
    <w:basedOn w:val="15"/>
    <w:qFormat/>
    <w:uiPriority w:val="0"/>
    <w:rPr>
      <w:rFonts w:hint="default" w:ascii="Times New Roman" w:hAnsi="Times New Roman" w:cs="Times New Roman"/>
      <w:color w:val="000000"/>
      <w:sz w:val="20"/>
      <w:szCs w:val="20"/>
      <w:u w:val="none"/>
    </w:rPr>
  </w:style>
  <w:style w:type="character" w:customStyle="1" w:styleId="26">
    <w:name w:val="页脚 Char"/>
    <w:basedOn w:val="15"/>
    <w:link w:val="8"/>
    <w:semiHidden/>
    <w:qFormat/>
    <w:locked/>
    <w:uiPriority w:val="99"/>
    <w:rPr>
      <w:rFonts w:cs="Times New Roman"/>
      <w:sz w:val="18"/>
      <w:szCs w:val="18"/>
    </w:rPr>
  </w:style>
  <w:style w:type="character" w:customStyle="1" w:styleId="27">
    <w:name w:val="批注框文本 Char"/>
    <w:basedOn w:val="15"/>
    <w:link w:val="7"/>
    <w:semiHidden/>
    <w:qFormat/>
    <w:locked/>
    <w:uiPriority w:val="99"/>
    <w:rPr>
      <w:rFonts w:cs="Times New Roman"/>
      <w:sz w:val="2"/>
    </w:rPr>
  </w:style>
  <w:style w:type="character" w:customStyle="1" w:styleId="28">
    <w:name w:val="段 Char"/>
    <w:basedOn w:val="15"/>
    <w:link w:val="29"/>
    <w:qFormat/>
    <w:uiPriority w:val="0"/>
    <w:rPr>
      <w:rFonts w:ascii="宋体"/>
      <w:sz w:val="21"/>
      <w:lang w:val="en-US" w:eastAsia="zh-CN" w:bidi="ar-SA"/>
    </w:rPr>
  </w:style>
  <w:style w:type="paragraph" w:customStyle="1" w:styleId="29">
    <w:name w:val="段"/>
    <w:link w:val="2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0">
    <w:name w:val="font01"/>
    <w:basedOn w:val="15"/>
    <w:qFormat/>
    <w:uiPriority w:val="0"/>
    <w:rPr>
      <w:rFonts w:hint="default" w:ascii="Times New Roman" w:hAnsi="Times New Roman" w:cs="Times New Roman"/>
      <w:color w:val="000000"/>
      <w:sz w:val="20"/>
      <w:szCs w:val="20"/>
      <w:u w:val="none"/>
    </w:rPr>
  </w:style>
  <w:style w:type="character" w:customStyle="1" w:styleId="31">
    <w:name w:val="日期 Char"/>
    <w:basedOn w:val="15"/>
    <w:link w:val="6"/>
    <w:semiHidden/>
    <w:qFormat/>
    <w:locked/>
    <w:uiPriority w:val="99"/>
    <w:rPr>
      <w:rFonts w:cs="Times New Roman"/>
      <w:sz w:val="24"/>
      <w:szCs w:val="24"/>
    </w:rPr>
  </w:style>
  <w:style w:type="character" w:customStyle="1" w:styleId="32">
    <w:name w:val="Title Char"/>
    <w:qFormat/>
    <w:locked/>
    <w:uiPriority w:val="99"/>
    <w:rPr>
      <w:rFonts w:ascii="Cambria" w:hAnsi="Cambria" w:eastAsia="宋体" w:cs="Times New Roman"/>
      <w:b/>
      <w:bCs/>
      <w:kern w:val="2"/>
      <w:sz w:val="32"/>
      <w:szCs w:val="32"/>
      <w:lang w:val="en-US" w:eastAsia="zh-CN" w:bidi="ar-SA"/>
    </w:rPr>
  </w:style>
  <w:style w:type="paragraph" w:customStyle="1" w:styleId="33">
    <w:name w:val="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4">
    <w:name w:val="五级条标题"/>
    <w:basedOn w:val="35"/>
    <w:next w:val="1"/>
    <w:qFormat/>
    <w:uiPriority w:val="99"/>
    <w:pPr>
      <w:outlineLvl w:val="6"/>
    </w:pPr>
  </w:style>
  <w:style w:type="paragraph" w:customStyle="1" w:styleId="35">
    <w:name w:val="四级条标题"/>
    <w:basedOn w:val="36"/>
    <w:next w:val="1"/>
    <w:qFormat/>
    <w:uiPriority w:val="99"/>
    <w:pPr>
      <w:outlineLvl w:val="5"/>
    </w:pPr>
  </w:style>
  <w:style w:type="paragraph" w:customStyle="1" w:styleId="36">
    <w:name w:val="三级条标题"/>
    <w:basedOn w:val="37"/>
    <w:next w:val="1"/>
    <w:qFormat/>
    <w:uiPriority w:val="99"/>
    <w:pPr>
      <w:outlineLvl w:val="4"/>
    </w:pPr>
  </w:style>
  <w:style w:type="paragraph" w:customStyle="1" w:styleId="37">
    <w:name w:val="二级条标题"/>
    <w:basedOn w:val="38"/>
    <w:next w:val="1"/>
    <w:qFormat/>
    <w:uiPriority w:val="99"/>
    <w:pPr>
      <w:spacing w:before="50" w:after="50"/>
      <w:outlineLvl w:val="3"/>
    </w:pPr>
  </w:style>
  <w:style w:type="paragraph" w:customStyle="1" w:styleId="38">
    <w:name w:val="一级条标题"/>
    <w:next w:val="29"/>
    <w:qFormat/>
    <w:uiPriority w:val="99"/>
    <w:pPr>
      <w:spacing w:beforeLines="50" w:afterLines="50"/>
      <w:outlineLvl w:val="2"/>
    </w:pPr>
    <w:rPr>
      <w:rFonts w:ascii="黑体" w:hAnsi="Times New Roman" w:eastAsia="黑体" w:cs="Times New Roman"/>
      <w:sz w:val="21"/>
      <w:szCs w:val="21"/>
      <w:lang w:val="en-US" w:eastAsia="zh-CN" w:bidi="ar-SA"/>
    </w:rPr>
  </w:style>
  <w:style w:type="paragraph" w:customStyle="1" w:styleId="39">
    <w:name w:val="章标题"/>
    <w:next w:val="1"/>
    <w:qFormat/>
    <w:uiPriority w:val="99"/>
    <w:pPr>
      <w:spacing w:beforeLines="100" w:afterLines="100"/>
      <w:jc w:val="both"/>
      <w:outlineLvl w:val="1"/>
    </w:pPr>
    <w:rPr>
      <w:rFonts w:ascii="黑体" w:hAnsi="Times New Roman" w:eastAsia="黑体" w:cs="Times New Roman"/>
      <w:sz w:val="21"/>
      <w:lang w:val="en-US" w:eastAsia="zh-CN" w:bidi="ar-SA"/>
    </w:rPr>
  </w:style>
  <w:style w:type="paragraph" w:customStyle="1" w:styleId="40">
    <w:name w:val="Char Char Char Char"/>
    <w:basedOn w:val="1"/>
    <w:qFormat/>
    <w:uiPriority w:val="99"/>
    <w:pPr>
      <w:widowControl/>
      <w:spacing w:after="160"/>
      <w:ind w:right="320" w:firstLine="640" w:firstLineChars="200"/>
      <w:jc w:val="left"/>
    </w:pPr>
    <w:rPr>
      <w:rFonts w:ascii="黑体" w:hAnsi="宋体" w:eastAsia="黑体"/>
      <w:kern w:val="0"/>
      <w:sz w:val="32"/>
      <w:szCs w:val="32"/>
    </w:rPr>
  </w:style>
  <w:style w:type="paragraph" w:customStyle="1" w:styleId="41">
    <w:name w:val="附录数字编号列项（二级）"/>
    <w:qFormat/>
    <w:uiPriority w:val="0"/>
    <w:pPr>
      <w:numPr>
        <w:ilvl w:val="1"/>
        <w:numId w:val="1"/>
      </w:numPr>
    </w:pPr>
    <w:rPr>
      <w:rFonts w:ascii="宋体" w:hAnsi="Times New Roman" w:eastAsia="宋体" w:cs="Times New Roman"/>
      <w:sz w:val="21"/>
      <w:lang w:val="en-US" w:eastAsia="zh-CN" w:bidi="ar-SA"/>
    </w:rPr>
  </w:style>
  <w:style w:type="paragraph" w:customStyle="1" w:styleId="42">
    <w:name w:val="样式 文字 + 首行缩进:  2 字符3"/>
    <w:qFormat/>
    <w:uiPriority w:val="0"/>
    <w:pPr>
      <w:widowControl w:val="0"/>
      <w:ind w:firstLine="200"/>
      <w:jc w:val="both"/>
    </w:pPr>
    <w:rPr>
      <w:rFonts w:ascii="Calibri" w:hAnsi="Calibri" w:eastAsia="仿宋_GB2312" w:cs="宋体"/>
      <w:kern w:val="2"/>
      <w:sz w:val="28"/>
      <w:szCs w:val="2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联想（北京）有限公司</Company>
  <Pages>6</Pages>
  <Words>3289</Words>
  <Characters>3483</Characters>
  <Lines>35</Lines>
  <Paragraphs>10</Paragraphs>
  <TotalTime>8</TotalTime>
  <ScaleCrop>false</ScaleCrop>
  <LinksUpToDate>false</LinksUpToDate>
  <CharactersWithSpaces>3504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2022-07-07T08:43:00Z</dcterms:created>
  <dc:creator>yangxiaohu</dc:creator>
  <cp:lastModifiedBy>瑞德尔（信息部）吴姣16673365832</cp:lastModifiedBy>
  <cp:lastPrinted>2017-01-06T04:17:00Z</cp:lastPrinted>
  <dcterms:modified xsi:type="dcterms:W3CDTF">2022-08-01T07:12:57Z</dcterms:modified>
  <dc:title>编制说明</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5396D0001D1C4FF48056258836C733E5</vt:lpwstr>
  </property>
</Properties>
</file>