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43/T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2022</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bookmarkStart w:id="9" w:name="CSTD_NAME"/>
      <w:r>
        <w:rPr>
          <w:rFonts w:hint="eastAsia" w:ascii="黑体" w:hAnsi="黑体" w:eastAsia="黑体" w:cs="Times New Roman"/>
          <w:bCs/>
          <w:sz w:val="52"/>
          <w:lang w:val="en-US" w:eastAsia="zh-CN" w:bidi="ar-SA"/>
        </w:rPr>
        <w:fldChar w:fldCharType="begin">
          <w:ffData>
            <w:name w:val="CSTD_NAME"/>
            <w:enabled/>
            <w:calcOnExit w:val="0"/>
            <w:textInput>
              <w:default w:val="博落回病虫害综合防控技术规程"/>
            </w:textInput>
          </w:ffData>
        </w:fldChar>
      </w:r>
      <w:r>
        <w:rPr>
          <w:rFonts w:hint="eastAsia" w:ascii="黑体" w:hAnsi="黑体" w:eastAsia="黑体" w:cs="Times New Roman"/>
          <w:bCs/>
          <w:sz w:val="52"/>
          <w:lang w:val="en-US" w:eastAsia="zh-CN" w:bidi="ar-SA"/>
        </w:rPr>
        <w:instrText xml:space="preserve">FORMTEXT</w:instrText>
      </w:r>
      <w:r>
        <w:rPr>
          <w:rFonts w:hint="eastAsia" w:ascii="黑体" w:hAnsi="黑体" w:eastAsia="黑体" w:cs="Times New Roman"/>
          <w:bCs/>
          <w:sz w:val="52"/>
          <w:lang w:val="en-US" w:eastAsia="zh-CN" w:bidi="ar-SA"/>
        </w:rPr>
        <w:fldChar w:fldCharType="separate"/>
      </w:r>
      <w:r>
        <w:rPr>
          <w:rFonts w:hint="eastAsia" w:ascii="黑体" w:hAnsi="黑体" w:eastAsia="黑体" w:cs="Times New Roman"/>
          <w:bCs/>
          <w:sz w:val="52"/>
          <w:lang w:val="en-US" w:eastAsia="zh-CN" w:bidi="ar-SA"/>
        </w:rPr>
        <w:t>博落回病虫害综合防控技术规程</w:t>
      </w:r>
      <w:r>
        <w:rPr>
          <w:rFonts w:hint="eastAsia" w:ascii="黑体" w:hAnsi="黑体" w:eastAsia="黑体" w:cs="Times New Roman"/>
          <w:bCs/>
          <w:sz w:val="52"/>
          <w:lang w:val="en-US" w:eastAsia="zh-CN" w:bidi="ar-SA"/>
        </w:rP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bookmarkStart w:id="10"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Code for Integrated Control of Macleaya cordata Diseases and Pests"/>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Code for Integrated Control of Macleaya cordata Diseases and Pests</w:t>
      </w:r>
      <w:r>
        <w:rPr>
          <w:rFonts w:ascii="Times New Roman" w:hAnsi="Times New Roman" w:eastAsia="黑体" w:cs="Times New Roman"/>
          <w:sz w:val="28"/>
          <w:szCs w:val="28"/>
          <w:lang w:val="en-US" w:eastAsia="zh-CN" w:bidi="ar-SA"/>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2" w:name="BookMark1"/>
      <w:r>
        <w:rPr>
          <w:rFonts w:hint="eastAsia"/>
          <w:spacing w:val="320"/>
        </w:rPr>
        <w:t>目</w:t>
      </w:r>
      <w:r>
        <w:rPr>
          <w:rFonts w:hint="eastAsia"/>
        </w:rPr>
        <w:t>次</w:t>
      </w:r>
    </w:p>
    <w:p>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_Toc26457 </w:instrText>
      </w:r>
      <w:r>
        <w:fldChar w:fldCharType="separate"/>
      </w:r>
      <w:r>
        <w:rPr>
          <w:spacing w:val="320"/>
        </w:rPr>
        <w:t>前</w:t>
      </w:r>
      <w:r>
        <w:t>言</w:t>
      </w:r>
      <w:r>
        <w:tab/>
      </w:r>
      <w:r>
        <w:fldChar w:fldCharType="begin"/>
      </w:r>
      <w:r>
        <w:instrText xml:space="preserve"> PAGEREF _Toc26457 \h </w:instrText>
      </w:r>
      <w:r>
        <w:fldChar w:fldCharType="separate"/>
      </w:r>
      <w:r>
        <w:t>II</w:t>
      </w:r>
      <w:r>
        <w:fldChar w:fldCharType="end"/>
      </w:r>
      <w:r>
        <w:fldChar w:fldCharType="end"/>
      </w:r>
    </w:p>
    <w:p>
      <w:pPr>
        <w:pStyle w:val="19"/>
        <w:tabs>
          <w:tab w:val="right" w:leader="dot" w:pos="9354"/>
        </w:tabs>
      </w:pPr>
      <w:r>
        <w:fldChar w:fldCharType="begin"/>
      </w:r>
      <w:r>
        <w:instrText xml:space="preserve"> HYPERLINK \l _Toc7204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_Toc7204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_Toc28428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_Toc28428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_Toc8359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_Toc8359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_Toc21070 </w:instrText>
      </w:r>
      <w:r>
        <w:fldChar w:fldCharType="separate"/>
      </w:r>
      <w:r>
        <w:rPr>
          <w:rFonts w:hint="eastAsia" w:ascii="黑体" w:eastAsia="黑体"/>
          <w:i w:val="0"/>
        </w:rPr>
        <w:t xml:space="preserve">4 </w:t>
      </w:r>
      <w:r>
        <w:rPr>
          <w:rFonts w:hint="eastAsia"/>
        </w:rPr>
        <w:t>防控原则</w:t>
      </w:r>
      <w:r>
        <w:tab/>
      </w:r>
      <w:r>
        <w:fldChar w:fldCharType="begin"/>
      </w:r>
      <w:r>
        <w:instrText xml:space="preserve"> PAGEREF _Toc21070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_Toc22945 </w:instrText>
      </w:r>
      <w:r>
        <w:fldChar w:fldCharType="separate"/>
      </w:r>
      <w:r>
        <w:rPr>
          <w:rFonts w:hint="eastAsia" w:ascii="黑体" w:eastAsia="黑体"/>
          <w:i w:val="0"/>
        </w:rPr>
        <w:t xml:space="preserve">5 </w:t>
      </w:r>
      <w:r>
        <w:rPr>
          <w:rFonts w:hint="eastAsia"/>
        </w:rPr>
        <w:t>防控对象</w:t>
      </w:r>
      <w:r>
        <w:tab/>
      </w:r>
      <w:r>
        <w:fldChar w:fldCharType="begin"/>
      </w:r>
      <w:r>
        <w:instrText xml:space="preserve"> PAGEREF _Toc22945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_Toc24515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eastAsia"/>
        </w:rPr>
        <w:t>主要病害</w:t>
      </w:r>
      <w:r>
        <w:tab/>
      </w:r>
      <w:r>
        <w:fldChar w:fldCharType="begin"/>
      </w:r>
      <w:r>
        <w:instrText xml:space="preserve"> PAGEREF _Toc24515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_Toc26174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rFonts w:hint="eastAsia"/>
        </w:rPr>
        <w:t>主要害虫</w:t>
      </w:r>
      <w:r>
        <w:tab/>
      </w:r>
      <w:r>
        <w:fldChar w:fldCharType="begin"/>
      </w:r>
      <w:r>
        <w:instrText xml:space="preserve"> PAGEREF _Toc26174 \h </w:instrText>
      </w:r>
      <w:r>
        <w:fldChar w:fldCharType="separate"/>
      </w:r>
      <w:r>
        <w:t>2</w:t>
      </w:r>
      <w:r>
        <w:fldChar w:fldCharType="end"/>
      </w:r>
      <w:r>
        <w:fldChar w:fldCharType="end"/>
      </w:r>
    </w:p>
    <w:p>
      <w:pPr>
        <w:pStyle w:val="19"/>
        <w:tabs>
          <w:tab w:val="right" w:leader="dot" w:pos="9354"/>
        </w:tabs>
      </w:pPr>
      <w:r>
        <w:fldChar w:fldCharType="begin"/>
      </w:r>
      <w:r>
        <w:instrText xml:space="preserve"> HYPERLINK \l _Toc147 </w:instrText>
      </w:r>
      <w:r>
        <w:fldChar w:fldCharType="separate"/>
      </w:r>
      <w:r>
        <w:rPr>
          <w:rFonts w:hint="eastAsia" w:ascii="黑体" w:eastAsia="黑体"/>
          <w:i w:val="0"/>
        </w:rPr>
        <w:t xml:space="preserve">6 </w:t>
      </w:r>
      <w:r>
        <w:rPr>
          <w:rFonts w:hint="eastAsia"/>
        </w:rPr>
        <w:t>防控措施</w:t>
      </w:r>
      <w:r>
        <w:tab/>
      </w:r>
      <w:r>
        <w:fldChar w:fldCharType="begin"/>
      </w:r>
      <w:r>
        <w:instrText xml:space="preserve"> PAGEREF _Toc147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_Toc32499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rPr>
        <w:t>农业防控</w:t>
      </w:r>
      <w:r>
        <w:tab/>
      </w:r>
      <w:r>
        <w:fldChar w:fldCharType="begin"/>
      </w:r>
      <w:r>
        <w:instrText xml:space="preserve"> PAGEREF _Toc32499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_Toc22442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rFonts w:hint="eastAsia"/>
        </w:rPr>
        <w:t>物理防控</w:t>
      </w:r>
      <w:r>
        <w:tab/>
      </w:r>
      <w:r>
        <w:fldChar w:fldCharType="begin"/>
      </w:r>
      <w:r>
        <w:instrText xml:space="preserve"> PAGEREF _Toc22442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_Toc24117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rFonts w:hint="eastAsia"/>
        </w:rPr>
        <w:t>化学防控</w:t>
      </w:r>
      <w:r>
        <w:tab/>
      </w:r>
      <w:r>
        <w:fldChar w:fldCharType="begin"/>
      </w:r>
      <w:r>
        <w:instrText xml:space="preserve"> PAGEREF _Toc24117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_Toc13298 </w:instrText>
      </w:r>
      <w:r>
        <w:fldChar w:fldCharType="separate"/>
      </w:r>
      <w:r>
        <w:rPr>
          <w:rFonts w:hint="eastAsia" w:ascii="黑体" w:eastAsia="黑体"/>
          <w:i w:val="0"/>
        </w:rPr>
        <w:t xml:space="preserve">7 </w:t>
      </w:r>
      <w:r>
        <w:rPr>
          <w:rFonts w:hint="eastAsia"/>
        </w:rPr>
        <w:t>档案管理</w:t>
      </w:r>
      <w:r>
        <w:tab/>
      </w:r>
      <w:r>
        <w:fldChar w:fldCharType="begin"/>
      </w:r>
      <w:r>
        <w:instrText xml:space="preserve"> PAGEREF _Toc13298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_Toc25676 </w:instrText>
      </w:r>
      <w:r>
        <w:fldChar w:fldCharType="separate"/>
      </w:r>
      <w:r>
        <w:rPr>
          <w:rFonts w:hint="eastAsia"/>
          <w:spacing w:val="100"/>
        </w:rPr>
        <w:t xml:space="preserve">附录A </w:t>
      </w:r>
      <w:r>
        <w:t xml:space="preserve"> </w:t>
      </w:r>
      <w:r>
        <w:rPr>
          <w:rFonts w:hint="eastAsia"/>
        </w:rPr>
        <w:t>（规范性）</w:t>
      </w:r>
      <w:r>
        <w:t xml:space="preserve"> </w:t>
      </w:r>
      <w:r>
        <w:rPr>
          <w:rFonts w:hint="eastAsia"/>
        </w:rPr>
        <w:t>博落回主要病虫害防治的化学农药及使用方法</w:t>
      </w:r>
      <w:r>
        <w:tab/>
      </w:r>
      <w:r>
        <w:fldChar w:fldCharType="begin"/>
      </w:r>
      <w:r>
        <w:instrText xml:space="preserve"> PAGEREF _Toc25676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_Toc13690 </w:instrText>
      </w:r>
      <w:r>
        <w:fldChar w:fldCharType="separate"/>
      </w:r>
      <w:r>
        <w:rPr>
          <w:rFonts w:hint="eastAsia"/>
          <w:spacing w:val="100"/>
        </w:rPr>
        <w:t xml:space="preserve">附录B </w:t>
      </w:r>
      <w:r>
        <w:t xml:space="preserve"> </w:t>
      </w:r>
      <w:r>
        <w:rPr>
          <w:rFonts w:hint="eastAsia"/>
        </w:rPr>
        <w:t>（资料性）</w:t>
      </w:r>
      <w:r>
        <w:t xml:space="preserve"> </w:t>
      </w:r>
      <w:r>
        <w:rPr>
          <w:rFonts w:hint="eastAsia"/>
        </w:rPr>
        <w:t>XX年</w:t>
      </w:r>
      <w:r>
        <w:rPr>
          <w:rFonts w:hint="eastAsia"/>
          <w:lang w:val="en-US" w:eastAsia="zh-CN"/>
        </w:rPr>
        <w:t>病虫害防控</w:t>
      </w:r>
      <w:r>
        <w:rPr>
          <w:rFonts w:hint="eastAsia"/>
        </w:rPr>
        <w:t>档案</w:t>
      </w:r>
      <w:r>
        <w:tab/>
      </w:r>
      <w:r>
        <w:fldChar w:fldCharType="begin"/>
      </w:r>
      <w:r>
        <w:instrText xml:space="preserve"> PAGEREF _Toc13690 \h </w:instrText>
      </w:r>
      <w:r>
        <w:fldChar w:fldCharType="separate"/>
      </w:r>
      <w:r>
        <w:t>5</w:t>
      </w:r>
      <w:r>
        <w:fldChar w:fldCharType="end"/>
      </w:r>
      <w:r>
        <w:fldChar w:fldCharType="end"/>
      </w:r>
    </w:p>
    <w:p>
      <w:pPr>
        <w:pStyle w:val="91"/>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2"/>
    <w:p>
      <w:pPr>
        <w:pStyle w:val="89"/>
        <w:spacing w:after="468"/>
      </w:pPr>
      <w:bookmarkStart w:id="23" w:name="_Toc26457"/>
      <w:bookmarkStart w:id="24" w:name="BookMark2"/>
      <w:r>
        <w:rPr>
          <w:spacing w:val="320"/>
        </w:rPr>
        <w:t>前</w:t>
      </w:r>
      <w:r>
        <w:t>言</w:t>
      </w:r>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本文件由湖南省农业农村厅提出。</w:t>
      </w:r>
    </w:p>
    <w:p>
      <w:pPr>
        <w:pStyle w:val="56"/>
        <w:ind w:firstLine="420"/>
      </w:pPr>
      <w:r>
        <w:rPr>
          <w:rFonts w:hint="eastAsia"/>
        </w:rPr>
        <w:t>本文件由湖南省农业标准化技术委员会归口。</w:t>
      </w:r>
    </w:p>
    <w:p>
      <w:pPr>
        <w:pStyle w:val="56"/>
        <w:ind w:firstLine="420"/>
      </w:pPr>
      <w:r>
        <w:rPr>
          <w:rFonts w:hint="eastAsia"/>
        </w:rPr>
        <w:t>本文件起草单位：湖南省农业环境生态研究所、湖南农业大学、湖南美可达生物资源股份有限公司、湖南省中药材产业协会、湖南银鸿农业发展有限公司。</w:t>
      </w:r>
    </w:p>
    <w:p>
      <w:pPr>
        <w:pStyle w:val="56"/>
        <w:ind w:firstLine="0" w:firstLineChars="0"/>
      </w:pPr>
      <w:r>
        <w:rPr>
          <w:rFonts w:hint="eastAsia"/>
        </w:rPr>
        <w:t>本文件主要起草人：</w:t>
      </w:r>
      <w:r>
        <w:rPr>
          <w:rFonts w:hint="default"/>
        </w:rPr>
        <w:t>周利</w:t>
      </w:r>
      <w:r>
        <w:rPr>
          <w:rFonts w:hint="eastAsia"/>
          <w:lang w:eastAsia="zh-CN"/>
        </w:rPr>
        <w:t>、</w:t>
      </w:r>
      <w:r>
        <w:rPr>
          <w:rFonts w:hint="eastAsia"/>
        </w:rPr>
        <w:t>宋荣、曾建国</w:t>
      </w:r>
      <w:r>
        <w:rPr>
          <w:rFonts w:hint="eastAsia"/>
          <w:lang w:eastAsia="zh-CN"/>
        </w:rPr>
        <w:t>、</w:t>
      </w:r>
      <w:r>
        <w:rPr>
          <w:rFonts w:hint="eastAsia"/>
        </w:rPr>
        <w:t>周佳民、朱校奇</w:t>
      </w:r>
      <w:r>
        <w:rPr>
          <w:rFonts w:hint="eastAsia"/>
          <w:lang w:eastAsia="zh-CN"/>
        </w:rPr>
        <w:t>、</w:t>
      </w:r>
      <w:r>
        <w:rPr>
          <w:rFonts w:hint="eastAsia"/>
        </w:rPr>
        <w:t>孙梦姗</w:t>
      </w:r>
      <w:r>
        <w:rPr>
          <w:rFonts w:hint="eastAsia"/>
          <w:lang w:eastAsia="zh-CN"/>
        </w:rPr>
        <w:t>、</w:t>
      </w:r>
      <w:r>
        <w:rPr>
          <w:rFonts w:hint="eastAsia"/>
        </w:rPr>
        <w:t>谢进</w:t>
      </w:r>
      <w:r>
        <w:rPr>
          <w:rFonts w:hint="eastAsia"/>
          <w:lang w:eastAsia="zh-CN"/>
        </w:rPr>
        <w:t>、</w:t>
      </w:r>
      <w:r>
        <w:rPr>
          <w:rFonts w:hint="eastAsia"/>
          <w:lang w:val="en-US" w:eastAsia="zh-CN"/>
        </w:rPr>
        <w:t>陈嘉威</w:t>
      </w:r>
      <w:r>
        <w:rPr>
          <w:rFonts w:hint="eastAsia"/>
          <w:lang w:eastAsia="zh-CN"/>
        </w:rPr>
        <w:t>、</w:t>
      </w:r>
      <w:r>
        <w:rPr>
          <w:rFonts w:hint="eastAsia"/>
        </w:rPr>
        <w:t>陈谦</w:t>
      </w:r>
      <w:r>
        <w:rPr>
          <w:rFonts w:hint="eastAsia"/>
          <w:lang w:eastAsia="zh-CN"/>
        </w:rPr>
        <w:t>、</w:t>
      </w:r>
      <w:r>
        <w:rPr>
          <w:rFonts w:hint="eastAsia"/>
        </w:rPr>
        <w:t>蔡柳</w:t>
      </w:r>
      <w:r>
        <w:rPr>
          <w:rFonts w:hint="eastAsia"/>
          <w:lang w:eastAsia="zh-CN"/>
        </w:rPr>
        <w:t>、</w:t>
      </w:r>
      <w:r>
        <w:rPr>
          <w:rFonts w:hint="eastAsia"/>
        </w:rPr>
        <w:t>袁野、</w:t>
      </w:r>
      <w:r>
        <w:rPr>
          <w:rFonts w:hint="eastAsia"/>
          <w:lang w:val="en-US" w:eastAsia="zh-CN"/>
        </w:rPr>
        <w:t>杨子墨</w:t>
      </w:r>
      <w:r>
        <w:rPr>
          <w:rFonts w:hint="eastAsia"/>
          <w:lang w:eastAsia="zh-CN"/>
        </w:rPr>
        <w:t>、</w:t>
      </w:r>
      <w:r>
        <w:rPr>
          <w:rFonts w:hint="eastAsia"/>
        </w:rPr>
        <w:t>蒋双辉。</w:t>
      </w:r>
    </w:p>
    <w:p>
      <w:pPr>
        <w:pStyle w:val="56"/>
        <w:ind w:firstLine="0" w:firstLineChars="0"/>
        <w:sectPr>
          <w:pgSz w:w="11906" w:h="16838"/>
          <w:pgMar w:top="567"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26DB2F3161CC4F82B23385BF303F09B1"/>
        </w:placeholder>
      </w:sdtPr>
      <w:sdtContent>
        <w:p>
          <w:pPr>
            <w:pStyle w:val="177"/>
            <w:spacing w:before="312" w:beforeLines="100" w:after="686" w:afterLines="220"/>
          </w:pPr>
          <w:bookmarkStart w:id="26" w:name="NEW_STAND_NAME"/>
          <w:r>
            <w:rPr>
              <w:rFonts w:hint="eastAsia"/>
            </w:rPr>
            <w:t>博落回病虫害综合防控技术规程</w:t>
          </w:r>
        </w:p>
      </w:sdtContent>
    </w:sdt>
    <w:bookmarkEnd w:id="26"/>
    <w:p>
      <w:pPr>
        <w:pStyle w:val="104"/>
        <w:spacing w:before="312" w:after="312"/>
      </w:pPr>
      <w:bookmarkStart w:id="27" w:name="_Toc17233333"/>
      <w:bookmarkStart w:id="28" w:name="_Toc26648465"/>
      <w:bookmarkStart w:id="29" w:name="_Toc109726493"/>
      <w:bookmarkStart w:id="30" w:name="_Toc17233325"/>
      <w:bookmarkStart w:id="31" w:name="_Toc26718930"/>
      <w:bookmarkStart w:id="32" w:name="_Toc7204"/>
      <w:bookmarkStart w:id="33" w:name="_Toc24884218"/>
      <w:bookmarkStart w:id="34" w:name="_Toc26986771"/>
      <w:bookmarkStart w:id="35" w:name="_Toc24884211"/>
      <w:bookmarkStart w:id="36" w:name="_Toc26986530"/>
      <w:r>
        <w:rPr>
          <w:rFonts w:hint="eastAsia"/>
        </w:rPr>
        <w:t>范围</w:t>
      </w:r>
      <w:bookmarkEnd w:id="27"/>
      <w:bookmarkEnd w:id="28"/>
      <w:bookmarkEnd w:id="29"/>
      <w:bookmarkEnd w:id="30"/>
      <w:bookmarkEnd w:id="31"/>
      <w:bookmarkEnd w:id="32"/>
      <w:bookmarkEnd w:id="33"/>
      <w:bookmarkEnd w:id="34"/>
      <w:bookmarkEnd w:id="35"/>
      <w:bookmarkEnd w:id="36"/>
    </w:p>
    <w:p>
      <w:pPr>
        <w:pStyle w:val="230"/>
        <w:rPr>
          <w:rFonts w:hint="eastAsia" w:ascii="Times New Roman"/>
        </w:rPr>
      </w:pPr>
      <w:bookmarkStart w:id="37" w:name="_Toc24884219"/>
      <w:bookmarkStart w:id="38" w:name="_Toc26648466"/>
      <w:bookmarkStart w:id="39" w:name="_Toc24884212"/>
      <w:bookmarkStart w:id="40" w:name="_Toc17233326"/>
      <w:bookmarkStart w:id="41" w:name="_Toc17233334"/>
      <w:r>
        <w:rPr>
          <w:rFonts w:hint="eastAsia" w:ascii="Times New Roman"/>
        </w:rPr>
        <w:t>本文件规定了博落回</w:t>
      </w:r>
      <w:r>
        <w:rPr>
          <w:rFonts w:ascii="Times New Roman" w:hAnsi="Times New Roman" w:cs="Times New Roman"/>
          <w:szCs w:val="24"/>
        </w:rPr>
        <w:t>[</w:t>
      </w:r>
      <w:r>
        <w:rPr>
          <w:rFonts w:ascii="Times New Roman" w:hAnsi="Times New Roman" w:cs="Times New Roman"/>
          <w:i/>
          <w:szCs w:val="24"/>
        </w:rPr>
        <w:t xml:space="preserve">Macleaya cordata </w:t>
      </w:r>
      <w:r>
        <w:rPr>
          <w:rFonts w:ascii="Times New Roman" w:hAnsi="Times New Roman" w:cs="Times New Roman"/>
          <w:szCs w:val="24"/>
        </w:rPr>
        <w:t>(Willd) R. B]</w:t>
      </w:r>
      <w:r>
        <w:rPr>
          <w:rFonts w:hint="eastAsia" w:ascii="Times New Roman"/>
        </w:rPr>
        <w:t>病虫</w:t>
      </w:r>
      <w:r>
        <w:rPr>
          <w:rFonts w:hint="eastAsia" w:ascii="Times New Roman"/>
          <w:lang w:val="en-US" w:eastAsia="zh-CN"/>
        </w:rPr>
        <w:t>害</w:t>
      </w:r>
      <w:r>
        <w:rPr>
          <w:rFonts w:hint="eastAsia" w:ascii="Times New Roman"/>
        </w:rPr>
        <w:t>综合防控技术的防治对象、防治原则、农业防治、物理防治、生物防治。</w:t>
      </w:r>
    </w:p>
    <w:p>
      <w:pPr>
        <w:pStyle w:val="230"/>
        <w:rPr>
          <w:sz w:val="18"/>
          <w:szCs w:val="18"/>
        </w:rPr>
      </w:pPr>
      <w:r>
        <w:rPr>
          <w:rFonts w:hint="eastAsia" w:ascii="Times New Roman"/>
        </w:rPr>
        <w:t>本文件适用于博落回种植</w:t>
      </w:r>
      <w:r>
        <w:rPr>
          <w:rFonts w:hint="eastAsia" w:ascii="Times New Roman"/>
          <w:lang w:val="en-US" w:eastAsia="zh-CN"/>
        </w:rPr>
        <w:t>中的</w:t>
      </w:r>
      <w:r>
        <w:rPr>
          <w:rFonts w:hint="eastAsia" w:ascii="Times New Roman"/>
        </w:rPr>
        <w:t>病虫</w:t>
      </w:r>
      <w:r>
        <w:rPr>
          <w:rFonts w:hint="eastAsia" w:ascii="Times New Roman"/>
          <w:lang w:val="en-US" w:eastAsia="zh-CN"/>
        </w:rPr>
        <w:t>害</w:t>
      </w:r>
      <w:r>
        <w:rPr>
          <w:rFonts w:hint="eastAsia" w:ascii="Times New Roman"/>
        </w:rPr>
        <w:t>综合防控。</w:t>
      </w:r>
    </w:p>
    <w:p>
      <w:pPr>
        <w:pStyle w:val="104"/>
        <w:spacing w:before="312" w:after="312"/>
      </w:pPr>
      <w:bookmarkStart w:id="42" w:name="_Toc26986531"/>
      <w:bookmarkStart w:id="43" w:name="_Toc26986772"/>
      <w:bookmarkStart w:id="44" w:name="_Toc28428"/>
      <w:bookmarkStart w:id="45" w:name="_Toc109726494"/>
      <w:bookmarkStart w:id="46" w:name="_Toc26718931"/>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157A88515D146CAABAE2B8C2970725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8321　农药合理使用准则(所有部分)</w:t>
      </w:r>
    </w:p>
    <w:p>
      <w:pPr>
        <w:pStyle w:val="56"/>
        <w:ind w:firstLine="420"/>
      </w:pPr>
      <w:r>
        <w:rPr>
          <w:rFonts w:hint="eastAsia"/>
        </w:rPr>
        <w:t>NY/T 1276　农药安全使用规范总则</w:t>
      </w:r>
    </w:p>
    <w:p>
      <w:pPr>
        <w:pStyle w:val="104"/>
        <w:spacing w:before="312" w:after="312"/>
      </w:pPr>
      <w:bookmarkStart w:id="47" w:name="_Toc8359"/>
      <w:bookmarkStart w:id="48" w:name="_Toc109726495"/>
      <w:r>
        <w:rPr>
          <w:rFonts w:hint="eastAsia"/>
          <w:szCs w:val="21"/>
        </w:rPr>
        <w:t>术语和定义</w:t>
      </w:r>
      <w:bookmarkEnd w:id="47"/>
      <w:bookmarkEnd w:id="48"/>
    </w:p>
    <w:sdt>
      <w:sdtPr>
        <w:id w:val="-1909835108"/>
        <w:placeholder>
          <w:docPart w:val="628B1770B0244B72BDD770AA3D238A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请选择适当的引导语</w:t>
          </w:r>
        </w:p>
      </w:sdtContent>
    </w:sdt>
    <w:p>
      <w:pPr>
        <w:pStyle w:val="223"/>
        <w:ind w:left="420" w:hanging="420" w:hangingChars="200"/>
        <w:rPr>
          <w:rFonts w:hint="eastAsia" w:ascii="黑体" w:hAnsi="黑体" w:eastAsia="黑体"/>
          <w:lang w:val="en-US" w:eastAsia="zh-CN"/>
        </w:rPr>
      </w:pPr>
      <w:r>
        <w:rPr>
          <w:rFonts w:ascii="黑体" w:hAnsi="黑体" w:eastAsia="黑体"/>
        </w:rPr>
        <w:br w:type="textWrapping"/>
      </w:r>
      <w:r>
        <w:rPr>
          <w:rFonts w:hint="eastAsia" w:ascii="黑体" w:hAnsi="黑体" w:eastAsia="黑体"/>
          <w:lang w:val="en-US" w:eastAsia="zh-CN"/>
        </w:rPr>
        <w:t>博落回</w:t>
      </w:r>
      <w:r>
        <w:rPr>
          <w:rFonts w:hint="eastAsia" w:ascii="黑体" w:hAnsi="黑体" w:eastAsia="黑体"/>
        </w:rPr>
        <w:t>　</w:t>
      </w:r>
      <w:r>
        <w:rPr>
          <w:rFonts w:hint="eastAsia" w:ascii="黑体" w:hAnsi="黑体" w:eastAsia="黑体"/>
          <w:i/>
          <w:iCs/>
          <w:lang w:val="en-US" w:eastAsia="zh-CN"/>
        </w:rPr>
        <w:t>Macleaya cordata</w:t>
      </w:r>
    </w:p>
    <w:p>
      <w:pPr>
        <w:pStyle w:val="56"/>
        <w:ind w:firstLine="420"/>
        <w:rPr>
          <w:rFonts w:hint="eastAsia"/>
        </w:rPr>
      </w:pPr>
      <w:r>
        <w:rPr>
          <w:rFonts w:hint="eastAsia"/>
        </w:rPr>
        <w:t>博落回是罂粟科博落回属多年生直立草本植物，基部具乳黄色浆汁。茎光滑绿色，高可达4米，多白粉，叶片宽卵形或近圆形，先端急尖、渐尖、钝或圆形，裂片半圆形、方形、兰角形或其他，边缘波状、缺刻状、表面绿色，背面多白粉，细脉网状，常呈淡红色；大型圆锥花序多花，顶生和腋生；苞片狭披针形。花芽棒状，近白色，萼片倒卵状长圆形，舟状，黄白色；花丝丝状，花药条形，与花丝等长；子房倒卵形至狭倒卵形，蒴果狭倒卵形或倒披针形，无毛。种子卵珠形，有狭的种阜。6-11月开花结果。</w:t>
      </w:r>
    </w:p>
    <w:p>
      <w:pPr>
        <w:pStyle w:val="56"/>
        <w:ind w:firstLine="420"/>
        <w:rPr>
          <w:rFonts w:hint="eastAsia"/>
        </w:rPr>
      </w:pPr>
    </w:p>
    <w:p>
      <w:pPr>
        <w:pStyle w:val="223"/>
        <w:ind w:left="420" w:hanging="420" w:hangingChars="200"/>
        <w:rPr>
          <w:rFonts w:hint="eastAsia" w:ascii="黑体" w:hAnsi="黑体" w:eastAsia="黑体"/>
        </w:rPr>
      </w:pPr>
    </w:p>
    <w:p>
      <w:pPr>
        <w:pStyle w:val="223"/>
        <w:numPr>
          <w:ilvl w:val="2"/>
          <w:numId w:val="0"/>
        </w:numPr>
        <w:ind w:leftChars="-200" w:firstLine="840" w:firstLineChars="400"/>
        <w:rPr>
          <w:rFonts w:hint="eastAsia" w:ascii="黑体" w:hAnsi="黑体" w:eastAsia="黑体"/>
        </w:rPr>
      </w:pPr>
      <w:r>
        <w:rPr>
          <w:rFonts w:hint="eastAsia" w:ascii="黑体" w:hAnsi="黑体" w:eastAsia="黑体"/>
        </w:rPr>
        <w:t>有害生物综合防治 integrated pest management</w:t>
      </w:r>
    </w:p>
    <w:p>
      <w:pPr>
        <w:pStyle w:val="230"/>
        <w:jc w:val="left"/>
        <w:rPr>
          <w:rFonts w:hint="eastAsia" w:ascii="Times New Roman"/>
        </w:rPr>
      </w:pPr>
      <w:r>
        <w:rPr>
          <w:rFonts w:hint="eastAsia" w:ascii="Times New Roman"/>
        </w:rPr>
        <w:t>根据生态学的原理和经济学的原理，选取最优化的技术组配方案，把有害生物的种群数量比较长期地稳定在经济损害水平以下，以获得最佳的经济效益、生态效益和社会效益。</w:t>
      </w:r>
    </w:p>
    <w:p>
      <w:pPr>
        <w:pStyle w:val="56"/>
        <w:ind w:firstLine="420"/>
        <w:rPr>
          <w:rFonts w:hint="eastAsia"/>
        </w:rPr>
      </w:pP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综合防控　Comprehensive control</w:t>
      </w:r>
    </w:p>
    <w:p>
      <w:pPr>
        <w:pStyle w:val="56"/>
        <w:ind w:firstLine="420"/>
      </w:pPr>
      <w:r>
        <w:rPr>
          <w:rFonts w:hint="eastAsia"/>
        </w:rPr>
        <w:t>综合采用农业防治、物理防治和化学防治措施，达到有效控制农作物病虫草害的目的。</w:t>
      </w:r>
    </w:p>
    <w:p>
      <w:pPr>
        <w:pStyle w:val="104"/>
        <w:spacing w:before="312" w:after="312"/>
      </w:pPr>
      <w:bookmarkStart w:id="50" w:name="_Toc21070"/>
      <w:bookmarkStart w:id="51" w:name="_Toc109726496"/>
      <w:r>
        <w:rPr>
          <w:rFonts w:hint="eastAsia"/>
        </w:rPr>
        <w:t>防控原则</w:t>
      </w:r>
      <w:bookmarkEnd w:id="50"/>
      <w:bookmarkEnd w:id="51"/>
    </w:p>
    <w:p>
      <w:pPr>
        <w:pStyle w:val="56"/>
        <w:ind w:firstLine="420"/>
      </w:pPr>
      <w:r>
        <w:rPr>
          <w:rFonts w:hint="eastAsia"/>
        </w:rPr>
        <w:t>坚持“预防为主、综合防治”原则，紧紧围绕中药材农业绿色发展和农药减量施用目标，采取以农业措施为主、化学</w:t>
      </w:r>
      <w:r>
        <w:rPr>
          <w:rFonts w:hint="eastAsia"/>
          <w:lang w:val="en-US" w:eastAsia="zh-CN"/>
        </w:rPr>
        <w:t>防治</w:t>
      </w:r>
      <w:r>
        <w:rPr>
          <w:rFonts w:hint="eastAsia"/>
        </w:rPr>
        <w:t>为辅的综合防控技术体系，把</w:t>
      </w:r>
      <w:r>
        <w:rPr>
          <w:rFonts w:hint="eastAsia"/>
          <w:lang w:val="en-US" w:eastAsia="zh-CN"/>
        </w:rPr>
        <w:t>病虫</w:t>
      </w:r>
      <w:r>
        <w:rPr>
          <w:rFonts w:hint="eastAsia"/>
        </w:rPr>
        <w:t>害控制在经济允许范围之内，促进</w:t>
      </w:r>
      <w:r>
        <w:rPr>
          <w:rFonts w:hint="eastAsia"/>
          <w:lang w:val="en-US" w:eastAsia="zh-CN"/>
        </w:rPr>
        <w:t>博落回</w:t>
      </w:r>
      <w:r>
        <w:rPr>
          <w:rFonts w:hint="eastAsia"/>
        </w:rPr>
        <w:t>稳产增收、提质增效。</w:t>
      </w:r>
    </w:p>
    <w:p>
      <w:pPr>
        <w:pStyle w:val="104"/>
        <w:spacing w:before="312" w:after="312"/>
      </w:pPr>
      <w:bookmarkStart w:id="52" w:name="_Toc109726497"/>
      <w:bookmarkStart w:id="53" w:name="_Toc22945"/>
      <w:r>
        <w:rPr>
          <w:rFonts w:hint="eastAsia"/>
        </w:rPr>
        <w:t>防控对象</w:t>
      </w:r>
      <w:bookmarkEnd w:id="52"/>
      <w:bookmarkEnd w:id="53"/>
    </w:p>
    <w:p>
      <w:pPr>
        <w:pStyle w:val="105"/>
        <w:spacing w:before="156" w:after="156"/>
        <w:rPr>
          <w:rFonts w:hint="eastAsia"/>
        </w:rPr>
      </w:pPr>
      <w:bookmarkStart w:id="54" w:name="_Toc109726498"/>
      <w:r>
        <w:rPr>
          <w:rFonts w:hint="eastAsia"/>
        </w:rPr>
        <w:t xml:space="preserve"> </w:t>
      </w:r>
      <w:bookmarkStart w:id="55" w:name="_Toc24515"/>
      <w:r>
        <w:rPr>
          <w:rFonts w:hint="eastAsia"/>
        </w:rPr>
        <w:t>主要病害</w:t>
      </w:r>
      <w:bookmarkEnd w:id="55"/>
    </w:p>
    <w:p>
      <w:pPr>
        <w:pStyle w:val="230"/>
        <w:jc w:val="left"/>
        <w:rPr>
          <w:rFonts w:hint="eastAsia" w:ascii="Times New Roman"/>
        </w:rPr>
      </w:pPr>
      <w:r>
        <w:rPr>
          <w:rFonts w:hint="eastAsia" w:ascii="Times New Roman"/>
        </w:rPr>
        <w:t>白绢病、茎腐病、根腐病、叶斑病、炭疽病等。</w:t>
      </w:r>
    </w:p>
    <w:p>
      <w:pPr>
        <w:pStyle w:val="105"/>
        <w:spacing w:before="156" w:after="156"/>
        <w:rPr>
          <w:rFonts w:hint="eastAsia"/>
        </w:rPr>
      </w:pPr>
      <w:bookmarkStart w:id="56" w:name="_Toc26174"/>
      <w:r>
        <w:rPr>
          <w:rFonts w:hint="eastAsia"/>
        </w:rPr>
        <w:t>主要害虫</w:t>
      </w:r>
      <w:bookmarkEnd w:id="56"/>
    </w:p>
    <w:p>
      <w:pPr>
        <w:pStyle w:val="230"/>
        <w:jc w:val="left"/>
        <w:rPr>
          <w:rFonts w:ascii="Times New Roman"/>
          <w:color w:val="000000"/>
        </w:rPr>
      </w:pPr>
      <w:r>
        <w:rPr>
          <w:rFonts w:hint="eastAsia" w:ascii="Times New Roman"/>
          <w:color w:val="000000"/>
        </w:rPr>
        <w:t>地老虎、菜青虫、斜纹夜蛾、甘蓝夜蛾等。</w:t>
      </w:r>
    </w:p>
    <w:p>
      <w:pPr>
        <w:pStyle w:val="104"/>
        <w:spacing w:before="312" w:after="312"/>
      </w:pPr>
      <w:bookmarkStart w:id="57" w:name="_Toc147"/>
      <w:r>
        <w:rPr>
          <w:rFonts w:hint="eastAsia"/>
        </w:rPr>
        <w:t>防控措施</w:t>
      </w:r>
      <w:bookmarkEnd w:id="54"/>
      <w:bookmarkEnd w:id="57"/>
    </w:p>
    <w:p>
      <w:pPr>
        <w:pStyle w:val="105"/>
        <w:spacing w:before="156" w:after="156"/>
        <w:rPr>
          <w:rFonts w:hint="eastAsia"/>
        </w:rPr>
      </w:pPr>
      <w:bookmarkStart w:id="58" w:name="_Toc109726499"/>
      <w:bookmarkStart w:id="59" w:name="_Toc32499"/>
      <w:r>
        <w:rPr>
          <w:rFonts w:hint="eastAsia"/>
        </w:rPr>
        <w:t>农业防控</w:t>
      </w:r>
      <w:bookmarkEnd w:id="58"/>
      <w:bookmarkEnd w:id="59"/>
    </w:p>
    <w:p>
      <w:pPr>
        <w:pStyle w:val="56"/>
        <w:ind w:firstLine="420"/>
        <w:rPr>
          <w:rFonts w:hint="eastAsia"/>
        </w:rPr>
      </w:pPr>
      <w:r>
        <w:rPr>
          <w:rFonts w:hint="eastAsia"/>
        </w:rPr>
        <w:t>选用抗（耐）病优良品种。种子质量应符合GB 16715.4的要求。</w:t>
      </w:r>
    </w:p>
    <w:p>
      <w:pPr>
        <w:pStyle w:val="56"/>
        <w:ind w:firstLine="420"/>
        <w:rPr>
          <w:rFonts w:hint="eastAsia"/>
        </w:rPr>
      </w:pPr>
      <w:r>
        <w:rPr>
          <w:rFonts w:hint="eastAsia"/>
        </w:rPr>
        <w:t>清洁田园，精耕细作。定植前10 d～15 d，清除田间残茬以及土壤深翻处理。</w:t>
      </w:r>
    </w:p>
    <w:p>
      <w:pPr>
        <w:pStyle w:val="56"/>
        <w:ind w:firstLine="420"/>
        <w:rPr>
          <w:rFonts w:hint="eastAsia"/>
        </w:rPr>
      </w:pPr>
      <w:r>
        <w:rPr>
          <w:rFonts w:hint="eastAsia"/>
        </w:rPr>
        <w:t>培育无病虫害壮苗。</w:t>
      </w:r>
    </w:p>
    <w:p>
      <w:pPr>
        <w:pStyle w:val="56"/>
        <w:ind w:firstLine="420"/>
        <w:rPr>
          <w:rFonts w:hint="eastAsia"/>
        </w:rPr>
      </w:pPr>
      <w:r>
        <w:rPr>
          <w:rFonts w:hint="eastAsia"/>
        </w:rPr>
        <w:t>及时做好中耕除草，培土和施肥。</w:t>
      </w:r>
    </w:p>
    <w:p>
      <w:pPr>
        <w:pStyle w:val="105"/>
        <w:spacing w:before="156" w:after="156"/>
        <w:rPr>
          <w:rFonts w:hint="eastAsia"/>
        </w:rPr>
      </w:pPr>
      <w:bookmarkStart w:id="60" w:name="_Toc22442"/>
      <w:bookmarkStart w:id="61" w:name="_Toc109726500"/>
      <w:r>
        <w:rPr>
          <w:rFonts w:hint="eastAsia"/>
        </w:rPr>
        <w:t>物理防控</w:t>
      </w:r>
      <w:bookmarkEnd w:id="60"/>
      <w:bookmarkEnd w:id="61"/>
    </w:p>
    <w:p>
      <w:pPr>
        <w:pStyle w:val="56"/>
        <w:ind w:firstLine="420"/>
        <w:rPr>
          <w:rFonts w:hint="eastAsia" w:ascii="黑体" w:hAnsi="黑体" w:eastAsia="黑体"/>
        </w:rPr>
      </w:pPr>
      <w:r>
        <w:rPr>
          <w:rFonts w:hint="eastAsia"/>
        </w:rPr>
        <w:t>采用灯光诱杀</w:t>
      </w:r>
      <w:r>
        <w:rPr>
          <w:rFonts w:hint="eastAsia"/>
          <w:lang w:eastAsia="zh-CN"/>
        </w:rPr>
        <w:t>、</w:t>
      </w:r>
      <w:r>
        <w:rPr>
          <w:rFonts w:hint="eastAsia"/>
        </w:rPr>
        <w:t>色板诱杀</w:t>
      </w:r>
      <w:r>
        <w:rPr>
          <w:rFonts w:hint="eastAsia"/>
          <w:lang w:eastAsia="zh-CN"/>
        </w:rPr>
        <w:t>、</w:t>
      </w:r>
      <w:r>
        <w:rPr>
          <w:rFonts w:hint="eastAsia"/>
        </w:rPr>
        <w:t>食味诱杀</w:t>
      </w:r>
      <w:r>
        <w:rPr>
          <w:rFonts w:hint="eastAsia"/>
          <w:lang w:eastAsia="zh-CN"/>
        </w:rPr>
        <w:t>、</w:t>
      </w:r>
      <w:r>
        <w:rPr>
          <w:rFonts w:hint="eastAsia"/>
        </w:rPr>
        <w:t>性诱剂诱杀</w:t>
      </w:r>
      <w:r>
        <w:rPr>
          <w:rFonts w:hint="eastAsia"/>
          <w:lang w:eastAsia="zh-CN"/>
        </w:rPr>
        <w:t>、</w:t>
      </w:r>
      <w:r>
        <w:rPr>
          <w:rFonts w:hint="eastAsia"/>
        </w:rPr>
        <w:t>防虫网覆盖育苗</w:t>
      </w:r>
      <w:r>
        <w:rPr>
          <w:rFonts w:hint="eastAsia"/>
          <w:lang w:eastAsia="zh-CN"/>
        </w:rPr>
        <w:t>、</w:t>
      </w:r>
      <w:r>
        <w:rPr>
          <w:rFonts w:hint="eastAsia"/>
        </w:rPr>
        <w:t>诱捕幼虫</w:t>
      </w:r>
      <w:r>
        <w:rPr>
          <w:rFonts w:hint="eastAsia"/>
          <w:lang w:eastAsia="zh-CN"/>
        </w:rPr>
        <w:t>、</w:t>
      </w:r>
      <w:r>
        <w:rPr>
          <w:rFonts w:hint="eastAsia"/>
        </w:rPr>
        <w:t>人工捕杀的方式进行</w:t>
      </w:r>
      <w:r>
        <w:rPr>
          <w:rFonts w:hint="eastAsia"/>
          <w:lang w:val="en-US" w:eastAsia="zh-CN"/>
        </w:rPr>
        <w:t>病虫害</w:t>
      </w:r>
      <w:r>
        <w:rPr>
          <w:rFonts w:hint="eastAsia"/>
        </w:rPr>
        <w:t>防控。</w:t>
      </w:r>
    </w:p>
    <w:p>
      <w:pPr>
        <w:pStyle w:val="65"/>
        <w:spacing w:before="156" w:after="156"/>
      </w:pPr>
      <w:r>
        <w:rPr>
          <w:rFonts w:hint="eastAsia" w:ascii="黑体" w:hAnsi="黑体" w:eastAsia="黑体"/>
        </w:rPr>
        <w:t>灯光诱杀</w:t>
      </w:r>
    </w:p>
    <w:p>
      <w:pPr>
        <w:pStyle w:val="56"/>
        <w:ind w:firstLine="420"/>
        <w:rPr>
          <w:rFonts w:hint="eastAsia" w:ascii="黑体" w:hAnsi="黑体" w:eastAsia="黑体"/>
        </w:rPr>
      </w:pPr>
      <w:r>
        <w:rPr>
          <w:rFonts w:hint="eastAsia"/>
        </w:rPr>
        <w:t>利用害虫的趋光性，在发生期点灯诱杀。每2 hm</w:t>
      </w:r>
      <w:r>
        <w:rPr>
          <w:rFonts w:hint="eastAsia"/>
          <w:vertAlign w:val="superscript"/>
        </w:rPr>
        <w:t>2</w:t>
      </w:r>
      <w:r>
        <w:rPr>
          <w:rFonts w:hint="eastAsia"/>
        </w:rPr>
        <w:t>～4 hm</w:t>
      </w:r>
      <w:r>
        <w:rPr>
          <w:rFonts w:hint="eastAsia"/>
          <w:vertAlign w:val="superscript"/>
        </w:rPr>
        <w:t>2</w:t>
      </w:r>
      <w:r>
        <w:rPr>
          <w:rFonts w:hint="eastAsia"/>
          <w:vertAlign w:val="superscript"/>
          <w:lang w:val="en-US" w:eastAsia="zh-CN"/>
        </w:rPr>
        <w:t xml:space="preserve"> </w:t>
      </w:r>
      <w:r>
        <w:rPr>
          <w:rFonts w:hint="eastAsia"/>
        </w:rPr>
        <w:t>的地块范围内，安装一台频振式杀虫灯，诱杀鳞翅目为主的害虫。</w:t>
      </w:r>
    </w:p>
    <w:p>
      <w:pPr>
        <w:pStyle w:val="65"/>
        <w:spacing w:before="156" w:after="156"/>
      </w:pPr>
      <w:r>
        <w:rPr>
          <w:rFonts w:hint="eastAsia" w:ascii="黑体" w:hAnsi="黑体" w:eastAsia="黑体"/>
        </w:rPr>
        <w:t xml:space="preserve">色板诱杀 </w:t>
      </w:r>
    </w:p>
    <w:p>
      <w:pPr>
        <w:pStyle w:val="56"/>
        <w:ind w:firstLine="420"/>
        <w:rPr>
          <w:rFonts w:hint="eastAsia" w:ascii="黑体" w:hAnsi="黑体" w:eastAsia="黑体"/>
        </w:rPr>
      </w:pPr>
      <w:r>
        <w:rPr>
          <w:rFonts w:hint="eastAsia"/>
        </w:rPr>
        <w:t>悬挂涂抹机油等黏着剂的黄板，用于诱杀</w:t>
      </w:r>
      <w:bookmarkStart w:id="71" w:name="_GoBack"/>
      <w:bookmarkEnd w:id="71"/>
      <w:r>
        <w:rPr>
          <w:rFonts w:hint="eastAsia"/>
        </w:rPr>
        <w:t>害虫。黄板规格23 cm×29 cm，根据虫害的危害程度，每</w:t>
      </w:r>
      <w:r>
        <w:rPr>
          <w:rFonts w:hint="eastAsia"/>
          <w:lang w:val="en-US" w:eastAsia="zh-CN"/>
        </w:rPr>
        <w:t>667m</w:t>
      </w:r>
      <w:r>
        <w:rPr>
          <w:rFonts w:hint="eastAsia"/>
          <w:vertAlign w:val="superscript"/>
          <w:lang w:val="en-US" w:eastAsia="zh-CN"/>
        </w:rPr>
        <w:t>2</w:t>
      </w:r>
      <w:r>
        <w:rPr>
          <w:rFonts w:hint="eastAsia"/>
        </w:rPr>
        <w:t>悬挂40块～90块。</w:t>
      </w:r>
    </w:p>
    <w:p>
      <w:pPr>
        <w:pStyle w:val="65"/>
        <w:spacing w:before="156" w:after="156"/>
      </w:pPr>
      <w:r>
        <w:rPr>
          <w:rFonts w:hint="eastAsia" w:ascii="黑体" w:hAnsi="黑体" w:eastAsia="黑体"/>
        </w:rPr>
        <w:t>食味诱杀</w:t>
      </w:r>
    </w:p>
    <w:p>
      <w:pPr>
        <w:pStyle w:val="56"/>
        <w:ind w:firstLine="420"/>
        <w:rPr>
          <w:rFonts w:hint="eastAsia"/>
          <w:lang w:val="en-US" w:eastAsia="zh-CN"/>
        </w:rPr>
      </w:pPr>
      <w:r>
        <w:rPr>
          <w:rFonts w:hint="eastAsia"/>
          <w:lang w:val="en-US" w:eastAsia="zh-CN"/>
        </w:rPr>
        <w:t>在成虫盛发期田间安放夜蛾类害虫食诱剂，每667m</w:t>
      </w:r>
      <w:r>
        <w:rPr>
          <w:rFonts w:hint="eastAsia"/>
          <w:vertAlign w:val="superscript"/>
          <w:lang w:val="en-US" w:eastAsia="zh-CN"/>
        </w:rPr>
        <w:t>2</w:t>
      </w:r>
      <w:r>
        <w:rPr>
          <w:rFonts w:hint="eastAsia"/>
          <w:lang w:val="en-US" w:eastAsia="zh-CN"/>
        </w:rPr>
        <w:t>放置5个～8个（确定格式）内置食诱剂的船型或桶型诱捕器，诱杀其成虫。</w:t>
      </w:r>
    </w:p>
    <w:p>
      <w:pPr>
        <w:pStyle w:val="65"/>
        <w:spacing w:before="156" w:after="156"/>
        <w:rPr>
          <w:rFonts w:hint="eastAsia" w:ascii="黑体" w:hAnsi="黑体" w:eastAsia="黑体"/>
        </w:rPr>
      </w:pPr>
      <w:r>
        <w:rPr>
          <w:rFonts w:hint="eastAsia" w:ascii="黑体" w:hAnsi="黑体" w:eastAsia="黑体"/>
        </w:rPr>
        <w:t xml:space="preserve">性诱剂诱杀 </w:t>
      </w:r>
    </w:p>
    <w:p>
      <w:pPr>
        <w:pStyle w:val="56"/>
        <w:ind w:firstLine="420"/>
        <w:rPr>
          <w:rFonts w:hint="eastAsia"/>
          <w:lang w:val="en-US" w:eastAsia="zh-CN"/>
        </w:rPr>
      </w:pPr>
      <w:r>
        <w:rPr>
          <w:rFonts w:hint="eastAsia"/>
          <w:lang w:val="en-US" w:eastAsia="zh-CN"/>
        </w:rPr>
        <w:t xml:space="preserve"> 适宜推广的有斜纹夜蛾、甘蓝夜蛾等害虫性诱剂品种。如应用性诱剂诱杀斜纹夜蛾、甘蓝夜蛾，每亩安置3个～5个诱芯。诱芯应根据企业产品的理化特性及有效期说明等，进行定期更换。</w:t>
      </w:r>
    </w:p>
    <w:p>
      <w:pPr>
        <w:pStyle w:val="65"/>
        <w:spacing w:before="156" w:after="156"/>
        <w:rPr>
          <w:rFonts w:hint="eastAsia" w:ascii="黑体" w:hAnsi="黑体" w:eastAsia="黑体"/>
        </w:rPr>
      </w:pPr>
      <w:r>
        <w:rPr>
          <w:rFonts w:hint="eastAsia" w:ascii="黑体" w:hAnsi="黑体" w:eastAsia="黑体"/>
        </w:rPr>
        <w:t xml:space="preserve">防虫网覆盖育苗 </w:t>
      </w:r>
    </w:p>
    <w:p>
      <w:pPr>
        <w:pStyle w:val="56"/>
        <w:ind w:firstLine="420"/>
        <w:rPr>
          <w:rFonts w:hint="eastAsia"/>
          <w:lang w:val="en-US" w:eastAsia="zh-CN"/>
        </w:rPr>
      </w:pPr>
      <w:r>
        <w:rPr>
          <w:rFonts w:hint="eastAsia"/>
          <w:lang w:val="en-US" w:eastAsia="zh-CN"/>
        </w:rPr>
        <w:t>苗床之上搭建防虫网室，规格可根据苗床大小进行调整。育苗期间注意防虫网室四周压实密封，不出现防虫网破损情况。防虫网可与色板诱杀配套使用。</w:t>
      </w:r>
    </w:p>
    <w:p>
      <w:pPr>
        <w:pStyle w:val="65"/>
        <w:spacing w:before="156" w:after="156"/>
        <w:rPr>
          <w:rFonts w:hint="eastAsia" w:ascii="黑体" w:hAnsi="黑体" w:eastAsia="黑体"/>
        </w:rPr>
      </w:pPr>
      <w:r>
        <w:rPr>
          <w:rFonts w:hint="eastAsia" w:ascii="黑体" w:hAnsi="黑体" w:eastAsia="黑体"/>
        </w:rPr>
        <w:t>诱捕幼虫</w:t>
      </w:r>
    </w:p>
    <w:p>
      <w:pPr>
        <w:pStyle w:val="230"/>
        <w:spacing w:before="156" w:beforeLines="50" w:after="156" w:afterLines="50"/>
        <w:ind w:firstLine="630" w:firstLineChars="300"/>
        <w:jc w:val="left"/>
        <w:rPr>
          <w:rFonts w:ascii="Helvetica" w:hAnsi="Helvetica" w:cs="Helvetica"/>
          <w:color w:val="333333"/>
          <w:szCs w:val="21"/>
          <w:shd w:val="clear" w:color="auto" w:fill="FFFFFF"/>
        </w:rPr>
      </w:pPr>
      <w:r>
        <w:rPr>
          <w:rFonts w:ascii="Helvetica" w:hAnsi="Helvetica" w:eastAsia="Helvetica" w:cs="Helvetica"/>
          <w:color w:val="333333"/>
          <w:szCs w:val="21"/>
          <w:shd w:val="clear" w:color="auto" w:fill="FFFFFF"/>
        </w:rPr>
        <w:t>用泡桐叶或莴苣叶诱捕</w:t>
      </w:r>
      <w:r>
        <w:rPr>
          <w:rFonts w:hint="eastAsia" w:ascii="Helvetica" w:hAnsi="Helvetica" w:cs="Helvetica"/>
          <w:color w:val="333333"/>
          <w:szCs w:val="21"/>
          <w:shd w:val="clear" w:color="auto" w:fill="FFFFFF"/>
        </w:rPr>
        <w:t>地老虎</w:t>
      </w:r>
      <w:r>
        <w:rPr>
          <w:rFonts w:ascii="Helvetica" w:hAnsi="Helvetica" w:eastAsia="Helvetica" w:cs="Helvetica"/>
          <w:color w:val="333333"/>
          <w:szCs w:val="21"/>
          <w:shd w:val="clear" w:color="auto" w:fill="FFFFFF"/>
        </w:rPr>
        <w:t>幼虫，于每日清晨到田间捕捉；对高龄幼虫也可在清晨到田间检查，如果发现有断苗，拨开附近的土块，进行捕杀。</w:t>
      </w:r>
    </w:p>
    <w:p>
      <w:pPr>
        <w:pStyle w:val="65"/>
        <w:spacing w:before="156" w:after="156"/>
        <w:rPr>
          <w:rFonts w:hint="eastAsia" w:ascii="黑体" w:hAnsi="黑体" w:eastAsia="黑体"/>
        </w:rPr>
      </w:pPr>
      <w:r>
        <w:rPr>
          <w:rFonts w:hint="eastAsia" w:ascii="黑体" w:hAnsi="黑体" w:eastAsia="黑体"/>
        </w:rPr>
        <w:t xml:space="preserve">人工捕杀  </w:t>
      </w:r>
    </w:p>
    <w:p>
      <w:pPr>
        <w:pStyle w:val="230"/>
        <w:jc w:val="left"/>
        <w:rPr>
          <w:rFonts w:hint="eastAsia" w:ascii="Times New Roman"/>
          <w:b w:val="0"/>
          <w:bCs w:val="0"/>
        </w:rPr>
      </w:pPr>
      <w:r>
        <w:rPr>
          <w:rFonts w:hint="eastAsia" w:ascii="Times New Roman"/>
        </w:rPr>
        <w:t>发生较轻</w:t>
      </w:r>
      <w:r>
        <w:rPr>
          <w:rFonts w:hint="eastAsia" w:ascii="Times New Roman"/>
          <w:b w:val="0"/>
          <w:bCs w:val="0"/>
        </w:rPr>
        <w:t>时，宜人工捕杀，减轻危害。</w:t>
      </w:r>
    </w:p>
    <w:p>
      <w:pPr>
        <w:pStyle w:val="105"/>
        <w:spacing w:before="156" w:after="156"/>
        <w:rPr>
          <w:rFonts w:hint="eastAsia"/>
        </w:rPr>
      </w:pPr>
      <w:bookmarkStart w:id="62" w:name="_Toc109726501"/>
      <w:bookmarkStart w:id="63" w:name="_Toc24117"/>
      <w:r>
        <w:rPr>
          <w:rFonts w:hint="eastAsia"/>
        </w:rPr>
        <w:t>化学防控</w:t>
      </w:r>
      <w:bookmarkEnd w:id="62"/>
      <w:bookmarkEnd w:id="63"/>
    </w:p>
    <w:p>
      <w:pPr>
        <w:pStyle w:val="65"/>
        <w:spacing w:before="156" w:after="156"/>
        <w:rPr>
          <w:rFonts w:hint="eastAsia"/>
        </w:rPr>
      </w:pPr>
      <w:r>
        <w:rPr>
          <w:rFonts w:hint="eastAsia"/>
        </w:rPr>
        <w:t xml:space="preserve">防治指标  </w:t>
      </w:r>
    </w:p>
    <w:p>
      <w:pPr>
        <w:pStyle w:val="230"/>
        <w:jc w:val="left"/>
        <w:rPr>
          <w:rFonts w:hint="eastAsia" w:ascii="Times New Roman" w:eastAsia="宋体"/>
          <w:lang w:eastAsia="zh-CN"/>
        </w:rPr>
      </w:pPr>
      <w:r>
        <w:rPr>
          <w:rFonts w:hint="eastAsia" w:ascii="Times New Roman"/>
        </w:rPr>
        <w:t>根据博落回田块叶</w:t>
      </w:r>
      <w:r>
        <w:rPr>
          <w:rFonts w:hint="eastAsia" w:ascii="Times New Roman"/>
          <w:color w:val="000000"/>
        </w:rPr>
        <w:t>斑病、炭疽病等</w:t>
      </w:r>
      <w:r>
        <w:rPr>
          <w:rFonts w:hint="eastAsia" w:ascii="Times New Roman"/>
        </w:rPr>
        <w:t>病害调查结果，当株发病率</w:t>
      </w:r>
      <w:r>
        <w:rPr>
          <w:rFonts w:hint="eastAsia" w:ascii="Times New Roman"/>
          <w:color w:val="auto"/>
        </w:rPr>
        <w:t>在5 % 时，</w:t>
      </w:r>
      <w:r>
        <w:rPr>
          <w:rFonts w:hint="eastAsia" w:ascii="Times New Roman"/>
        </w:rPr>
        <w:t>需进行防治；其它病害（白绢病、茎腐病、根腐病）发病的初期，进行用药。</w:t>
      </w:r>
    </w:p>
    <w:p>
      <w:pPr>
        <w:pStyle w:val="65"/>
        <w:spacing w:before="156" w:after="156"/>
      </w:pPr>
      <w:r>
        <w:rPr>
          <w:rFonts w:hint="eastAsia"/>
        </w:rPr>
        <w:t>使用方法</w:t>
      </w:r>
    </w:p>
    <w:p>
      <w:pPr>
        <w:pStyle w:val="56"/>
        <w:ind w:firstLine="420"/>
      </w:pPr>
      <w:r>
        <w:rPr>
          <w:rFonts w:hint="eastAsia"/>
        </w:rPr>
        <w:t>禁止使用高毒、高残留化学</w:t>
      </w:r>
      <w:r>
        <w:rPr>
          <w:rFonts w:hint="eastAsia"/>
          <w:lang w:val="en-US" w:eastAsia="zh-CN"/>
        </w:rPr>
        <w:t>药</w:t>
      </w:r>
      <w:r>
        <w:rPr>
          <w:rFonts w:hint="eastAsia"/>
        </w:rPr>
        <w:t>剂，提倡农药的交替使用；农药安全间隔期应符合GB/T 8321和NY/T 1276的相关规定</w:t>
      </w:r>
      <w:r>
        <w:rPr>
          <w:rFonts w:hint="eastAsia"/>
          <w:lang w:eastAsia="zh-CN"/>
        </w:rPr>
        <w:t>。</w:t>
      </w:r>
      <w:r>
        <w:rPr>
          <w:rFonts w:hint="eastAsia"/>
        </w:rPr>
        <w:t>用药时，需要统筹兼顾，尽量做到一药多防，减少农药投入量。具体防治药剂及使用方法参见附录A。</w:t>
      </w:r>
    </w:p>
    <w:p>
      <w:pPr>
        <w:pStyle w:val="104"/>
        <w:spacing w:before="312" w:after="312"/>
      </w:pPr>
      <w:bookmarkStart w:id="64" w:name="_Toc109726502"/>
      <w:bookmarkStart w:id="65" w:name="_Toc13298"/>
      <w:r>
        <w:rPr>
          <w:rFonts w:hint="eastAsia"/>
        </w:rPr>
        <w:t>档案管理</w:t>
      </w:r>
      <w:bookmarkEnd w:id="64"/>
      <w:bookmarkEnd w:id="65"/>
    </w:p>
    <w:p>
      <w:pPr>
        <w:pStyle w:val="162"/>
        <w:outlineLvl w:val="1"/>
      </w:pPr>
      <w:r>
        <w:rPr>
          <w:rFonts w:hint="eastAsia"/>
        </w:rPr>
        <w:t>应建立防控档案，具体内容参见附录B。</w:t>
      </w:r>
    </w:p>
    <w:p>
      <w:pPr>
        <w:pStyle w:val="162"/>
      </w:pPr>
      <w:r>
        <w:rPr>
          <w:rFonts w:hint="eastAsia"/>
        </w:rPr>
        <w:t>应妥善保管原始档案记录，并保存2年以上。</w:t>
      </w:r>
    </w:p>
    <w:p>
      <w:pPr>
        <w:pStyle w:val="162"/>
        <w:numPr>
          <w:ilvl w:val="0"/>
          <w:numId w:val="0"/>
        </w:numPr>
      </w:pPr>
    </w:p>
    <w:p>
      <w:pPr>
        <w:pStyle w:val="162"/>
        <w:numPr>
          <w:ilvl w:val="0"/>
          <w:numId w:val="0"/>
        </w:numPr>
        <w:sectPr>
          <w:pgSz w:w="11906" w:h="16838"/>
          <w:pgMar w:top="567" w:right="1134" w:bottom="1134" w:left="1134" w:header="1418" w:footer="1134" w:gutter="284"/>
          <w:pgNumType w:start="1"/>
          <w:cols w:space="425" w:num="1"/>
          <w:formProt w:val="0"/>
          <w:docGrid w:type="lines" w:linePitch="312" w:charSpace="0"/>
        </w:sectPr>
      </w:pPr>
    </w:p>
    <w:bookmarkEnd w:id="25"/>
    <w:p>
      <w:pPr>
        <w:pStyle w:val="198"/>
        <w:rPr>
          <w:vanish w:val="0"/>
        </w:rPr>
      </w:pPr>
      <w:bookmarkStart w:id="66" w:name="BookMark5"/>
    </w:p>
    <w:p>
      <w:pPr>
        <w:pStyle w:val="199"/>
        <w:rPr>
          <w:vanish w:val="0"/>
        </w:rPr>
      </w:pPr>
    </w:p>
    <w:p>
      <w:pPr>
        <w:pStyle w:val="76"/>
        <w:spacing w:before="78" w:after="156"/>
      </w:pPr>
      <w:bookmarkStart w:id="67" w:name="_Toc25676"/>
      <w:r>
        <w:br w:type="textWrapping"/>
      </w:r>
      <w:bookmarkStart w:id="68" w:name="_Toc109726503"/>
      <w:r>
        <w:rPr>
          <w:rFonts w:hint="eastAsia"/>
        </w:rPr>
        <w:t>（规范性）</w:t>
      </w:r>
      <w:r>
        <w:br w:type="textWrapping"/>
      </w:r>
      <w:r>
        <w:rPr>
          <w:rFonts w:hint="eastAsia"/>
        </w:rPr>
        <w:t>博落回主要病虫害防治的化学农药及使用方法</w:t>
      </w:r>
      <w:bookmarkEnd w:id="67"/>
      <w:bookmarkEnd w:id="68"/>
    </w:p>
    <w:tbl>
      <w:tblPr>
        <w:tblStyle w:val="26"/>
        <w:tblW w:w="795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91"/>
        <w:gridCol w:w="3039"/>
        <w:gridCol w:w="1440"/>
        <w:gridCol w:w="1165"/>
        <w:gridCol w:w="10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noWrap w:val="0"/>
            <w:vAlign w:val="center"/>
          </w:tcPr>
          <w:p>
            <w:pPr>
              <w:pStyle w:val="230"/>
              <w:keepNext w:val="0"/>
              <w:keepLines w:val="0"/>
              <w:pageBreakBefore w:val="0"/>
              <w:widowControl/>
              <w:kinsoku/>
              <w:wordWrap/>
              <w:overflowPunct/>
              <w:topLinePunct w:val="0"/>
              <w:autoSpaceDE w:val="0"/>
              <w:autoSpaceDN w:val="0"/>
              <w:bidi w:val="0"/>
              <w:adjustRightInd/>
              <w:snapToGrid/>
              <w:spacing w:before="156" w:after="156" w:line="240" w:lineRule="auto"/>
              <w:ind w:firstLine="0" w:firstLineChars="0"/>
              <w:jc w:val="center"/>
              <w:textAlignment w:val="auto"/>
              <w:rPr>
                <w:rFonts w:ascii="Times New Roman"/>
                <w:sz w:val="18"/>
                <w:szCs w:val="18"/>
              </w:rPr>
            </w:pPr>
            <w:r>
              <w:rPr>
                <w:rFonts w:ascii="Times New Roman"/>
                <w:sz w:val="18"/>
                <w:szCs w:val="18"/>
              </w:rPr>
              <w:t>防治对象</w:t>
            </w:r>
          </w:p>
        </w:tc>
        <w:tc>
          <w:tcPr>
            <w:tcW w:w="3039" w:type="dxa"/>
            <w:noWrap w:val="0"/>
            <w:vAlign w:val="center"/>
          </w:tcPr>
          <w:p>
            <w:pPr>
              <w:pStyle w:val="230"/>
              <w:keepNext w:val="0"/>
              <w:keepLines w:val="0"/>
              <w:pageBreakBefore w:val="0"/>
              <w:widowControl/>
              <w:kinsoku/>
              <w:wordWrap/>
              <w:overflowPunct/>
              <w:topLinePunct w:val="0"/>
              <w:autoSpaceDE w:val="0"/>
              <w:autoSpaceDN w:val="0"/>
              <w:bidi w:val="0"/>
              <w:adjustRightInd/>
              <w:snapToGrid/>
              <w:spacing w:before="156" w:after="156" w:line="240" w:lineRule="auto"/>
              <w:ind w:firstLine="0" w:firstLineChars="0"/>
              <w:jc w:val="center"/>
              <w:textAlignment w:val="auto"/>
              <w:rPr>
                <w:rFonts w:ascii="Times New Roman"/>
                <w:sz w:val="18"/>
                <w:szCs w:val="18"/>
              </w:rPr>
            </w:pPr>
            <w:r>
              <w:rPr>
                <w:rFonts w:ascii="Times New Roman"/>
                <w:sz w:val="18"/>
                <w:szCs w:val="18"/>
              </w:rPr>
              <w:t>推荐药剂</w:t>
            </w:r>
          </w:p>
        </w:tc>
        <w:tc>
          <w:tcPr>
            <w:tcW w:w="1440" w:type="dxa"/>
            <w:noWrap w:val="0"/>
            <w:vAlign w:val="center"/>
          </w:tcPr>
          <w:p>
            <w:pPr>
              <w:pStyle w:val="230"/>
              <w:keepNext w:val="0"/>
              <w:keepLines w:val="0"/>
              <w:pageBreakBefore w:val="0"/>
              <w:widowControl/>
              <w:kinsoku/>
              <w:wordWrap/>
              <w:overflowPunct/>
              <w:topLinePunct w:val="0"/>
              <w:autoSpaceDE w:val="0"/>
              <w:autoSpaceDN w:val="0"/>
              <w:bidi w:val="0"/>
              <w:adjustRightInd/>
              <w:snapToGrid/>
              <w:spacing w:before="156" w:after="156" w:line="240" w:lineRule="auto"/>
              <w:ind w:firstLine="0" w:firstLineChars="0"/>
              <w:jc w:val="center"/>
              <w:textAlignment w:val="auto"/>
              <w:rPr>
                <w:rFonts w:ascii="Times New Roman"/>
                <w:sz w:val="18"/>
                <w:szCs w:val="18"/>
              </w:rPr>
            </w:pPr>
            <w:r>
              <w:rPr>
                <w:rFonts w:ascii="Times New Roman"/>
                <w:sz w:val="18"/>
                <w:szCs w:val="18"/>
              </w:rPr>
              <w:t>最多施药次数</w:t>
            </w:r>
            <w:r>
              <w:rPr>
                <w:rFonts w:hint="eastAsia" w:ascii="Times New Roman"/>
                <w:sz w:val="18"/>
                <w:szCs w:val="18"/>
              </w:rPr>
              <w:t>/</w:t>
            </w:r>
            <w:r>
              <w:rPr>
                <w:rFonts w:ascii="Times New Roman"/>
                <w:sz w:val="18"/>
                <w:szCs w:val="18"/>
              </w:rPr>
              <w:t>生长季</w:t>
            </w:r>
          </w:p>
        </w:tc>
        <w:tc>
          <w:tcPr>
            <w:tcW w:w="1165" w:type="dxa"/>
            <w:noWrap w:val="0"/>
            <w:vAlign w:val="center"/>
          </w:tcPr>
          <w:p>
            <w:pPr>
              <w:pStyle w:val="230"/>
              <w:keepNext w:val="0"/>
              <w:keepLines w:val="0"/>
              <w:pageBreakBefore w:val="0"/>
              <w:widowControl/>
              <w:kinsoku/>
              <w:wordWrap/>
              <w:overflowPunct/>
              <w:topLinePunct w:val="0"/>
              <w:autoSpaceDE w:val="0"/>
              <w:autoSpaceDN w:val="0"/>
              <w:bidi w:val="0"/>
              <w:adjustRightInd/>
              <w:snapToGrid/>
              <w:spacing w:before="156" w:after="156" w:line="240" w:lineRule="auto"/>
              <w:ind w:firstLine="0" w:firstLineChars="0"/>
              <w:jc w:val="center"/>
              <w:textAlignment w:val="auto"/>
              <w:rPr>
                <w:rFonts w:ascii="Times New Roman"/>
                <w:sz w:val="18"/>
                <w:szCs w:val="18"/>
              </w:rPr>
            </w:pPr>
            <w:r>
              <w:t>施用方法</w:t>
            </w:r>
          </w:p>
        </w:tc>
        <w:tc>
          <w:tcPr>
            <w:tcW w:w="1018" w:type="dxa"/>
            <w:noWrap w:val="0"/>
            <w:vAlign w:val="center"/>
          </w:tcPr>
          <w:p>
            <w:pPr>
              <w:pStyle w:val="230"/>
              <w:keepNext w:val="0"/>
              <w:keepLines w:val="0"/>
              <w:pageBreakBefore w:val="0"/>
              <w:widowControl/>
              <w:kinsoku/>
              <w:wordWrap/>
              <w:overflowPunct/>
              <w:topLinePunct w:val="0"/>
              <w:autoSpaceDE w:val="0"/>
              <w:autoSpaceDN w:val="0"/>
              <w:bidi w:val="0"/>
              <w:adjustRightInd/>
              <w:snapToGrid/>
              <w:spacing w:before="156" w:after="156" w:line="240" w:lineRule="auto"/>
              <w:ind w:firstLine="0" w:firstLineChars="0"/>
              <w:jc w:val="center"/>
              <w:textAlignment w:val="auto"/>
              <w:rPr>
                <w:rFonts w:ascii="Times New Roman"/>
                <w:sz w:val="18"/>
                <w:szCs w:val="18"/>
              </w:rPr>
            </w:pPr>
            <w:r>
              <w:rPr>
                <w:rFonts w:ascii="Times New Roman"/>
                <w:sz w:val="18"/>
                <w:szCs w:val="18"/>
              </w:rPr>
              <w:t>安全间隔期（天）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 w:hRule="atLeast"/>
          <w:tblHeader/>
          <w:jc w:val="center"/>
        </w:trPr>
        <w:tc>
          <w:tcPr>
            <w:tcW w:w="1291" w:type="dxa"/>
            <w:vMerge w:val="restart"/>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茎腐病</w:t>
            </w: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硅唑咪鲜胺</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7-10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 w:hRule="atLeast"/>
          <w:tblHeader/>
          <w:jc w:val="center"/>
        </w:trPr>
        <w:tc>
          <w:tcPr>
            <w:tcW w:w="1291" w:type="dxa"/>
            <w:vMerge w:val="continue"/>
            <w:noWrap w:val="0"/>
            <w:vAlign w:val="center"/>
          </w:tcPr>
          <w:p>
            <w:pPr>
              <w:pStyle w:val="230"/>
              <w:spacing w:before="156" w:after="156" w:line="160" w:lineRule="exact"/>
              <w:ind w:firstLine="0" w:firstLineChars="0"/>
              <w:jc w:val="center"/>
              <w:rPr>
                <w:rFonts w:hint="eastAsia" w:ascii="Times New Roman"/>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腐霉利</w:t>
            </w:r>
          </w:p>
        </w:tc>
        <w:tc>
          <w:tcPr>
            <w:tcW w:w="1440"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7-10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 w:hRule="atLeast"/>
          <w:tblHeader/>
          <w:jc w:val="center"/>
        </w:trPr>
        <w:tc>
          <w:tcPr>
            <w:tcW w:w="1291" w:type="dxa"/>
            <w:vMerge w:val="continue"/>
            <w:noWrap w:val="0"/>
            <w:vAlign w:val="center"/>
          </w:tcPr>
          <w:p>
            <w:pPr>
              <w:pStyle w:val="230"/>
              <w:spacing w:before="156" w:after="156" w:line="160" w:lineRule="exact"/>
              <w:ind w:firstLine="0" w:firstLineChars="0"/>
              <w:jc w:val="center"/>
              <w:rPr>
                <w:rFonts w:hint="eastAsia" w:ascii="Times New Roman"/>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乙霉多菌灵</w:t>
            </w:r>
          </w:p>
        </w:tc>
        <w:tc>
          <w:tcPr>
            <w:tcW w:w="1440"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restart"/>
            <w:noWrap w:val="0"/>
            <w:vAlign w:val="center"/>
          </w:tcPr>
          <w:p>
            <w:pPr>
              <w:pStyle w:val="230"/>
              <w:spacing w:before="156" w:after="156" w:line="160" w:lineRule="exact"/>
              <w:ind w:firstLine="0" w:firstLineChars="0"/>
              <w:jc w:val="center"/>
              <w:rPr>
                <w:rFonts w:ascii="Times New Roman" w:hAnsi="等线"/>
                <w:sz w:val="18"/>
                <w:szCs w:val="18"/>
              </w:rPr>
            </w:pPr>
            <w:r>
              <w:rPr>
                <w:rFonts w:hint="eastAsia" w:ascii="Times New Roman" w:hAnsi="等线"/>
                <w:sz w:val="18"/>
                <w:szCs w:val="18"/>
              </w:rPr>
              <w:t>白绢病</w:t>
            </w: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苯甲丙环唑</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hAnsi="等线"/>
                <w:sz w:val="18"/>
                <w:szCs w:val="18"/>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hint="eastAsia"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阿米西达</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hint="default" w:ascii="Times New Roman" w:hAnsi="等线" w:eastAsia="宋体"/>
                <w:sz w:val="18"/>
                <w:szCs w:val="18"/>
                <w:lang w:val="en-US" w:eastAsia="zh-CN"/>
              </w:rPr>
            </w:pPr>
            <w:r>
              <w:rPr>
                <w:rFonts w:hint="eastAsia" w:ascii="Times New Roman" w:hAnsi="等线"/>
                <w:sz w:val="18"/>
                <w:szCs w:val="18"/>
                <w:lang w:val="en-US" w:eastAsia="zh-CN"/>
              </w:rPr>
              <w:t>10-15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hint="eastAsia"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代森锰锌</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hint="default" w:ascii="Times New Roman" w:hAnsi="等线" w:eastAsia="宋体"/>
                <w:sz w:val="18"/>
                <w:szCs w:val="18"/>
                <w:lang w:val="en-US" w:eastAsia="zh-CN"/>
              </w:rPr>
            </w:pPr>
            <w:r>
              <w:rPr>
                <w:rFonts w:hint="eastAsia" w:ascii="Times New Roman" w:hAnsi="等线"/>
                <w:sz w:val="18"/>
                <w:szCs w:val="18"/>
                <w:lang w:val="en-US" w:eastAsia="zh-CN"/>
              </w:rPr>
              <w:t>7-10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restart"/>
            <w:noWrap w:val="0"/>
            <w:vAlign w:val="center"/>
          </w:tcPr>
          <w:p>
            <w:pPr>
              <w:pStyle w:val="230"/>
              <w:spacing w:before="156" w:after="156" w:line="160" w:lineRule="exact"/>
              <w:ind w:firstLine="0" w:firstLineChars="0"/>
              <w:jc w:val="center"/>
              <w:rPr>
                <w:rFonts w:hint="eastAsia" w:ascii="Times New Roman" w:hAnsi="等线"/>
                <w:sz w:val="18"/>
                <w:szCs w:val="18"/>
              </w:rPr>
            </w:pPr>
            <w:r>
              <w:rPr>
                <w:rFonts w:hint="eastAsia" w:ascii="Times New Roman" w:hAnsi="等线"/>
                <w:sz w:val="18"/>
                <w:szCs w:val="18"/>
              </w:rPr>
              <w:t>根腐病</w:t>
            </w: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代森锰锌</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hint="default" w:ascii="Times New Roman" w:eastAsia="宋体"/>
                <w:sz w:val="18"/>
                <w:szCs w:val="18"/>
                <w:lang w:val="en-US" w:eastAsia="zh-CN"/>
              </w:rPr>
            </w:pPr>
            <w:r>
              <w:rPr>
                <w:rFonts w:hint="eastAsia" w:ascii="Times New Roman" w:hAnsi="等线"/>
                <w:sz w:val="18"/>
                <w:szCs w:val="18"/>
              </w:rPr>
              <w:t>7</w:t>
            </w:r>
            <w:r>
              <w:rPr>
                <w:rFonts w:hint="eastAsia" w:ascii="Times New Roman" w:hAnsi="等线"/>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hint="eastAsia"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腐霉利</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hint="default" w:ascii="Times New Roman" w:hAnsi="等线" w:eastAsia="宋体"/>
                <w:sz w:val="18"/>
                <w:szCs w:val="18"/>
                <w:lang w:val="en-US" w:eastAsia="zh-CN"/>
              </w:rPr>
            </w:pPr>
            <w:r>
              <w:rPr>
                <w:rFonts w:hint="eastAsia" w:ascii="Times New Roman" w:hAnsi="等线"/>
                <w:sz w:val="18"/>
                <w:szCs w:val="18"/>
                <w:lang w:val="en-US" w:eastAsia="zh-CN"/>
              </w:rPr>
              <w:t>7-10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noWrap w:val="0"/>
            <w:vAlign w:val="center"/>
          </w:tcPr>
          <w:p>
            <w:pPr>
              <w:pStyle w:val="230"/>
              <w:spacing w:before="156" w:after="156" w:line="160" w:lineRule="exact"/>
              <w:ind w:firstLine="0" w:firstLineChars="0"/>
              <w:jc w:val="center"/>
              <w:rPr>
                <w:rFonts w:ascii="Times New Roman" w:hAnsi="等线"/>
                <w:sz w:val="18"/>
                <w:szCs w:val="18"/>
              </w:rPr>
            </w:pPr>
            <w:r>
              <w:rPr>
                <w:rFonts w:hint="eastAsia" w:ascii="Times New Roman" w:hAnsi="等线"/>
                <w:sz w:val="18"/>
                <w:szCs w:val="18"/>
              </w:rPr>
              <w:t>叶斑</w:t>
            </w:r>
            <w:r>
              <w:rPr>
                <w:rFonts w:ascii="Times New Roman" w:hAnsi="等线"/>
                <w:sz w:val="18"/>
                <w:szCs w:val="18"/>
              </w:rPr>
              <w:t>病</w:t>
            </w: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大蒜素</w:t>
            </w:r>
            <w:r>
              <w:rPr>
                <w:rFonts w:hint="eastAsia" w:ascii="Times New Roman"/>
                <w:sz w:val="18"/>
                <w:szCs w:val="18"/>
              </w:rPr>
              <w:t>/乙蒜素</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3</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w:t>
            </w:r>
            <w:r>
              <w:rPr>
                <w:rFonts w:ascii="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noWrap w:val="0"/>
            <w:vAlign w:val="center"/>
          </w:tcPr>
          <w:p>
            <w:pPr>
              <w:pStyle w:val="230"/>
              <w:spacing w:before="156" w:after="156" w:line="160" w:lineRule="exact"/>
              <w:ind w:firstLine="0" w:firstLineChars="0"/>
              <w:jc w:val="center"/>
              <w:rPr>
                <w:rFonts w:ascii="Times New Roman" w:hAnsi="等线"/>
                <w:sz w:val="18"/>
                <w:szCs w:val="18"/>
              </w:rPr>
            </w:pPr>
            <w:r>
              <w:rPr>
                <w:rFonts w:hint="eastAsia" w:ascii="Times New Roman" w:hAnsi="等线"/>
                <w:sz w:val="18"/>
                <w:szCs w:val="18"/>
              </w:rPr>
              <w:t>炭疽病</w:t>
            </w: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嘧菌</w:t>
            </w:r>
            <w:r>
              <w:rPr>
                <w:rFonts w:hint="eastAsia" w:ascii="Times New Roman"/>
                <w:sz w:val="18"/>
                <w:szCs w:val="18"/>
              </w:rPr>
              <w:t>·</w:t>
            </w:r>
            <w:r>
              <w:rPr>
                <w:rFonts w:ascii="Times New Roman"/>
                <w:sz w:val="18"/>
                <w:szCs w:val="18"/>
              </w:rPr>
              <w:t>百菌清</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2</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restart"/>
            <w:noWrap w:val="0"/>
            <w:vAlign w:val="center"/>
          </w:tcPr>
          <w:p>
            <w:pPr>
              <w:pStyle w:val="230"/>
              <w:spacing w:before="156" w:after="156" w:line="160" w:lineRule="exact"/>
              <w:ind w:firstLine="0" w:firstLineChars="0"/>
              <w:jc w:val="center"/>
              <w:rPr>
                <w:rFonts w:hint="eastAsia" w:ascii="Times New Roman" w:hAnsi="等线"/>
                <w:sz w:val="18"/>
                <w:szCs w:val="18"/>
              </w:rPr>
            </w:pPr>
            <w:r>
              <w:rPr>
                <w:rFonts w:hint="eastAsia" w:ascii="Times New Roman" w:hAnsi="等线"/>
                <w:sz w:val="18"/>
                <w:szCs w:val="18"/>
              </w:rPr>
              <w:t>小地老虎</w:t>
            </w: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氯氟·毒死蜱</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hint="eastAsia"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辛硫磷乳油</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灌根</w:t>
            </w:r>
          </w:p>
        </w:tc>
        <w:tc>
          <w:tcPr>
            <w:tcW w:w="1018" w:type="dxa"/>
            <w:noWrap w:val="0"/>
            <w:vAlign w:val="center"/>
          </w:tcPr>
          <w:p>
            <w:pPr>
              <w:pStyle w:val="230"/>
              <w:spacing w:before="156" w:after="156" w:line="160" w:lineRule="exact"/>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restart"/>
            <w:noWrap w:val="0"/>
            <w:vAlign w:val="center"/>
          </w:tcPr>
          <w:p>
            <w:pPr>
              <w:pStyle w:val="230"/>
              <w:spacing w:before="156" w:after="156" w:line="160" w:lineRule="exact"/>
              <w:ind w:firstLine="0" w:firstLineChars="0"/>
              <w:jc w:val="center"/>
              <w:rPr>
                <w:rFonts w:ascii="Times New Roman"/>
                <w:sz w:val="18"/>
                <w:szCs w:val="18"/>
              </w:rPr>
            </w:pPr>
            <w:bookmarkStart w:id="69" w:name="_Hlk81749186"/>
            <w:r>
              <w:rPr>
                <w:rFonts w:hint="eastAsia" w:ascii="Times New Roman" w:hAnsi="等线"/>
                <w:sz w:val="18"/>
                <w:szCs w:val="18"/>
              </w:rPr>
              <w:t>菜青虫</w:t>
            </w: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苦参碱</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w:t>
            </w:r>
            <w:r>
              <w:rPr>
                <w:rFonts w:ascii="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ascii="Times New Roman"/>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阿维菌素</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虫螨·茚虫威</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阿维</w:t>
            </w:r>
            <w:r>
              <w:rPr>
                <w:rFonts w:hint="eastAsia" w:ascii="Times New Roman"/>
                <w:sz w:val="18"/>
                <w:szCs w:val="18"/>
              </w:rPr>
              <w:t>·</w:t>
            </w:r>
            <w:r>
              <w:rPr>
                <w:rFonts w:ascii="Times New Roman"/>
                <w:sz w:val="18"/>
                <w:szCs w:val="18"/>
              </w:rPr>
              <w:t>氟铃脲</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2</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ascii="Times New Roman"/>
                <w:sz w:val="18"/>
                <w:szCs w:val="18"/>
              </w:rPr>
              <w:t>甲氨基阿维菌素苯甲酸盐</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hint="eastAsia" w:ascii="Times New Roman" w:eastAsia="宋体"/>
                <w:sz w:val="18"/>
                <w:szCs w:val="18"/>
                <w:lang w:val="en-US" w:eastAsia="zh-CN"/>
              </w:rPr>
            </w:pPr>
            <w:r>
              <w:rPr>
                <w:rFonts w:hint="eastAsia" w:ascii="Times New Roman"/>
                <w:sz w:val="18"/>
                <w:szCs w:val="18"/>
                <w:lang w:val="en-US" w:eastAsia="zh-CN"/>
              </w:rPr>
              <w:t>7</w:t>
            </w:r>
          </w:p>
        </w:tc>
      </w:tr>
      <w:bookmarkEnd w:id="6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 w:hRule="atLeast"/>
          <w:tblHeader/>
          <w:jc w:val="center"/>
        </w:trPr>
        <w:tc>
          <w:tcPr>
            <w:tcW w:w="1291" w:type="dxa"/>
            <w:vMerge w:val="restart"/>
            <w:noWrap w:val="0"/>
            <w:vAlign w:val="center"/>
          </w:tcPr>
          <w:p>
            <w:pPr>
              <w:pStyle w:val="230"/>
              <w:spacing w:before="156" w:after="156" w:line="160" w:lineRule="exact"/>
              <w:ind w:firstLine="0" w:firstLineChars="0"/>
              <w:jc w:val="center"/>
              <w:rPr>
                <w:rFonts w:ascii="Times New Roman"/>
                <w:sz w:val="18"/>
                <w:szCs w:val="18"/>
              </w:rPr>
            </w:pPr>
          </w:p>
          <w:p>
            <w:pPr>
              <w:pStyle w:val="230"/>
              <w:keepNext w:val="0"/>
              <w:keepLines w:val="0"/>
              <w:pageBreakBefore w:val="0"/>
              <w:widowControl/>
              <w:kinsoku/>
              <w:wordWrap/>
              <w:overflowPunct/>
              <w:topLinePunct w:val="0"/>
              <w:autoSpaceDE w:val="0"/>
              <w:autoSpaceDN w:val="0"/>
              <w:bidi w:val="0"/>
              <w:adjustRightInd/>
              <w:snapToGrid/>
              <w:spacing w:before="156" w:after="156" w:line="360" w:lineRule="auto"/>
              <w:ind w:firstLine="0" w:firstLineChars="0"/>
              <w:jc w:val="center"/>
              <w:textAlignment w:val="auto"/>
              <w:rPr>
                <w:rFonts w:ascii="Times New Roman" w:hAnsi="等线"/>
                <w:sz w:val="18"/>
                <w:szCs w:val="18"/>
              </w:rPr>
            </w:pPr>
            <w:r>
              <w:rPr>
                <w:rFonts w:hint="eastAsia" w:ascii="Times New Roman"/>
                <w:sz w:val="18"/>
                <w:szCs w:val="18"/>
              </w:rPr>
              <w:t>甘蓝夜蛾</w:t>
            </w:r>
          </w:p>
        </w:tc>
        <w:tc>
          <w:tcPr>
            <w:tcW w:w="3039" w:type="dxa"/>
            <w:noWrap w:val="0"/>
            <w:vAlign w:val="center"/>
          </w:tcPr>
          <w:p>
            <w:pPr>
              <w:pStyle w:val="230"/>
              <w:spacing w:before="156" w:after="156" w:line="160" w:lineRule="exact"/>
              <w:ind w:firstLine="360"/>
              <w:jc w:val="center"/>
              <w:rPr>
                <w:rFonts w:ascii="Times New Roman"/>
                <w:sz w:val="18"/>
                <w:szCs w:val="18"/>
              </w:rPr>
            </w:pPr>
            <w:r>
              <w:rPr>
                <w:rFonts w:hint="eastAsia" w:ascii="Times New Roman"/>
                <w:sz w:val="18"/>
                <w:szCs w:val="18"/>
              </w:rPr>
              <w:t>溴氰虫酰胺</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3</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360"/>
              <w:jc w:val="both"/>
              <w:rPr>
                <w:rFonts w:ascii="Times New Roman"/>
                <w:sz w:val="18"/>
                <w:szCs w:val="18"/>
              </w:rPr>
            </w:pPr>
            <w:r>
              <w:rPr>
                <w:rFonts w:hint="eastAsia" w:ascii="Times New Roman"/>
                <w:sz w:val="18"/>
                <w:szCs w:val="18"/>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ascii="Times New Roman"/>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氟啶虫酰胺</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2</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ascii="Times New Roman"/>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阿维·氯苯酰</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2</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hAnsi="等线"/>
                <w:sz w:val="18"/>
                <w:szCs w:val="18"/>
              </w:rPr>
              <w:t>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 w:hRule="atLeast"/>
          <w:tblHeader/>
          <w:jc w:val="center"/>
        </w:trPr>
        <w:tc>
          <w:tcPr>
            <w:tcW w:w="1291" w:type="dxa"/>
            <w:vMerge w:val="continue"/>
            <w:noWrap w:val="0"/>
            <w:vAlign w:val="center"/>
          </w:tcPr>
          <w:p>
            <w:pPr>
              <w:pStyle w:val="230"/>
              <w:spacing w:before="156" w:after="156" w:line="160" w:lineRule="exact"/>
              <w:ind w:firstLine="0" w:firstLineChars="0"/>
              <w:jc w:val="center"/>
              <w:rPr>
                <w:rFonts w:ascii="Times New Roman" w:hAnsi="等线"/>
                <w:sz w:val="18"/>
                <w:szCs w:val="18"/>
              </w:rPr>
            </w:pPr>
          </w:p>
        </w:tc>
        <w:tc>
          <w:tcPr>
            <w:tcW w:w="3039" w:type="dxa"/>
            <w:noWrap w:val="0"/>
            <w:vAlign w:val="center"/>
          </w:tcPr>
          <w:p>
            <w:pPr>
              <w:pStyle w:val="230"/>
              <w:spacing w:before="156" w:after="156" w:line="160" w:lineRule="exact"/>
              <w:ind w:firstLine="0" w:firstLineChars="0"/>
              <w:jc w:val="center"/>
              <w:rPr>
                <w:rFonts w:ascii="Times New Roman"/>
                <w:sz w:val="18"/>
                <w:szCs w:val="18"/>
              </w:rPr>
            </w:pPr>
            <w:r>
              <w:rPr>
                <w:rFonts w:hint="eastAsia" w:ascii="Times New Roman"/>
                <w:sz w:val="18"/>
                <w:szCs w:val="18"/>
              </w:rPr>
              <w:t>甲维·虫螨腈</w:t>
            </w:r>
          </w:p>
        </w:tc>
        <w:tc>
          <w:tcPr>
            <w:tcW w:w="1440"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1</w:t>
            </w:r>
          </w:p>
        </w:tc>
        <w:tc>
          <w:tcPr>
            <w:tcW w:w="1165" w:type="dxa"/>
            <w:noWrap w:val="0"/>
            <w:vAlign w:val="center"/>
          </w:tcPr>
          <w:p>
            <w:pPr>
              <w:pStyle w:val="230"/>
              <w:spacing w:before="156" w:after="156" w:line="160" w:lineRule="exact"/>
              <w:ind w:firstLine="0" w:firstLineChars="0"/>
              <w:jc w:val="center"/>
              <w:rPr>
                <w:rFonts w:hint="eastAsia" w:ascii="Times New Roman"/>
                <w:sz w:val="18"/>
                <w:szCs w:val="18"/>
              </w:rPr>
            </w:pPr>
            <w:r>
              <w:rPr>
                <w:rFonts w:hint="eastAsia" w:ascii="Times New Roman"/>
                <w:sz w:val="18"/>
                <w:szCs w:val="18"/>
              </w:rPr>
              <w:t>叶面喷雾</w:t>
            </w:r>
          </w:p>
        </w:tc>
        <w:tc>
          <w:tcPr>
            <w:tcW w:w="1018" w:type="dxa"/>
            <w:noWrap w:val="0"/>
            <w:vAlign w:val="center"/>
          </w:tcPr>
          <w:p>
            <w:pPr>
              <w:pStyle w:val="230"/>
              <w:spacing w:before="156" w:after="156" w:line="160" w:lineRule="exact"/>
              <w:ind w:firstLine="0" w:firstLineChars="0"/>
              <w:jc w:val="center"/>
              <w:rPr>
                <w:rFonts w:ascii="Times New Roman" w:hAnsi="等线"/>
                <w:sz w:val="18"/>
                <w:szCs w:val="18"/>
              </w:rPr>
            </w:pPr>
            <w:r>
              <w:rPr>
                <w:rFonts w:hint="eastAsia" w:ascii="Times New Roman" w:hAnsi="等线"/>
                <w:sz w:val="18"/>
                <w:szCs w:val="18"/>
              </w:rPr>
              <w:t>2</w:t>
            </w:r>
            <w:r>
              <w:rPr>
                <w:rFonts w:ascii="Times New Roman" w:hAnsi="等线"/>
                <w:sz w:val="18"/>
                <w:szCs w:val="18"/>
              </w:rPr>
              <w:t>8</w:t>
            </w:r>
          </w:p>
        </w:tc>
      </w:tr>
    </w:tbl>
    <w:p>
      <w:pPr>
        <w:pStyle w:val="56"/>
      </w:pPr>
    </w:p>
    <w:p>
      <w:pPr>
        <w:pStyle w:val="56"/>
        <w:ind w:firstLine="420"/>
      </w:pPr>
    </w:p>
    <w:p>
      <w:pPr>
        <w:pStyle w:val="56"/>
        <w:ind w:firstLine="420"/>
      </w:pPr>
    </w:p>
    <w:p>
      <w:pPr>
        <w:pStyle w:val="56"/>
        <w:ind w:firstLine="420"/>
      </w:pPr>
    </w:p>
    <w:bookmarkEnd w:id="66"/>
    <w:p>
      <w:pPr>
        <w:pStyle w:val="76"/>
        <w:spacing w:before="78" w:after="156"/>
      </w:pPr>
      <w:bookmarkStart w:id="70" w:name="_Toc13690"/>
      <w:r>
        <w:br w:type="textWrapping"/>
      </w:r>
      <w:r>
        <w:rPr>
          <w:rFonts w:hint="eastAsia"/>
        </w:rPr>
        <w:t>（资料性）</w:t>
      </w:r>
      <w:r>
        <w:br w:type="textWrapping"/>
      </w:r>
      <w:r>
        <w:rPr>
          <w:rFonts w:hint="eastAsia"/>
        </w:rPr>
        <w:t>XX年</w:t>
      </w:r>
      <w:r>
        <w:rPr>
          <w:rFonts w:hint="eastAsia"/>
          <w:lang w:val="en-US" w:eastAsia="zh-CN"/>
        </w:rPr>
        <w:t>病虫害防控</w:t>
      </w:r>
      <w:r>
        <w:rPr>
          <w:rFonts w:hint="eastAsia"/>
        </w:rPr>
        <w:t>档案</w:t>
      </w:r>
      <w:bookmarkEnd w:id="70"/>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75"/>
        <w:gridCol w:w="1774"/>
        <w:gridCol w:w="1774"/>
        <w:gridCol w:w="1775"/>
        <w:gridCol w:w="17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1775" w:type="dxa"/>
            <w:tcBorders>
              <w:top w:val="single" w:color="auto" w:sz="8" w:space="0"/>
              <w:bottom w:val="single" w:color="auto" w:sz="8" w:space="0"/>
            </w:tcBorders>
            <w:vAlign w:val="center"/>
          </w:tcPr>
          <w:p>
            <w:pPr>
              <w:widowControl/>
              <w:autoSpaceDE w:val="0"/>
              <w:autoSpaceDN w:val="0"/>
              <w:jc w:val="center"/>
              <w:rPr>
                <w:rFonts w:ascii="宋体"/>
                <w:kern w:val="0"/>
                <w:sz w:val="18"/>
                <w:szCs w:val="20"/>
                <w:lang w:val="en-US" w:eastAsia="zh-CN"/>
              </w:rPr>
            </w:pPr>
            <w:r>
              <w:rPr>
                <w:rFonts w:hint="eastAsia" w:ascii="宋体"/>
                <w:kern w:val="0"/>
                <w:sz w:val="18"/>
                <w:szCs w:val="20"/>
                <w:lang w:val="en-US" w:eastAsia="zh-CN"/>
              </w:rPr>
              <w:t>日期</w:t>
            </w:r>
          </w:p>
        </w:tc>
        <w:tc>
          <w:tcPr>
            <w:tcW w:w="1774" w:type="dxa"/>
            <w:tcBorders>
              <w:top w:val="single" w:color="auto" w:sz="8" w:space="0"/>
              <w:bottom w:val="single" w:color="auto" w:sz="8" w:space="0"/>
            </w:tcBorders>
            <w:vAlign w:val="center"/>
          </w:tcPr>
          <w:p>
            <w:pPr>
              <w:widowControl/>
              <w:autoSpaceDE w:val="0"/>
              <w:autoSpaceDN w:val="0"/>
              <w:jc w:val="center"/>
              <w:rPr>
                <w:rFonts w:ascii="宋体"/>
                <w:kern w:val="0"/>
                <w:sz w:val="18"/>
                <w:szCs w:val="20"/>
                <w:lang w:val="en-US" w:eastAsia="zh-CN"/>
              </w:rPr>
            </w:pPr>
            <w:r>
              <w:rPr>
                <w:rFonts w:hint="eastAsia" w:ascii="宋体"/>
                <w:kern w:val="0"/>
                <w:sz w:val="18"/>
                <w:szCs w:val="20"/>
                <w:lang w:val="en-US" w:eastAsia="zh-CN"/>
              </w:rPr>
              <w:t>主要病虫害名称</w:t>
            </w:r>
          </w:p>
        </w:tc>
        <w:tc>
          <w:tcPr>
            <w:tcW w:w="1774" w:type="dxa"/>
            <w:tcBorders>
              <w:top w:val="single" w:color="auto" w:sz="8" w:space="0"/>
              <w:bottom w:val="single" w:color="auto" w:sz="8" w:space="0"/>
            </w:tcBorders>
            <w:vAlign w:val="center"/>
          </w:tcPr>
          <w:p>
            <w:pPr>
              <w:widowControl/>
              <w:autoSpaceDE w:val="0"/>
              <w:autoSpaceDN w:val="0"/>
              <w:jc w:val="center"/>
              <w:rPr>
                <w:rFonts w:ascii="宋体"/>
                <w:kern w:val="0"/>
                <w:sz w:val="18"/>
                <w:szCs w:val="20"/>
                <w:lang w:val="en-US" w:eastAsia="zh-CN"/>
              </w:rPr>
            </w:pPr>
            <w:r>
              <w:rPr>
                <w:rFonts w:hint="eastAsia" w:ascii="宋体"/>
                <w:kern w:val="0"/>
                <w:sz w:val="18"/>
                <w:szCs w:val="20"/>
                <w:lang w:val="en-US" w:eastAsia="zh-CN"/>
              </w:rPr>
              <w:t>发生危害情况</w:t>
            </w:r>
          </w:p>
        </w:tc>
        <w:tc>
          <w:tcPr>
            <w:tcW w:w="1775" w:type="dxa"/>
            <w:tcBorders>
              <w:top w:val="single" w:color="auto" w:sz="8" w:space="0"/>
              <w:bottom w:val="single" w:color="auto" w:sz="8" w:space="0"/>
            </w:tcBorders>
            <w:vAlign w:val="center"/>
          </w:tcPr>
          <w:p>
            <w:pPr>
              <w:widowControl/>
              <w:autoSpaceDE w:val="0"/>
              <w:autoSpaceDN w:val="0"/>
              <w:jc w:val="center"/>
              <w:rPr>
                <w:rFonts w:ascii="宋体"/>
                <w:kern w:val="0"/>
                <w:sz w:val="18"/>
                <w:szCs w:val="20"/>
                <w:lang w:val="en-US" w:eastAsia="zh-CN"/>
              </w:rPr>
            </w:pPr>
            <w:r>
              <w:rPr>
                <w:rFonts w:hint="eastAsia" w:ascii="宋体"/>
                <w:kern w:val="0"/>
                <w:sz w:val="18"/>
                <w:szCs w:val="20"/>
                <w:lang w:val="en-US" w:eastAsia="zh-CN"/>
              </w:rPr>
              <w:t>防控方法</w:t>
            </w:r>
          </w:p>
        </w:tc>
        <w:tc>
          <w:tcPr>
            <w:tcW w:w="1776" w:type="dxa"/>
            <w:tcBorders>
              <w:top w:val="single" w:color="auto" w:sz="8" w:space="0"/>
              <w:bottom w:val="single" w:color="auto" w:sz="8" w:space="0"/>
            </w:tcBorders>
            <w:vAlign w:val="center"/>
          </w:tcPr>
          <w:p>
            <w:pPr>
              <w:widowControl/>
              <w:autoSpaceDE w:val="0"/>
              <w:autoSpaceDN w:val="0"/>
              <w:jc w:val="center"/>
              <w:rPr>
                <w:rFonts w:ascii="宋体"/>
                <w:kern w:val="0"/>
                <w:sz w:val="18"/>
                <w:szCs w:val="20"/>
                <w:lang w:val="en-US" w:eastAsia="zh-CN"/>
              </w:rPr>
            </w:pPr>
            <w:r>
              <w:rPr>
                <w:rFonts w:hint="eastAsia" w:ascii="宋体"/>
                <w:kern w:val="0"/>
                <w:sz w:val="18"/>
                <w:szCs w:val="20"/>
                <w:lang w:val="en-US" w:eastAsia="zh-CN"/>
              </w:rPr>
              <w:t>防控效果（％）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75" w:type="dxa"/>
            <w:tcBorders>
              <w:top w:val="single" w:color="auto" w:sz="8" w:space="0"/>
            </w:tcBorders>
            <w:vAlign w:val="center"/>
          </w:tcPr>
          <w:p>
            <w:pPr>
              <w:widowControl/>
              <w:autoSpaceDE w:val="0"/>
              <w:autoSpaceDN w:val="0"/>
              <w:jc w:val="center"/>
              <w:rPr>
                <w:rFonts w:ascii="宋体"/>
                <w:kern w:val="0"/>
                <w:sz w:val="18"/>
                <w:szCs w:val="20"/>
                <w:lang w:val="en-US" w:eastAsia="zh-CN"/>
              </w:rPr>
            </w:pPr>
          </w:p>
        </w:tc>
        <w:tc>
          <w:tcPr>
            <w:tcW w:w="1774" w:type="dxa"/>
            <w:tcBorders>
              <w:top w:val="single" w:color="auto" w:sz="8" w:space="0"/>
            </w:tcBorders>
            <w:vAlign w:val="center"/>
          </w:tcPr>
          <w:p>
            <w:pPr>
              <w:widowControl/>
              <w:autoSpaceDE w:val="0"/>
              <w:autoSpaceDN w:val="0"/>
              <w:jc w:val="center"/>
              <w:rPr>
                <w:rFonts w:ascii="宋体"/>
                <w:kern w:val="0"/>
                <w:sz w:val="18"/>
                <w:szCs w:val="20"/>
                <w:lang w:val="en-US" w:eastAsia="zh-CN"/>
              </w:rPr>
            </w:pPr>
          </w:p>
        </w:tc>
        <w:tc>
          <w:tcPr>
            <w:tcW w:w="1774" w:type="dxa"/>
            <w:tcBorders>
              <w:top w:val="single" w:color="auto" w:sz="8" w:space="0"/>
            </w:tcBorders>
            <w:vAlign w:val="center"/>
          </w:tcPr>
          <w:p>
            <w:pPr>
              <w:widowControl/>
              <w:autoSpaceDE w:val="0"/>
              <w:autoSpaceDN w:val="0"/>
              <w:jc w:val="center"/>
              <w:rPr>
                <w:rFonts w:ascii="宋体"/>
                <w:kern w:val="0"/>
                <w:sz w:val="18"/>
                <w:szCs w:val="20"/>
                <w:lang w:val="en-US" w:eastAsia="zh-CN"/>
              </w:rPr>
            </w:pPr>
          </w:p>
        </w:tc>
        <w:tc>
          <w:tcPr>
            <w:tcW w:w="1775" w:type="dxa"/>
            <w:tcBorders>
              <w:top w:val="single" w:color="auto" w:sz="8" w:space="0"/>
            </w:tcBorders>
            <w:vAlign w:val="center"/>
          </w:tcPr>
          <w:p>
            <w:pPr>
              <w:widowControl/>
              <w:autoSpaceDE w:val="0"/>
              <w:autoSpaceDN w:val="0"/>
              <w:jc w:val="center"/>
              <w:rPr>
                <w:rFonts w:ascii="宋体"/>
                <w:kern w:val="0"/>
                <w:sz w:val="18"/>
                <w:szCs w:val="20"/>
                <w:lang w:val="en-US" w:eastAsia="zh-CN"/>
              </w:rPr>
            </w:pPr>
          </w:p>
        </w:tc>
        <w:tc>
          <w:tcPr>
            <w:tcW w:w="1776" w:type="dxa"/>
            <w:tcBorders>
              <w:top w:val="single" w:color="auto" w:sz="8" w:space="0"/>
            </w:tcBorders>
            <w:vAlign w:val="center"/>
          </w:tcPr>
          <w:p>
            <w:pPr>
              <w:widowControl/>
              <w:autoSpaceDE w:val="0"/>
              <w:autoSpaceDN w:val="0"/>
              <w:jc w:val="center"/>
              <w:rPr>
                <w:rFonts w:ascii="宋体"/>
                <w:kern w:val="0"/>
                <w:sz w:val="18"/>
                <w:szCs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75"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5" w:type="dxa"/>
            <w:vAlign w:val="center"/>
          </w:tcPr>
          <w:p>
            <w:pPr>
              <w:widowControl/>
              <w:autoSpaceDE w:val="0"/>
              <w:autoSpaceDN w:val="0"/>
              <w:jc w:val="center"/>
              <w:rPr>
                <w:rFonts w:ascii="宋体"/>
                <w:kern w:val="0"/>
                <w:sz w:val="18"/>
                <w:szCs w:val="20"/>
                <w:lang w:val="en-US" w:eastAsia="zh-CN"/>
              </w:rPr>
            </w:pPr>
          </w:p>
        </w:tc>
        <w:tc>
          <w:tcPr>
            <w:tcW w:w="1776" w:type="dxa"/>
            <w:vAlign w:val="center"/>
          </w:tcPr>
          <w:p>
            <w:pPr>
              <w:widowControl/>
              <w:autoSpaceDE w:val="0"/>
              <w:autoSpaceDN w:val="0"/>
              <w:jc w:val="center"/>
              <w:rPr>
                <w:rFonts w:ascii="宋体"/>
                <w:kern w:val="0"/>
                <w:sz w:val="18"/>
                <w:szCs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1775"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5" w:type="dxa"/>
            <w:vAlign w:val="center"/>
          </w:tcPr>
          <w:p>
            <w:pPr>
              <w:widowControl/>
              <w:autoSpaceDE w:val="0"/>
              <w:autoSpaceDN w:val="0"/>
              <w:jc w:val="center"/>
              <w:rPr>
                <w:rFonts w:ascii="宋体"/>
                <w:kern w:val="0"/>
                <w:sz w:val="18"/>
                <w:szCs w:val="20"/>
                <w:lang w:val="en-US" w:eastAsia="zh-CN"/>
              </w:rPr>
            </w:pPr>
          </w:p>
        </w:tc>
        <w:tc>
          <w:tcPr>
            <w:tcW w:w="1776" w:type="dxa"/>
            <w:vAlign w:val="center"/>
          </w:tcPr>
          <w:p>
            <w:pPr>
              <w:widowControl/>
              <w:autoSpaceDE w:val="0"/>
              <w:autoSpaceDN w:val="0"/>
              <w:jc w:val="center"/>
              <w:rPr>
                <w:rFonts w:ascii="宋体"/>
                <w:kern w:val="0"/>
                <w:sz w:val="18"/>
                <w:szCs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75"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5" w:type="dxa"/>
            <w:vAlign w:val="center"/>
          </w:tcPr>
          <w:p>
            <w:pPr>
              <w:widowControl/>
              <w:autoSpaceDE w:val="0"/>
              <w:autoSpaceDN w:val="0"/>
              <w:jc w:val="center"/>
              <w:rPr>
                <w:rFonts w:ascii="宋体"/>
                <w:kern w:val="0"/>
                <w:sz w:val="18"/>
                <w:szCs w:val="20"/>
                <w:lang w:val="en-US" w:eastAsia="zh-CN"/>
              </w:rPr>
            </w:pPr>
          </w:p>
        </w:tc>
        <w:tc>
          <w:tcPr>
            <w:tcW w:w="1776" w:type="dxa"/>
            <w:vAlign w:val="center"/>
          </w:tcPr>
          <w:p>
            <w:pPr>
              <w:widowControl/>
              <w:autoSpaceDE w:val="0"/>
              <w:autoSpaceDN w:val="0"/>
              <w:jc w:val="center"/>
              <w:rPr>
                <w:rFonts w:ascii="宋体"/>
                <w:kern w:val="0"/>
                <w:sz w:val="18"/>
                <w:szCs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75"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5" w:type="dxa"/>
            <w:vAlign w:val="center"/>
          </w:tcPr>
          <w:p>
            <w:pPr>
              <w:widowControl/>
              <w:autoSpaceDE w:val="0"/>
              <w:autoSpaceDN w:val="0"/>
              <w:jc w:val="center"/>
              <w:rPr>
                <w:rFonts w:ascii="宋体"/>
                <w:kern w:val="0"/>
                <w:sz w:val="18"/>
                <w:szCs w:val="20"/>
                <w:lang w:val="en-US" w:eastAsia="zh-CN"/>
              </w:rPr>
            </w:pPr>
          </w:p>
        </w:tc>
        <w:tc>
          <w:tcPr>
            <w:tcW w:w="1776" w:type="dxa"/>
            <w:vAlign w:val="center"/>
          </w:tcPr>
          <w:p>
            <w:pPr>
              <w:widowControl/>
              <w:autoSpaceDE w:val="0"/>
              <w:autoSpaceDN w:val="0"/>
              <w:jc w:val="center"/>
              <w:rPr>
                <w:rFonts w:ascii="宋体"/>
                <w:kern w:val="0"/>
                <w:sz w:val="18"/>
                <w:szCs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75"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4" w:type="dxa"/>
            <w:vAlign w:val="center"/>
          </w:tcPr>
          <w:p>
            <w:pPr>
              <w:widowControl/>
              <w:autoSpaceDE w:val="0"/>
              <w:autoSpaceDN w:val="0"/>
              <w:jc w:val="center"/>
              <w:rPr>
                <w:rFonts w:ascii="宋体"/>
                <w:kern w:val="0"/>
                <w:sz w:val="18"/>
                <w:szCs w:val="20"/>
                <w:lang w:val="en-US" w:eastAsia="zh-CN"/>
              </w:rPr>
            </w:pPr>
          </w:p>
        </w:tc>
        <w:tc>
          <w:tcPr>
            <w:tcW w:w="1775" w:type="dxa"/>
            <w:vAlign w:val="center"/>
          </w:tcPr>
          <w:p>
            <w:pPr>
              <w:widowControl/>
              <w:autoSpaceDE w:val="0"/>
              <w:autoSpaceDN w:val="0"/>
              <w:jc w:val="center"/>
              <w:rPr>
                <w:rFonts w:ascii="宋体"/>
                <w:kern w:val="0"/>
                <w:sz w:val="18"/>
                <w:szCs w:val="20"/>
                <w:lang w:val="en-US" w:eastAsia="zh-CN"/>
              </w:rPr>
            </w:pPr>
          </w:p>
        </w:tc>
        <w:tc>
          <w:tcPr>
            <w:tcW w:w="1776" w:type="dxa"/>
            <w:vAlign w:val="center"/>
          </w:tcPr>
          <w:p>
            <w:pPr>
              <w:widowControl/>
              <w:autoSpaceDE w:val="0"/>
              <w:autoSpaceDN w:val="0"/>
              <w:jc w:val="center"/>
              <w:rPr>
                <w:rFonts w:ascii="宋体"/>
                <w:kern w:val="0"/>
                <w:sz w:val="18"/>
                <w:szCs w:val="20"/>
                <w:lang w:val="en-US" w:eastAsia="zh-CN"/>
              </w:rPr>
            </w:pPr>
          </w:p>
        </w:tc>
      </w:tr>
    </w:tbl>
    <w:p>
      <w:pPr>
        <w:pStyle w:val="56"/>
        <w:ind w:firstLine="420"/>
        <w:rPr>
          <w:rFonts w:hint="eastAsia"/>
        </w:rPr>
      </w:pP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504020202030204"/>
    <w:charset w:val="00"/>
    <w:family w:val="swiss"/>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XXXXX—2022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DB 43/T XXXXX—2022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1"/>
  <w:bordersDoNotSurroundFooter w:val="1"/>
  <w:attachedTemplate r:id="rId1"/>
  <w:documentProtection w:edit="forms"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2MWRiYTQzMjdkNzgzYmNmYjE0NDVjYzlhY2VjNmMifQ=="/>
  </w:docVars>
  <w:rsids>
    <w:rsidRoot w:val="001868C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3A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0495B"/>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26A"/>
    <w:rsid w:val="001868CA"/>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D7B"/>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75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6A0"/>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C1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A5C"/>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9B0"/>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F7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5CE"/>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5C2778"/>
    <w:rsid w:val="07D01B5E"/>
    <w:rsid w:val="0E20440B"/>
    <w:rsid w:val="135D4BEE"/>
    <w:rsid w:val="1AB641D2"/>
    <w:rsid w:val="1F111D57"/>
    <w:rsid w:val="229A433B"/>
    <w:rsid w:val="2302130E"/>
    <w:rsid w:val="26212394"/>
    <w:rsid w:val="27E62DC8"/>
    <w:rsid w:val="28B53499"/>
    <w:rsid w:val="311A098E"/>
    <w:rsid w:val="38C4554A"/>
    <w:rsid w:val="3B840119"/>
    <w:rsid w:val="3C6D032E"/>
    <w:rsid w:val="4B554728"/>
    <w:rsid w:val="4C8F29A0"/>
    <w:rsid w:val="4F0867B5"/>
    <w:rsid w:val="68F738EC"/>
    <w:rsid w:val="6E5B77B6"/>
    <w:rsid w:val="6FDA03DB"/>
    <w:rsid w:val="766A322B"/>
    <w:rsid w:val="7B227A3D"/>
    <w:rsid w:val="7D8E74CD"/>
    <w:rsid w:val="7E575B6A"/>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6DB2F3161CC4F82B23385BF303F09B1"/>
        <w:style w:val=""/>
        <w:category>
          <w:name w:val="常规"/>
          <w:gallery w:val="placeholder"/>
        </w:category>
        <w:types>
          <w:type w:val="bbPlcHdr"/>
        </w:types>
        <w:behaviors>
          <w:behavior w:val="content"/>
        </w:behaviors>
        <w:description w:val=""/>
        <w:guid w:val="{6D06E09B-83F8-4060-9029-C343C317B835}"/>
      </w:docPartPr>
      <w:docPartBody>
        <w:p>
          <w:pPr>
            <w:pStyle w:val="5"/>
          </w:pPr>
          <w:r>
            <w:rPr>
              <w:rStyle w:val="4"/>
              <w:rFonts w:hint="eastAsia"/>
            </w:rPr>
            <w:t>单击或点击此处输入文字。</w:t>
          </w:r>
        </w:p>
      </w:docPartBody>
    </w:docPart>
    <w:docPart>
      <w:docPartPr>
        <w:name w:val="4157A88515D146CAABAE2B8C29707255"/>
        <w:style w:val=""/>
        <w:category>
          <w:name w:val="常规"/>
          <w:gallery w:val="placeholder"/>
        </w:category>
        <w:types>
          <w:type w:val="bbPlcHdr"/>
        </w:types>
        <w:behaviors>
          <w:behavior w:val="content"/>
        </w:behaviors>
        <w:description w:val=""/>
        <w:guid w:val="{40180009-0C5C-4925-9169-6288E925A7C5}"/>
      </w:docPartPr>
      <w:docPartBody>
        <w:p>
          <w:pPr>
            <w:pStyle w:val="6"/>
          </w:pPr>
          <w:r>
            <w:rPr>
              <w:rStyle w:val="4"/>
              <w:rFonts w:hint="eastAsia"/>
            </w:rPr>
            <w:t>选择一项。</w:t>
          </w:r>
        </w:p>
      </w:docPartBody>
    </w:docPart>
    <w:docPart>
      <w:docPartPr>
        <w:name w:val="628B1770B0244B72BDD770AA3D238A5C"/>
        <w:style w:val=""/>
        <w:category>
          <w:name w:val="常规"/>
          <w:gallery w:val="placeholder"/>
        </w:category>
        <w:types>
          <w:type w:val="bbPlcHdr"/>
        </w:types>
        <w:behaviors>
          <w:behavior w:val="content"/>
        </w:behaviors>
        <w:description w:val=""/>
        <w:guid w:val="{B6EF134D-CC5A-4551-8FC7-9F43F4D0D5A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A4"/>
    <w:rsid w:val="00594BA4"/>
    <w:rsid w:val="006916E8"/>
    <w:rsid w:val="00BD2E8F"/>
    <w:rsid w:val="00FF6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6DB2F3161CC4F82B23385BF303F09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157A88515D146CAABAE2B8C2970725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28B1770B0244B72BDD770AA3D238A5C"/>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85155D-4F42-4816-88BE-F4EF71EAC3B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2318</Words>
  <Characters>2586</Characters>
  <Lines>30</Lines>
  <Paragraphs>8</Paragraphs>
  <TotalTime>0</TotalTime>
  <ScaleCrop>false</ScaleCrop>
  <LinksUpToDate>false</LinksUpToDate>
  <CharactersWithSpaces>2683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2022-07-26T02:36:00Z</dcterms:created>
  <dc:creator>rong</dc:creator>
  <cp:lastModifiedBy>小梦</cp:lastModifiedBy>
  <cp:lastPrinted>2020-08-30T10:00:00Z</cp:lastPrinted>
  <dcterms:modified xsi:type="dcterms:W3CDTF">2022-07-28T00:16:18Z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2052-11.1.0.11875</vt:lpwstr>
  </property>
  <property fmtid="{D5CDD505-2E9C-101B-9397-08002B2CF9AE}" pid="15" name="ICV">
    <vt:lpwstr>73A5F80ECA2946F59B8FF2C636058FC2</vt:lpwstr>
  </property>
</Properties>
</file>