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sz w:val="28"/>
          <w:szCs w:val="18"/>
        </w:rPr>
      </w:pPr>
    </w:p>
    <w:p>
      <w:pPr>
        <w:wordWrap w:val="0"/>
        <w:rPr>
          <w:rFonts w:ascii="黑体" w:hAnsi="黑体" w:eastAsia="黑体" w:cs="Arial"/>
          <w:sz w:val="44"/>
          <w:szCs w:val="44"/>
        </w:rPr>
      </w:pPr>
      <w:r>
        <w:rPr>
          <w:rFonts w:hint="eastAsia" w:ascii="黑体" w:hAnsi="黑体" w:eastAsia="黑体" w:cs="Arial"/>
          <w:sz w:val="44"/>
          <w:szCs w:val="44"/>
        </w:rPr>
        <w:t>湖    南    省    地    方    标    准</w:t>
      </w:r>
    </w:p>
    <w:p>
      <w:pPr>
        <w:rPr>
          <w:rFonts w:ascii="黑体" w:hAnsi="黑体" w:eastAsia="黑体" w:cs="Arial"/>
          <w:sz w:val="28"/>
          <w:szCs w:val="18"/>
        </w:rPr>
      </w:pPr>
      <w:r>
        <w:rPr>
          <w:rFonts w:hint="eastAsia" w:cs="Arial"/>
          <w:sz w:val="28"/>
          <w:szCs w:val="18"/>
        </w:rPr>
        <w:t xml:space="preserve">                                           </w:t>
      </w:r>
      <w:r>
        <w:rPr>
          <w:rFonts w:hint="eastAsia" w:ascii="黑体" w:hAnsi="黑体" w:eastAsia="黑体" w:cs="Arial"/>
          <w:sz w:val="28"/>
          <w:szCs w:val="18"/>
        </w:rPr>
        <w:t>DB</w:t>
      </w:r>
      <w:r>
        <w:rPr>
          <w:rFonts w:ascii="黑体" w:hAnsi="黑体" w:eastAsia="黑体" w:cs="Arial"/>
          <w:sz w:val="28"/>
          <w:szCs w:val="18"/>
        </w:rPr>
        <w:t>43</w:t>
      </w:r>
      <w:r>
        <w:rPr>
          <w:rFonts w:hint="eastAsia" w:ascii="黑体" w:hAnsi="黑体" w:eastAsia="黑体" w:cs="Arial"/>
          <w:sz w:val="28"/>
          <w:szCs w:val="18"/>
        </w:rPr>
        <w:t>/T  ****－2022</w:t>
      </w:r>
    </w:p>
    <w:p>
      <w:pPr>
        <w:rPr>
          <w:rFonts w:ascii="黑体" w:hAnsi="黑体" w:eastAsia="黑体" w:cs="Arial"/>
          <w:sz w:val="28"/>
          <w:szCs w:val="18"/>
        </w:rPr>
      </w:pPr>
      <w:r>
        <w:rPr>
          <w:b/>
          <w:bCs/>
          <w:sz w:val="20"/>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95250</wp:posOffset>
                </wp:positionV>
                <wp:extent cx="5943600" cy="0"/>
                <wp:effectExtent l="0" t="9525" r="0" b="13335"/>
                <wp:wrapNone/>
                <wp:docPr id="4" name="直线 5"/>
                <wp:cNvGraphicFramePr/>
                <a:graphic xmlns:a="http://schemas.openxmlformats.org/drawingml/2006/main">
                  <a:graphicData uri="http://schemas.microsoft.com/office/word/2010/wordprocessingShape">
                    <wps:wsp>
                      <wps:cNvCnPr/>
                      <wps:spPr>
                        <a:xfrm flipH="1">
                          <a:off x="0" y="0"/>
                          <a:ext cx="59436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直线 5" o:spid="_x0000_s1026" o:spt="20" style="position:absolute;left:0pt;flip:x;margin-left:-4.5pt;margin-top:7.5pt;height:0pt;width:468pt;z-index:251659264;mso-width-relative:page;mso-height-relative:page;" filled="f" stroked="t" coordsize="21600,21600" o:gfxdata="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DynQhn0wAAAAgB&#10;AAAPAAAAAAAAAAEAIAAAADgAAABkcnMvZG93bnJldi54bWxQSwECFAAUAAAACACHTuJABa9Qo9EB&#10;AACaAwAADgAAAAAAAAABACAAAAA4AQAAZHJzL2Uyb0RvYy54bWxQSwUGAAAAAAYABgBZAQAAewUA&#10;AAAA&#10;">
                <v:fill on="f" focussize="0,0"/>
                <v:stroke weight="1.5pt" color="#000000" joinstyle="round"/>
                <v:imagedata o:title=""/>
                <o:lock v:ext="edit" aspectratio="f"/>
              </v:line>
            </w:pict>
          </mc:Fallback>
        </mc:AlternateContent>
      </w:r>
    </w:p>
    <w:p>
      <w:pPr>
        <w:rPr>
          <w:rFonts w:cs="Arial"/>
          <w:sz w:val="30"/>
          <w:szCs w:val="18"/>
        </w:rPr>
      </w:pPr>
      <w:r>
        <w:rPr>
          <w:rFonts w:cs="Arial"/>
          <w:b/>
          <w:bCs/>
          <w:sz w:val="24"/>
          <w:szCs w:val="18"/>
        </w:rPr>
        <mc:AlternateContent>
          <mc:Choice Requires="wps">
            <w:drawing>
              <wp:anchor distT="0" distB="0" distL="114300" distR="114300" simplePos="0" relativeHeight="251661312" behindDoc="0" locked="1" layoutInCell="1" allowOverlap="1">
                <wp:simplePos x="0" y="0"/>
                <wp:positionH relativeFrom="margin">
                  <wp:posOffset>2525395</wp:posOffset>
                </wp:positionH>
                <wp:positionV relativeFrom="margin">
                  <wp:posOffset>-449580</wp:posOffset>
                </wp:positionV>
                <wp:extent cx="3175000" cy="720090"/>
                <wp:effectExtent l="0" t="0" r="10160" b="11430"/>
                <wp:wrapNone/>
                <wp:docPr id="7" name="文本框 6"/>
                <wp:cNvGraphicFramePr/>
                <a:graphic xmlns:a="http://schemas.openxmlformats.org/drawingml/2006/main">
                  <a:graphicData uri="http://schemas.microsoft.com/office/word/2010/wordprocessingShape">
                    <wps:wsp>
                      <wps:cNvSpPr/>
                      <wps:spPr>
                        <a:xfrm>
                          <a:off x="0" y="0"/>
                          <a:ext cx="3175000" cy="720090"/>
                        </a:xfrm>
                        <a:prstGeom prst="rect">
                          <a:avLst/>
                        </a:prstGeom>
                        <a:solidFill>
                          <a:srgbClr val="FFFFFF"/>
                        </a:solidFill>
                        <a:ln w="9525">
                          <a:noFill/>
                        </a:ln>
                        <a:effectLst/>
                      </wps:spPr>
                      <wps:txbx>
                        <w:txbxContent>
                          <w:p>
                            <w:pPr>
                              <w:pStyle w:val="19"/>
                            </w:pPr>
                            <w:r>
                              <w:t>DB43</w:t>
                            </w:r>
                          </w:p>
                        </w:txbxContent>
                      </wps:txbx>
                      <wps:bodyPr lIns="0" tIns="0" rIns="0" bIns="0" upright="1"/>
                    </wps:wsp>
                  </a:graphicData>
                </a:graphic>
              </wp:anchor>
            </w:drawing>
          </mc:Choice>
          <mc:Fallback>
            <w:pict>
              <v:rect id="文本框 6" o:spid="_x0000_s1026" o:spt="1" style="position:absolute;left:0pt;margin-left:198.85pt;margin-top:-35.4pt;height:56.7pt;width:250pt;mso-position-horizontal-relative:margin;mso-position-vertical-relative:margin;z-index:251661312;mso-width-relative:page;mso-height-relative:page;" fillcolor="#FFFFFF" filled="t" stroked="f" coordsize="21600,21600" o:gfxdata="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GeddNvWAAAACgEAAA8AAAAAAAAAAQAgAAAAOAAA&#10;AGRycy9kb3ducmV2LnhtbFBLAQIUABQAAAAIAIdO4kCkq+fiuwEAAFoDAAAOAAAAAAAAAAEAIAAA&#10;ADsBAABkcnMvZTJvRG9jLnhtbFBLBQYAAAAABgAGAFkBAABoBQAAAAA=&#10;">
                <v:fill on="t" focussize="0,0"/>
                <v:stroke on="f"/>
                <v:imagedata o:title=""/>
                <o:lock v:ext="edit" aspectratio="f"/>
                <v:textbox inset="0mm,0mm,0mm,0mm">
                  <w:txbxContent>
                    <w:p>
                      <w:pPr>
                        <w:pStyle w:val="19"/>
                      </w:pPr>
                      <w:r>
                        <w:t>DB43</w:t>
                      </w:r>
                    </w:p>
                  </w:txbxContent>
                </v:textbox>
                <w10:anchorlock/>
              </v:rect>
            </w:pict>
          </mc:Fallback>
        </mc:AlternateContent>
      </w:r>
    </w:p>
    <w:p>
      <w:pPr>
        <w:adjustRightInd w:val="0"/>
        <w:snapToGrid w:val="0"/>
        <w:rPr>
          <w:rFonts w:cs="Arial"/>
          <w:sz w:val="32"/>
          <w:szCs w:val="32"/>
        </w:rPr>
      </w:pPr>
    </w:p>
    <w:p>
      <w:pPr>
        <w:adjustRightInd w:val="0"/>
        <w:snapToGrid w:val="0"/>
        <w:rPr>
          <w:rFonts w:cs="Arial"/>
          <w:sz w:val="32"/>
          <w:szCs w:val="32"/>
        </w:rPr>
      </w:pPr>
    </w:p>
    <w:p>
      <w:pPr>
        <w:adjustRightInd w:val="0"/>
        <w:snapToGrid w:val="0"/>
        <w:rPr>
          <w:rFonts w:cs="Arial"/>
          <w:sz w:val="32"/>
          <w:szCs w:val="32"/>
        </w:rPr>
      </w:pPr>
    </w:p>
    <w:p>
      <w:pPr>
        <w:adjustRightInd w:val="0"/>
        <w:snapToGrid w:val="0"/>
        <w:rPr>
          <w:rFonts w:cs="Arial"/>
          <w:sz w:val="32"/>
          <w:szCs w:val="32"/>
        </w:rPr>
      </w:pPr>
    </w:p>
    <w:p>
      <w:pPr>
        <w:adjustRightInd w:val="0"/>
        <w:snapToGrid w:val="0"/>
        <w:rPr>
          <w:rFonts w:cs="Arial"/>
          <w:sz w:val="32"/>
          <w:szCs w:val="32"/>
        </w:rPr>
      </w:pPr>
    </w:p>
    <w:p>
      <w:pPr>
        <w:adjustRightInd w:val="0"/>
        <w:snapToGrid w:val="0"/>
        <w:rPr>
          <w:rFonts w:cs="Arial"/>
          <w:sz w:val="32"/>
          <w:szCs w:val="32"/>
        </w:rPr>
      </w:pPr>
    </w:p>
    <w:p>
      <w:pPr>
        <w:adjustRightInd w:val="0"/>
        <w:snapToGrid w:val="0"/>
        <w:rPr>
          <w:rFonts w:cs="Arial"/>
          <w:sz w:val="32"/>
          <w:szCs w:val="32"/>
        </w:rPr>
      </w:pPr>
    </w:p>
    <w:p>
      <w:pPr>
        <w:adjustRightInd w:val="0"/>
        <w:snapToGrid w:val="0"/>
        <w:jc w:val="center"/>
        <w:rPr>
          <w:rFonts w:ascii="Times New Roman" w:hAnsi="Times New Roman" w:eastAsia="黑体" w:cs="Times New Roman"/>
          <w:b/>
          <w:sz w:val="52"/>
          <w:szCs w:val="56"/>
        </w:rPr>
      </w:pPr>
      <w:r>
        <w:rPr>
          <w:rFonts w:hint="eastAsia" w:ascii="Times New Roman" w:hAnsi="Times New Roman" w:eastAsia="黑体" w:cs="Times New Roman"/>
          <w:b/>
          <w:sz w:val="52"/>
          <w:szCs w:val="56"/>
        </w:rPr>
        <w:t>湖南草山草坡育肥牛饲养管理技术规程</w:t>
      </w:r>
    </w:p>
    <w:p>
      <w:pPr>
        <w:adjustRightInd w:val="0"/>
        <w:snapToGrid w:val="0"/>
        <w:jc w:val="center"/>
        <w:rPr>
          <w:sz w:val="28"/>
          <w:szCs w:val="28"/>
        </w:rPr>
      </w:pPr>
      <w:r>
        <w:rPr>
          <w:rFonts w:hint="eastAsia" w:ascii="Times New Roman" w:hAnsi="Times New Roman" w:eastAsia="黑体" w:cs="Times New Roman"/>
          <w:bCs/>
          <w:szCs w:val="21"/>
        </w:rPr>
        <w:t>Technical regulations for the management of fattening cattle on grassland in Hunan Provice</w:t>
      </w: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jc w:val="center"/>
        <w:rPr>
          <w:sz w:val="28"/>
          <w:szCs w:val="28"/>
        </w:rPr>
      </w:pPr>
    </w:p>
    <w:p>
      <w:pPr>
        <w:adjustRightInd w:val="0"/>
        <w:snapToGrid w:val="0"/>
        <w:rPr>
          <w:rFonts w:cs="Arial"/>
          <w:b/>
          <w:bCs/>
          <w:sz w:val="28"/>
          <w:szCs w:val="18"/>
        </w:rPr>
      </w:pPr>
      <w:r>
        <w:rPr>
          <w:rFonts w:hint="eastAsia" w:cs="Arial"/>
          <w:b/>
          <w:bCs/>
          <w:sz w:val="28"/>
          <w:szCs w:val="18"/>
        </w:rPr>
        <w:t>2022-XX-发布                              2022-XX-实施</w:t>
      </w:r>
    </w:p>
    <w:p>
      <w:pPr>
        <w:adjustRightInd w:val="0"/>
        <w:snapToGrid w:val="0"/>
        <w:rPr>
          <w:rFonts w:cs="Arial"/>
          <w:sz w:val="24"/>
          <w:szCs w:val="18"/>
        </w:rPr>
      </w:pPr>
      <w:r>
        <w:rPr>
          <w:rFonts w:cs="Arial"/>
          <w:sz w:val="24"/>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191760" cy="635"/>
                <wp:effectExtent l="0" t="19050" r="5080" b="26035"/>
                <wp:wrapNone/>
                <wp:docPr id="3" name="直线 6"/>
                <wp:cNvGraphicFramePr/>
                <a:graphic xmlns:a="http://schemas.openxmlformats.org/drawingml/2006/main">
                  <a:graphicData uri="http://schemas.microsoft.com/office/word/2010/wordprocessingShape">
                    <wps:wsp>
                      <wps:cNvCnPr/>
                      <wps:spPr>
                        <a:xfrm>
                          <a:off x="0" y="0"/>
                          <a:ext cx="5943600" cy="0"/>
                        </a:xfrm>
                        <a:prstGeom prst="line">
                          <a:avLst/>
                        </a:prstGeom>
                        <a:ln w="38100" cap="flat" cmpd="sng">
                          <a:solidFill>
                            <a:srgbClr val="000000"/>
                          </a:solidFill>
                          <a:prstDash val="solid"/>
                          <a:headEnd type="none" w="med" len="med"/>
                          <a:tailEnd type="none" w="med" len="med"/>
                        </a:ln>
                        <a:effectLst/>
                      </wps:spPr>
                      <wps:bodyPr/>
                    </wps:wsp>
                  </a:graphicData>
                </a:graphic>
              </wp:anchor>
            </w:drawing>
          </mc:Choice>
          <mc:Fallback>
            <w:pict>
              <v:line id="直线 6" o:spid="_x0000_s1026" o:spt="20" style="position:absolute;left:0pt;margin-left:0pt;margin-top:0pt;height:0.05pt;width:408.8pt;z-index:251660288;mso-width-relative:page;mso-height-relative:page;" filled="f" stroked="t" coordsize="21600,21600" o:gfxdata="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AQgyovzwAAAAIBAAAPAAAAAAAAAAEA&#10;IAAAADgAAABkcnMvZG93bnJldi54bWxQSwECFAAUAAAACACHTuJAEirx98kBAACQAwAADgAAAAAA&#10;AAABACAAAAA0AQAAZHJzL2Uyb0RvYy54bWxQSwUGAAAAAAYABgBZAQAAbwUAAAAA&#10;">
                <v:fill on="f" focussize="0,0"/>
                <v:stroke weight="3pt" color="#000000" joinstyle="round"/>
                <v:imagedata o:title=""/>
                <o:lock v:ext="edit" aspectratio="f"/>
              </v:line>
            </w:pict>
          </mc:Fallback>
        </mc:AlternateContent>
      </w:r>
    </w:p>
    <w:p>
      <w:pPr>
        <w:adjustRightInd w:val="0"/>
        <w:snapToGrid w:val="0"/>
        <w:jc w:val="center"/>
        <w:rPr>
          <w:rFonts w:cs="Arial"/>
          <w:b/>
          <w:bCs/>
          <w:sz w:val="24"/>
          <w:szCs w:val="18"/>
        </w:rPr>
      </w:pPr>
      <w:r>
        <w:rPr>
          <w:rFonts w:hint="eastAsia" w:cs="Arial"/>
          <w:b/>
          <w:bCs/>
          <w:sz w:val="44"/>
          <w:szCs w:val="18"/>
        </w:rPr>
        <w:t>湖南省市场监督管理局</w:t>
      </w:r>
      <w:r>
        <w:rPr>
          <w:rFonts w:hint="eastAsia" w:cs="Arial"/>
          <w:sz w:val="30"/>
          <w:szCs w:val="18"/>
        </w:rPr>
        <w:t>发布</w:t>
      </w:r>
    </w:p>
    <w:p>
      <w:pPr>
        <w:adjustRightInd w:val="0"/>
        <w:snapToGrid w:val="0"/>
        <w:jc w:val="center"/>
        <w:rPr>
          <w:sz w:val="28"/>
          <w:szCs w:val="28"/>
        </w:rPr>
        <w:sectPr>
          <w:footerReference r:id="rId6" w:type="first"/>
          <w:headerReference r:id="rId3" w:type="default"/>
          <w:footerReference r:id="rId4" w:type="default"/>
          <w:footerReference r:id="rId5" w:type="even"/>
          <w:pgSz w:w="11906" w:h="16838"/>
          <w:pgMar w:top="1440" w:right="1133" w:bottom="1440" w:left="1800" w:header="851" w:footer="992" w:gutter="0"/>
          <w:pgNumType w:fmt="upperRoman" w:start="1"/>
          <w:cols w:space="425" w:num="1"/>
          <w:titlePg/>
          <w:docGrid w:type="lines" w:linePitch="312" w:charSpace="0"/>
        </w:sectPr>
      </w:pPr>
    </w:p>
    <w:p>
      <w:pPr>
        <w:spacing w:line="360" w:lineRule="auto"/>
        <w:jc w:val="center"/>
        <w:rPr>
          <w:rFonts w:eastAsia="黑体"/>
          <w:sz w:val="30"/>
          <w:szCs w:val="30"/>
        </w:rPr>
      </w:pPr>
    </w:p>
    <w:p>
      <w:pPr>
        <w:pStyle w:val="15"/>
        <w:spacing w:after="468"/>
      </w:pPr>
      <w:r>
        <w:rPr>
          <w:rFonts w:hint="eastAsia"/>
          <w:spacing w:val="320"/>
        </w:rPr>
        <w:t>目</w:t>
      </w:r>
      <w:r>
        <w:rPr>
          <w:rFonts w:hint="eastAsia"/>
        </w:rPr>
        <w:t>次</w:t>
      </w:r>
    </w:p>
    <w:p>
      <w:pPr>
        <w:pStyle w:val="6"/>
        <w:tabs>
          <w:tab w:val="right" w:leader="dot" w:pos="9638"/>
        </w:tabs>
      </w:pPr>
      <w:r>
        <w:rPr>
          <w:rFonts w:hint="eastAsia"/>
        </w:rPr>
        <w:fldChar w:fldCharType="begin"/>
      </w:r>
      <w:r>
        <w:rPr>
          <w:rFonts w:hint="eastAsia"/>
        </w:rP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rPr>
          <w:rFonts w:hint="eastAsia"/>
        </w:rPr>
        <w:fldChar w:fldCharType="separate"/>
      </w:r>
      <w:r>
        <w:fldChar w:fldCharType="begin"/>
      </w:r>
      <w:r>
        <w:instrText xml:space="preserve"> HYPERLINK \l "_Toc10095" </w:instrText>
      </w:r>
      <w:r>
        <w:fldChar w:fldCharType="separate"/>
      </w:r>
      <w:r>
        <w:rPr>
          <w:rFonts w:hint="eastAsia" w:ascii="黑体" w:eastAsia="黑体"/>
        </w:rPr>
        <w:t xml:space="preserve">1 </w:t>
      </w:r>
      <w:r>
        <w:rPr>
          <w:rFonts w:hint="eastAsia"/>
        </w:rPr>
        <w:t>范围</w:t>
      </w:r>
      <w:r>
        <w:tab/>
      </w:r>
      <w:r>
        <w:fldChar w:fldCharType="begin"/>
      </w:r>
      <w:r>
        <w:instrText xml:space="preserve"> PAGEREF _Toc10095 \h </w:instrText>
      </w:r>
      <w:r>
        <w:fldChar w:fldCharType="separate"/>
      </w:r>
      <w:r>
        <w:t>1</w:t>
      </w:r>
      <w:r>
        <w:fldChar w:fldCharType="end"/>
      </w:r>
      <w:r>
        <w:fldChar w:fldCharType="end"/>
      </w:r>
    </w:p>
    <w:p>
      <w:pPr>
        <w:pStyle w:val="6"/>
        <w:tabs>
          <w:tab w:val="right" w:leader="dot" w:pos="9638"/>
        </w:tabs>
      </w:pPr>
      <w:r>
        <w:fldChar w:fldCharType="begin"/>
      </w:r>
      <w:r>
        <w:instrText xml:space="preserve"> HYPERLINK \l "_Toc16626"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_Toc16626 \h </w:instrText>
      </w:r>
      <w:r>
        <w:fldChar w:fldCharType="separate"/>
      </w:r>
      <w:r>
        <w:t>1</w:t>
      </w:r>
      <w:r>
        <w:fldChar w:fldCharType="end"/>
      </w:r>
      <w:r>
        <w:fldChar w:fldCharType="end"/>
      </w:r>
    </w:p>
    <w:p>
      <w:pPr>
        <w:pStyle w:val="6"/>
        <w:tabs>
          <w:tab w:val="right" w:leader="dot" w:pos="9638"/>
        </w:tabs>
      </w:pPr>
      <w:r>
        <w:fldChar w:fldCharType="begin"/>
      </w:r>
      <w:r>
        <w:instrText xml:space="preserve"> HYPERLINK \l "_Toc4466" </w:instrText>
      </w:r>
      <w:r>
        <w:fldChar w:fldCharType="separate"/>
      </w:r>
      <w:r>
        <w:rPr>
          <w:rFonts w:hint="eastAsia" w:ascii="黑体" w:eastAsia="黑体"/>
        </w:rPr>
        <w:t xml:space="preserve">3 </w:t>
      </w:r>
      <w:r>
        <w:rPr>
          <w:rFonts w:hint="eastAsia"/>
          <w:szCs w:val="21"/>
        </w:rPr>
        <w:t>术语和定义</w:t>
      </w:r>
      <w:r>
        <w:tab/>
      </w:r>
      <w:r>
        <w:fldChar w:fldCharType="begin"/>
      </w:r>
      <w:r>
        <w:instrText xml:space="preserve"> PAGEREF _Toc4466 \h </w:instrText>
      </w:r>
      <w:r>
        <w:fldChar w:fldCharType="separate"/>
      </w:r>
      <w:r>
        <w:t>1</w:t>
      </w:r>
      <w:r>
        <w:fldChar w:fldCharType="end"/>
      </w:r>
      <w:r>
        <w:fldChar w:fldCharType="end"/>
      </w:r>
    </w:p>
    <w:p>
      <w:pPr>
        <w:pStyle w:val="6"/>
        <w:tabs>
          <w:tab w:val="right" w:leader="dot" w:pos="9638"/>
        </w:tabs>
      </w:pPr>
      <w:r>
        <w:fldChar w:fldCharType="begin"/>
      </w:r>
      <w:r>
        <w:instrText xml:space="preserve"> HYPERLINK \l "_Toc18181" </w:instrText>
      </w:r>
      <w:r>
        <w:fldChar w:fldCharType="separate"/>
      </w:r>
      <w:r>
        <w:rPr>
          <w:rFonts w:hint="eastAsia" w:ascii="黑体" w:eastAsia="黑体"/>
          <w:szCs w:val="21"/>
        </w:rPr>
        <w:t xml:space="preserve">4 </w:t>
      </w:r>
      <w:r>
        <w:rPr>
          <w:rFonts w:hint="eastAsia" w:hAnsi="黑体"/>
          <w:szCs w:val="32"/>
        </w:rPr>
        <w:t>牛场环境与场地布局</w:t>
      </w:r>
      <w:r>
        <w:tab/>
      </w:r>
      <w:r>
        <w:fldChar w:fldCharType="begin"/>
      </w:r>
      <w:r>
        <w:instrText xml:space="preserve"> PAGEREF _Toc18181 \h </w:instrText>
      </w:r>
      <w:r>
        <w:fldChar w:fldCharType="separate"/>
      </w:r>
      <w:r>
        <w:t>2</w:t>
      </w:r>
      <w:r>
        <w:fldChar w:fldCharType="end"/>
      </w:r>
      <w:r>
        <w:fldChar w:fldCharType="end"/>
      </w:r>
    </w:p>
    <w:p>
      <w:pPr>
        <w:pStyle w:val="6"/>
        <w:tabs>
          <w:tab w:val="right" w:leader="dot" w:pos="9638"/>
        </w:tabs>
        <w:rPr>
          <w:rFonts w:hAnsi="黑体"/>
          <w:szCs w:val="32"/>
        </w:rPr>
      </w:pPr>
      <w:r>
        <w:fldChar w:fldCharType="begin"/>
      </w:r>
      <w:r>
        <w:instrText xml:space="preserve"> HYPERLINK \l "_Toc30342" </w:instrText>
      </w:r>
      <w:r>
        <w:fldChar w:fldCharType="separate"/>
      </w:r>
      <w:r>
        <w:rPr>
          <w:rFonts w:hint="eastAsia" w:hAnsi="黑体"/>
          <w:szCs w:val="32"/>
        </w:rPr>
        <w:t>5 品种选择</w:t>
      </w:r>
      <w:r>
        <w:rPr>
          <w:rFonts w:hint="eastAsia" w:hAnsi="黑体"/>
          <w:szCs w:val="32"/>
        </w:rPr>
        <w:tab/>
      </w:r>
      <w:r>
        <w:rPr>
          <w:rFonts w:hint="eastAsia" w:hAnsi="黑体"/>
          <w:szCs w:val="32"/>
        </w:rPr>
        <w:fldChar w:fldCharType="begin"/>
      </w:r>
      <w:r>
        <w:rPr>
          <w:rFonts w:hint="eastAsia" w:hAnsi="黑体"/>
          <w:szCs w:val="32"/>
        </w:rPr>
        <w:instrText xml:space="preserve"> PAGEREF _Toc30342 \h </w:instrText>
      </w:r>
      <w:r>
        <w:rPr>
          <w:rFonts w:hint="eastAsia" w:hAnsi="黑体"/>
          <w:szCs w:val="32"/>
        </w:rPr>
        <w:fldChar w:fldCharType="separate"/>
      </w:r>
      <w:r>
        <w:rPr>
          <w:rFonts w:hint="eastAsia" w:hAnsi="黑体"/>
          <w:szCs w:val="32"/>
        </w:rPr>
        <w:t>2</w:t>
      </w:r>
      <w:r>
        <w:rPr>
          <w:rFonts w:hint="eastAsia" w:hAnsi="黑体"/>
          <w:szCs w:val="32"/>
        </w:rPr>
        <w:fldChar w:fldCharType="end"/>
      </w:r>
      <w:r>
        <w:rPr>
          <w:rFonts w:hint="eastAsia" w:hAnsi="黑体"/>
          <w:szCs w:val="32"/>
        </w:rPr>
        <w:fldChar w:fldCharType="end"/>
      </w:r>
    </w:p>
    <w:p>
      <w:pPr>
        <w:pStyle w:val="6"/>
        <w:tabs>
          <w:tab w:val="right" w:leader="dot" w:pos="9638"/>
        </w:tabs>
      </w:pPr>
      <w:r>
        <w:fldChar w:fldCharType="begin"/>
      </w:r>
      <w:r>
        <w:instrText xml:space="preserve"> HYPERLINK \l "_Toc26379" </w:instrText>
      </w:r>
      <w:r>
        <w:fldChar w:fldCharType="separate"/>
      </w:r>
      <w:r>
        <w:rPr>
          <w:rFonts w:hint="eastAsia" w:hAnsi="黑体"/>
          <w:szCs w:val="32"/>
        </w:rPr>
        <w:t>6 放牧</w:t>
      </w:r>
      <w:r>
        <w:rPr>
          <w:rFonts w:hint="eastAsia" w:hAnsi="黑体"/>
          <w:szCs w:val="32"/>
        </w:rPr>
        <w:tab/>
      </w:r>
      <w:r>
        <w:rPr>
          <w:rFonts w:hint="eastAsia" w:hAnsi="黑体"/>
          <w:szCs w:val="32"/>
        </w:rPr>
        <w:fldChar w:fldCharType="begin"/>
      </w:r>
      <w:r>
        <w:rPr>
          <w:rFonts w:hint="eastAsia" w:hAnsi="黑体"/>
          <w:szCs w:val="32"/>
        </w:rPr>
        <w:instrText xml:space="preserve"> PAGEREF _Toc26379 \h </w:instrText>
      </w:r>
      <w:r>
        <w:rPr>
          <w:rFonts w:hint="eastAsia" w:hAnsi="黑体"/>
          <w:szCs w:val="32"/>
        </w:rPr>
        <w:fldChar w:fldCharType="separate"/>
      </w:r>
      <w:r>
        <w:rPr>
          <w:rFonts w:hint="eastAsia" w:hAnsi="黑体"/>
          <w:szCs w:val="32"/>
        </w:rPr>
        <w:t>3</w:t>
      </w:r>
      <w:r>
        <w:rPr>
          <w:rFonts w:hint="eastAsia" w:hAnsi="黑体"/>
          <w:szCs w:val="32"/>
        </w:rPr>
        <w:fldChar w:fldCharType="end"/>
      </w:r>
      <w:r>
        <w:rPr>
          <w:rFonts w:hint="eastAsia" w:hAnsi="黑体"/>
          <w:szCs w:val="32"/>
        </w:rPr>
        <w:fldChar w:fldCharType="end"/>
      </w:r>
    </w:p>
    <w:p>
      <w:pPr>
        <w:pStyle w:val="6"/>
        <w:tabs>
          <w:tab w:val="right" w:leader="dot" w:pos="9638"/>
        </w:tabs>
      </w:pPr>
      <w:r>
        <w:fldChar w:fldCharType="begin"/>
      </w:r>
      <w:r>
        <w:instrText xml:space="preserve"> HYPERLINK \l "_Toc2389" </w:instrText>
      </w:r>
      <w:r>
        <w:fldChar w:fldCharType="separate"/>
      </w:r>
      <w:r>
        <w:rPr>
          <w:rFonts w:hint="eastAsia" w:ascii="黑体" w:eastAsia="黑体"/>
          <w:szCs w:val="21"/>
        </w:rPr>
        <w:t xml:space="preserve">7 </w:t>
      </w:r>
      <w:r>
        <w:rPr>
          <w:rFonts w:hint="eastAsia"/>
          <w:szCs w:val="21"/>
        </w:rPr>
        <w:t>饲养管理</w:t>
      </w:r>
      <w:r>
        <w:tab/>
      </w:r>
      <w:r>
        <w:fldChar w:fldCharType="begin"/>
      </w:r>
      <w:r>
        <w:instrText xml:space="preserve"> PAGEREF _Toc2389 \h </w:instrText>
      </w:r>
      <w:r>
        <w:fldChar w:fldCharType="separate"/>
      </w:r>
      <w:r>
        <w:t>4</w:t>
      </w:r>
      <w:r>
        <w:fldChar w:fldCharType="end"/>
      </w:r>
      <w:r>
        <w:fldChar w:fldCharType="end"/>
      </w:r>
    </w:p>
    <w:p>
      <w:pPr>
        <w:pStyle w:val="6"/>
        <w:tabs>
          <w:tab w:val="right" w:leader="dot" w:pos="9638"/>
        </w:tabs>
      </w:pPr>
      <w:r>
        <w:fldChar w:fldCharType="begin"/>
      </w:r>
      <w:r>
        <w:instrText xml:space="preserve"> HYPERLINK \l "_Toc13338" </w:instrText>
      </w:r>
      <w:r>
        <w:fldChar w:fldCharType="separate"/>
      </w:r>
      <w:r>
        <w:rPr>
          <w:rFonts w:hint="eastAsia" w:ascii="黑体" w:eastAsia="黑体"/>
          <w:szCs w:val="21"/>
        </w:rPr>
        <w:t xml:space="preserve">8 </w:t>
      </w:r>
      <w:r>
        <w:rPr>
          <w:rFonts w:hint="eastAsia"/>
          <w:szCs w:val="21"/>
        </w:rPr>
        <w:t>消毒</w:t>
      </w:r>
      <w:r>
        <w:tab/>
      </w:r>
      <w:r>
        <w:fldChar w:fldCharType="begin"/>
      </w:r>
      <w:r>
        <w:instrText xml:space="preserve"> PAGEREF _Toc13338 \h </w:instrText>
      </w:r>
      <w:r>
        <w:fldChar w:fldCharType="separate"/>
      </w:r>
      <w:r>
        <w:t>5</w:t>
      </w:r>
      <w:r>
        <w:fldChar w:fldCharType="end"/>
      </w:r>
      <w:r>
        <w:fldChar w:fldCharType="end"/>
      </w:r>
    </w:p>
    <w:p>
      <w:pPr>
        <w:pStyle w:val="6"/>
        <w:tabs>
          <w:tab w:val="right" w:leader="dot" w:pos="9638"/>
        </w:tabs>
      </w:pPr>
      <w:r>
        <w:fldChar w:fldCharType="begin"/>
      </w:r>
      <w:r>
        <w:instrText xml:space="preserve"> HYPERLINK \l "_Toc30544" </w:instrText>
      </w:r>
      <w:r>
        <w:fldChar w:fldCharType="separate"/>
      </w:r>
      <w:r>
        <w:rPr>
          <w:rFonts w:hint="eastAsia" w:ascii="黑体" w:eastAsia="黑体"/>
          <w:szCs w:val="21"/>
        </w:rPr>
        <w:t xml:space="preserve">9 </w:t>
      </w:r>
      <w:r>
        <w:rPr>
          <w:rFonts w:hint="eastAsia"/>
          <w:szCs w:val="21"/>
        </w:rPr>
        <w:t>出栏和运输</w:t>
      </w:r>
      <w:r>
        <w:tab/>
      </w:r>
      <w:r>
        <w:fldChar w:fldCharType="begin"/>
      </w:r>
      <w:r>
        <w:instrText xml:space="preserve"> PAGEREF _Toc30544 \h </w:instrText>
      </w:r>
      <w:r>
        <w:fldChar w:fldCharType="separate"/>
      </w:r>
      <w:r>
        <w:t>6</w:t>
      </w:r>
      <w:r>
        <w:fldChar w:fldCharType="end"/>
      </w:r>
      <w:r>
        <w:fldChar w:fldCharType="end"/>
      </w:r>
    </w:p>
    <w:p>
      <w:pPr>
        <w:pStyle w:val="6"/>
        <w:tabs>
          <w:tab w:val="right" w:leader="dot" w:pos="9638"/>
        </w:tabs>
      </w:pPr>
      <w:r>
        <w:fldChar w:fldCharType="begin"/>
      </w:r>
      <w:r>
        <w:instrText xml:space="preserve"> HYPERLINK \l "_Toc14797" </w:instrText>
      </w:r>
      <w:r>
        <w:fldChar w:fldCharType="separate"/>
      </w:r>
      <w:r>
        <w:rPr>
          <w:rFonts w:hint="eastAsia" w:ascii="黑体" w:eastAsia="黑体"/>
          <w:szCs w:val="21"/>
        </w:rPr>
        <w:t xml:space="preserve">10 </w:t>
      </w:r>
      <w:r>
        <w:rPr>
          <w:rFonts w:hint="eastAsia"/>
          <w:szCs w:val="21"/>
        </w:rPr>
        <w:t>生产档案管理</w:t>
      </w:r>
      <w:r>
        <w:tab/>
      </w:r>
      <w:r>
        <w:fldChar w:fldCharType="begin"/>
      </w:r>
      <w:r>
        <w:instrText xml:space="preserve"> PAGEREF _Toc14797 \h </w:instrText>
      </w:r>
      <w:r>
        <w:fldChar w:fldCharType="separate"/>
      </w:r>
      <w:r>
        <w:t>6</w:t>
      </w:r>
      <w:r>
        <w:fldChar w:fldCharType="end"/>
      </w:r>
      <w:r>
        <w:fldChar w:fldCharType="end"/>
      </w:r>
    </w:p>
    <w:p>
      <w:pPr>
        <w:jc w:val="center"/>
        <w:rPr>
          <w:sz w:val="28"/>
          <w:szCs w:val="28"/>
        </w:rPr>
      </w:pPr>
      <w:r>
        <w:rPr>
          <w:rFonts w:hint="eastAsia"/>
        </w:rPr>
        <w:fldChar w:fldCharType="end"/>
      </w: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rFonts w:ascii="宋体" w:hAnsi="宋体" w:eastAsia="宋体"/>
          <w:b/>
          <w:sz w:val="32"/>
          <w:szCs w:val="32"/>
        </w:rPr>
      </w:pPr>
      <w:r>
        <w:rPr>
          <w:rFonts w:hint="eastAsia"/>
          <w:sz w:val="28"/>
          <w:szCs w:val="28"/>
        </w:rPr>
        <w:t>前    言</w:t>
      </w:r>
    </w:p>
    <w:p>
      <w:pPr>
        <w:pStyle w:val="16"/>
        <w:ind w:firstLine="420"/>
      </w:pPr>
      <w:r>
        <w:rPr>
          <w:rFonts w:hint="eastAsia"/>
        </w:rPr>
        <w:t>本文件按照GB/T 1.1—2020《标准化工作导则  第1部分：标准化文件的结构和起草规则》的规定起草。</w:t>
      </w:r>
    </w:p>
    <w:p>
      <w:pPr>
        <w:pStyle w:val="16"/>
        <w:ind w:firstLine="420"/>
      </w:pPr>
      <w:r>
        <w:rPr>
          <w:rFonts w:hint="eastAsia"/>
        </w:rPr>
        <w:t>请注意本文件的某些内容可能涉及专利，本文件的发布机构不承担识别专利的责任。</w:t>
      </w:r>
    </w:p>
    <w:p>
      <w:pPr>
        <w:pStyle w:val="16"/>
        <w:ind w:firstLine="420"/>
      </w:pPr>
      <w:r>
        <w:rPr>
          <w:rFonts w:hint="eastAsia"/>
        </w:rPr>
        <w:t>本文件由湖南省农业农村厅提出。</w:t>
      </w:r>
    </w:p>
    <w:p>
      <w:pPr>
        <w:pStyle w:val="16"/>
        <w:ind w:firstLine="420"/>
      </w:pPr>
      <w:r>
        <w:rPr>
          <w:rFonts w:hint="eastAsia"/>
        </w:rPr>
        <w:t>本文件由湖南省农业标准化技术委员会归口。</w:t>
      </w:r>
    </w:p>
    <w:p>
      <w:pPr>
        <w:pStyle w:val="16"/>
        <w:ind w:firstLine="420"/>
      </w:pPr>
      <w:r>
        <w:rPr>
          <w:rFonts w:hint="eastAsia"/>
        </w:rPr>
        <w:t>本文件起草单位：湖南农业大学动物科学技术学院、湖南省畜牧兽医研究所、湖南生物机电职业技术学院、湖南省新晃侗族自治县畜牧水产事务中心、湖南省花垣县农业农村局、湖南省新化县畜牧水产事务中心、高青黑牛产品加工及品质提升技术中心、湖南天华实业有限公司、湖南舜天恒禾农业科技发展有限公司、湖南艾特农牧科技发展有限公司、花垣县德惠肉牛养殖专业合作社。</w:t>
      </w:r>
    </w:p>
    <w:p>
      <w:pPr>
        <w:pStyle w:val="16"/>
        <w:ind w:firstLine="420"/>
        <w:sectPr>
          <w:headerReference r:id="rId7" w:type="default"/>
          <w:footerReference r:id="rId8" w:type="default"/>
          <w:pgSz w:w="11906" w:h="16838"/>
          <w:pgMar w:top="567" w:right="1134" w:bottom="1134" w:left="1134" w:header="1418" w:footer="1134" w:gutter="0"/>
          <w:pgNumType w:fmt="upperRoman" w:start="1"/>
          <w:cols w:space="720" w:num="1"/>
          <w:formProt w:val="0"/>
          <w:docGrid w:type="lines" w:linePitch="312" w:charSpace="0"/>
        </w:sectPr>
      </w:pPr>
      <w:r>
        <w:rPr>
          <w:rFonts w:hint="eastAsia"/>
        </w:rPr>
        <w:t>本文件主要起草人：陈东，武伟成，陈一峰，张珊，刘庆丰，田波，肖定福，祝贺，孙勇，邢艳霞，彭繁昌，龙亮，姚茂清，陈坤，郭立辉。</w:t>
      </w:r>
    </w:p>
    <w:p>
      <w:pPr>
        <w:widowControl/>
        <w:jc w:val="center"/>
        <w:rPr>
          <w:rFonts w:ascii="黑体" w:hAnsi="黑体" w:eastAsia="黑体"/>
          <w:sz w:val="32"/>
          <w:szCs w:val="32"/>
        </w:rPr>
      </w:pPr>
      <w:r>
        <w:rPr>
          <w:rFonts w:hint="eastAsia" w:ascii="黑体" w:hAnsi="黑体" w:eastAsia="黑体"/>
          <w:sz w:val="32"/>
          <w:szCs w:val="32"/>
        </w:rPr>
        <w:t>湖南草山草坡育肥牛饲养管理技术规程</w:t>
      </w:r>
    </w:p>
    <w:p>
      <w:pPr>
        <w:pStyle w:val="18"/>
        <w:spacing w:before="312" w:after="312"/>
      </w:pPr>
      <w:bookmarkStart w:id="0" w:name="_Toc26718930"/>
      <w:bookmarkStart w:id="1" w:name="_Toc10095"/>
      <w:bookmarkStart w:id="2" w:name="_Toc17233333"/>
      <w:bookmarkStart w:id="3" w:name="_Toc24884211"/>
      <w:bookmarkStart w:id="4" w:name="_Toc26986530"/>
      <w:bookmarkStart w:id="5" w:name="_Toc26648465"/>
      <w:bookmarkStart w:id="6" w:name="_Toc17233325"/>
      <w:bookmarkStart w:id="7" w:name="_Toc24884218"/>
      <w:bookmarkStart w:id="8" w:name="_Toc26986771"/>
      <w:r>
        <w:rPr>
          <w:rFonts w:hint="eastAsia"/>
        </w:rPr>
        <w:t>范围</w:t>
      </w:r>
      <w:bookmarkEnd w:id="0"/>
      <w:bookmarkEnd w:id="1"/>
      <w:bookmarkEnd w:id="2"/>
      <w:bookmarkEnd w:id="3"/>
      <w:bookmarkEnd w:id="4"/>
      <w:bookmarkEnd w:id="5"/>
      <w:bookmarkEnd w:id="6"/>
      <w:bookmarkEnd w:id="7"/>
      <w:bookmarkEnd w:id="8"/>
    </w:p>
    <w:p>
      <w:pPr>
        <w:ind w:firstLine="420" w:firstLineChars="200"/>
        <w:rPr>
          <w:rFonts w:ascii="宋体" w:hAnsi="仿宋_GB2312" w:cs="仿宋_GB2312"/>
          <w:szCs w:val="32"/>
        </w:rPr>
      </w:pPr>
      <w:bookmarkStart w:id="9" w:name="_Toc26648466"/>
      <w:bookmarkStart w:id="10" w:name="_Toc24884212"/>
      <w:bookmarkStart w:id="11" w:name="_Toc24884219"/>
      <w:bookmarkStart w:id="12" w:name="_Toc17233334"/>
      <w:bookmarkStart w:id="13" w:name="_Toc17233326"/>
      <w:r>
        <w:rPr>
          <w:rFonts w:hint="eastAsia" w:ascii="宋体" w:hAnsi="仿宋_GB2312" w:cs="仿宋_GB2312"/>
          <w:szCs w:val="32"/>
        </w:rPr>
        <w:t>本规程规定了湖南草山草坡育肥牛养殖过程中的术语和定义、牛场环境与场地布局、品种选择、投入品、放牧、饲养管理、疫病防治、出栏与运输、质量追溯、</w:t>
      </w:r>
      <w:r>
        <w:t>肉牛养殖生产废弃物处理与资源化利用、生产档案管理等的要求。</w:t>
      </w:r>
    </w:p>
    <w:p>
      <w:pPr>
        <w:pStyle w:val="16"/>
        <w:ind w:firstLine="420"/>
      </w:pPr>
      <w:r>
        <w:rPr>
          <w:rFonts w:hint="eastAsia" w:hAnsi="仿宋_GB2312" w:cs="仿宋_GB2312"/>
          <w:szCs w:val="32"/>
        </w:rPr>
        <w:t>本标准适用于湖南草山草坡育肥牛生产的饲养管理</w:t>
      </w:r>
      <w:r>
        <w:rPr>
          <w:rFonts w:hint="eastAsia"/>
        </w:rPr>
        <w:t>。</w:t>
      </w:r>
    </w:p>
    <w:p>
      <w:pPr>
        <w:pStyle w:val="18"/>
        <w:spacing w:before="312" w:after="312"/>
      </w:pPr>
      <w:bookmarkStart w:id="14" w:name="_Toc26986531"/>
      <w:bookmarkStart w:id="15" w:name="_Toc26718931"/>
      <w:bookmarkStart w:id="16" w:name="_Toc26986772"/>
      <w:bookmarkStart w:id="17" w:name="_Toc16626"/>
      <w:r>
        <w:rPr>
          <w:rFonts w:hint="eastAsia"/>
        </w:rPr>
        <w:t>规范性引用文件</w:t>
      </w:r>
      <w:bookmarkEnd w:id="9"/>
      <w:bookmarkEnd w:id="10"/>
      <w:bookmarkEnd w:id="11"/>
      <w:bookmarkEnd w:id="12"/>
      <w:bookmarkEnd w:id="13"/>
      <w:bookmarkEnd w:id="14"/>
      <w:bookmarkEnd w:id="15"/>
      <w:bookmarkEnd w:id="16"/>
      <w:bookmarkEnd w:id="17"/>
    </w:p>
    <w:sdt>
      <w:sdtPr>
        <w:rPr>
          <w:rFonts w:hint="eastAsia"/>
        </w:rPr>
        <w:id w:val="715848253"/>
        <w:placeholder>
          <w:docPart w:val="{00a6ac5d-022c-4eb0-8f38-ec4e0e83b73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ind w:firstLine="420" w:firstLineChars="200"/>
        <w:rPr>
          <w:rFonts w:ascii="宋体" w:hAnsi="仿宋_GB2312" w:cs="仿宋_GB2312"/>
          <w:szCs w:val="32"/>
        </w:rPr>
      </w:pPr>
      <w:r>
        <w:rPr>
          <w:rFonts w:hint="eastAsia" w:ascii="宋体" w:hAnsi="仿宋_GB2312" w:cs="仿宋_GB2312"/>
          <w:szCs w:val="32"/>
        </w:rPr>
        <w:t>GB 13078  饲料卫生标准</w:t>
      </w:r>
    </w:p>
    <w:p>
      <w:pPr>
        <w:ind w:firstLine="420" w:firstLineChars="200"/>
        <w:rPr>
          <w:rFonts w:ascii="宋体" w:hAnsi="仿宋_GB2312" w:cs="仿宋_GB2312"/>
          <w:szCs w:val="32"/>
        </w:rPr>
      </w:pPr>
      <w:r>
        <w:rPr>
          <w:rFonts w:hint="eastAsia" w:ascii="宋体" w:hAnsi="仿宋_GB2312" w:cs="仿宋_GB2312"/>
          <w:szCs w:val="32"/>
        </w:rPr>
        <w:t>NY/T 388  畜禽场环境质量标准</w:t>
      </w:r>
    </w:p>
    <w:p>
      <w:pPr>
        <w:ind w:firstLine="420" w:firstLineChars="200"/>
        <w:rPr>
          <w:rFonts w:ascii="宋体" w:hAnsi="仿宋_GB2312" w:cs="仿宋_GB2312"/>
          <w:szCs w:val="32"/>
        </w:rPr>
      </w:pPr>
      <w:bookmarkStart w:id="18" w:name="_Hlk21610038"/>
      <w:r>
        <w:rPr>
          <w:rFonts w:hint="eastAsia" w:ascii="宋体" w:hAnsi="仿宋_GB2312" w:cs="仿宋_GB2312"/>
          <w:szCs w:val="32"/>
        </w:rPr>
        <w:t>NY/T 393</w:t>
      </w:r>
      <w:bookmarkEnd w:id="18"/>
      <w:r>
        <w:rPr>
          <w:rFonts w:hint="eastAsia" w:ascii="宋体" w:hAnsi="仿宋_GB2312" w:cs="仿宋_GB2312"/>
          <w:szCs w:val="32"/>
        </w:rPr>
        <w:t xml:space="preserve">  绿色食品  农药使用准则</w:t>
      </w:r>
    </w:p>
    <w:p>
      <w:pPr>
        <w:ind w:firstLine="420" w:firstLineChars="200"/>
        <w:rPr>
          <w:rFonts w:ascii="宋体" w:hAnsi="仿宋_GB2312" w:cs="仿宋_GB2312"/>
          <w:szCs w:val="32"/>
        </w:rPr>
      </w:pPr>
      <w:r>
        <w:rPr>
          <w:rFonts w:hint="eastAsia" w:ascii="宋体" w:hAnsi="仿宋_GB2312" w:cs="仿宋_GB2312"/>
          <w:szCs w:val="32"/>
        </w:rPr>
        <w:t>NY/T 394  绿色食品  肥料使用准则</w:t>
      </w:r>
    </w:p>
    <w:p>
      <w:pPr>
        <w:ind w:firstLine="420" w:firstLineChars="200"/>
        <w:rPr>
          <w:rFonts w:ascii="宋体" w:hAnsi="仿宋_GB2312" w:cs="仿宋_GB2312"/>
          <w:szCs w:val="32"/>
        </w:rPr>
      </w:pPr>
      <w:r>
        <w:rPr>
          <w:rFonts w:hint="eastAsia" w:ascii="宋体" w:hAnsi="仿宋_GB2312" w:cs="仿宋_GB2312"/>
          <w:szCs w:val="32"/>
        </w:rPr>
        <w:t>NY/T 472  绿色食品  兽药使用准则</w:t>
      </w:r>
    </w:p>
    <w:p>
      <w:pPr>
        <w:ind w:firstLine="420" w:firstLineChars="200"/>
        <w:rPr>
          <w:rFonts w:ascii="宋体" w:hAnsi="仿宋_GB2312" w:cs="仿宋_GB2312"/>
          <w:szCs w:val="32"/>
        </w:rPr>
      </w:pPr>
      <w:r>
        <w:rPr>
          <w:rFonts w:hint="eastAsia" w:ascii="宋体" w:hAnsi="仿宋_GB2312" w:cs="仿宋_GB2312"/>
          <w:szCs w:val="32"/>
        </w:rPr>
        <w:t>NY/T 473  绿色食品  畜禽卫生防疫准则</w:t>
      </w:r>
    </w:p>
    <w:p>
      <w:pPr>
        <w:ind w:firstLine="420" w:firstLineChars="200"/>
        <w:rPr>
          <w:rFonts w:ascii="宋体" w:hAnsi="仿宋_GB2312" w:cs="仿宋_GB2312"/>
          <w:szCs w:val="32"/>
        </w:rPr>
      </w:pPr>
      <w:r>
        <w:rPr>
          <w:rFonts w:hint="eastAsia" w:ascii="宋体" w:hAnsi="仿宋_GB2312" w:cs="仿宋_GB2312"/>
          <w:szCs w:val="32"/>
        </w:rPr>
        <w:t>NY/T 815  肉牛饲养标准</w:t>
      </w:r>
    </w:p>
    <w:p>
      <w:pPr>
        <w:ind w:firstLine="420" w:firstLineChars="200"/>
        <w:rPr>
          <w:rFonts w:ascii="宋体" w:hAnsi="仿宋_GB2312" w:cs="仿宋_GB2312"/>
          <w:szCs w:val="32"/>
        </w:rPr>
      </w:pPr>
      <w:r>
        <w:rPr>
          <w:rFonts w:hint="eastAsia" w:ascii="宋体" w:hAnsi="仿宋_GB2312" w:cs="仿宋_GB2312"/>
          <w:szCs w:val="32"/>
        </w:rPr>
        <w:t>NY/T 1056  绿色食品  贮藏运输准则</w:t>
      </w:r>
    </w:p>
    <w:p>
      <w:pPr>
        <w:ind w:firstLine="420" w:firstLineChars="200"/>
        <w:rPr>
          <w:rFonts w:ascii="宋体" w:hAnsi="仿宋_GB2312" w:cs="仿宋_GB2312"/>
          <w:szCs w:val="32"/>
        </w:rPr>
      </w:pPr>
      <w:r>
        <w:rPr>
          <w:rFonts w:hint="eastAsia" w:ascii="宋体" w:hAnsi="仿宋_GB2312" w:cs="仿宋_GB2312"/>
          <w:szCs w:val="32"/>
        </w:rPr>
        <w:t>NY/T 1176  休牧和禁牧技术规程</w:t>
      </w:r>
    </w:p>
    <w:p>
      <w:pPr>
        <w:ind w:firstLine="420" w:firstLineChars="200"/>
        <w:rPr>
          <w:rFonts w:ascii="宋体" w:hAnsi="仿宋_GB2312" w:cs="仿宋_GB2312"/>
          <w:szCs w:val="32"/>
        </w:rPr>
      </w:pPr>
      <w:r>
        <w:rPr>
          <w:rFonts w:hint="eastAsia" w:ascii="宋体" w:hAnsi="仿宋_GB2312" w:cs="仿宋_GB2312"/>
          <w:szCs w:val="32"/>
        </w:rPr>
        <w:t>NY/T 1237  草原围栏建设技术规程</w:t>
      </w:r>
    </w:p>
    <w:p>
      <w:pPr>
        <w:ind w:firstLine="420" w:firstLineChars="200"/>
        <w:rPr>
          <w:rFonts w:ascii="宋体" w:hAnsi="仿宋_GB2312" w:cs="仿宋_GB2312"/>
          <w:szCs w:val="32"/>
        </w:rPr>
      </w:pPr>
      <w:r>
        <w:rPr>
          <w:rFonts w:hint="eastAsia" w:ascii="宋体" w:hAnsi="仿宋_GB2312" w:cs="仿宋_GB2312"/>
          <w:szCs w:val="32"/>
        </w:rPr>
        <w:t>NY/T 1335  牛人工授精技术规程</w:t>
      </w:r>
    </w:p>
    <w:p>
      <w:pPr>
        <w:ind w:firstLine="420" w:firstLineChars="200"/>
        <w:rPr>
          <w:rFonts w:ascii="宋体" w:hAnsi="仿宋_GB2312" w:cs="仿宋_GB2312"/>
          <w:szCs w:val="32"/>
        </w:rPr>
      </w:pPr>
      <w:r>
        <w:rPr>
          <w:rFonts w:hint="eastAsia" w:ascii="宋体" w:hAnsi="仿宋_GB2312" w:cs="仿宋_GB2312"/>
          <w:szCs w:val="32"/>
        </w:rPr>
        <w:t>NY/T 1339  肉牛育肥良好管理规范</w:t>
      </w:r>
    </w:p>
    <w:p>
      <w:pPr>
        <w:ind w:firstLine="420" w:firstLineChars="200"/>
        <w:rPr>
          <w:rFonts w:ascii="宋体" w:hAnsi="仿宋_GB2312" w:cs="仿宋_GB2312"/>
          <w:szCs w:val="32"/>
        </w:rPr>
      </w:pPr>
      <w:r>
        <w:rPr>
          <w:rFonts w:hint="eastAsia" w:ascii="宋体" w:hAnsi="仿宋_GB2312" w:cs="仿宋_GB2312"/>
          <w:szCs w:val="32"/>
        </w:rPr>
        <w:t>NY/T 1343  草原划区轮牧技术规程</w:t>
      </w:r>
    </w:p>
    <w:p>
      <w:pPr>
        <w:ind w:firstLine="420" w:firstLineChars="200"/>
        <w:rPr>
          <w:rFonts w:ascii="宋体" w:hAnsi="仿宋_GB2312" w:cs="仿宋_GB2312"/>
          <w:szCs w:val="32"/>
        </w:rPr>
      </w:pPr>
      <w:r>
        <w:rPr>
          <w:rFonts w:hint="eastAsia" w:ascii="宋体" w:hAnsi="仿宋_GB2312" w:cs="仿宋_GB2312"/>
          <w:szCs w:val="32"/>
        </w:rPr>
        <w:t>NY/T 5128  无公害食品 肉牛饲养管理准则</w:t>
      </w:r>
    </w:p>
    <w:p>
      <w:pPr>
        <w:ind w:firstLine="420" w:firstLineChars="200"/>
        <w:rPr>
          <w:rFonts w:ascii="宋体" w:hAnsi="仿宋_GB2312" w:cs="仿宋_GB2312"/>
          <w:szCs w:val="32"/>
        </w:rPr>
      </w:pPr>
      <w:r>
        <w:rPr>
          <w:rFonts w:hint="eastAsia" w:ascii="宋体" w:hAnsi="仿宋_GB2312" w:cs="仿宋_GB2312"/>
          <w:szCs w:val="32"/>
        </w:rPr>
        <w:t>NY 5027  无公害产品 畜禽饮用水水质</w:t>
      </w:r>
    </w:p>
    <w:p>
      <w:pPr>
        <w:ind w:firstLine="420" w:firstLineChars="200"/>
        <w:rPr>
          <w:rFonts w:ascii="宋体" w:hAnsi="仿宋_GB2312" w:cs="仿宋_GB2312"/>
          <w:szCs w:val="32"/>
        </w:rPr>
      </w:pPr>
      <w:r>
        <w:rPr>
          <w:rFonts w:hint="eastAsia" w:ascii="宋体" w:hAnsi="仿宋_GB2312" w:cs="仿宋_GB2312"/>
          <w:szCs w:val="32"/>
        </w:rPr>
        <w:t>NY 5032  无公害食品 畜禽饲料和饲料添加剂使用准则</w:t>
      </w:r>
    </w:p>
    <w:p>
      <w:pPr>
        <w:ind w:firstLine="420" w:firstLineChars="200"/>
        <w:rPr>
          <w:rFonts w:ascii="宋体" w:hAnsi="仿宋_GB2312" w:cs="仿宋_GB2312"/>
          <w:szCs w:val="32"/>
        </w:rPr>
      </w:pPr>
      <w:r>
        <w:rPr>
          <w:rFonts w:hint="eastAsia" w:ascii="宋体" w:hAnsi="仿宋_GB2312" w:cs="仿宋_GB2312"/>
          <w:szCs w:val="32"/>
        </w:rPr>
        <w:t>NY 5127  无公害食品 肉牛饲养饲料使用准则</w:t>
      </w:r>
    </w:p>
    <w:p>
      <w:pPr>
        <w:pStyle w:val="16"/>
        <w:ind w:firstLine="420"/>
      </w:pPr>
      <w:r>
        <w:rPr>
          <w:rFonts w:hint="eastAsia" w:hAnsi="仿宋_GB2312" w:cs="仿宋_GB2312"/>
          <w:szCs w:val="32"/>
        </w:rPr>
        <w:t>农业部公告第67号《畜禽标识和养殖档案管理办法</w:t>
      </w:r>
      <w:r>
        <w:rPr>
          <w:rFonts w:hint="eastAsia"/>
        </w:rPr>
        <w:t>》</w:t>
      </w:r>
    </w:p>
    <w:p>
      <w:pPr>
        <w:ind w:firstLine="420" w:firstLineChars="200"/>
        <w:rPr>
          <w:rFonts w:ascii="宋体" w:hAnsi="仿宋_GB2312" w:cs="仿宋_GB2312"/>
          <w:szCs w:val="32"/>
        </w:rPr>
      </w:pPr>
      <w:r>
        <w:rPr>
          <w:rFonts w:hint="eastAsia" w:ascii="宋体" w:hAnsi="仿宋_GB2312" w:cs="仿宋_GB2312"/>
          <w:szCs w:val="32"/>
        </w:rPr>
        <w:t>农业部公告第168号《饲料药物添加剂使用规范》</w:t>
      </w:r>
    </w:p>
    <w:p>
      <w:pPr>
        <w:ind w:firstLine="420" w:firstLineChars="200"/>
        <w:rPr>
          <w:rFonts w:ascii="宋体" w:hAnsi="仿宋_GB2312" w:cs="仿宋_GB2312"/>
          <w:szCs w:val="32"/>
        </w:rPr>
      </w:pPr>
      <w:r>
        <w:rPr>
          <w:rFonts w:hint="eastAsia" w:ascii="宋体" w:hAnsi="仿宋_GB2312" w:cs="仿宋_GB2312"/>
          <w:szCs w:val="32"/>
        </w:rPr>
        <w:t>农业部公告第1773号《饲料原料目录》</w:t>
      </w:r>
    </w:p>
    <w:p>
      <w:pPr>
        <w:ind w:firstLine="420" w:firstLineChars="200"/>
        <w:rPr>
          <w:rFonts w:ascii="宋体" w:hAnsi="仿宋_GB2312" w:cs="仿宋_GB2312"/>
          <w:szCs w:val="32"/>
        </w:rPr>
      </w:pPr>
      <w:r>
        <w:rPr>
          <w:rFonts w:hint="eastAsia" w:ascii="宋体" w:hAnsi="仿宋_GB2312" w:cs="仿宋_GB2312"/>
          <w:szCs w:val="32"/>
        </w:rPr>
        <w:t>农业部公告第2045号《饲料添加剂品种目录》</w:t>
      </w:r>
    </w:p>
    <w:p>
      <w:pPr>
        <w:pStyle w:val="18"/>
        <w:spacing w:before="312" w:after="312"/>
      </w:pPr>
      <w:bookmarkStart w:id="19" w:name="_Toc4466"/>
      <w:r>
        <w:rPr>
          <w:rFonts w:hint="eastAsia"/>
          <w:szCs w:val="21"/>
        </w:rPr>
        <w:t>术语和定义</w:t>
      </w:r>
      <w:bookmarkEnd w:id="19"/>
    </w:p>
    <w:sdt>
      <w:sdtPr>
        <w:rPr>
          <w:rFonts w:hint="eastAsia"/>
        </w:rPr>
        <w:id w:val="-1909835108"/>
        <w:placeholder>
          <w:docPart w:val="{fa5f155f-f809-4837-8675-df811a85e2b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16"/>
            <w:ind w:firstLine="420"/>
          </w:pPr>
          <w:bookmarkStart w:id="20" w:name="_Toc26986532"/>
          <w:bookmarkEnd w:id="20"/>
          <w:r>
            <w:rPr>
              <w:rFonts w:hint="eastAsia"/>
            </w:rPr>
            <w:t>下列术语和定义适用于本文件。</w:t>
          </w:r>
        </w:p>
      </w:sdtContent>
    </w:sdt>
    <w:p>
      <w:pPr>
        <w:widowControl/>
        <w:spacing w:before="312" w:beforeLines="100" w:after="100" w:afterAutospacing="1"/>
        <w:jc w:val="left"/>
        <w:rPr>
          <w:rFonts w:ascii="黑体" w:hAnsi="黑体" w:eastAsia="黑体"/>
        </w:rPr>
      </w:pPr>
      <w:r>
        <w:rPr>
          <w:rFonts w:hint="eastAsia" w:ascii="黑体" w:hAnsi="黑体" w:eastAsia="黑体"/>
        </w:rPr>
        <w:t>3.1 肉牛 Beef cattle</w:t>
      </w:r>
    </w:p>
    <w:p>
      <w:pPr>
        <w:ind w:firstLine="420" w:firstLineChars="200"/>
        <w:rPr>
          <w:rFonts w:ascii="宋体" w:hAnsi="仿宋_GB2312" w:cs="仿宋_GB2312"/>
          <w:szCs w:val="32"/>
        </w:rPr>
      </w:pPr>
      <w:r>
        <w:rPr>
          <w:rFonts w:hint="eastAsia" w:ascii="宋体" w:hAnsi="仿宋_GB2312" w:cs="仿宋_GB2312"/>
          <w:szCs w:val="32"/>
        </w:rPr>
        <w:t>在经济或体形结构上用于生产牛肉的品种（系）。</w:t>
      </w:r>
    </w:p>
    <w:p>
      <w:pPr>
        <w:widowControl/>
        <w:spacing w:before="312" w:beforeLines="100" w:after="100" w:afterAutospacing="1"/>
        <w:jc w:val="left"/>
        <w:rPr>
          <w:rFonts w:ascii="黑体" w:hAnsi="黑体" w:eastAsia="黑体"/>
        </w:rPr>
      </w:pPr>
      <w:r>
        <w:rPr>
          <w:rFonts w:hint="eastAsia" w:ascii="黑体" w:hAnsi="黑体" w:eastAsia="黑体"/>
        </w:rPr>
        <w:t>3.2 育肥牛</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育肥牛即</w:t>
      </w:r>
      <w:r>
        <w:fldChar w:fldCharType="begin"/>
      </w:r>
      <w:r>
        <w:instrText xml:space="preserve"> HYPERLINK "https://baike.baidu.com/item/%E8%82%89%E7%94%A8%E7%89%9B/3624781" \t "https://baike.baidu.com/item/%E8%82%B2%E8%82%A5%E7%89%9B/_blank" </w:instrText>
      </w:r>
      <w:r>
        <w:fldChar w:fldCharType="separate"/>
      </w:r>
      <w:r>
        <w:rPr>
          <w:rFonts w:hint="eastAsia" w:ascii="Times New Roman" w:eastAsiaTheme="minorEastAsia"/>
          <w:kern w:val="2"/>
          <w:sz w:val="21"/>
          <w:szCs w:val="32"/>
        </w:rPr>
        <w:t>肉用牛</w:t>
      </w:r>
      <w:r>
        <w:rPr>
          <w:rFonts w:hint="eastAsia" w:ascii="Times New Roman" w:eastAsiaTheme="minorEastAsia"/>
          <w:kern w:val="2"/>
          <w:sz w:val="21"/>
          <w:szCs w:val="32"/>
        </w:rPr>
        <w:fldChar w:fldCharType="end"/>
      </w:r>
      <w:r>
        <w:rPr>
          <w:rFonts w:hint="eastAsia" w:ascii="Times New Roman" w:eastAsiaTheme="minorEastAsia"/>
          <w:kern w:val="2"/>
          <w:sz w:val="21"/>
          <w:szCs w:val="32"/>
        </w:rPr>
        <w:t>，是一类以生产牛肉为主的</w:t>
      </w:r>
      <w:r>
        <w:fldChar w:fldCharType="begin"/>
      </w:r>
      <w:r>
        <w:instrText xml:space="preserve"> HYPERLINK "https://baike.baidu.com/item/%E7%89%9B/2620519" \t "https://baike.baidu.com/item/%E8%82%B2%E8%82%A5%E7%89%9B/_blank" </w:instrText>
      </w:r>
      <w:r>
        <w:fldChar w:fldCharType="separate"/>
      </w:r>
      <w:r>
        <w:rPr>
          <w:rFonts w:hint="eastAsia" w:ascii="Times New Roman" w:eastAsiaTheme="minorEastAsia"/>
          <w:kern w:val="2"/>
          <w:sz w:val="21"/>
          <w:szCs w:val="32"/>
        </w:rPr>
        <w:t>牛</w:t>
      </w:r>
      <w:r>
        <w:rPr>
          <w:rFonts w:hint="eastAsia" w:ascii="Times New Roman" w:eastAsiaTheme="minorEastAsia"/>
          <w:kern w:val="2"/>
          <w:sz w:val="21"/>
          <w:szCs w:val="32"/>
        </w:rPr>
        <w:fldChar w:fldCharType="end"/>
      </w:r>
      <w:r>
        <w:rPr>
          <w:rFonts w:hint="eastAsia" w:ascii="Times New Roman" w:eastAsiaTheme="minorEastAsia"/>
          <w:kern w:val="2"/>
          <w:sz w:val="21"/>
          <w:szCs w:val="32"/>
        </w:rPr>
        <w:t>。肉牛的特点是体躯丰满、增重快、饲料利用率高、产肉性能好，肉质口感好。</w:t>
      </w:r>
    </w:p>
    <w:p>
      <w:pPr>
        <w:pStyle w:val="18"/>
        <w:spacing w:before="312" w:after="312" w:line="400" w:lineRule="exact"/>
        <w:rPr>
          <w:szCs w:val="21"/>
        </w:rPr>
      </w:pPr>
      <w:bookmarkStart w:id="21" w:name="_Toc18181"/>
      <w:r>
        <w:rPr>
          <w:rFonts w:hint="eastAsia" w:hAnsi="黑体"/>
          <w:szCs w:val="32"/>
        </w:rPr>
        <w:t>牛场环境与场地布局</w:t>
      </w:r>
      <w:bookmarkEnd w:id="21"/>
    </w:p>
    <w:p>
      <w:pPr>
        <w:widowControl/>
        <w:spacing w:before="312" w:beforeLines="100" w:after="100" w:afterAutospacing="1" w:line="400" w:lineRule="exact"/>
        <w:jc w:val="left"/>
        <w:rPr>
          <w:rFonts w:ascii="黑体" w:hAnsi="黑体" w:eastAsia="黑体"/>
          <w:szCs w:val="21"/>
        </w:rPr>
      </w:pPr>
      <w:r>
        <w:rPr>
          <w:rFonts w:hint="eastAsia" w:ascii="黑体" w:hAnsi="黑体" w:eastAsia="黑体"/>
        </w:rPr>
        <w:t xml:space="preserve">4.1 </w:t>
      </w:r>
      <w:r>
        <w:rPr>
          <w:rFonts w:hint="eastAsia" w:ascii="黑体" w:hAnsi="黑体" w:eastAsia="黑体" w:cs="黑体"/>
          <w:szCs w:val="32"/>
        </w:rPr>
        <w:t>牛场选址</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牛场周围环境、空气质量除符合NY/T 388外，还应符合以下条件：</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4.1.1 育肥牛饲养基地</w:t>
      </w:r>
      <w:r>
        <w:rPr>
          <w:rFonts w:ascii="Times New Roman" w:eastAsiaTheme="minorEastAsia"/>
          <w:kern w:val="2"/>
          <w:sz w:val="21"/>
          <w:szCs w:val="32"/>
        </w:rPr>
        <w:t>要求有配套的供应粗饲料的草山草</w:t>
      </w:r>
      <w:r>
        <w:rPr>
          <w:rFonts w:hint="eastAsia" w:ascii="Times New Roman" w:eastAsiaTheme="minorEastAsia"/>
          <w:kern w:val="2"/>
          <w:sz w:val="21"/>
          <w:szCs w:val="32"/>
        </w:rPr>
        <w:t>坡</w:t>
      </w:r>
      <w:r>
        <w:rPr>
          <w:rFonts w:ascii="Times New Roman" w:eastAsiaTheme="minorEastAsia"/>
          <w:kern w:val="2"/>
          <w:sz w:val="21"/>
          <w:szCs w:val="32"/>
        </w:rPr>
        <w:t>资源</w:t>
      </w:r>
      <w:r>
        <w:rPr>
          <w:rFonts w:hint="eastAsia" w:ascii="Times New Roman" w:eastAsiaTheme="minorEastAsia"/>
          <w:kern w:val="2"/>
          <w:sz w:val="21"/>
          <w:szCs w:val="32"/>
        </w:rPr>
        <w:t>。</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ascii="Times New Roman" w:eastAsiaTheme="minorEastAsia"/>
          <w:kern w:val="2"/>
          <w:sz w:val="21"/>
          <w:szCs w:val="32"/>
        </w:rPr>
        <w:t>4.1.</w:t>
      </w:r>
      <w:r>
        <w:rPr>
          <w:rFonts w:hint="eastAsia" w:ascii="Times New Roman" w:eastAsiaTheme="minorEastAsia"/>
          <w:kern w:val="2"/>
          <w:sz w:val="21"/>
          <w:szCs w:val="32"/>
        </w:rPr>
        <w:t>2</w:t>
      </w:r>
      <w:r>
        <w:rPr>
          <w:rFonts w:ascii="Times New Roman" w:eastAsiaTheme="minorEastAsia"/>
          <w:kern w:val="2"/>
          <w:sz w:val="21"/>
          <w:szCs w:val="32"/>
        </w:rPr>
        <w:t xml:space="preserve"> 牛场周围1km以内不应有大型化工厂、矿石场等污染源。</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ascii="Times New Roman" w:eastAsiaTheme="minorEastAsia"/>
          <w:kern w:val="2"/>
          <w:sz w:val="21"/>
          <w:szCs w:val="32"/>
        </w:rPr>
        <w:t>4.1.</w:t>
      </w:r>
      <w:r>
        <w:rPr>
          <w:rFonts w:hint="eastAsia" w:ascii="Times New Roman" w:eastAsiaTheme="minorEastAsia"/>
          <w:kern w:val="2"/>
          <w:sz w:val="21"/>
          <w:szCs w:val="32"/>
        </w:rPr>
        <w:t>3</w:t>
      </w:r>
      <w:r>
        <w:rPr>
          <w:rFonts w:ascii="Times New Roman" w:eastAsiaTheme="minorEastAsia"/>
          <w:kern w:val="2"/>
          <w:sz w:val="21"/>
          <w:szCs w:val="32"/>
        </w:rPr>
        <w:t xml:space="preserve"> 牛场距离干线公路、村、镇居民点0.5km以上。</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ascii="Times New Roman" w:eastAsiaTheme="minorEastAsia"/>
          <w:kern w:val="2"/>
          <w:sz w:val="21"/>
          <w:szCs w:val="32"/>
        </w:rPr>
        <w:t>4.1.</w:t>
      </w:r>
      <w:r>
        <w:rPr>
          <w:rFonts w:hint="eastAsia" w:ascii="Times New Roman" w:eastAsiaTheme="minorEastAsia"/>
          <w:kern w:val="2"/>
          <w:sz w:val="21"/>
          <w:szCs w:val="32"/>
        </w:rPr>
        <w:t>4</w:t>
      </w:r>
      <w:r>
        <w:rPr>
          <w:rFonts w:ascii="Times New Roman" w:eastAsiaTheme="minorEastAsia"/>
          <w:kern w:val="2"/>
          <w:sz w:val="21"/>
          <w:szCs w:val="32"/>
        </w:rPr>
        <w:t xml:space="preserve"> 牛场不得建在饮用水源、河流、食品厂上游。</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ascii="Times New Roman" w:eastAsiaTheme="minorEastAsia"/>
          <w:kern w:val="2"/>
          <w:sz w:val="21"/>
          <w:szCs w:val="32"/>
        </w:rPr>
        <w:t>4.1.</w:t>
      </w:r>
      <w:r>
        <w:rPr>
          <w:rFonts w:hint="eastAsia" w:ascii="Times New Roman" w:eastAsiaTheme="minorEastAsia"/>
          <w:kern w:val="2"/>
          <w:sz w:val="21"/>
          <w:szCs w:val="32"/>
        </w:rPr>
        <w:t>5</w:t>
      </w:r>
      <w:r>
        <w:rPr>
          <w:rFonts w:ascii="Times New Roman" w:eastAsiaTheme="minorEastAsia"/>
          <w:kern w:val="2"/>
          <w:sz w:val="21"/>
          <w:szCs w:val="32"/>
        </w:rPr>
        <w:t xml:space="preserve"> 牛场周围有围墙（围墙高&gt;1.5m）或防疫沟（防疫沟宽&gt;2.0m），周围建立绿化带。</w:t>
      </w:r>
    </w:p>
    <w:p>
      <w:pPr>
        <w:autoSpaceDE w:val="0"/>
        <w:autoSpaceDN w:val="0"/>
        <w:spacing w:line="400" w:lineRule="atLeast"/>
        <w:ind w:firstLine="420" w:firstLineChars="200"/>
        <w:jc w:val="left"/>
        <w:rPr>
          <w:rFonts w:ascii="宋体" w:hAnsi="仿宋_GB2312" w:cs="仿宋_GB2312"/>
          <w:szCs w:val="32"/>
        </w:rPr>
      </w:pPr>
      <w:r>
        <w:rPr>
          <w:rFonts w:ascii="Times New Roman" w:hAnsi="Times New Roman" w:cs="Times New Roman"/>
          <w:szCs w:val="32"/>
        </w:rPr>
        <w:t>4.1.</w:t>
      </w:r>
      <w:r>
        <w:rPr>
          <w:rFonts w:hint="eastAsia" w:ascii="Times New Roman" w:hAnsi="Times New Roman" w:cs="Times New Roman"/>
          <w:szCs w:val="32"/>
        </w:rPr>
        <w:t>6</w:t>
      </w:r>
      <w:r>
        <w:rPr>
          <w:rFonts w:ascii="Times New Roman" w:hAnsi="Times New Roman" w:cs="Times New Roman"/>
          <w:szCs w:val="32"/>
        </w:rPr>
        <w:t xml:space="preserve"> 应考虑牛源</w:t>
      </w:r>
      <w:r>
        <w:rPr>
          <w:rFonts w:hint="eastAsia" w:ascii="Times New Roman" w:hAnsi="Times New Roman" w:cs="Times New Roman"/>
          <w:szCs w:val="32"/>
        </w:rPr>
        <w:t>，</w:t>
      </w:r>
      <w:r>
        <w:rPr>
          <w:rFonts w:ascii="Times New Roman" w:hAnsi="Times New Roman" w:cs="Times New Roman"/>
          <w:szCs w:val="32"/>
        </w:rPr>
        <w:t>谷物类精饲料</w:t>
      </w:r>
      <w:r>
        <w:rPr>
          <w:rFonts w:hint="eastAsia" w:ascii="Times New Roman" w:hAnsi="Times New Roman" w:cs="Times New Roman"/>
          <w:szCs w:val="32"/>
        </w:rPr>
        <w:t>和粗饲料</w:t>
      </w:r>
      <w:r>
        <w:rPr>
          <w:rFonts w:ascii="Times New Roman" w:hAnsi="Times New Roman" w:cs="Times New Roman"/>
          <w:szCs w:val="32"/>
        </w:rPr>
        <w:t>的供应。</w:t>
      </w:r>
    </w:p>
    <w:p>
      <w:pPr>
        <w:widowControl/>
        <w:spacing w:before="312" w:beforeLines="100" w:after="100" w:afterAutospacing="1"/>
        <w:jc w:val="left"/>
        <w:rPr>
          <w:rFonts w:ascii="黑体" w:hAnsi="黑体" w:eastAsia="黑体" w:cs="Times New Roman"/>
          <w:kern w:val="0"/>
          <w:szCs w:val="32"/>
        </w:rPr>
      </w:pPr>
      <w:r>
        <w:rPr>
          <w:rFonts w:hint="eastAsia" w:ascii="黑体" w:hAnsi="黑体" w:eastAsia="黑体" w:cs="Times New Roman"/>
          <w:kern w:val="0"/>
          <w:szCs w:val="32"/>
        </w:rPr>
        <w:t>4.2 牛舍环境</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ascii="Times New Roman" w:eastAsiaTheme="minorEastAsia"/>
          <w:kern w:val="2"/>
          <w:sz w:val="21"/>
          <w:szCs w:val="32"/>
        </w:rPr>
        <w:t>4.2.1 牛舍内的</w:t>
      </w:r>
      <w:r>
        <w:rPr>
          <w:rFonts w:hint="eastAsia" w:ascii="Times New Roman" w:eastAsiaTheme="minorEastAsia"/>
          <w:kern w:val="2"/>
          <w:sz w:val="21"/>
          <w:szCs w:val="32"/>
        </w:rPr>
        <w:t>适宜</w:t>
      </w:r>
      <w:r>
        <w:rPr>
          <w:rFonts w:ascii="Times New Roman" w:eastAsiaTheme="minorEastAsia"/>
          <w:kern w:val="2"/>
          <w:sz w:val="21"/>
          <w:szCs w:val="32"/>
        </w:rPr>
        <w:t>温度应控制在10～30℃之间。</w:t>
      </w:r>
    </w:p>
    <w:p>
      <w:pPr>
        <w:pStyle w:val="17"/>
        <w:tabs>
          <w:tab w:val="center" w:pos="4201"/>
          <w:tab w:val="right" w:leader="dot" w:pos="9298"/>
        </w:tabs>
        <w:spacing w:line="400" w:lineRule="atLeast"/>
        <w:ind w:firstLine="420"/>
        <w:rPr>
          <w:rFonts w:hAnsi="仿宋_GB2312" w:cs="仿宋_GB2312" w:eastAsiaTheme="minorEastAsia"/>
          <w:kern w:val="2"/>
          <w:sz w:val="21"/>
          <w:szCs w:val="32"/>
        </w:rPr>
      </w:pPr>
      <w:r>
        <w:rPr>
          <w:rFonts w:ascii="Times New Roman" w:eastAsiaTheme="minorEastAsia"/>
          <w:kern w:val="2"/>
          <w:sz w:val="21"/>
          <w:szCs w:val="32"/>
        </w:rPr>
        <w:t>4.2.2 牛舍内空气中有害有毒气体含量应符合NY/T 388的要求。</w:t>
      </w:r>
    </w:p>
    <w:p>
      <w:pPr>
        <w:widowControl/>
        <w:spacing w:before="312" w:beforeLines="100" w:after="100" w:afterAutospacing="1"/>
        <w:jc w:val="left"/>
        <w:rPr>
          <w:rFonts w:ascii="黑体" w:hAnsi="黑体" w:eastAsia="黑体"/>
        </w:rPr>
      </w:pPr>
      <w:bookmarkStart w:id="22" w:name="_Toc50751800"/>
      <w:r>
        <w:rPr>
          <w:rFonts w:hint="eastAsia" w:ascii="黑体" w:hAnsi="黑体" w:eastAsia="黑体" w:cs="Times New Roman"/>
          <w:kern w:val="0"/>
          <w:szCs w:val="32"/>
        </w:rPr>
        <w:t>4.3 场地布局</w:t>
      </w:r>
      <w:bookmarkEnd w:id="22"/>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4.3.1 牛</w:t>
      </w:r>
      <w:r>
        <w:rPr>
          <w:rFonts w:ascii="Times New Roman" w:eastAsiaTheme="minorEastAsia"/>
          <w:kern w:val="2"/>
          <w:sz w:val="21"/>
          <w:szCs w:val="32"/>
        </w:rPr>
        <w:t>舍</w:t>
      </w:r>
      <w:r>
        <w:rPr>
          <w:rFonts w:hint="eastAsia" w:ascii="Times New Roman" w:eastAsiaTheme="minorEastAsia"/>
          <w:kern w:val="2"/>
          <w:sz w:val="21"/>
          <w:szCs w:val="32"/>
        </w:rPr>
        <w:t>环境质量应符NY/T 388的要求。</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4.3.2 牛</w:t>
      </w:r>
      <w:r>
        <w:rPr>
          <w:rFonts w:ascii="Times New Roman" w:eastAsiaTheme="minorEastAsia"/>
          <w:kern w:val="2"/>
          <w:sz w:val="21"/>
          <w:szCs w:val="32"/>
        </w:rPr>
        <w:t>舍</w:t>
      </w:r>
      <w:r>
        <w:rPr>
          <w:rFonts w:hint="eastAsia" w:ascii="Times New Roman" w:eastAsiaTheme="minorEastAsia"/>
          <w:kern w:val="2"/>
          <w:sz w:val="21"/>
          <w:szCs w:val="32"/>
        </w:rPr>
        <w:t>布局应符合NY/T 5128要求。</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4.3.3 牛舍设计应符合NY/T 1339要求。每头存栏牛牛舍建筑面积6m</w:t>
      </w:r>
      <w:r>
        <w:rPr>
          <w:rFonts w:hint="eastAsia" w:ascii="Times New Roman" w:eastAsiaTheme="minorEastAsia"/>
          <w:kern w:val="2"/>
          <w:sz w:val="21"/>
          <w:szCs w:val="32"/>
          <w:vertAlign w:val="superscript"/>
        </w:rPr>
        <w:t>2</w:t>
      </w:r>
      <w:r>
        <w:rPr>
          <w:rFonts w:hint="eastAsia" w:ascii="Times New Roman" w:eastAsiaTheme="minorEastAsia"/>
          <w:kern w:val="2"/>
          <w:sz w:val="21"/>
          <w:szCs w:val="32"/>
        </w:rPr>
        <w:t>~8m</w:t>
      </w:r>
      <w:r>
        <w:rPr>
          <w:rFonts w:hint="eastAsia" w:ascii="Times New Roman" w:eastAsiaTheme="minorEastAsia"/>
          <w:kern w:val="2"/>
          <w:sz w:val="21"/>
          <w:szCs w:val="32"/>
          <w:vertAlign w:val="superscript"/>
        </w:rPr>
        <w:t>2</w:t>
      </w:r>
      <w:r>
        <w:rPr>
          <w:rFonts w:hint="eastAsia" w:ascii="Times New Roman" w:eastAsiaTheme="minorEastAsia"/>
          <w:kern w:val="2"/>
          <w:sz w:val="21"/>
          <w:szCs w:val="32"/>
        </w:rPr>
        <w:t>，其他附属面积2m</w:t>
      </w:r>
      <w:r>
        <w:rPr>
          <w:rFonts w:hint="eastAsia" w:ascii="Times New Roman" w:eastAsiaTheme="minorEastAsia"/>
          <w:kern w:val="2"/>
          <w:sz w:val="21"/>
          <w:szCs w:val="32"/>
          <w:vertAlign w:val="superscript"/>
        </w:rPr>
        <w:t>2</w:t>
      </w:r>
      <w:r>
        <w:rPr>
          <w:rFonts w:hint="eastAsia" w:ascii="Times New Roman" w:eastAsiaTheme="minorEastAsia"/>
          <w:kern w:val="2"/>
          <w:sz w:val="21"/>
          <w:szCs w:val="32"/>
        </w:rPr>
        <w:t>~3m</w:t>
      </w:r>
      <w:r>
        <w:rPr>
          <w:rFonts w:hint="eastAsia" w:ascii="Times New Roman" w:eastAsiaTheme="minorEastAsia"/>
          <w:kern w:val="2"/>
          <w:sz w:val="21"/>
          <w:szCs w:val="32"/>
          <w:vertAlign w:val="superscript"/>
        </w:rPr>
        <w:t>2</w:t>
      </w:r>
      <w:r>
        <w:rPr>
          <w:rFonts w:hint="eastAsia" w:ascii="Times New Roman" w:eastAsiaTheme="minorEastAsia"/>
          <w:kern w:val="2"/>
          <w:sz w:val="21"/>
          <w:szCs w:val="32"/>
        </w:rPr>
        <w:t>，具有饲喂、饮水与清粪设施设备。</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4.3.4 牛舍应建在地势高、背风向阳、空气流畅、干燥的地方。</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4.3.5 牛舍应具有保温隔热、防暑降温功能。</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4.3.6 牛舍地面和墙壁应便于清洗，并能耐酸、碱等消毒药液。</w:t>
      </w:r>
    </w:p>
    <w:p>
      <w:pPr>
        <w:pStyle w:val="18"/>
        <w:spacing w:before="312" w:after="312" w:line="400" w:lineRule="exact"/>
        <w:rPr>
          <w:rFonts w:hAnsi="黑体"/>
          <w:szCs w:val="32"/>
        </w:rPr>
      </w:pPr>
      <w:bookmarkStart w:id="23" w:name="_Toc30342"/>
      <w:r>
        <w:rPr>
          <w:rFonts w:hint="eastAsia" w:hAnsi="黑体"/>
          <w:szCs w:val="32"/>
        </w:rPr>
        <w:t>品种选择</w:t>
      </w:r>
      <w:bookmarkEnd w:id="23"/>
    </w:p>
    <w:p>
      <w:pPr>
        <w:widowControl/>
        <w:spacing w:before="312" w:beforeLines="100" w:after="100" w:afterAutospacing="1"/>
        <w:jc w:val="left"/>
        <w:rPr>
          <w:rFonts w:ascii="黑体" w:hAnsi="黑体" w:eastAsia="黑体" w:cs="Times New Roman"/>
          <w:kern w:val="0"/>
          <w:szCs w:val="32"/>
        </w:rPr>
      </w:pPr>
      <w:r>
        <w:rPr>
          <w:rFonts w:hint="eastAsia" w:ascii="黑体" w:hAnsi="黑体" w:eastAsia="黑体" w:cs="Times New Roman"/>
          <w:kern w:val="0"/>
          <w:szCs w:val="32"/>
        </w:rPr>
        <w:t>5.1 品种选用</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本地品种选购种牛应符合本品种标准的规定。杂交父本的选择，应根据当地的自然环境、育肥牛养殖模式以及消费习惯来进行选择，首先宜选择耐粗饲、适宜放牧、抗病力强的品种。适宜湖南草山草坡育肥牛养殖生产的父本品种有：西门塔尔牛、安格斯牛、利木赞牛、夏洛莱牛、德国黄牛、婆罗门牛、云岭牛等，欧洲大陆性品种体型大，与本地母牛配种选用头胎母牛，体型过小母牛，避免难产。</w:t>
      </w:r>
    </w:p>
    <w:p>
      <w:pPr>
        <w:widowControl/>
        <w:spacing w:before="312" w:beforeLines="100" w:after="100" w:afterAutospacing="1"/>
        <w:jc w:val="left"/>
        <w:rPr>
          <w:rFonts w:ascii="黑体" w:hAnsi="黑体" w:eastAsia="黑体" w:cs="Times New Roman"/>
          <w:kern w:val="0"/>
          <w:szCs w:val="32"/>
        </w:rPr>
      </w:pPr>
      <w:r>
        <w:rPr>
          <w:rFonts w:hint="eastAsia" w:ascii="黑体" w:hAnsi="黑体" w:eastAsia="黑体" w:cs="Times New Roman"/>
          <w:kern w:val="0"/>
          <w:szCs w:val="32"/>
        </w:rPr>
        <w:t>5.2 引种配种</w:t>
      </w:r>
    </w:p>
    <w:p>
      <w:pPr>
        <w:widowControl/>
        <w:spacing w:before="312" w:beforeLines="100" w:after="100" w:afterAutospacing="1"/>
        <w:jc w:val="left"/>
        <w:rPr>
          <w:rFonts w:ascii="黑体" w:hAnsi="黑体" w:eastAsia="黑体" w:cs="Times New Roman"/>
          <w:kern w:val="0"/>
          <w:szCs w:val="32"/>
        </w:rPr>
      </w:pPr>
      <w:r>
        <w:rPr>
          <w:rFonts w:hint="eastAsia" w:ascii="黑体" w:hAnsi="黑体" w:eastAsia="黑体" w:cs="Times New Roman"/>
          <w:kern w:val="0"/>
          <w:szCs w:val="32"/>
        </w:rPr>
        <w:t>5.2.1 引种</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应符合NY/T 473的要求，经当地动物防疫机构或动物卫生监督所检验检疫合格，并在隔离场观察45天后，方可用于养殖生产。</w:t>
      </w:r>
    </w:p>
    <w:p>
      <w:pPr>
        <w:widowControl/>
        <w:spacing w:before="312" w:beforeLines="100" w:after="100" w:afterAutospacing="1"/>
        <w:jc w:val="left"/>
        <w:rPr>
          <w:rFonts w:ascii="黑体" w:hAnsi="黑体" w:eastAsia="黑体" w:cs="Times New Roman"/>
          <w:kern w:val="0"/>
          <w:szCs w:val="32"/>
        </w:rPr>
      </w:pPr>
      <w:r>
        <w:rPr>
          <w:rFonts w:hint="eastAsia" w:ascii="黑体" w:hAnsi="黑体" w:eastAsia="黑体" w:cs="Times New Roman"/>
          <w:kern w:val="0"/>
          <w:szCs w:val="32"/>
        </w:rPr>
        <w:t>5.2.2 配种</w:t>
      </w:r>
    </w:p>
    <w:p>
      <w:pPr>
        <w:pStyle w:val="17"/>
        <w:tabs>
          <w:tab w:val="center" w:pos="4201"/>
          <w:tab w:val="right" w:leader="dot" w:pos="9298"/>
        </w:tabs>
        <w:spacing w:line="400" w:lineRule="atLeast"/>
        <w:ind w:firstLine="0" w:firstLineChars="0"/>
        <w:rPr>
          <w:rFonts w:ascii="Times New Roman" w:eastAsiaTheme="minorEastAsia"/>
          <w:kern w:val="2"/>
          <w:sz w:val="21"/>
          <w:szCs w:val="32"/>
        </w:rPr>
      </w:pPr>
      <w:r>
        <w:rPr>
          <w:rFonts w:hint="eastAsia" w:ascii="Times New Roman" w:eastAsiaTheme="minorEastAsia"/>
          <w:kern w:val="2"/>
          <w:sz w:val="21"/>
          <w:szCs w:val="32"/>
        </w:rPr>
        <w:t>5.2.2.1 初配年龄和体重</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种公牛满18月龄且体重达到成年体重的70%可用于采精，满24月龄可用于本交；母牛在性成熟后，体重达到成年牛体重的70%后开始初配，本地牛为（24～28）月龄，杂交牛为（18～22）月龄。</w:t>
      </w:r>
    </w:p>
    <w:p>
      <w:pPr>
        <w:pStyle w:val="17"/>
        <w:tabs>
          <w:tab w:val="center" w:pos="4201"/>
          <w:tab w:val="right" w:leader="dot" w:pos="9298"/>
        </w:tabs>
        <w:spacing w:line="400" w:lineRule="atLeast"/>
        <w:ind w:firstLine="0" w:firstLineChars="0"/>
        <w:rPr>
          <w:rFonts w:ascii="Times New Roman" w:eastAsiaTheme="minorEastAsia"/>
          <w:kern w:val="2"/>
          <w:sz w:val="21"/>
          <w:szCs w:val="32"/>
        </w:rPr>
      </w:pPr>
      <w:r>
        <w:rPr>
          <w:rFonts w:hint="eastAsia" w:ascii="Times New Roman" w:eastAsiaTheme="minorEastAsia"/>
          <w:kern w:val="2"/>
          <w:sz w:val="21"/>
          <w:szCs w:val="32"/>
        </w:rPr>
        <w:t>5.2.2.2 种牛等级</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以选用品种标准为依据，公牛等级高于或等于母牛等级，母牛等级应不低于二级，种公牛等级应不低于一级。</w:t>
      </w:r>
    </w:p>
    <w:p>
      <w:pPr>
        <w:pStyle w:val="17"/>
        <w:tabs>
          <w:tab w:val="center" w:pos="4201"/>
          <w:tab w:val="right" w:leader="dot" w:pos="9298"/>
        </w:tabs>
        <w:spacing w:line="400" w:lineRule="atLeast"/>
        <w:ind w:firstLine="0" w:firstLineChars="0"/>
        <w:rPr>
          <w:rFonts w:ascii="Times New Roman" w:eastAsiaTheme="minorEastAsia"/>
          <w:kern w:val="2"/>
          <w:sz w:val="21"/>
          <w:szCs w:val="32"/>
        </w:rPr>
      </w:pPr>
      <w:r>
        <w:rPr>
          <w:rFonts w:hint="eastAsia" w:ascii="Times New Roman" w:eastAsiaTheme="minorEastAsia"/>
          <w:kern w:val="2"/>
          <w:sz w:val="21"/>
          <w:szCs w:val="32"/>
        </w:rPr>
        <w:t>5.2.2.3 血缘关系</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交配公母牛应至少三代以内无亲缘关系。</w:t>
      </w:r>
    </w:p>
    <w:p>
      <w:pPr>
        <w:pStyle w:val="17"/>
        <w:tabs>
          <w:tab w:val="center" w:pos="4201"/>
          <w:tab w:val="right" w:leader="dot" w:pos="9298"/>
        </w:tabs>
        <w:spacing w:line="400" w:lineRule="atLeast"/>
        <w:ind w:firstLine="0" w:firstLineChars="0"/>
        <w:rPr>
          <w:rFonts w:ascii="Times New Roman" w:eastAsiaTheme="minorEastAsia"/>
          <w:kern w:val="2"/>
          <w:sz w:val="21"/>
          <w:szCs w:val="32"/>
        </w:rPr>
      </w:pPr>
      <w:r>
        <w:rPr>
          <w:rFonts w:hint="eastAsia" w:ascii="Times New Roman" w:eastAsiaTheme="minorEastAsia"/>
          <w:kern w:val="2"/>
          <w:sz w:val="21"/>
          <w:szCs w:val="32"/>
        </w:rPr>
        <w:t>5.2.2.4 配种方法</w:t>
      </w:r>
    </w:p>
    <w:p>
      <w:pPr>
        <w:pStyle w:val="17"/>
        <w:tabs>
          <w:tab w:val="center" w:pos="4201"/>
          <w:tab w:val="right" w:leader="dot" w:pos="9298"/>
        </w:tabs>
        <w:spacing w:line="400" w:lineRule="atLeast"/>
        <w:ind w:firstLine="420"/>
        <w:rPr>
          <w:rFonts w:ascii="Times New Roman" w:eastAsiaTheme="minorEastAsia"/>
          <w:kern w:val="2"/>
          <w:sz w:val="21"/>
          <w:szCs w:val="32"/>
        </w:rPr>
      </w:pPr>
      <w:r>
        <w:rPr>
          <w:rFonts w:hint="eastAsia" w:ascii="Times New Roman" w:eastAsiaTheme="minorEastAsia"/>
          <w:kern w:val="2"/>
          <w:sz w:val="21"/>
          <w:szCs w:val="32"/>
        </w:rPr>
        <w:t>按照NY/T 1335的要求进行人工授精，部分偏远山区可采用本交。</w:t>
      </w:r>
    </w:p>
    <w:p>
      <w:pPr>
        <w:pStyle w:val="18"/>
        <w:spacing w:before="312" w:after="312" w:line="400" w:lineRule="exact"/>
        <w:rPr>
          <w:rFonts w:hAnsi="黑体"/>
          <w:szCs w:val="32"/>
        </w:rPr>
      </w:pPr>
      <w:bookmarkStart w:id="24" w:name="_Toc26379"/>
      <w:r>
        <w:rPr>
          <w:rFonts w:hint="eastAsia" w:hAnsi="黑体"/>
          <w:szCs w:val="32"/>
        </w:rPr>
        <w:t>放牧</w:t>
      </w:r>
      <w:bookmarkEnd w:id="24"/>
    </w:p>
    <w:p>
      <w:pPr>
        <w:widowControl/>
        <w:spacing w:before="312" w:beforeLines="100" w:after="100" w:afterAutospacing="1"/>
        <w:jc w:val="left"/>
        <w:rPr>
          <w:rFonts w:ascii="黑体" w:hAnsi="黑体" w:eastAsia="黑体" w:cs="Times New Roman"/>
          <w:kern w:val="0"/>
          <w:szCs w:val="32"/>
        </w:rPr>
      </w:pPr>
      <w:r>
        <w:rPr>
          <w:rFonts w:hint="eastAsia" w:ascii="黑体" w:hAnsi="黑体" w:eastAsia="黑体" w:cs="Times New Roman"/>
          <w:kern w:val="0"/>
          <w:szCs w:val="32"/>
        </w:rPr>
        <w:t>6.1 围栏</w:t>
      </w:r>
    </w:p>
    <w:p>
      <w:pPr>
        <w:widowControl/>
        <w:spacing w:before="312" w:beforeLines="100" w:after="100" w:afterAutospacing="1"/>
        <w:ind w:firstLine="420" w:firstLineChars="200"/>
        <w:jc w:val="left"/>
        <w:rPr>
          <w:rFonts w:ascii="宋体" w:hAnsi="仿宋_GB2312" w:cs="仿宋_GB2312"/>
          <w:szCs w:val="32"/>
        </w:rPr>
      </w:pPr>
      <w:r>
        <w:rPr>
          <w:rFonts w:ascii="Times New Roman" w:hAnsi="Times New Roman" w:cs="Times New Roman"/>
          <w:szCs w:val="32"/>
        </w:rPr>
        <w:t>围栏</w:t>
      </w:r>
      <w:r>
        <w:rPr>
          <w:rFonts w:hint="eastAsia" w:ascii="Times New Roman" w:hAnsi="Times New Roman" w:cs="Times New Roman"/>
          <w:szCs w:val="32"/>
        </w:rPr>
        <w:t>按NY/T 1237要求进行建设</w:t>
      </w:r>
      <w:r>
        <w:rPr>
          <w:rFonts w:ascii="Times New Roman" w:hAnsi="Times New Roman" w:cs="Times New Roman"/>
          <w:szCs w:val="32"/>
        </w:rPr>
        <w:t>。</w:t>
      </w:r>
    </w:p>
    <w:p>
      <w:pPr>
        <w:widowControl/>
        <w:spacing w:before="312" w:beforeLines="100" w:after="100" w:afterAutospacing="1"/>
        <w:jc w:val="left"/>
        <w:rPr>
          <w:rFonts w:ascii="黑体" w:hAnsi="黑体" w:eastAsia="黑体" w:cs="Times New Roman"/>
          <w:kern w:val="0"/>
          <w:szCs w:val="32"/>
        </w:rPr>
      </w:pPr>
      <w:r>
        <w:rPr>
          <w:rFonts w:hint="eastAsia" w:ascii="黑体" w:hAnsi="黑体" w:eastAsia="黑体" w:cs="Times New Roman"/>
          <w:kern w:val="0"/>
          <w:szCs w:val="32"/>
        </w:rPr>
        <w:t>6.2 放牧季节</w:t>
      </w:r>
    </w:p>
    <w:p>
      <w:pPr>
        <w:autoSpaceDE w:val="0"/>
        <w:autoSpaceDN w:val="0"/>
        <w:spacing w:line="360" w:lineRule="auto"/>
        <w:ind w:firstLine="420" w:firstLineChars="200"/>
        <w:jc w:val="left"/>
        <w:rPr>
          <w:rFonts w:ascii="Times New Roman" w:hAnsi="Times New Roman" w:cs="Times New Roman"/>
          <w:szCs w:val="32"/>
        </w:rPr>
      </w:pPr>
      <w:r>
        <w:rPr>
          <w:rFonts w:hint="eastAsia" w:ascii="Times New Roman" w:hAnsi="Times New Roman" w:cs="Times New Roman"/>
          <w:szCs w:val="32"/>
        </w:rPr>
        <w:t>应符合NY/T 1343要求进行轮牧管理，在适度放牧（可配合割草）利用并维持草山草坡可持续生产的条件下，能满足放牧家畜生长、繁殖和生产需要，估算所能承养家畜数量和时间，即载畜量。枯草季节，应符合NY/T 1176要求对放牧草地进行休牧。</w:t>
      </w:r>
    </w:p>
    <w:p>
      <w:pPr>
        <w:widowControl/>
        <w:spacing w:before="312" w:beforeLines="100" w:after="100" w:afterAutospacing="1"/>
        <w:jc w:val="left"/>
        <w:rPr>
          <w:rFonts w:ascii="黑体" w:hAnsi="黑体" w:eastAsia="黑体"/>
        </w:rPr>
      </w:pPr>
      <w:r>
        <w:rPr>
          <w:rFonts w:hint="eastAsia" w:ascii="黑体" w:hAnsi="黑体" w:eastAsia="黑体"/>
        </w:rPr>
        <w:t>6.3 牧草种植</w:t>
      </w:r>
    </w:p>
    <w:p>
      <w:pPr>
        <w:autoSpaceDE w:val="0"/>
        <w:autoSpaceDN w:val="0"/>
        <w:spacing w:line="360" w:lineRule="auto"/>
        <w:ind w:firstLine="420" w:firstLineChars="200"/>
        <w:jc w:val="left"/>
        <w:rPr>
          <w:rFonts w:ascii="Times New Roman" w:hAnsi="Times New Roman"/>
          <w:kern w:val="0"/>
        </w:rPr>
      </w:pPr>
      <w:r>
        <w:rPr>
          <w:rFonts w:hint="eastAsia" w:ascii="Times New Roman" w:hAnsi="Times New Roman" w:cs="Times New Roman"/>
          <w:szCs w:val="32"/>
        </w:rPr>
        <w:t>湖南草山草坡育肥牛饲养需配套种植高产牧草来满足育肥牛对粗饲料的需求，适宜湖南种植的优良高产牧草有皇竹草、墨西哥玉米、甜高粱、一年生黑麦草等，种植管理过程中农药和肥料使用应符合NY/T 393和NY/T 394的要求。常见优质牧草特点如下：白三叶作为多年生豆科，是湖南草山草坡的当家草种，生长的适宜温度是15℃~25℃，一般作为混播草地草种选用，可以刈用或放牧利用。多年生黑麦草是常见的一年生冬季优质栽培禾本科牧草，喜温凉湿润气候，宜在夏季气温不超过35℃、冬季气温不低于-15℃的地区种植，可单播或混播利用，调制干草宜选用抽穗至盛花期进行，刈割和放牧留茬高度以5cm~10cm为宜。扁穗牛鞭草是多年生匍匐禾本科牧草，喜温暖湿润气候，极端温服39.8℃生长良好，-3℃茎叶仍保持青绿，全年可种植，结实率低，多用种茎繁殖，再生性好，每年可刈割4~6次。黄竹草食高大型多年生禾本科牧草，株高可达3.5米，喜温暖湿润气候，春季日均温达14℃时开始生长，冬季极端低温低于-5℃越冬困难，耐高温，一般用种茎繁殖，株高2.5米左右进行刈割，每年可刈割3~4次，鲜草产量高达10吨/亩。甜高粱是一年生高大禾本科牧草，株高2~4米，喜温暖，具有抗旱、耐涝、耐盐碱等特性，株高达到1.2~2米时第一次收割，当株高再长到1.2~2米时可第二次收割，每次收割必须留茬10cm~15cm。甜高粱鲜草产量高达15吨/亩左右。</w:t>
      </w:r>
    </w:p>
    <w:p>
      <w:pPr>
        <w:pStyle w:val="18"/>
        <w:spacing w:before="312" w:after="312"/>
        <w:rPr>
          <w:szCs w:val="21"/>
        </w:rPr>
      </w:pPr>
      <w:bookmarkStart w:id="25" w:name="_Toc2389"/>
      <w:r>
        <w:rPr>
          <w:rFonts w:hint="eastAsia"/>
          <w:szCs w:val="21"/>
        </w:rPr>
        <w:t>饲养管理</w:t>
      </w:r>
      <w:bookmarkEnd w:id="25"/>
    </w:p>
    <w:p>
      <w:pPr>
        <w:widowControl/>
        <w:spacing w:before="312" w:beforeLines="100" w:after="100" w:afterAutospacing="1"/>
        <w:jc w:val="left"/>
        <w:rPr>
          <w:rFonts w:ascii="黑体" w:hAnsi="黑体" w:eastAsia="黑体"/>
        </w:rPr>
      </w:pPr>
      <w:r>
        <w:rPr>
          <w:rFonts w:hint="eastAsia" w:ascii="黑体" w:hAnsi="黑体" w:eastAsia="黑体"/>
        </w:rPr>
        <w:t>7.1 育肥牛选择</w:t>
      </w:r>
    </w:p>
    <w:p>
      <w:pPr>
        <w:autoSpaceDE w:val="0"/>
        <w:autoSpaceDN w:val="0"/>
        <w:spacing w:line="360" w:lineRule="auto"/>
        <w:ind w:firstLine="420" w:firstLineChars="200"/>
        <w:jc w:val="left"/>
        <w:rPr>
          <w:rFonts w:ascii="Times New Roman" w:hAnsi="Times New Roman" w:cs="Times New Roman"/>
          <w:szCs w:val="32"/>
        </w:rPr>
      </w:pPr>
      <w:r>
        <w:rPr>
          <w:rFonts w:hint="eastAsia" w:ascii="Times New Roman" w:hAnsi="Times New Roman" w:cs="Times New Roman"/>
          <w:szCs w:val="32"/>
        </w:rPr>
        <w:t>选一岁到一岁半的架子牛，经4~6个月左右的强度肥育，饲养营养需要参考NY/T 815肉牛饲养标准，达到本品种膘情后出栏。外场调入的育肥牛入场前要检疫，确定无疾病后编号、称重、驱虫、建立档案。</w:t>
      </w:r>
    </w:p>
    <w:p>
      <w:pPr>
        <w:widowControl/>
        <w:spacing w:before="312" w:beforeLines="100" w:after="100" w:afterAutospacing="1"/>
        <w:jc w:val="left"/>
        <w:rPr>
          <w:rFonts w:ascii="黑体" w:hAnsi="黑体" w:eastAsia="黑体"/>
        </w:rPr>
      </w:pPr>
      <w:r>
        <w:rPr>
          <w:rFonts w:hint="eastAsia" w:ascii="黑体" w:hAnsi="黑体" w:eastAsia="黑体"/>
        </w:rPr>
        <w:t>7.2 饲喂要点</w:t>
      </w:r>
    </w:p>
    <w:p>
      <w:pPr>
        <w:autoSpaceDE w:val="0"/>
        <w:autoSpaceDN w:val="0"/>
        <w:spacing w:line="360" w:lineRule="auto"/>
        <w:ind w:firstLine="420" w:firstLineChars="200"/>
        <w:jc w:val="left"/>
        <w:rPr>
          <w:rFonts w:ascii="Times New Roman" w:hAnsi="Times New Roman" w:cs="Times New Roman"/>
          <w:szCs w:val="32"/>
        </w:rPr>
      </w:pPr>
      <w:r>
        <w:rPr>
          <w:rFonts w:hint="eastAsia" w:ascii="Times New Roman" w:hAnsi="Times New Roman" w:cs="Times New Roman"/>
          <w:szCs w:val="32"/>
        </w:rPr>
        <w:t>饲喂酒糟、青贮饲料时，要逐渐增加饲喂量，一周左右达到最大采食量，饲喂同时应添加适量的小苏打。育肥牛每天饲喂2~3次，自由饮水。要经常观察牛采食、反当、排便和牛的精神状况等，发现异常及时诊治。</w:t>
      </w:r>
    </w:p>
    <w:p>
      <w:pPr>
        <w:widowControl/>
        <w:spacing w:before="312" w:beforeLines="100" w:after="100" w:afterAutospacing="1"/>
        <w:jc w:val="left"/>
        <w:rPr>
          <w:rFonts w:ascii="黑体" w:hAnsi="黑体" w:eastAsia="黑体"/>
        </w:rPr>
      </w:pPr>
      <w:r>
        <w:rPr>
          <w:rFonts w:hint="eastAsia" w:ascii="黑体" w:hAnsi="黑体" w:eastAsia="黑体"/>
        </w:rPr>
        <w:t>7.3 驱虫健胃。</w:t>
      </w:r>
    </w:p>
    <w:p>
      <w:pPr>
        <w:autoSpaceDE w:val="0"/>
        <w:autoSpaceDN w:val="0"/>
        <w:spacing w:line="360" w:lineRule="auto"/>
        <w:ind w:firstLine="420" w:firstLineChars="200"/>
        <w:jc w:val="left"/>
        <w:rPr>
          <w:rFonts w:ascii="Times New Roman" w:hAnsi="Times New Roman"/>
          <w:kern w:val="0"/>
        </w:rPr>
      </w:pPr>
      <w:r>
        <w:rPr>
          <w:rFonts w:hint="eastAsia" w:ascii="Times New Roman" w:hAnsi="Times New Roman"/>
          <w:kern w:val="0"/>
        </w:rPr>
        <w:t>定期进行驱虫，驱虫后用健胃药健胃。</w:t>
      </w:r>
    </w:p>
    <w:p>
      <w:pPr>
        <w:widowControl/>
        <w:spacing w:before="312" w:beforeLines="100" w:after="100" w:afterAutospacing="1"/>
        <w:jc w:val="left"/>
        <w:rPr>
          <w:rFonts w:ascii="黑体" w:hAnsi="黑体" w:eastAsia="黑体"/>
        </w:rPr>
      </w:pPr>
      <w:r>
        <w:rPr>
          <w:rFonts w:hint="eastAsia" w:ascii="黑体" w:hAnsi="黑体" w:eastAsia="黑体"/>
        </w:rPr>
        <w:t>7.4 编号与分群</w:t>
      </w:r>
    </w:p>
    <w:p>
      <w:pPr>
        <w:autoSpaceDE w:val="0"/>
        <w:autoSpaceDN w:val="0"/>
        <w:spacing w:line="360" w:lineRule="auto"/>
        <w:ind w:firstLine="420" w:firstLineChars="200"/>
        <w:jc w:val="left"/>
        <w:rPr>
          <w:rFonts w:ascii="Times New Roman" w:hAnsi="Times New Roman"/>
          <w:kern w:val="0"/>
        </w:rPr>
      </w:pPr>
      <w:r>
        <w:rPr>
          <w:rFonts w:ascii="Times New Roman" w:hAnsi="Times New Roman" w:cs="Times New Roman"/>
          <w:kern w:val="0"/>
        </w:rPr>
        <w:t>对育肥牛进行编号、分群。分群时年龄相差要小，体重相差不超过30千克，相同品种的杂交牛分成一群，3岁以上的牛合群饲喂</w:t>
      </w:r>
      <w:r>
        <w:rPr>
          <w:rFonts w:hint="eastAsia" w:ascii="Times New Roman" w:hAnsi="Times New Roman"/>
          <w:kern w:val="0"/>
        </w:rPr>
        <w:t>。</w:t>
      </w:r>
    </w:p>
    <w:p>
      <w:pPr>
        <w:widowControl/>
        <w:spacing w:before="312" w:beforeLines="100" w:after="100" w:afterAutospacing="1"/>
        <w:jc w:val="left"/>
        <w:rPr>
          <w:rFonts w:ascii="黑体" w:hAnsi="黑体" w:eastAsia="黑体"/>
        </w:rPr>
      </w:pPr>
      <w:r>
        <w:rPr>
          <w:rFonts w:hint="eastAsia" w:ascii="黑体" w:hAnsi="黑体" w:eastAsia="黑体"/>
        </w:rPr>
        <w:t>7.5 营养需要与饲料喂量</w:t>
      </w:r>
    </w:p>
    <w:p>
      <w:pPr>
        <w:pStyle w:val="17"/>
        <w:tabs>
          <w:tab w:val="center" w:pos="4201"/>
          <w:tab w:val="right" w:leader="dot" w:pos="9298"/>
        </w:tabs>
        <w:spacing w:line="400" w:lineRule="exact"/>
        <w:ind w:firstLine="420"/>
        <w:rPr>
          <w:rFonts w:ascii="Times New Roman" w:eastAsiaTheme="minorEastAsia"/>
          <w:kern w:val="2"/>
          <w:sz w:val="21"/>
          <w:szCs w:val="32"/>
        </w:rPr>
      </w:pPr>
      <w:r>
        <w:rPr>
          <w:rFonts w:hint="eastAsia" w:ascii="Times New Roman" w:eastAsiaTheme="minorEastAsia"/>
          <w:kern w:val="2"/>
          <w:sz w:val="21"/>
          <w:szCs w:val="32"/>
        </w:rPr>
        <w:t>7.5.1 按NY/T 815-2004配合日粮，确定喂量。</w:t>
      </w:r>
    </w:p>
    <w:p>
      <w:pPr>
        <w:pStyle w:val="17"/>
        <w:tabs>
          <w:tab w:val="center" w:pos="4201"/>
          <w:tab w:val="right" w:leader="dot" w:pos="9298"/>
        </w:tabs>
        <w:spacing w:line="400" w:lineRule="exact"/>
        <w:ind w:firstLine="420"/>
        <w:rPr>
          <w:rFonts w:ascii="Times New Roman" w:eastAsiaTheme="minorEastAsia"/>
          <w:kern w:val="2"/>
          <w:sz w:val="21"/>
          <w:szCs w:val="32"/>
        </w:rPr>
      </w:pPr>
      <w:r>
        <w:rPr>
          <w:rFonts w:hint="eastAsia" w:ascii="Times New Roman" w:eastAsiaTheme="minorEastAsia"/>
          <w:kern w:val="2"/>
          <w:sz w:val="21"/>
          <w:szCs w:val="32"/>
        </w:rPr>
        <w:t>7.5.2 饲料原料的选用应符合农业部公告第1773号的规定，饲料添加剂的选用应符合农业部公告第2045号的规定、第168号公告。</w:t>
      </w:r>
    </w:p>
    <w:p>
      <w:pPr>
        <w:pStyle w:val="17"/>
        <w:tabs>
          <w:tab w:val="center" w:pos="4201"/>
          <w:tab w:val="right" w:leader="dot" w:pos="9298"/>
        </w:tabs>
        <w:spacing w:line="400" w:lineRule="exact"/>
        <w:ind w:firstLine="420"/>
        <w:rPr>
          <w:rFonts w:ascii="Times New Roman" w:eastAsiaTheme="minorEastAsia"/>
          <w:kern w:val="2"/>
          <w:sz w:val="21"/>
          <w:szCs w:val="32"/>
        </w:rPr>
      </w:pPr>
      <w:r>
        <w:rPr>
          <w:rFonts w:hint="eastAsia" w:ascii="Times New Roman" w:eastAsiaTheme="minorEastAsia"/>
          <w:kern w:val="2"/>
          <w:sz w:val="21"/>
          <w:szCs w:val="32"/>
        </w:rPr>
        <w:t>7.5.3 粗饲料及配合精饲料应符合GB 13078、NY 5032及NY 5127的规定。</w:t>
      </w:r>
    </w:p>
    <w:p>
      <w:pPr>
        <w:autoSpaceDE w:val="0"/>
        <w:autoSpaceDN w:val="0"/>
        <w:spacing w:line="400" w:lineRule="exact"/>
        <w:ind w:firstLine="420" w:firstLineChars="200"/>
        <w:jc w:val="left"/>
        <w:rPr>
          <w:rFonts w:ascii="Times New Roman" w:hAnsi="Times New Roman" w:cs="Times New Roman"/>
          <w:szCs w:val="32"/>
        </w:rPr>
      </w:pPr>
      <w:r>
        <w:rPr>
          <w:rFonts w:hint="eastAsia" w:ascii="Times New Roman" w:hAnsi="Times New Roman" w:cs="Times New Roman"/>
          <w:szCs w:val="32"/>
        </w:rPr>
        <w:t>7.5.4 饲料配制要因地制宜，首先考虑当地饲料资源。</w:t>
      </w:r>
    </w:p>
    <w:p>
      <w:pPr>
        <w:widowControl/>
        <w:spacing w:before="312" w:beforeLines="100" w:after="100" w:afterAutospacing="1"/>
        <w:jc w:val="left"/>
        <w:rPr>
          <w:rFonts w:ascii="黑体" w:hAnsi="黑体" w:eastAsia="黑体"/>
        </w:rPr>
      </w:pPr>
      <w:bookmarkStart w:id="26" w:name="_Toc50751808"/>
      <w:r>
        <w:rPr>
          <w:rFonts w:hint="eastAsia" w:ascii="黑体" w:hAnsi="黑体" w:eastAsia="黑体"/>
        </w:rPr>
        <w:t>7.6 饮水</w:t>
      </w:r>
      <w:bookmarkEnd w:id="26"/>
    </w:p>
    <w:p>
      <w:pPr>
        <w:pStyle w:val="17"/>
        <w:tabs>
          <w:tab w:val="center" w:pos="4201"/>
          <w:tab w:val="right" w:leader="dot" w:pos="9298"/>
        </w:tabs>
        <w:spacing w:line="400" w:lineRule="exact"/>
        <w:ind w:firstLine="420"/>
        <w:rPr>
          <w:rFonts w:ascii="Times New Roman" w:eastAsiaTheme="minorEastAsia"/>
          <w:sz w:val="21"/>
          <w:szCs w:val="22"/>
        </w:rPr>
      </w:pPr>
      <w:r>
        <w:rPr>
          <w:rFonts w:hint="eastAsia" w:ascii="Times New Roman" w:eastAsiaTheme="minorEastAsia"/>
          <w:sz w:val="21"/>
          <w:szCs w:val="22"/>
        </w:rPr>
        <w:t>7</w:t>
      </w:r>
      <w:r>
        <w:rPr>
          <w:rFonts w:ascii="Times New Roman" w:eastAsiaTheme="minorEastAsia"/>
          <w:sz w:val="21"/>
          <w:szCs w:val="22"/>
        </w:rPr>
        <w:t>.</w:t>
      </w:r>
      <w:r>
        <w:rPr>
          <w:rFonts w:hint="eastAsia" w:ascii="Times New Roman" w:eastAsiaTheme="minorEastAsia"/>
          <w:sz w:val="21"/>
          <w:szCs w:val="22"/>
        </w:rPr>
        <w:t>6</w:t>
      </w:r>
      <w:r>
        <w:rPr>
          <w:rFonts w:ascii="Times New Roman" w:eastAsiaTheme="minorEastAsia"/>
          <w:sz w:val="21"/>
          <w:szCs w:val="22"/>
        </w:rPr>
        <w:t>.1 水质应符合NY 5027的要求。</w:t>
      </w:r>
    </w:p>
    <w:p>
      <w:pPr>
        <w:pStyle w:val="17"/>
        <w:tabs>
          <w:tab w:val="center" w:pos="4201"/>
          <w:tab w:val="right" w:leader="dot" w:pos="9298"/>
        </w:tabs>
        <w:spacing w:line="400" w:lineRule="exact"/>
        <w:ind w:firstLine="420"/>
        <w:rPr>
          <w:rFonts w:ascii="Times New Roman" w:eastAsiaTheme="minorEastAsia"/>
          <w:sz w:val="21"/>
          <w:szCs w:val="22"/>
        </w:rPr>
      </w:pPr>
      <w:r>
        <w:rPr>
          <w:rFonts w:hint="eastAsia" w:ascii="Times New Roman" w:eastAsiaTheme="minorEastAsia"/>
          <w:sz w:val="21"/>
          <w:szCs w:val="22"/>
        </w:rPr>
        <w:t>7</w:t>
      </w:r>
      <w:r>
        <w:rPr>
          <w:rFonts w:ascii="Times New Roman" w:eastAsiaTheme="minorEastAsia"/>
          <w:sz w:val="21"/>
          <w:szCs w:val="22"/>
        </w:rPr>
        <w:t>.</w:t>
      </w:r>
      <w:r>
        <w:rPr>
          <w:rFonts w:hint="eastAsia" w:ascii="Times New Roman" w:eastAsiaTheme="minorEastAsia"/>
          <w:sz w:val="21"/>
          <w:szCs w:val="22"/>
        </w:rPr>
        <w:t>6</w:t>
      </w:r>
      <w:r>
        <w:rPr>
          <w:rFonts w:ascii="Times New Roman" w:eastAsiaTheme="minorEastAsia"/>
          <w:sz w:val="21"/>
          <w:szCs w:val="22"/>
        </w:rPr>
        <w:t>.2 饮水设备应按时清洗、消毒。</w:t>
      </w:r>
    </w:p>
    <w:p>
      <w:pPr>
        <w:pStyle w:val="17"/>
        <w:tabs>
          <w:tab w:val="center" w:pos="4201"/>
          <w:tab w:val="right" w:leader="dot" w:pos="9298"/>
        </w:tabs>
        <w:spacing w:line="400" w:lineRule="exact"/>
        <w:ind w:firstLine="420"/>
        <w:rPr>
          <w:rFonts w:ascii="Times New Roman" w:eastAsiaTheme="minorEastAsia"/>
          <w:sz w:val="21"/>
          <w:szCs w:val="22"/>
        </w:rPr>
      </w:pPr>
      <w:r>
        <w:rPr>
          <w:rFonts w:hint="eastAsia" w:ascii="Times New Roman" w:eastAsiaTheme="minorEastAsia"/>
          <w:sz w:val="21"/>
          <w:szCs w:val="22"/>
        </w:rPr>
        <w:t>7</w:t>
      </w:r>
      <w:r>
        <w:rPr>
          <w:rFonts w:ascii="Times New Roman" w:eastAsiaTheme="minorEastAsia"/>
          <w:sz w:val="21"/>
          <w:szCs w:val="22"/>
        </w:rPr>
        <w:t>.</w:t>
      </w:r>
      <w:r>
        <w:rPr>
          <w:rFonts w:hint="eastAsia" w:ascii="Times New Roman" w:eastAsiaTheme="minorEastAsia"/>
          <w:sz w:val="21"/>
          <w:szCs w:val="22"/>
        </w:rPr>
        <w:t>6</w:t>
      </w:r>
      <w:r>
        <w:rPr>
          <w:rFonts w:ascii="Times New Roman" w:eastAsiaTheme="minorEastAsia"/>
          <w:sz w:val="21"/>
          <w:szCs w:val="22"/>
        </w:rPr>
        <w:t>.3 应设立备用水源。</w:t>
      </w:r>
    </w:p>
    <w:p>
      <w:pPr>
        <w:pStyle w:val="17"/>
        <w:tabs>
          <w:tab w:val="center" w:pos="4201"/>
          <w:tab w:val="right" w:leader="dot" w:pos="9298"/>
        </w:tabs>
        <w:spacing w:line="400" w:lineRule="exact"/>
        <w:ind w:firstLine="420"/>
        <w:rPr>
          <w:rFonts w:ascii="Times New Roman" w:eastAsiaTheme="minorEastAsia" w:cstheme="minorBidi"/>
          <w:sz w:val="21"/>
          <w:szCs w:val="22"/>
        </w:rPr>
      </w:pPr>
      <w:r>
        <w:rPr>
          <w:rFonts w:hint="eastAsia" w:ascii="Times New Roman" w:eastAsiaTheme="minorEastAsia"/>
          <w:sz w:val="21"/>
          <w:szCs w:val="22"/>
        </w:rPr>
        <w:t>7</w:t>
      </w:r>
      <w:r>
        <w:rPr>
          <w:rFonts w:ascii="Times New Roman" w:eastAsiaTheme="minorEastAsia"/>
          <w:sz w:val="21"/>
          <w:szCs w:val="22"/>
        </w:rPr>
        <w:t>.</w:t>
      </w:r>
      <w:r>
        <w:rPr>
          <w:rFonts w:hint="eastAsia" w:ascii="Times New Roman" w:eastAsiaTheme="minorEastAsia"/>
          <w:sz w:val="21"/>
          <w:szCs w:val="22"/>
        </w:rPr>
        <w:t>6</w:t>
      </w:r>
      <w:r>
        <w:rPr>
          <w:rFonts w:ascii="Times New Roman" w:eastAsiaTheme="minorEastAsia"/>
          <w:sz w:val="21"/>
          <w:szCs w:val="22"/>
        </w:rPr>
        <w:t>.4 定时饮水。</w:t>
      </w:r>
    </w:p>
    <w:p>
      <w:pPr>
        <w:widowControl/>
        <w:spacing w:before="312" w:beforeLines="100" w:after="100" w:afterAutospacing="1"/>
        <w:jc w:val="left"/>
        <w:rPr>
          <w:rFonts w:ascii="黑体" w:hAnsi="黑体" w:eastAsia="黑体"/>
        </w:rPr>
      </w:pPr>
      <w:bookmarkStart w:id="27" w:name="_Toc50751810"/>
      <w:r>
        <w:rPr>
          <w:rFonts w:hint="eastAsia" w:ascii="黑体" w:hAnsi="黑体" w:eastAsia="黑体"/>
        </w:rPr>
        <w:t>7.7 免疫</w:t>
      </w:r>
      <w:bookmarkEnd w:id="27"/>
      <w:r>
        <w:rPr>
          <w:rFonts w:hint="eastAsia" w:ascii="黑体" w:hAnsi="黑体" w:eastAsia="黑体"/>
        </w:rPr>
        <w:t>接种</w:t>
      </w:r>
    </w:p>
    <w:p>
      <w:pPr>
        <w:pStyle w:val="17"/>
        <w:tabs>
          <w:tab w:val="center" w:pos="4201"/>
          <w:tab w:val="right" w:leader="dot" w:pos="9298"/>
        </w:tabs>
        <w:spacing w:line="400" w:lineRule="exact"/>
        <w:ind w:firstLine="420"/>
        <w:rPr>
          <w:rFonts w:ascii="Times New Roman" w:eastAsiaTheme="minorEastAsia"/>
          <w:kern w:val="2"/>
          <w:sz w:val="21"/>
          <w:szCs w:val="32"/>
        </w:rPr>
      </w:pPr>
      <w:r>
        <w:rPr>
          <w:rFonts w:hint="eastAsia" w:ascii="Times New Roman" w:eastAsiaTheme="minorEastAsia"/>
          <w:kern w:val="2"/>
          <w:sz w:val="21"/>
          <w:szCs w:val="32"/>
        </w:rPr>
        <w:t>根据当地疫病流行情况和牛群免疫抗体检测结果制定免疫计划并严格实施。牛群的免疫程序见附表A。建立免疫档案，记录免疫的疫苗种类、厂家、有效期、产品批号、接种日期、拌种量等信息，并存档备查。疫苗的存放应符合疫苗保存条件。</w:t>
      </w:r>
      <w:bookmarkStart w:id="28" w:name="_Toc50751809"/>
    </w:p>
    <w:p>
      <w:pPr>
        <w:widowControl/>
        <w:spacing w:before="312" w:beforeLines="100" w:after="100" w:afterAutospacing="1"/>
        <w:jc w:val="left"/>
        <w:rPr>
          <w:rFonts w:ascii="黑体" w:hAnsi="黑体" w:eastAsia="黑体"/>
        </w:rPr>
      </w:pPr>
      <w:r>
        <w:rPr>
          <w:rFonts w:hint="eastAsia" w:ascii="黑体" w:hAnsi="黑体" w:eastAsia="黑体"/>
        </w:rPr>
        <w:t>7.8 疫病监测</w:t>
      </w:r>
    </w:p>
    <w:p>
      <w:pPr>
        <w:pStyle w:val="17"/>
        <w:tabs>
          <w:tab w:val="center" w:pos="4201"/>
          <w:tab w:val="right" w:leader="dot" w:pos="9298"/>
        </w:tabs>
        <w:spacing w:line="400" w:lineRule="exact"/>
        <w:ind w:firstLine="420"/>
        <w:rPr>
          <w:rFonts w:ascii="Times New Roman" w:eastAsiaTheme="minorEastAsia"/>
          <w:kern w:val="2"/>
          <w:sz w:val="21"/>
          <w:szCs w:val="32"/>
        </w:rPr>
      </w:pPr>
      <w:r>
        <w:rPr>
          <w:rFonts w:hint="eastAsia" w:ascii="Times New Roman" w:eastAsiaTheme="minorEastAsia"/>
          <w:kern w:val="2"/>
          <w:sz w:val="21"/>
          <w:szCs w:val="32"/>
        </w:rPr>
        <w:t>养殖场应建立健全整体防疫体系，各项防疫措施应完整、配套、实用，应符合NY/T 473的要求，制定疫病监测方案。</w:t>
      </w:r>
    </w:p>
    <w:p>
      <w:pPr>
        <w:widowControl/>
        <w:spacing w:before="312" w:beforeLines="100" w:after="100" w:afterAutospacing="1"/>
        <w:jc w:val="left"/>
        <w:rPr>
          <w:rFonts w:ascii="黑体" w:hAnsi="黑体" w:eastAsia="黑体"/>
        </w:rPr>
      </w:pPr>
      <w:r>
        <w:rPr>
          <w:rFonts w:hint="eastAsia" w:ascii="黑体" w:hAnsi="黑体" w:eastAsia="黑体"/>
        </w:rPr>
        <w:t>7.9 疫病治疗</w:t>
      </w:r>
    </w:p>
    <w:p>
      <w:pPr>
        <w:pStyle w:val="17"/>
        <w:tabs>
          <w:tab w:val="center" w:pos="4201"/>
          <w:tab w:val="right" w:leader="dot" w:pos="9298"/>
        </w:tabs>
        <w:spacing w:line="400" w:lineRule="exact"/>
        <w:ind w:firstLine="420"/>
        <w:rPr>
          <w:rFonts w:ascii="Times New Roman" w:eastAsiaTheme="minorEastAsia"/>
          <w:kern w:val="2"/>
          <w:sz w:val="21"/>
          <w:szCs w:val="32"/>
        </w:rPr>
      </w:pPr>
      <w:r>
        <w:rPr>
          <w:rFonts w:hint="eastAsia" w:ascii="Times New Roman" w:eastAsiaTheme="minorEastAsia"/>
          <w:kern w:val="2"/>
          <w:sz w:val="21"/>
          <w:szCs w:val="32"/>
        </w:rPr>
        <w:t>养殖场出现传染性疾病、烈性传染性疾病应及时报告属地兽医主管部门做好相关记录并一律捕杀进行无害化处理，常见疾病，如瘤胃酸中毒、病毒性腹泻等可参考附录B进行防治。</w:t>
      </w:r>
    </w:p>
    <w:p>
      <w:pPr>
        <w:pStyle w:val="18"/>
        <w:spacing w:before="312" w:after="312"/>
        <w:rPr>
          <w:szCs w:val="21"/>
        </w:rPr>
      </w:pPr>
      <w:bookmarkStart w:id="29" w:name="_Toc50751811"/>
      <w:bookmarkStart w:id="30" w:name="_Toc13338"/>
      <w:r>
        <w:rPr>
          <w:rFonts w:hint="eastAsia"/>
          <w:szCs w:val="21"/>
        </w:rPr>
        <w:t>消毒</w:t>
      </w:r>
      <w:bookmarkEnd w:id="29"/>
      <w:bookmarkEnd w:id="30"/>
    </w:p>
    <w:p>
      <w:pPr>
        <w:widowControl/>
        <w:spacing w:before="312" w:beforeLines="100" w:after="100" w:afterAutospacing="1"/>
        <w:jc w:val="left"/>
        <w:rPr>
          <w:rFonts w:ascii="黑体" w:hAnsi="黑体" w:eastAsia="黑体"/>
        </w:rPr>
      </w:pPr>
      <w:bookmarkStart w:id="31" w:name="_Toc50751812"/>
      <w:r>
        <w:rPr>
          <w:rFonts w:hint="eastAsia" w:ascii="黑体" w:hAnsi="黑体" w:eastAsia="黑体"/>
        </w:rPr>
        <w:t>8.1 消毒剂</w:t>
      </w:r>
      <w:bookmarkEnd w:id="31"/>
    </w:p>
    <w:p>
      <w:pPr>
        <w:pStyle w:val="17"/>
        <w:tabs>
          <w:tab w:val="center" w:pos="4201"/>
          <w:tab w:val="right" w:leader="dot" w:pos="9298"/>
        </w:tabs>
        <w:spacing w:line="400" w:lineRule="exact"/>
        <w:ind w:firstLine="420"/>
        <w:rPr>
          <w:rFonts w:ascii="Times New Roman" w:eastAsiaTheme="minorEastAsia"/>
          <w:kern w:val="2"/>
          <w:sz w:val="21"/>
          <w:szCs w:val="32"/>
        </w:rPr>
      </w:pPr>
      <w:r>
        <w:rPr>
          <w:rFonts w:hint="eastAsia" w:ascii="Times New Roman" w:eastAsiaTheme="minorEastAsia"/>
          <w:kern w:val="2"/>
          <w:sz w:val="21"/>
          <w:szCs w:val="32"/>
        </w:rPr>
        <w:t>消毒剂的选用应符合NY/T 472的要求。消毒药选用次氯酸盐、有机碘混合物、过氧乙酸、新洁尔灭、煤酚、生石灰、火碱等。消毒采用喷雾、浸液、紫外线、喷洒、火焰等消毒方法并举的原则。</w:t>
      </w:r>
    </w:p>
    <w:p>
      <w:pPr>
        <w:widowControl/>
        <w:spacing w:before="312" w:beforeLines="100" w:after="100" w:afterAutospacing="1"/>
        <w:jc w:val="left"/>
        <w:rPr>
          <w:rFonts w:ascii="黑体" w:hAnsi="黑体" w:eastAsia="黑体"/>
        </w:rPr>
      </w:pPr>
      <w:bookmarkStart w:id="32" w:name="_Toc50751813"/>
      <w:r>
        <w:rPr>
          <w:rFonts w:hint="eastAsia" w:ascii="黑体" w:hAnsi="黑体" w:eastAsia="黑体"/>
        </w:rPr>
        <w:t>8.2 消毒对象</w:t>
      </w:r>
      <w:bookmarkEnd w:id="32"/>
    </w:p>
    <w:p>
      <w:pPr>
        <w:pStyle w:val="17"/>
        <w:tabs>
          <w:tab w:val="center" w:pos="4201"/>
          <w:tab w:val="right" w:leader="dot" w:pos="9298"/>
        </w:tabs>
        <w:spacing w:line="400" w:lineRule="exact"/>
        <w:ind w:firstLine="420"/>
        <w:rPr>
          <w:rFonts w:ascii="Times New Roman" w:eastAsiaTheme="minorEastAsia"/>
          <w:sz w:val="21"/>
          <w:szCs w:val="22"/>
        </w:rPr>
      </w:pPr>
      <w:r>
        <w:rPr>
          <w:rFonts w:hint="eastAsia" w:ascii="Times New Roman" w:eastAsiaTheme="minorEastAsia"/>
          <w:sz w:val="21"/>
          <w:szCs w:val="22"/>
        </w:rPr>
        <w:t>8.2.1 环境</w:t>
      </w:r>
    </w:p>
    <w:p>
      <w:pPr>
        <w:pStyle w:val="17"/>
        <w:tabs>
          <w:tab w:val="center" w:pos="4201"/>
          <w:tab w:val="right" w:leader="dot" w:pos="9298"/>
        </w:tabs>
        <w:spacing w:line="400" w:lineRule="exact"/>
        <w:ind w:firstLine="420"/>
        <w:rPr>
          <w:rFonts w:ascii="Times New Roman" w:eastAsiaTheme="minorEastAsia"/>
          <w:kern w:val="2"/>
          <w:sz w:val="21"/>
          <w:szCs w:val="32"/>
        </w:rPr>
      </w:pPr>
      <w:r>
        <w:rPr>
          <w:rFonts w:hint="eastAsia" w:ascii="Times New Roman" w:eastAsiaTheme="minorEastAsia"/>
          <w:kern w:val="2"/>
          <w:sz w:val="21"/>
          <w:szCs w:val="32"/>
        </w:rPr>
        <w:t>牛舍周围环境用2%氢氧化钠或撒生石灰每月消毒1次。场周围及场内污水池、排粪坑、下水道出口，用次氯酸钠每季度消毒1次。牛场入口、圈舍和各生产区入口消毒池应定期更换消毒液。牛只出舍后，先用高压水枪冲洗牛床，后用2%氢氧化钠液喷雾消毒牛舍。带牛消毒可用0.1%苯扎溴铵、0.2%～0.5%过氧乙酸或0.1%次氯酸钠进行喷雾消毒。用2%氢氧化钠或撒生石灰定期对堆粪场消毒。粪便在发酵池内堆放发酵，堆放时间夏季为1个月，冬季2个月～3个月。定期用0.1%苯扎溴铵或0.2%～0.5%过氧乙酸对饲槽、水槽、饲料车等生产用具消毒。</w:t>
      </w:r>
    </w:p>
    <w:p>
      <w:pPr>
        <w:pStyle w:val="17"/>
        <w:tabs>
          <w:tab w:val="center" w:pos="4201"/>
          <w:tab w:val="right" w:leader="dot" w:pos="9298"/>
        </w:tabs>
        <w:spacing w:line="400" w:lineRule="exact"/>
        <w:ind w:firstLine="420"/>
        <w:rPr>
          <w:rFonts w:ascii="Times New Roman" w:eastAsiaTheme="minorEastAsia"/>
          <w:sz w:val="21"/>
          <w:szCs w:val="22"/>
        </w:rPr>
      </w:pPr>
      <w:r>
        <w:rPr>
          <w:rFonts w:hint="eastAsia" w:ascii="Times New Roman" w:eastAsiaTheme="minorEastAsia"/>
          <w:sz w:val="21"/>
          <w:szCs w:val="22"/>
        </w:rPr>
        <w:t>8.2.2 人员</w:t>
      </w:r>
    </w:p>
    <w:p>
      <w:pPr>
        <w:pStyle w:val="17"/>
        <w:tabs>
          <w:tab w:val="center" w:pos="4201"/>
          <w:tab w:val="right" w:leader="dot" w:pos="9298"/>
        </w:tabs>
        <w:spacing w:line="400" w:lineRule="exact"/>
        <w:ind w:firstLine="420"/>
        <w:rPr>
          <w:rFonts w:ascii="Times New Roman" w:eastAsiaTheme="minorEastAsia"/>
          <w:kern w:val="2"/>
          <w:sz w:val="21"/>
          <w:szCs w:val="32"/>
        </w:rPr>
      </w:pPr>
      <w:r>
        <w:rPr>
          <w:rFonts w:hint="eastAsia" w:ascii="Times New Roman" w:eastAsiaTheme="minorEastAsia"/>
          <w:kern w:val="2"/>
          <w:sz w:val="21"/>
          <w:szCs w:val="32"/>
        </w:rPr>
        <w:t>工作人员进入生产区要更换工作服和工作鞋，并经消毒。外来人员进</w:t>
      </w:r>
      <w:r>
        <w:rPr>
          <w:rFonts w:hint="default" w:ascii="Times New Roman" w:eastAsiaTheme="minorEastAsia"/>
          <w:kern w:val="2"/>
          <w:sz w:val="21"/>
          <w:szCs w:val="32"/>
        </w:rPr>
        <w:t>入</w:t>
      </w:r>
      <w:bookmarkStart w:id="35" w:name="_GoBack"/>
      <w:bookmarkEnd w:id="35"/>
      <w:r>
        <w:rPr>
          <w:rFonts w:hint="eastAsia" w:ascii="Times New Roman" w:eastAsiaTheme="minorEastAsia"/>
          <w:kern w:val="2"/>
          <w:sz w:val="21"/>
          <w:szCs w:val="32"/>
        </w:rPr>
        <w:t>生产区时，应更换场区工作服和工作鞋，经消毒，并遵守场内防疫制度，按指定路线行走。</w:t>
      </w:r>
    </w:p>
    <w:p>
      <w:pPr>
        <w:pStyle w:val="17"/>
        <w:tabs>
          <w:tab w:val="center" w:pos="4201"/>
          <w:tab w:val="right" w:leader="dot" w:pos="9298"/>
        </w:tabs>
        <w:spacing w:line="400" w:lineRule="exact"/>
        <w:ind w:firstLine="420"/>
        <w:rPr>
          <w:rFonts w:ascii="Times New Roman" w:eastAsiaTheme="minorEastAsia"/>
          <w:sz w:val="21"/>
          <w:szCs w:val="22"/>
        </w:rPr>
      </w:pPr>
      <w:r>
        <w:rPr>
          <w:rFonts w:hint="eastAsia" w:ascii="Times New Roman" w:eastAsiaTheme="minorEastAsia"/>
          <w:sz w:val="21"/>
          <w:szCs w:val="22"/>
        </w:rPr>
        <w:t>8.2.3 牛舍</w:t>
      </w:r>
    </w:p>
    <w:p>
      <w:pPr>
        <w:pStyle w:val="17"/>
        <w:tabs>
          <w:tab w:val="center" w:pos="4201"/>
          <w:tab w:val="right" w:leader="dot" w:pos="9298"/>
        </w:tabs>
        <w:spacing w:line="400" w:lineRule="exact"/>
        <w:ind w:firstLine="420"/>
        <w:rPr>
          <w:rFonts w:ascii="Times New Roman" w:eastAsiaTheme="minorEastAsia"/>
          <w:sz w:val="21"/>
          <w:szCs w:val="22"/>
        </w:rPr>
      </w:pPr>
      <w:r>
        <w:rPr>
          <w:rFonts w:hint="eastAsia" w:ascii="Times New Roman" w:eastAsiaTheme="minorEastAsia"/>
          <w:sz w:val="21"/>
          <w:szCs w:val="22"/>
        </w:rPr>
        <w:t>进肉牛前，牛舍应彻底打扫干净，然后用高压水枪进行冲洗，再用0.2%过氧乙酸或次氯酸盐等进行喷洒，最后关闭门窗用福尔马林熏蒸消毒。</w:t>
      </w:r>
    </w:p>
    <w:p>
      <w:pPr>
        <w:pStyle w:val="17"/>
        <w:tabs>
          <w:tab w:val="center" w:pos="4201"/>
          <w:tab w:val="right" w:leader="dot" w:pos="9298"/>
        </w:tabs>
        <w:spacing w:line="400" w:lineRule="exact"/>
        <w:ind w:firstLine="420"/>
        <w:rPr>
          <w:rFonts w:ascii="Times New Roman" w:eastAsiaTheme="minorEastAsia"/>
          <w:sz w:val="21"/>
          <w:szCs w:val="22"/>
        </w:rPr>
      </w:pPr>
      <w:r>
        <w:rPr>
          <w:rFonts w:hint="eastAsia" w:ascii="Times New Roman" w:eastAsiaTheme="minorEastAsia"/>
          <w:sz w:val="21"/>
          <w:szCs w:val="22"/>
        </w:rPr>
        <w:t>8.2.4 设备</w:t>
      </w:r>
    </w:p>
    <w:p>
      <w:pPr>
        <w:pStyle w:val="17"/>
        <w:tabs>
          <w:tab w:val="center" w:pos="4201"/>
          <w:tab w:val="right" w:leader="dot" w:pos="9298"/>
        </w:tabs>
        <w:spacing w:line="400" w:lineRule="exact"/>
        <w:ind w:firstLine="400"/>
        <w:rPr>
          <w:rFonts w:ascii="Times New Roman" w:eastAsiaTheme="minorEastAsia"/>
          <w:sz w:val="21"/>
          <w:szCs w:val="22"/>
        </w:rPr>
      </w:pPr>
      <w:r>
        <w:rPr>
          <w:rFonts w:ascii="Times New Roman" w:eastAsiaTheme="minorEastAsia"/>
          <w:szCs w:val="21"/>
        </w:rPr>
        <w:t>每月对饲喂用具、饲料车等器具消毒两次，消毒前先用水彻底清洗，然后以采用浸泡、喷雾等方法消毒。免疫、治疗用器械应在使用前后彻底消毒</w:t>
      </w:r>
      <w:r>
        <w:rPr>
          <w:rFonts w:hint="eastAsia" w:ascii="Times New Roman" w:eastAsiaTheme="minorEastAsia"/>
          <w:sz w:val="21"/>
          <w:szCs w:val="22"/>
        </w:rPr>
        <w:t>。</w:t>
      </w:r>
    </w:p>
    <w:bookmarkEnd w:id="28"/>
    <w:p>
      <w:pPr>
        <w:pStyle w:val="18"/>
        <w:spacing w:before="312" w:after="312"/>
        <w:rPr>
          <w:szCs w:val="21"/>
        </w:rPr>
      </w:pPr>
      <w:bookmarkStart w:id="33" w:name="_Toc30544"/>
      <w:r>
        <w:rPr>
          <w:rFonts w:hint="eastAsia"/>
          <w:szCs w:val="21"/>
        </w:rPr>
        <w:t>出栏和运输</w:t>
      </w:r>
      <w:bookmarkEnd w:id="33"/>
    </w:p>
    <w:p>
      <w:pPr>
        <w:widowControl/>
        <w:spacing w:before="312" w:beforeLines="100" w:after="100" w:afterAutospacing="1"/>
        <w:jc w:val="left"/>
        <w:rPr>
          <w:rFonts w:ascii="黑体" w:hAnsi="黑体" w:eastAsia="黑体"/>
        </w:rPr>
      </w:pPr>
      <w:r>
        <w:rPr>
          <w:rFonts w:hint="eastAsia" w:ascii="黑体" w:hAnsi="黑体" w:eastAsia="黑体"/>
        </w:rPr>
        <w:t>9.1 出栏</w:t>
      </w:r>
    </w:p>
    <w:p>
      <w:pPr>
        <w:pStyle w:val="17"/>
        <w:tabs>
          <w:tab w:val="center" w:pos="4201"/>
          <w:tab w:val="right" w:leader="dot" w:pos="9298"/>
        </w:tabs>
        <w:ind w:firstLine="420"/>
        <w:rPr>
          <w:rFonts w:ascii="Times New Roman" w:eastAsiaTheme="minorEastAsia"/>
          <w:kern w:val="2"/>
          <w:sz w:val="21"/>
          <w:szCs w:val="32"/>
        </w:rPr>
      </w:pPr>
      <w:r>
        <w:rPr>
          <w:rFonts w:hint="eastAsia" w:ascii="Times New Roman" w:eastAsiaTheme="minorEastAsia"/>
          <w:kern w:val="2"/>
          <w:sz w:val="21"/>
          <w:szCs w:val="32"/>
        </w:rPr>
        <w:t>达到该品种牛出栏标准时可出栏。</w:t>
      </w:r>
    </w:p>
    <w:p>
      <w:pPr>
        <w:widowControl/>
        <w:spacing w:before="312" w:beforeLines="100" w:after="100" w:afterAutospacing="1"/>
        <w:jc w:val="left"/>
        <w:rPr>
          <w:rFonts w:ascii="黑体" w:hAnsi="黑体" w:eastAsia="黑体"/>
        </w:rPr>
      </w:pPr>
      <w:r>
        <w:rPr>
          <w:rFonts w:hint="eastAsia" w:ascii="黑体" w:hAnsi="黑体" w:eastAsia="黑体"/>
        </w:rPr>
        <w:t>9.2 运输</w:t>
      </w:r>
    </w:p>
    <w:p>
      <w:pPr>
        <w:pStyle w:val="16"/>
        <w:ind w:firstLine="420"/>
        <w:rPr>
          <w:rFonts w:eastAsiaTheme="minorEastAsia"/>
        </w:rPr>
      </w:pPr>
      <w:r>
        <w:rPr>
          <w:rFonts w:ascii="Times New Roman" w:eastAsiaTheme="minorEastAsia"/>
        </w:rPr>
        <w:t>应符合NY/T 1056的规定</w:t>
      </w:r>
      <w:r>
        <w:rPr>
          <w:rFonts w:hint="eastAsia" w:ascii="Times New Roman" w:eastAsiaTheme="minorEastAsia"/>
        </w:rPr>
        <w:t>。</w:t>
      </w:r>
    </w:p>
    <w:p>
      <w:pPr>
        <w:pStyle w:val="18"/>
        <w:spacing w:before="312" w:after="312"/>
        <w:rPr>
          <w:szCs w:val="21"/>
        </w:rPr>
      </w:pPr>
      <w:r>
        <w:rPr>
          <w:rFonts w:hint="eastAsia"/>
          <w:szCs w:val="21"/>
        </w:rPr>
        <w:t xml:space="preserve"> </w:t>
      </w:r>
      <w:bookmarkStart w:id="34" w:name="_Toc14797"/>
      <w:r>
        <w:rPr>
          <w:rFonts w:hint="eastAsia"/>
          <w:szCs w:val="21"/>
        </w:rPr>
        <w:t>生产档案管理</w:t>
      </w:r>
      <w:bookmarkEnd w:id="34"/>
    </w:p>
    <w:p>
      <w:pPr>
        <w:pStyle w:val="16"/>
        <w:spacing w:line="400" w:lineRule="exact"/>
        <w:ind w:firstLine="420"/>
        <w:rPr>
          <w:rFonts w:ascii="Times New Roman" w:eastAsiaTheme="minorEastAsia"/>
          <w:kern w:val="2"/>
          <w:szCs w:val="32"/>
        </w:rPr>
      </w:pPr>
      <w:r>
        <w:rPr>
          <w:rFonts w:hint="eastAsia" w:ascii="Times New Roman" w:eastAsiaTheme="minorEastAsia"/>
          <w:kern w:val="2"/>
          <w:szCs w:val="32"/>
        </w:rPr>
        <w:t>湖南草山草坡肉牛养殖场（户）按照中华人民共和国农业部令2006年第67号的要求应建立绿色食品肉牛养殖档案，对日常生产、活动等进行记录。档案保存3年以上。</w:t>
      </w:r>
    </w:p>
    <w:p/>
    <w:p/>
    <w:p/>
    <w:p/>
    <w:p/>
    <w:p/>
    <w:p/>
    <w:p/>
    <w:p/>
    <w:p>
      <w:pPr>
        <w:widowControl/>
        <w:spacing w:line="400" w:lineRule="atLeast"/>
        <w:ind w:firstLine="420" w:firstLineChars="200"/>
        <w:contextualSpacing/>
        <w:jc w:val="center"/>
        <w:rPr>
          <w:rFonts w:ascii="Times New Roman" w:hAnsi="Times New Roman" w:eastAsia="黑体" w:cs="Times New Roman"/>
          <w:bCs/>
          <w:kern w:val="0"/>
          <w:szCs w:val="21"/>
        </w:rPr>
      </w:pPr>
      <w:r>
        <w:rPr>
          <w:rFonts w:ascii="Times New Roman" w:hAnsi="Times New Roman" w:eastAsia="黑体" w:cs="Times New Roman"/>
          <w:bCs/>
          <w:kern w:val="0"/>
          <w:szCs w:val="21"/>
        </w:rPr>
        <w:t xml:space="preserve">附 录 </w:t>
      </w:r>
      <w:r>
        <w:rPr>
          <w:rFonts w:hint="eastAsia" w:ascii="Times New Roman" w:hAnsi="Times New Roman" w:eastAsia="黑体" w:cs="Times New Roman"/>
          <w:bCs/>
          <w:kern w:val="0"/>
          <w:szCs w:val="21"/>
        </w:rPr>
        <w:t>A</w:t>
      </w:r>
    </w:p>
    <w:p>
      <w:pPr>
        <w:spacing w:line="400" w:lineRule="atLeast"/>
        <w:ind w:firstLine="420" w:firstLineChars="200"/>
        <w:contextualSpacing/>
        <w:jc w:val="center"/>
        <w:rPr>
          <w:rFonts w:ascii="Times New Roman" w:hAnsi="Times New Roman" w:eastAsia="黑体" w:cs="Times New Roman"/>
          <w:szCs w:val="21"/>
        </w:rPr>
      </w:pPr>
      <w:r>
        <w:rPr>
          <w:rFonts w:ascii="Times New Roman" w:hAnsi="Times New Roman" w:eastAsia="黑体" w:cs="Times New Roman"/>
          <w:szCs w:val="21"/>
        </w:rPr>
        <w:t>（资料性附录)</w:t>
      </w:r>
    </w:p>
    <w:p>
      <w:pPr>
        <w:jc w:val="center"/>
        <w:rPr>
          <w:rFonts w:ascii="Times New Roman" w:hAnsi="Times New Roman" w:cs="Times New Roman"/>
        </w:rPr>
      </w:pPr>
      <w:r>
        <w:rPr>
          <w:rFonts w:hint="eastAsia" w:ascii="Times New Roman" w:hAnsi="Times New Roman" w:eastAsia="黑体" w:cs="Times New Roman"/>
        </w:rPr>
        <w:t>湖南草山草坡育肥牛</w:t>
      </w:r>
      <w:r>
        <w:rPr>
          <w:rFonts w:ascii="Times New Roman" w:hAnsi="Times New Roman" w:eastAsia="黑体" w:cs="Times New Roman"/>
        </w:rPr>
        <w:t>常见病防治</w:t>
      </w:r>
      <w:r>
        <w:rPr>
          <w:rFonts w:hint="eastAsia" w:ascii="Times New Roman" w:hAnsi="Times New Roman" w:eastAsia="黑体" w:cs="Times New Roman"/>
        </w:rPr>
        <w:t>措施</w:t>
      </w:r>
    </w:p>
    <w:p>
      <w:pPr>
        <w:spacing w:line="400" w:lineRule="atLeast"/>
        <w:ind w:firstLine="420" w:firstLineChars="200"/>
        <w:contextualSpacing/>
        <w:jc w:val="center"/>
        <w:rPr>
          <w:rFonts w:ascii="Times New Roman" w:hAnsi="Times New Roman" w:eastAsia="黑体" w:cs="Times New Roman"/>
          <w:bCs/>
          <w:kern w:val="0"/>
          <w:szCs w:val="21"/>
        </w:rPr>
      </w:pPr>
    </w:p>
    <w:tbl>
      <w:tblPr>
        <w:tblStyle w:val="10"/>
        <w:tblW w:w="99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2513"/>
        <w:gridCol w:w="1417"/>
        <w:gridCol w:w="2977"/>
        <w:gridCol w:w="2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839" w:type="dxa"/>
            <w:vAlign w:val="center"/>
          </w:tcPr>
          <w:p>
            <w:pPr>
              <w:spacing w:line="360" w:lineRule="auto"/>
              <w:jc w:val="center"/>
              <w:rPr>
                <w:rFonts w:ascii="Times New Roman" w:hAnsi="Times New Roman" w:cs="Times New Roman"/>
              </w:rPr>
            </w:pPr>
            <w:r>
              <w:rPr>
                <w:rFonts w:ascii="Times New Roman" w:hAnsi="Times New Roman" w:cs="Times New Roman"/>
              </w:rPr>
              <w:t>疾病种类</w:t>
            </w:r>
          </w:p>
        </w:tc>
        <w:tc>
          <w:tcPr>
            <w:tcW w:w="2513" w:type="dxa"/>
            <w:vAlign w:val="center"/>
          </w:tcPr>
          <w:p>
            <w:pPr>
              <w:spacing w:line="360" w:lineRule="auto"/>
              <w:jc w:val="center"/>
              <w:rPr>
                <w:rFonts w:ascii="Times New Roman" w:hAnsi="Times New Roman" w:cs="Times New Roman"/>
              </w:rPr>
            </w:pPr>
            <w:r>
              <w:rPr>
                <w:rFonts w:ascii="Times New Roman" w:hAnsi="Times New Roman" w:cs="Times New Roman"/>
              </w:rPr>
              <w:t>病因</w:t>
            </w:r>
          </w:p>
        </w:tc>
        <w:tc>
          <w:tcPr>
            <w:tcW w:w="1417" w:type="dxa"/>
            <w:vAlign w:val="center"/>
          </w:tcPr>
          <w:p>
            <w:pPr>
              <w:spacing w:line="360" w:lineRule="auto"/>
              <w:jc w:val="center"/>
              <w:rPr>
                <w:rFonts w:ascii="Times New Roman" w:hAnsi="Times New Roman" w:cs="Times New Roman"/>
              </w:rPr>
            </w:pPr>
            <w:r>
              <w:rPr>
                <w:rFonts w:ascii="Times New Roman" w:hAnsi="Times New Roman" w:cs="Times New Roman"/>
              </w:rPr>
              <w:t>症状</w:t>
            </w:r>
          </w:p>
        </w:tc>
        <w:tc>
          <w:tcPr>
            <w:tcW w:w="2977" w:type="dxa"/>
            <w:vAlign w:val="center"/>
          </w:tcPr>
          <w:p>
            <w:pPr>
              <w:spacing w:line="360" w:lineRule="auto"/>
              <w:jc w:val="center"/>
              <w:rPr>
                <w:rFonts w:ascii="Times New Roman" w:hAnsi="Times New Roman" w:cs="Times New Roman"/>
              </w:rPr>
            </w:pPr>
            <w:r>
              <w:rPr>
                <w:rFonts w:ascii="Times New Roman" w:hAnsi="Times New Roman" w:cs="Times New Roman"/>
              </w:rPr>
              <w:t>治疗</w:t>
            </w:r>
          </w:p>
        </w:tc>
        <w:tc>
          <w:tcPr>
            <w:tcW w:w="2181" w:type="dxa"/>
            <w:vAlign w:val="center"/>
          </w:tcPr>
          <w:p>
            <w:pPr>
              <w:spacing w:line="360" w:lineRule="auto"/>
              <w:jc w:val="center"/>
              <w:rPr>
                <w:rFonts w:ascii="Times New Roman" w:hAnsi="Times New Roman" w:cs="Times New Roman"/>
              </w:rPr>
            </w:pPr>
            <w:r>
              <w:rPr>
                <w:rFonts w:ascii="Times New Roman" w:hAnsi="Times New Roman" w:cs="Times New Roman"/>
              </w:rPr>
              <w:t>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pPr>
              <w:spacing w:line="360" w:lineRule="auto"/>
              <w:jc w:val="center"/>
              <w:rPr>
                <w:rFonts w:ascii="Times New Roman" w:hAnsi="Times New Roman" w:cs="Times New Roman"/>
                <w:sz w:val="18"/>
                <w:szCs w:val="18"/>
              </w:rPr>
            </w:pPr>
            <w:r>
              <w:rPr>
                <w:rFonts w:ascii="Times New Roman" w:hAnsi="Times New Roman" w:cs="Times New Roman"/>
                <w:sz w:val="18"/>
                <w:szCs w:val="18"/>
              </w:rPr>
              <w:t>牛病毒性腹泻</w:t>
            </w:r>
          </w:p>
        </w:tc>
        <w:tc>
          <w:tcPr>
            <w:tcW w:w="2513"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由病毒性腹泻病毒引起的一种传染病</w:t>
            </w:r>
          </w:p>
        </w:tc>
        <w:tc>
          <w:tcPr>
            <w:tcW w:w="141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白细胞减少、粘膜发炎、糜烂、坏死和腹泻</w:t>
            </w:r>
          </w:p>
        </w:tc>
        <w:tc>
          <w:tcPr>
            <w:tcW w:w="297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尚无特效治疗方法，对症治疗和加强护理科减轻症状，应用收敛法和补液疗法可缩短恢复期</w:t>
            </w:r>
          </w:p>
        </w:tc>
        <w:tc>
          <w:tcPr>
            <w:tcW w:w="2181"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做好平时检疫工作，防治引入带毒牛，发病牛隔离治疗或急宰，受威胁的健康牛群应用弱毒疫苗和灭活疫苗进行免疫接种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pPr>
              <w:spacing w:line="360" w:lineRule="auto"/>
              <w:jc w:val="center"/>
              <w:rPr>
                <w:rFonts w:ascii="Times New Roman" w:hAnsi="Times New Roman" w:cs="Times New Roman"/>
                <w:sz w:val="18"/>
                <w:szCs w:val="18"/>
              </w:rPr>
            </w:pPr>
            <w:r>
              <w:rPr>
                <w:rFonts w:ascii="Times New Roman" w:hAnsi="Times New Roman" w:cs="Times New Roman"/>
                <w:sz w:val="18"/>
                <w:szCs w:val="18"/>
              </w:rPr>
              <w:t>瘤胃酸中毒</w:t>
            </w:r>
          </w:p>
        </w:tc>
        <w:tc>
          <w:tcPr>
            <w:tcW w:w="2513"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采食大量精料，导致瘤胃内快速产生大量乳酸，并通过瘤胃进入血液</w:t>
            </w:r>
            <w:r>
              <w:rPr>
                <w:rFonts w:hint="eastAsia" w:ascii="Times New Roman" w:hAnsi="Times New Roman" w:cs="Times New Roman"/>
                <w:sz w:val="18"/>
                <w:szCs w:val="18"/>
              </w:rPr>
              <w:t>，</w:t>
            </w:r>
            <w:r>
              <w:rPr>
                <w:rFonts w:ascii="Times New Roman" w:hAnsi="Times New Roman" w:cs="Times New Roman"/>
                <w:sz w:val="18"/>
                <w:szCs w:val="18"/>
              </w:rPr>
              <w:t>慢性酸中毒可以使瘤胃功能下降，频繁出现腹泻，粪便酸臭，可能出现跛行</w:t>
            </w:r>
          </w:p>
        </w:tc>
        <w:tc>
          <w:tcPr>
            <w:tcW w:w="141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精神高度沉郁，极度虚弱，侧卧而不能站立，瞳孔散大，双目失明，体温降低，重度脱水</w:t>
            </w:r>
          </w:p>
        </w:tc>
        <w:tc>
          <w:tcPr>
            <w:tcW w:w="297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瘤胃冲洗是急救措施，用胃管或内径25mm~30mm粗胶管经口插入瘤胃，用1%食盐水或5%碳酸氢钠水、自来水反复冲洗。或者口服碳酸氢钠，严重的一次静脉注射5%碳酸氢钠溶液3L-6L，葡萄糖盐水2L-4L。</w:t>
            </w:r>
          </w:p>
        </w:tc>
        <w:tc>
          <w:tcPr>
            <w:tcW w:w="2181"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日粮构成相对稳定，加喂精料要逐步过渡，在饲料中添加瘤胃缓冲剂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pPr>
              <w:spacing w:line="360" w:lineRule="auto"/>
              <w:jc w:val="center"/>
              <w:rPr>
                <w:rFonts w:ascii="Times New Roman" w:hAnsi="Times New Roman" w:cs="Times New Roman"/>
                <w:sz w:val="18"/>
                <w:szCs w:val="18"/>
              </w:rPr>
            </w:pPr>
            <w:r>
              <w:rPr>
                <w:rFonts w:ascii="Times New Roman" w:hAnsi="Times New Roman" w:cs="Times New Roman"/>
                <w:sz w:val="18"/>
                <w:szCs w:val="18"/>
              </w:rPr>
              <w:t>瘤胃鼓气</w:t>
            </w:r>
          </w:p>
        </w:tc>
        <w:tc>
          <w:tcPr>
            <w:tcW w:w="2513"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采食大量精料，并在瘤胃中快速发酵产生大量气体，采食了雨后的水草和早晨含有大量露水的青草也易发生。</w:t>
            </w:r>
          </w:p>
        </w:tc>
        <w:tc>
          <w:tcPr>
            <w:tcW w:w="141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左侧肷部明显鼓掌，有鼓音</w:t>
            </w:r>
          </w:p>
        </w:tc>
        <w:tc>
          <w:tcPr>
            <w:tcW w:w="297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瘤胃放气</w:t>
            </w:r>
          </w:p>
        </w:tc>
        <w:tc>
          <w:tcPr>
            <w:tcW w:w="2181" w:type="dxa"/>
            <w:vAlign w:val="center"/>
          </w:tcPr>
          <w:p>
            <w:pPr>
              <w:spacing w:line="360" w:lineRule="auto"/>
              <w:jc w:val="left"/>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pPr>
              <w:spacing w:line="360" w:lineRule="auto"/>
              <w:jc w:val="center"/>
              <w:rPr>
                <w:rFonts w:ascii="Times New Roman" w:hAnsi="Times New Roman" w:cs="Times New Roman"/>
                <w:sz w:val="18"/>
                <w:szCs w:val="18"/>
              </w:rPr>
            </w:pPr>
            <w:r>
              <w:rPr>
                <w:rFonts w:ascii="Times New Roman" w:hAnsi="Times New Roman" w:cs="Times New Roman"/>
                <w:sz w:val="18"/>
                <w:szCs w:val="18"/>
              </w:rPr>
              <w:t>瘤胃积食</w:t>
            </w:r>
          </w:p>
        </w:tc>
        <w:tc>
          <w:tcPr>
            <w:tcW w:w="2513"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采食大量精料，导致食物长时间停留在瘤胃中，引起瘤胃功能下降。</w:t>
            </w:r>
          </w:p>
        </w:tc>
        <w:tc>
          <w:tcPr>
            <w:tcW w:w="1417" w:type="dxa"/>
            <w:vAlign w:val="center"/>
          </w:tcPr>
          <w:p>
            <w:pPr>
              <w:spacing w:line="360" w:lineRule="auto"/>
              <w:jc w:val="left"/>
              <w:rPr>
                <w:rFonts w:ascii="Times New Roman" w:hAnsi="Times New Roman" w:cs="Times New Roman"/>
                <w:sz w:val="18"/>
                <w:szCs w:val="18"/>
              </w:rPr>
            </w:pPr>
          </w:p>
        </w:tc>
        <w:tc>
          <w:tcPr>
            <w:tcW w:w="2977" w:type="dxa"/>
            <w:vAlign w:val="center"/>
          </w:tcPr>
          <w:p>
            <w:pPr>
              <w:spacing w:line="360" w:lineRule="auto"/>
              <w:jc w:val="left"/>
              <w:rPr>
                <w:rFonts w:ascii="Times New Roman" w:hAnsi="Times New Roman" w:cs="Times New Roman"/>
                <w:sz w:val="18"/>
                <w:szCs w:val="18"/>
              </w:rPr>
            </w:pPr>
            <w:r>
              <w:rPr>
                <w:rFonts w:ascii="Times New Roman" w:hAnsi="Times New Roman" w:cs="Times New Roman"/>
                <w:sz w:val="18"/>
                <w:szCs w:val="18"/>
              </w:rPr>
              <w:t>软化食物</w:t>
            </w:r>
          </w:p>
        </w:tc>
        <w:tc>
          <w:tcPr>
            <w:tcW w:w="2181" w:type="dxa"/>
            <w:vAlign w:val="center"/>
          </w:tcPr>
          <w:p>
            <w:pPr>
              <w:spacing w:line="360" w:lineRule="auto"/>
              <w:jc w:val="left"/>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39" w:type="dxa"/>
            <w:vAlign w:val="center"/>
          </w:tcPr>
          <w:p>
            <w:pPr>
              <w:rPr>
                <w:rFonts w:ascii="Times New Roman" w:hAnsi="Times New Roman" w:cs="Times New Roman"/>
                <w:sz w:val="18"/>
                <w:szCs w:val="18"/>
              </w:rPr>
            </w:pPr>
            <w:r>
              <w:rPr>
                <w:rFonts w:ascii="Times New Roman" w:hAnsi="Times New Roman" w:cs="Times New Roman"/>
                <w:sz w:val="18"/>
                <w:szCs w:val="18"/>
              </w:rPr>
              <w:t>寄生虫</w:t>
            </w:r>
          </w:p>
        </w:tc>
        <w:tc>
          <w:tcPr>
            <w:tcW w:w="2513" w:type="dxa"/>
            <w:vAlign w:val="center"/>
          </w:tcPr>
          <w:p>
            <w:pPr>
              <w:rPr>
                <w:rFonts w:ascii="Times New Roman" w:hAnsi="Times New Roman" w:cs="Times New Roman"/>
                <w:sz w:val="18"/>
                <w:szCs w:val="18"/>
              </w:rPr>
            </w:pPr>
          </w:p>
        </w:tc>
        <w:tc>
          <w:tcPr>
            <w:tcW w:w="1417" w:type="dxa"/>
            <w:vAlign w:val="center"/>
          </w:tcPr>
          <w:p>
            <w:pPr>
              <w:rPr>
                <w:rFonts w:ascii="Times New Roman" w:hAnsi="Times New Roman" w:cs="Times New Roman"/>
                <w:sz w:val="18"/>
                <w:szCs w:val="18"/>
              </w:rPr>
            </w:pPr>
          </w:p>
        </w:tc>
        <w:tc>
          <w:tcPr>
            <w:tcW w:w="2977" w:type="dxa"/>
            <w:vAlign w:val="center"/>
          </w:tcPr>
          <w:p>
            <w:pPr>
              <w:jc w:val="left"/>
              <w:rPr>
                <w:rFonts w:ascii="Times New Roman" w:hAnsi="Times New Roman" w:cs="Times New Roman"/>
                <w:sz w:val="18"/>
                <w:szCs w:val="18"/>
              </w:rPr>
            </w:pPr>
            <w:r>
              <w:rPr>
                <w:rFonts w:ascii="Times New Roman" w:hAnsi="Times New Roman" w:cs="Times New Roman"/>
                <w:sz w:val="18"/>
                <w:szCs w:val="18"/>
              </w:rPr>
              <w:t>肝片吸虫：硝氯酚</w:t>
            </w:r>
          </w:p>
          <w:p>
            <w:pPr>
              <w:jc w:val="left"/>
              <w:rPr>
                <w:rFonts w:ascii="Times New Roman" w:hAnsi="Times New Roman" w:cs="Times New Roman"/>
                <w:sz w:val="18"/>
                <w:szCs w:val="18"/>
              </w:rPr>
            </w:pPr>
            <w:r>
              <w:rPr>
                <w:rFonts w:ascii="Times New Roman" w:hAnsi="Times New Roman" w:cs="Times New Roman"/>
                <w:sz w:val="18"/>
                <w:szCs w:val="18"/>
              </w:rPr>
              <w:t>线虫：每千克体重10mg左旋咪唑/次，口服或肌注（非泌乳期）</w:t>
            </w:r>
          </w:p>
          <w:p>
            <w:pPr>
              <w:jc w:val="left"/>
              <w:rPr>
                <w:rFonts w:ascii="Times New Roman" w:hAnsi="Times New Roman" w:cs="Times New Roman"/>
                <w:sz w:val="18"/>
                <w:szCs w:val="18"/>
              </w:rPr>
            </w:pPr>
            <w:r>
              <w:rPr>
                <w:rFonts w:ascii="Times New Roman" w:hAnsi="Times New Roman" w:cs="Times New Roman"/>
                <w:sz w:val="18"/>
                <w:szCs w:val="18"/>
              </w:rPr>
              <w:t>绦虫：每千克体重100mg~120mg氯硝柳胺/次</w:t>
            </w:r>
          </w:p>
          <w:p>
            <w:pPr>
              <w:jc w:val="left"/>
              <w:rPr>
                <w:rFonts w:ascii="Times New Roman" w:hAnsi="Times New Roman" w:cs="Times New Roman"/>
                <w:sz w:val="18"/>
                <w:szCs w:val="18"/>
              </w:rPr>
            </w:pPr>
            <w:r>
              <w:rPr>
                <w:rFonts w:ascii="Times New Roman" w:hAnsi="Times New Roman" w:cs="Times New Roman"/>
                <w:sz w:val="18"/>
                <w:szCs w:val="18"/>
              </w:rPr>
              <w:t>焦虫：每千克体重3.5mg贝尼尔(三氮脒)/次肌肉或皮下注射</w:t>
            </w:r>
          </w:p>
          <w:p>
            <w:pPr>
              <w:jc w:val="left"/>
              <w:rPr>
                <w:rFonts w:ascii="Times New Roman" w:hAnsi="Times New Roman" w:cs="Times New Roman"/>
                <w:sz w:val="18"/>
                <w:szCs w:val="18"/>
              </w:rPr>
            </w:pPr>
            <w:r>
              <w:rPr>
                <w:rFonts w:ascii="Times New Roman" w:hAnsi="Times New Roman" w:cs="Times New Roman"/>
                <w:sz w:val="18"/>
                <w:szCs w:val="18"/>
              </w:rPr>
              <w:t>外寄生虫：螨病可用碘硝酚每千克体重10.0mg或伊维菌素（非泌乳期）每千克体重0.2mg，皮下注射，后者隔1周再注射1次。蜱病治疗方法同“螨病”。</w:t>
            </w:r>
          </w:p>
          <w:p>
            <w:pPr>
              <w:jc w:val="left"/>
              <w:rPr>
                <w:rFonts w:ascii="Times New Roman" w:hAnsi="Times New Roman" w:cs="Times New Roman"/>
                <w:sz w:val="18"/>
                <w:szCs w:val="18"/>
              </w:rPr>
            </w:pPr>
            <w:r>
              <w:rPr>
                <w:rFonts w:ascii="Times New Roman" w:hAnsi="Times New Roman" w:cs="Times New Roman"/>
                <w:sz w:val="18"/>
                <w:szCs w:val="18"/>
              </w:rPr>
              <w:t>疥螨：1%伊维菌素（非泌乳期）</w:t>
            </w:r>
          </w:p>
          <w:p>
            <w:pPr>
              <w:ind w:left="90" w:hanging="90" w:hangingChars="50"/>
              <w:jc w:val="left"/>
              <w:rPr>
                <w:rFonts w:ascii="Times New Roman" w:hAnsi="Times New Roman" w:cs="Times New Roman"/>
                <w:sz w:val="18"/>
                <w:szCs w:val="18"/>
              </w:rPr>
            </w:pPr>
            <w:r>
              <w:rPr>
                <w:rFonts w:ascii="Times New Roman" w:hAnsi="Times New Roman" w:cs="Times New Roman"/>
                <w:sz w:val="18"/>
                <w:szCs w:val="18"/>
              </w:rPr>
              <w:t>血吸虫：每千克体重50mg~75mg吡喹酮/次</w:t>
            </w:r>
          </w:p>
        </w:tc>
        <w:tc>
          <w:tcPr>
            <w:tcW w:w="2181" w:type="dxa"/>
            <w:vAlign w:val="center"/>
          </w:tcPr>
          <w:p>
            <w:pPr>
              <w:rPr>
                <w:rFonts w:ascii="Times New Roman" w:hAnsi="Times New Roman" w:cs="Times New Roman"/>
                <w:sz w:val="18"/>
                <w:szCs w:val="18"/>
              </w:rPr>
            </w:pPr>
            <w:r>
              <w:rPr>
                <w:rFonts w:ascii="Times New Roman" w:hAnsi="Times New Roman" w:cs="Times New Roman"/>
                <w:sz w:val="18"/>
                <w:szCs w:val="18"/>
              </w:rPr>
              <w:t>定期修理牛圈，定期清除垃圾和灰尘，定期消毒，减少圈内蜱的数量；牛舍要保持干燥清洁。每年春秋两季要对牛只皮下注射伊维菌素类或阿维菌素类药物进行预防性驱虫，亦可选择上述药物进行药浴；新引进的牛只要隔离观察2~3周，确定健康后再混群饲养。</w:t>
            </w:r>
          </w:p>
        </w:tc>
      </w:tr>
    </w:tbl>
    <w:p/>
    <w:p/>
    <w:p/>
    <w:p/>
    <w:p/>
    <w:p/>
    <w:p/>
    <w:p/>
    <w:p/>
    <w:p/>
    <w:p/>
    <w:p/>
    <w:p/>
    <w:p/>
    <w:p/>
    <w:p/>
    <w:p/>
    <w:p/>
    <w:p/>
    <w:p/>
    <w:p/>
    <w:p/>
    <w:p/>
    <w:p/>
    <w:p/>
    <w:p/>
    <w:p/>
    <w:p/>
    <w:p/>
    <w:p/>
    <w:p/>
    <w:p/>
    <w:p/>
    <w:p/>
    <w:p/>
    <w:p/>
    <w:p/>
    <w:p/>
    <w:p>
      <w:pPr>
        <w:widowControl/>
        <w:spacing w:line="400" w:lineRule="atLeast"/>
        <w:ind w:firstLine="420" w:firstLineChars="200"/>
        <w:contextualSpacing/>
        <w:jc w:val="center"/>
        <w:rPr>
          <w:rFonts w:ascii="Times New Roman" w:hAnsi="Times New Roman" w:eastAsia="黑体" w:cs="Times New Roman"/>
          <w:bCs/>
          <w:kern w:val="0"/>
          <w:szCs w:val="21"/>
        </w:rPr>
      </w:pPr>
      <w:r>
        <w:rPr>
          <w:rFonts w:ascii="Times New Roman" w:hAnsi="Times New Roman" w:eastAsia="黑体" w:cs="Times New Roman"/>
          <w:bCs/>
          <w:kern w:val="0"/>
          <w:szCs w:val="21"/>
        </w:rPr>
        <w:t xml:space="preserve">附 录 </w:t>
      </w:r>
      <w:r>
        <w:rPr>
          <w:rFonts w:hint="eastAsia" w:ascii="Times New Roman" w:hAnsi="Times New Roman" w:eastAsia="黑体" w:cs="Times New Roman"/>
          <w:bCs/>
          <w:kern w:val="0"/>
          <w:szCs w:val="21"/>
        </w:rPr>
        <w:t>B</w:t>
      </w:r>
    </w:p>
    <w:p>
      <w:pPr>
        <w:spacing w:line="400" w:lineRule="atLeast"/>
        <w:ind w:firstLine="420" w:firstLineChars="200"/>
        <w:contextualSpacing/>
        <w:jc w:val="center"/>
        <w:rPr>
          <w:rFonts w:ascii="Times New Roman" w:hAnsi="Times New Roman" w:eastAsia="黑体" w:cs="Times New Roman"/>
          <w:szCs w:val="21"/>
        </w:rPr>
      </w:pPr>
      <w:r>
        <w:rPr>
          <w:rFonts w:ascii="Times New Roman" w:hAnsi="Times New Roman" w:eastAsia="黑体" w:cs="Times New Roman"/>
          <w:szCs w:val="21"/>
        </w:rPr>
        <w:t>（资料性附录)</w:t>
      </w:r>
    </w:p>
    <w:p>
      <w:pPr>
        <w:jc w:val="center"/>
        <w:rPr>
          <w:rFonts w:ascii="Times New Roman" w:hAnsi="Times New Roman" w:eastAsia="黑体" w:cs="Times New Roman"/>
        </w:rPr>
      </w:pPr>
      <w:r>
        <w:rPr>
          <w:rFonts w:hint="eastAsia" w:ascii="Times New Roman" w:hAnsi="Times New Roman" w:eastAsia="黑体" w:cs="Times New Roman"/>
          <w:bCs/>
          <w:kern w:val="0"/>
          <w:szCs w:val="21"/>
        </w:rPr>
        <w:t>湖南</w:t>
      </w:r>
      <w:r>
        <w:rPr>
          <w:rFonts w:hint="eastAsia" w:ascii="Times New Roman" w:hAnsi="Times New Roman" w:eastAsia="黑体" w:cs="Times New Roman"/>
        </w:rPr>
        <w:t>草山草坡育肥牛养殖推荐兽药使用方案</w:t>
      </w:r>
    </w:p>
    <w:p>
      <w:pPr>
        <w:jc w:val="center"/>
        <w:rPr>
          <w:rFonts w:ascii="Times New Roman" w:hAnsi="Times New Roman" w:eastAsia="黑体" w:cs="Times New Roman"/>
        </w:rPr>
      </w:pPr>
    </w:p>
    <w:tbl>
      <w:tblPr>
        <w:tblStyle w:val="9"/>
        <w:tblW w:w="9214" w:type="dxa"/>
        <w:tblInd w:w="-127" w:type="dxa"/>
        <w:tblLayout w:type="autofit"/>
        <w:tblCellMar>
          <w:top w:w="0" w:type="dxa"/>
          <w:left w:w="0" w:type="dxa"/>
          <w:bottom w:w="0" w:type="dxa"/>
          <w:right w:w="0" w:type="dxa"/>
        </w:tblCellMar>
      </w:tblPr>
      <w:tblGrid>
        <w:gridCol w:w="600"/>
        <w:gridCol w:w="1589"/>
        <w:gridCol w:w="1186"/>
        <w:gridCol w:w="4847"/>
        <w:gridCol w:w="992"/>
      </w:tblGrid>
      <w:tr>
        <w:tblPrEx>
          <w:tblCellMar>
            <w:top w:w="0" w:type="dxa"/>
            <w:left w:w="0" w:type="dxa"/>
            <w:bottom w:w="0" w:type="dxa"/>
            <w:right w:w="0" w:type="dxa"/>
          </w:tblCellMar>
        </w:tblPrEx>
        <w:trPr>
          <w:trHeight w:val="30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类别</w:t>
            </w:r>
          </w:p>
        </w:tc>
        <w:tc>
          <w:tcPr>
            <w:tcW w:w="1589" w:type="dxa"/>
            <w:tcBorders>
              <w:top w:val="single" w:color="auto" w:sz="4" w:space="0"/>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药品名称</w:t>
            </w:r>
          </w:p>
        </w:tc>
        <w:tc>
          <w:tcPr>
            <w:tcW w:w="1186" w:type="dxa"/>
            <w:tcBorders>
              <w:top w:val="single" w:color="auto" w:sz="4" w:space="0"/>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制剂</w:t>
            </w:r>
          </w:p>
        </w:tc>
        <w:tc>
          <w:tcPr>
            <w:tcW w:w="4847"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用法与用量（用量以有效成分计）</w:t>
            </w:r>
          </w:p>
        </w:tc>
        <w:tc>
          <w:tcPr>
            <w:tcW w:w="992" w:type="dxa"/>
            <w:tcBorders>
              <w:top w:val="single" w:color="auto" w:sz="4" w:space="0"/>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休药期/天</w:t>
            </w:r>
          </w:p>
        </w:tc>
      </w:tr>
      <w:tr>
        <w:tblPrEx>
          <w:tblCellMar>
            <w:top w:w="0" w:type="dxa"/>
            <w:left w:w="0" w:type="dxa"/>
            <w:bottom w:w="0" w:type="dxa"/>
            <w:right w:w="0" w:type="dxa"/>
          </w:tblCellMar>
        </w:tblPrEx>
        <w:trPr>
          <w:trHeight w:val="495" w:hRule="atLeast"/>
        </w:trPr>
        <w:tc>
          <w:tcPr>
            <w:tcW w:w="600"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抗寄生虫药</w:t>
            </w: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青蒿琥酯</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片剂</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内服，一次量</w:t>
            </w:r>
            <w:r>
              <w:rPr>
                <w:rStyle w:val="28"/>
                <w:rFonts w:eastAsia="宋体"/>
                <w:color w:val="auto"/>
                <w:sz w:val="18"/>
                <w:szCs w:val="18"/>
              </w:rPr>
              <w:t>5mg/kg</w:t>
            </w:r>
            <w:r>
              <w:rPr>
                <w:rStyle w:val="27"/>
                <w:rFonts w:hint="default" w:ascii="Times New Roman" w:hAnsi="Times New Roman" w:cs="Times New Roman"/>
                <w:color w:val="auto"/>
                <w:sz w:val="18"/>
                <w:szCs w:val="18"/>
              </w:rPr>
              <w:t>体重，首次量加倍，</w:t>
            </w:r>
            <w:r>
              <w:rPr>
                <w:rStyle w:val="28"/>
                <w:rFonts w:eastAsia="宋体"/>
                <w:color w:val="auto"/>
                <w:sz w:val="18"/>
                <w:szCs w:val="18"/>
              </w:rPr>
              <w:t>2</w:t>
            </w:r>
            <w:r>
              <w:rPr>
                <w:rStyle w:val="27"/>
                <w:rFonts w:hint="default" w:ascii="Times New Roman" w:hAnsi="Times New Roman" w:cs="Times New Roman"/>
                <w:color w:val="auto"/>
                <w:sz w:val="18"/>
                <w:szCs w:val="18"/>
              </w:rPr>
              <w:t>次</w:t>
            </w:r>
            <w:r>
              <w:rPr>
                <w:rStyle w:val="28"/>
                <w:rFonts w:eastAsia="宋体"/>
                <w:color w:val="auto"/>
                <w:sz w:val="18"/>
                <w:szCs w:val="18"/>
              </w:rPr>
              <w:t>/</w:t>
            </w:r>
            <w:r>
              <w:rPr>
                <w:rStyle w:val="27"/>
                <w:rFonts w:hint="default" w:ascii="Times New Roman" w:hAnsi="Times New Roman" w:cs="Times New Roman"/>
                <w:color w:val="auto"/>
                <w:sz w:val="18"/>
                <w:szCs w:val="18"/>
              </w:rPr>
              <w:t>日，连用（</w:t>
            </w:r>
            <w:r>
              <w:rPr>
                <w:rStyle w:val="28"/>
                <w:rFonts w:eastAsia="宋体"/>
                <w:color w:val="auto"/>
                <w:sz w:val="18"/>
                <w:szCs w:val="18"/>
              </w:rPr>
              <w:t>2~4</w:t>
            </w:r>
            <w:r>
              <w:rPr>
                <w:rStyle w:val="27"/>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不少于</w:t>
            </w:r>
            <w:r>
              <w:rPr>
                <w:rStyle w:val="28"/>
                <w:rFonts w:eastAsia="宋体"/>
                <w:color w:val="auto"/>
                <w:sz w:val="18"/>
                <w:szCs w:val="18"/>
              </w:rPr>
              <w:t>28</w:t>
            </w:r>
            <w:r>
              <w:rPr>
                <w:rStyle w:val="27"/>
                <w:rFonts w:hint="default" w:ascii="Times New Roman" w:hAnsi="Times New Roman" w:cs="Times New Roman"/>
                <w:color w:val="auto"/>
                <w:sz w:val="18"/>
                <w:szCs w:val="18"/>
              </w:rPr>
              <w:t>天</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溴酚磷</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片剂、粉剂</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内服，一次量</w:t>
            </w:r>
            <w:r>
              <w:rPr>
                <w:rStyle w:val="28"/>
                <w:rFonts w:eastAsia="宋体"/>
                <w:color w:val="auto"/>
                <w:sz w:val="18"/>
                <w:szCs w:val="18"/>
              </w:rPr>
              <w:t>12mg/kg</w:t>
            </w:r>
            <w:r>
              <w:rPr>
                <w:rStyle w:val="27"/>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21</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氯氰碘柳胺钠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片剂、混悬液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内服，一次量</w:t>
            </w:r>
            <w:r>
              <w:rPr>
                <w:rStyle w:val="28"/>
                <w:rFonts w:eastAsia="宋体"/>
                <w:color w:val="auto"/>
                <w:sz w:val="18"/>
                <w:szCs w:val="18"/>
              </w:rPr>
              <w:t>5mg/kg</w:t>
            </w:r>
            <w:r>
              <w:rPr>
                <w:rStyle w:val="27"/>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left"/>
              <w:rPr>
                <w:rFonts w:ascii="Times New Roman" w:hAnsi="Times New Roman" w:eastAsia="宋体" w:cs="Times New Roman"/>
                <w:sz w:val="18"/>
                <w:szCs w:val="18"/>
              </w:rPr>
            </w:pP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皮下或肌肉注射，一次量（</w:t>
            </w:r>
            <w:r>
              <w:rPr>
                <w:rStyle w:val="28"/>
                <w:rFonts w:eastAsia="宋体"/>
                <w:color w:val="auto"/>
                <w:sz w:val="18"/>
                <w:szCs w:val="18"/>
              </w:rPr>
              <w:t>2.5~5</w:t>
            </w:r>
            <w:r>
              <w:rPr>
                <w:rStyle w:val="27"/>
                <w:rFonts w:hint="default" w:ascii="Times New Roman" w:hAnsi="Times New Roman" w:cs="Times New Roman"/>
                <w:color w:val="auto"/>
                <w:sz w:val="18"/>
                <w:szCs w:val="18"/>
              </w:rPr>
              <w:t>）</w:t>
            </w:r>
            <w:r>
              <w:rPr>
                <w:rStyle w:val="28"/>
                <w:rFonts w:eastAsia="宋体"/>
                <w:color w:val="auto"/>
                <w:sz w:val="18"/>
                <w:szCs w:val="18"/>
              </w:rPr>
              <w:t>mg/kg</w:t>
            </w:r>
            <w:r>
              <w:rPr>
                <w:rStyle w:val="27"/>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28</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氰戊菊酯</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溶液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喷雾，配成</w:t>
            </w:r>
            <w:r>
              <w:rPr>
                <w:rStyle w:val="28"/>
                <w:rFonts w:eastAsia="宋体"/>
                <w:color w:val="auto"/>
                <w:sz w:val="18"/>
                <w:szCs w:val="18"/>
              </w:rPr>
              <w:t>0.05%~0.1%</w:t>
            </w:r>
            <w:r>
              <w:rPr>
                <w:rStyle w:val="27"/>
                <w:rFonts w:hint="default" w:ascii="Times New Roman" w:hAnsi="Times New Roman" w:cs="Times New Roman"/>
                <w:color w:val="auto"/>
                <w:sz w:val="18"/>
                <w:szCs w:val="18"/>
              </w:rPr>
              <w:t>的溶液</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盐酸左旋咪唑</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片剂</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内服，一次量</w:t>
            </w:r>
            <w:r>
              <w:rPr>
                <w:rStyle w:val="28"/>
                <w:rFonts w:eastAsia="宋体"/>
                <w:color w:val="auto"/>
                <w:sz w:val="18"/>
                <w:szCs w:val="18"/>
              </w:rPr>
              <w:t>7.5mg/kg</w:t>
            </w:r>
            <w:r>
              <w:rPr>
                <w:rStyle w:val="27"/>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left"/>
              <w:rPr>
                <w:rFonts w:ascii="Times New Roman" w:hAnsi="Times New Roman" w:eastAsia="宋体" w:cs="Times New Roman"/>
                <w:sz w:val="18"/>
                <w:szCs w:val="18"/>
              </w:rPr>
            </w:pP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皮下、肌内注射，一次量</w:t>
            </w:r>
            <w:r>
              <w:rPr>
                <w:rStyle w:val="28"/>
                <w:rFonts w:eastAsia="宋体"/>
                <w:color w:val="auto"/>
                <w:sz w:val="18"/>
                <w:szCs w:val="18"/>
              </w:rPr>
              <w:t>7.5mg/kg</w:t>
            </w:r>
            <w:r>
              <w:rPr>
                <w:rStyle w:val="27"/>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14</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碘醚柳胺</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混悬液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内服，一次量（</w:t>
            </w:r>
            <w:r>
              <w:rPr>
                <w:rStyle w:val="28"/>
                <w:rFonts w:eastAsia="宋体"/>
                <w:color w:val="auto"/>
                <w:sz w:val="18"/>
                <w:szCs w:val="18"/>
              </w:rPr>
              <w:t>7~12</w:t>
            </w:r>
            <w:r>
              <w:rPr>
                <w:rStyle w:val="27"/>
                <w:rFonts w:hint="default" w:ascii="Times New Roman" w:hAnsi="Times New Roman" w:cs="Times New Roman"/>
                <w:color w:val="auto"/>
                <w:sz w:val="18"/>
                <w:szCs w:val="18"/>
              </w:rPr>
              <w:t>）</w:t>
            </w:r>
            <w:r>
              <w:rPr>
                <w:rStyle w:val="28"/>
                <w:rFonts w:eastAsia="宋体"/>
                <w:color w:val="auto"/>
                <w:sz w:val="18"/>
                <w:szCs w:val="18"/>
              </w:rPr>
              <w:t>mg/kg</w:t>
            </w:r>
            <w:r>
              <w:rPr>
                <w:rStyle w:val="27"/>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60</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三氯苯唑</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混悬液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内服，一次量（</w:t>
            </w:r>
            <w:r>
              <w:rPr>
                <w:rStyle w:val="28"/>
                <w:rFonts w:eastAsia="宋体"/>
                <w:color w:val="auto"/>
                <w:sz w:val="18"/>
                <w:szCs w:val="18"/>
              </w:rPr>
              <w:t>6~12</w:t>
            </w:r>
            <w:r>
              <w:rPr>
                <w:rStyle w:val="27"/>
                <w:rFonts w:hint="default" w:ascii="Times New Roman" w:hAnsi="Times New Roman" w:cs="Times New Roman"/>
                <w:color w:val="auto"/>
                <w:sz w:val="18"/>
                <w:szCs w:val="18"/>
              </w:rPr>
              <w:t>）</w:t>
            </w:r>
            <w:r>
              <w:rPr>
                <w:rStyle w:val="28"/>
                <w:rFonts w:eastAsia="宋体"/>
                <w:color w:val="auto"/>
                <w:sz w:val="18"/>
                <w:szCs w:val="18"/>
              </w:rPr>
              <w:t>mg/kg</w:t>
            </w:r>
            <w:r>
              <w:rPr>
                <w:rStyle w:val="27"/>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28</w:t>
            </w:r>
          </w:p>
        </w:tc>
      </w:tr>
      <w:tr>
        <w:tblPrEx>
          <w:tblCellMar>
            <w:top w:w="0" w:type="dxa"/>
            <w:left w:w="0" w:type="dxa"/>
            <w:bottom w:w="0" w:type="dxa"/>
            <w:right w:w="0" w:type="dxa"/>
          </w:tblCellMar>
        </w:tblPrEx>
        <w:trPr>
          <w:trHeight w:val="402" w:hRule="atLeast"/>
        </w:trPr>
        <w:tc>
          <w:tcPr>
            <w:tcW w:w="600" w:type="dxa"/>
            <w:vMerge w:val="restart"/>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widowControl/>
              <w:jc w:val="center"/>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抗菌药</w:t>
            </w:r>
          </w:p>
        </w:tc>
        <w:tc>
          <w:tcPr>
            <w:tcW w:w="1589"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氨苄西林钠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肌内注射，一次量（</w:t>
            </w:r>
            <w:r>
              <w:rPr>
                <w:rStyle w:val="28"/>
                <w:rFonts w:eastAsia="宋体"/>
                <w:color w:val="auto"/>
                <w:sz w:val="18"/>
                <w:szCs w:val="18"/>
              </w:rPr>
              <w:t>10~20</w:t>
            </w:r>
            <w:r>
              <w:rPr>
                <w:rStyle w:val="27"/>
                <w:rFonts w:hint="default" w:ascii="Times New Roman" w:hAnsi="Times New Roman" w:cs="Times New Roman"/>
                <w:color w:val="auto"/>
                <w:sz w:val="18"/>
                <w:szCs w:val="18"/>
              </w:rPr>
              <w:t>）</w:t>
            </w:r>
            <w:r>
              <w:rPr>
                <w:rStyle w:val="28"/>
                <w:rFonts w:eastAsia="宋体"/>
                <w:color w:val="auto"/>
                <w:sz w:val="18"/>
                <w:szCs w:val="18"/>
              </w:rPr>
              <w:t>mg/kg</w:t>
            </w:r>
            <w:r>
              <w:rPr>
                <w:rStyle w:val="27"/>
                <w:rFonts w:hint="default" w:ascii="Times New Roman" w:hAnsi="Times New Roman" w:cs="Times New Roman"/>
                <w:color w:val="auto"/>
                <w:sz w:val="18"/>
                <w:szCs w:val="18"/>
              </w:rPr>
              <w:t>体重，连用（</w:t>
            </w:r>
            <w:r>
              <w:rPr>
                <w:rStyle w:val="28"/>
                <w:rFonts w:eastAsia="宋体"/>
                <w:color w:val="auto"/>
                <w:sz w:val="18"/>
                <w:szCs w:val="18"/>
              </w:rPr>
              <w:t>2~3</w:t>
            </w:r>
            <w:r>
              <w:rPr>
                <w:rStyle w:val="27"/>
                <w:rFonts w:hint="default" w:ascii="Times New Roman" w:hAnsi="Times New Roman" w:cs="Times New Roman"/>
                <w:color w:val="auto"/>
                <w:sz w:val="18"/>
                <w:szCs w:val="18"/>
              </w:rPr>
              <w:t>）次</w:t>
            </w:r>
            <w:r>
              <w:rPr>
                <w:rStyle w:val="28"/>
                <w:rFonts w:eastAsia="宋体"/>
                <w:color w:val="auto"/>
                <w:sz w:val="18"/>
                <w:szCs w:val="18"/>
              </w:rPr>
              <w:t>/</w:t>
            </w:r>
            <w:r>
              <w:rPr>
                <w:rStyle w:val="27"/>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不少于</w:t>
            </w:r>
            <w:r>
              <w:rPr>
                <w:rStyle w:val="28"/>
                <w:rFonts w:eastAsia="宋体"/>
                <w:color w:val="auto"/>
                <w:sz w:val="18"/>
                <w:szCs w:val="18"/>
              </w:rPr>
              <w:t>28</w:t>
            </w:r>
            <w:r>
              <w:rPr>
                <w:rStyle w:val="27"/>
                <w:rFonts w:hint="default" w:ascii="Times New Roman" w:hAnsi="Times New Roman" w:cs="Times New Roman"/>
                <w:color w:val="auto"/>
                <w:sz w:val="18"/>
                <w:szCs w:val="18"/>
              </w:rPr>
              <w:t>天</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left"/>
              <w:rPr>
                <w:rFonts w:ascii="Times New Roman" w:hAnsi="Times New Roman" w:eastAsia="宋体" w:cs="Times New Roman"/>
                <w:sz w:val="18"/>
                <w:szCs w:val="18"/>
              </w:rPr>
            </w:pP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皮下或肌肉注射，一次量（</w:t>
            </w:r>
            <w:r>
              <w:rPr>
                <w:rStyle w:val="28"/>
                <w:rFonts w:eastAsia="宋体"/>
                <w:color w:val="auto"/>
                <w:sz w:val="18"/>
                <w:szCs w:val="18"/>
              </w:rPr>
              <w:t>5~7</w:t>
            </w:r>
            <w:r>
              <w:rPr>
                <w:rStyle w:val="27"/>
                <w:rFonts w:hint="default" w:ascii="Times New Roman" w:hAnsi="Times New Roman" w:cs="Times New Roman"/>
                <w:color w:val="auto"/>
                <w:sz w:val="18"/>
                <w:szCs w:val="18"/>
              </w:rPr>
              <w:t>）</w:t>
            </w:r>
            <w:r>
              <w:rPr>
                <w:rStyle w:val="28"/>
                <w:rFonts w:eastAsia="宋体"/>
                <w:color w:val="auto"/>
                <w:sz w:val="18"/>
                <w:szCs w:val="18"/>
              </w:rPr>
              <w:t>mg/kg</w:t>
            </w:r>
            <w:r>
              <w:rPr>
                <w:rStyle w:val="27"/>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21</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苄星青霉素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肌内注射，一次量（</w:t>
            </w:r>
            <w:r>
              <w:rPr>
                <w:rStyle w:val="28"/>
                <w:rFonts w:eastAsia="宋体"/>
                <w:color w:val="auto"/>
                <w:sz w:val="18"/>
                <w:szCs w:val="18"/>
              </w:rPr>
              <w:t>2~3</w:t>
            </w:r>
            <w:r>
              <w:rPr>
                <w:rStyle w:val="27"/>
                <w:rFonts w:hint="default" w:ascii="Times New Roman" w:hAnsi="Times New Roman" w:cs="Times New Roman"/>
                <w:color w:val="auto"/>
                <w:sz w:val="18"/>
                <w:szCs w:val="18"/>
              </w:rPr>
              <w:t>）万单位</w:t>
            </w:r>
            <w:r>
              <w:rPr>
                <w:rStyle w:val="28"/>
                <w:rFonts w:eastAsia="宋体"/>
                <w:color w:val="auto"/>
                <w:sz w:val="18"/>
                <w:szCs w:val="18"/>
              </w:rPr>
              <w:t>/kg</w:t>
            </w:r>
            <w:r>
              <w:rPr>
                <w:rStyle w:val="27"/>
                <w:rFonts w:hint="default" w:ascii="Times New Roman" w:hAnsi="Times New Roman" w:cs="Times New Roman"/>
                <w:color w:val="auto"/>
                <w:sz w:val="18"/>
                <w:szCs w:val="18"/>
              </w:rPr>
              <w:t>体重，必要时（</w:t>
            </w:r>
            <w:r>
              <w:rPr>
                <w:rStyle w:val="28"/>
                <w:rFonts w:eastAsia="宋体"/>
                <w:color w:val="auto"/>
                <w:sz w:val="18"/>
                <w:szCs w:val="18"/>
              </w:rPr>
              <w:t>3~4</w:t>
            </w:r>
            <w:r>
              <w:rPr>
                <w:rStyle w:val="27"/>
                <w:rFonts w:hint="default" w:ascii="Times New Roman" w:hAnsi="Times New Roman" w:cs="Times New Roman"/>
                <w:color w:val="auto"/>
                <w:sz w:val="18"/>
                <w:szCs w:val="18"/>
              </w:rPr>
              <w:t>）日重复一次</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30</w:t>
            </w:r>
          </w:p>
        </w:tc>
      </w:tr>
      <w:tr>
        <w:tblPrEx>
          <w:tblCellMar>
            <w:top w:w="0" w:type="dxa"/>
            <w:left w:w="0" w:type="dxa"/>
            <w:bottom w:w="0" w:type="dxa"/>
            <w:right w:w="0" w:type="dxa"/>
          </w:tblCellMar>
        </w:tblPrEx>
        <w:trPr>
          <w:trHeight w:val="510"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青霉素钾（钠）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肌内注射，一次量（</w:t>
            </w:r>
            <w:r>
              <w:rPr>
                <w:rStyle w:val="28"/>
                <w:rFonts w:eastAsia="宋体"/>
                <w:color w:val="auto"/>
                <w:sz w:val="18"/>
                <w:szCs w:val="18"/>
              </w:rPr>
              <w:t>1~2</w:t>
            </w:r>
            <w:r>
              <w:rPr>
                <w:rStyle w:val="27"/>
                <w:rFonts w:hint="default" w:ascii="Times New Roman" w:hAnsi="Times New Roman" w:cs="Times New Roman"/>
                <w:color w:val="auto"/>
                <w:sz w:val="18"/>
                <w:szCs w:val="18"/>
              </w:rPr>
              <w:t>）万单位</w:t>
            </w:r>
            <w:r>
              <w:rPr>
                <w:rStyle w:val="28"/>
                <w:rFonts w:eastAsia="宋体"/>
                <w:color w:val="auto"/>
                <w:sz w:val="18"/>
                <w:szCs w:val="18"/>
              </w:rPr>
              <w:t>/kg</w:t>
            </w:r>
            <w:r>
              <w:rPr>
                <w:rStyle w:val="27"/>
                <w:rFonts w:hint="default" w:ascii="Times New Roman" w:hAnsi="Times New Roman" w:cs="Times New Roman"/>
                <w:color w:val="auto"/>
                <w:sz w:val="18"/>
                <w:szCs w:val="18"/>
              </w:rPr>
              <w:t>体重，（</w:t>
            </w:r>
            <w:r>
              <w:rPr>
                <w:rStyle w:val="28"/>
                <w:rFonts w:eastAsia="宋体"/>
                <w:color w:val="auto"/>
                <w:sz w:val="18"/>
                <w:szCs w:val="18"/>
              </w:rPr>
              <w:t>2~3</w:t>
            </w:r>
            <w:r>
              <w:rPr>
                <w:rStyle w:val="27"/>
                <w:rFonts w:hint="default" w:ascii="Times New Roman" w:hAnsi="Times New Roman" w:cs="Times New Roman"/>
                <w:color w:val="auto"/>
                <w:sz w:val="18"/>
                <w:szCs w:val="18"/>
              </w:rPr>
              <w:t>）次</w:t>
            </w:r>
            <w:r>
              <w:rPr>
                <w:rStyle w:val="28"/>
                <w:rFonts w:eastAsia="宋体"/>
                <w:color w:val="auto"/>
                <w:sz w:val="18"/>
                <w:szCs w:val="18"/>
              </w:rPr>
              <w:t>/</w:t>
            </w:r>
            <w:r>
              <w:rPr>
                <w:rStyle w:val="27"/>
                <w:rFonts w:hint="default" w:ascii="Times New Roman" w:hAnsi="Times New Roman" w:cs="Times New Roman"/>
                <w:color w:val="auto"/>
                <w:sz w:val="18"/>
                <w:szCs w:val="18"/>
              </w:rPr>
              <w:t>日，连用（</w:t>
            </w:r>
            <w:r>
              <w:rPr>
                <w:rStyle w:val="28"/>
                <w:rFonts w:eastAsia="宋体"/>
                <w:color w:val="auto"/>
                <w:sz w:val="18"/>
                <w:szCs w:val="18"/>
              </w:rPr>
              <w:t>2~3</w:t>
            </w:r>
            <w:r>
              <w:rPr>
                <w:rStyle w:val="27"/>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不少于</w:t>
            </w:r>
            <w:r>
              <w:rPr>
                <w:rStyle w:val="28"/>
                <w:rFonts w:eastAsia="宋体"/>
                <w:color w:val="auto"/>
                <w:sz w:val="18"/>
                <w:szCs w:val="18"/>
              </w:rPr>
              <w:t>28</w:t>
            </w:r>
            <w:r>
              <w:rPr>
                <w:rStyle w:val="27"/>
                <w:rFonts w:hint="default" w:ascii="Times New Roman" w:hAnsi="Times New Roman" w:cs="Times New Roman"/>
                <w:color w:val="auto"/>
                <w:sz w:val="18"/>
                <w:szCs w:val="18"/>
              </w:rPr>
              <w:t>天</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硫酸小檗碱</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肌内注射，一次量</w:t>
            </w:r>
            <w:r>
              <w:rPr>
                <w:rStyle w:val="28"/>
                <w:rFonts w:eastAsia="宋体"/>
                <w:color w:val="auto"/>
                <w:sz w:val="18"/>
                <w:szCs w:val="18"/>
              </w:rPr>
              <w:t>0.15g~0.4g</w:t>
            </w:r>
          </w:p>
        </w:tc>
        <w:tc>
          <w:tcPr>
            <w:tcW w:w="992" w:type="dxa"/>
            <w:vMerge w:val="restart"/>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0</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left"/>
              <w:rPr>
                <w:rFonts w:ascii="Times New Roman" w:hAnsi="Times New Roman" w:eastAsia="宋体" w:cs="Times New Roman"/>
                <w:sz w:val="18"/>
                <w:szCs w:val="18"/>
              </w:rPr>
            </w:pP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粉剂</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内服，一次量</w:t>
            </w:r>
            <w:r>
              <w:rPr>
                <w:rStyle w:val="28"/>
                <w:rFonts w:eastAsia="宋体"/>
                <w:color w:val="auto"/>
                <w:sz w:val="18"/>
                <w:szCs w:val="18"/>
              </w:rPr>
              <w:t>3g~5g</w:t>
            </w:r>
          </w:p>
        </w:tc>
        <w:tc>
          <w:tcPr>
            <w:tcW w:w="992" w:type="dxa"/>
            <w:vMerge w:val="continue"/>
            <w:tcBorders>
              <w:top w:val="nil"/>
              <w:left w:val="single" w:color="auto" w:sz="4" w:space="0"/>
              <w:bottom w:val="single" w:color="000000" w:sz="4" w:space="0"/>
              <w:right w:val="single" w:color="auto"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sz w:val="18"/>
                <w:szCs w:val="18"/>
              </w:rPr>
            </w:pPr>
          </w:p>
        </w:tc>
      </w:tr>
      <w:tr>
        <w:tblPrEx>
          <w:tblCellMar>
            <w:top w:w="0" w:type="dxa"/>
            <w:left w:w="0" w:type="dxa"/>
            <w:bottom w:w="0" w:type="dxa"/>
            <w:right w:w="0" w:type="dxa"/>
          </w:tblCellMar>
        </w:tblPrEx>
        <w:trPr>
          <w:trHeight w:val="495"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恩诺沙星</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注射液</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肌内注射，一次量</w:t>
            </w:r>
            <w:r>
              <w:rPr>
                <w:rStyle w:val="28"/>
                <w:rFonts w:eastAsia="宋体"/>
                <w:color w:val="auto"/>
                <w:sz w:val="18"/>
                <w:szCs w:val="18"/>
              </w:rPr>
              <w:t>2.5mg/kg</w:t>
            </w:r>
            <w:r>
              <w:rPr>
                <w:rStyle w:val="27"/>
                <w:rFonts w:hint="default" w:ascii="Times New Roman" w:hAnsi="Times New Roman" w:cs="Times New Roman"/>
                <w:color w:val="auto"/>
                <w:sz w:val="18"/>
                <w:szCs w:val="18"/>
              </w:rPr>
              <w:t>体重，（</w:t>
            </w:r>
            <w:r>
              <w:rPr>
                <w:rStyle w:val="28"/>
                <w:rFonts w:eastAsia="宋体"/>
                <w:color w:val="auto"/>
                <w:sz w:val="18"/>
                <w:szCs w:val="18"/>
              </w:rPr>
              <w:t>1~2</w:t>
            </w:r>
            <w:r>
              <w:rPr>
                <w:rStyle w:val="27"/>
                <w:rFonts w:hint="default" w:ascii="Times New Roman" w:hAnsi="Times New Roman" w:cs="Times New Roman"/>
                <w:color w:val="auto"/>
                <w:sz w:val="18"/>
                <w:szCs w:val="18"/>
              </w:rPr>
              <w:t>）次</w:t>
            </w:r>
            <w:r>
              <w:rPr>
                <w:rStyle w:val="28"/>
                <w:rFonts w:eastAsia="宋体"/>
                <w:color w:val="auto"/>
                <w:sz w:val="18"/>
                <w:szCs w:val="18"/>
              </w:rPr>
              <w:t>/</w:t>
            </w:r>
            <w:r>
              <w:rPr>
                <w:rStyle w:val="27"/>
                <w:rFonts w:hint="default" w:ascii="Times New Roman" w:hAnsi="Times New Roman" w:cs="Times New Roman"/>
                <w:color w:val="auto"/>
                <w:sz w:val="18"/>
                <w:szCs w:val="18"/>
              </w:rPr>
              <w:t>日，连用（</w:t>
            </w:r>
            <w:r>
              <w:rPr>
                <w:rStyle w:val="28"/>
                <w:rFonts w:eastAsia="宋体"/>
                <w:color w:val="auto"/>
                <w:sz w:val="18"/>
                <w:szCs w:val="18"/>
              </w:rPr>
              <w:t>2~3</w:t>
            </w:r>
            <w:r>
              <w:rPr>
                <w:rStyle w:val="27"/>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14</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乳糖酸红霉素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静脉注射，一次量（</w:t>
            </w:r>
            <w:r>
              <w:rPr>
                <w:rStyle w:val="28"/>
                <w:rFonts w:eastAsia="宋体"/>
                <w:color w:val="auto"/>
                <w:sz w:val="18"/>
                <w:szCs w:val="18"/>
              </w:rPr>
              <w:t>3~5</w:t>
            </w:r>
            <w:r>
              <w:rPr>
                <w:rStyle w:val="27"/>
                <w:rFonts w:hint="default" w:ascii="Times New Roman" w:hAnsi="Times New Roman" w:cs="Times New Roman"/>
                <w:color w:val="auto"/>
                <w:sz w:val="18"/>
                <w:szCs w:val="18"/>
              </w:rPr>
              <w:t>）</w:t>
            </w:r>
            <w:r>
              <w:rPr>
                <w:rStyle w:val="28"/>
                <w:rFonts w:eastAsia="宋体"/>
                <w:color w:val="auto"/>
                <w:sz w:val="18"/>
                <w:szCs w:val="18"/>
              </w:rPr>
              <w:t>mg/kg</w:t>
            </w:r>
            <w:r>
              <w:rPr>
                <w:rStyle w:val="27"/>
                <w:rFonts w:hint="default" w:ascii="Times New Roman" w:hAnsi="Times New Roman" w:cs="Times New Roman"/>
                <w:color w:val="auto"/>
                <w:sz w:val="18"/>
                <w:szCs w:val="18"/>
              </w:rPr>
              <w:t>体重，</w:t>
            </w:r>
            <w:r>
              <w:rPr>
                <w:rStyle w:val="28"/>
                <w:rFonts w:eastAsia="宋体"/>
                <w:color w:val="auto"/>
                <w:sz w:val="18"/>
                <w:szCs w:val="18"/>
              </w:rPr>
              <w:t>2</w:t>
            </w:r>
            <w:r>
              <w:rPr>
                <w:rStyle w:val="27"/>
                <w:rFonts w:hint="default" w:ascii="Times New Roman" w:hAnsi="Times New Roman" w:cs="Times New Roman"/>
                <w:color w:val="auto"/>
                <w:sz w:val="18"/>
                <w:szCs w:val="18"/>
              </w:rPr>
              <w:t>次</w:t>
            </w:r>
            <w:r>
              <w:rPr>
                <w:rStyle w:val="28"/>
                <w:rFonts w:eastAsia="宋体"/>
                <w:color w:val="auto"/>
                <w:sz w:val="18"/>
                <w:szCs w:val="18"/>
              </w:rPr>
              <w:t>/</w:t>
            </w:r>
            <w:r>
              <w:rPr>
                <w:rStyle w:val="27"/>
                <w:rFonts w:hint="default" w:ascii="Times New Roman" w:hAnsi="Times New Roman" w:cs="Times New Roman"/>
                <w:color w:val="auto"/>
                <w:sz w:val="18"/>
                <w:szCs w:val="18"/>
              </w:rPr>
              <w:t>日，连用（</w:t>
            </w:r>
            <w:r>
              <w:rPr>
                <w:rStyle w:val="28"/>
                <w:rFonts w:eastAsia="宋体"/>
                <w:color w:val="auto"/>
                <w:sz w:val="18"/>
                <w:szCs w:val="18"/>
              </w:rPr>
              <w:t>2~3</w:t>
            </w:r>
            <w:r>
              <w:rPr>
                <w:rStyle w:val="27"/>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21</w:t>
            </w:r>
          </w:p>
        </w:tc>
      </w:tr>
      <w:tr>
        <w:tblPrEx>
          <w:tblCellMar>
            <w:top w:w="0" w:type="dxa"/>
            <w:left w:w="0" w:type="dxa"/>
            <w:bottom w:w="0" w:type="dxa"/>
            <w:right w:w="0" w:type="dxa"/>
          </w:tblCellMar>
        </w:tblPrEx>
        <w:trPr>
          <w:trHeight w:val="402"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土霉素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注射液（长效）</w:t>
            </w:r>
          </w:p>
        </w:tc>
        <w:tc>
          <w:tcPr>
            <w:tcW w:w="4847"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肌内注射，一次量（</w:t>
            </w:r>
            <w:r>
              <w:rPr>
                <w:rStyle w:val="28"/>
                <w:rFonts w:eastAsia="宋体"/>
                <w:color w:val="auto"/>
                <w:sz w:val="18"/>
                <w:szCs w:val="18"/>
              </w:rPr>
              <w:t>10~20</w:t>
            </w:r>
            <w:r>
              <w:rPr>
                <w:rStyle w:val="27"/>
                <w:rFonts w:hint="default" w:ascii="Times New Roman" w:hAnsi="Times New Roman" w:cs="Times New Roman"/>
                <w:color w:val="auto"/>
                <w:sz w:val="18"/>
                <w:szCs w:val="18"/>
              </w:rPr>
              <w:t>）</w:t>
            </w:r>
            <w:r>
              <w:rPr>
                <w:rStyle w:val="28"/>
                <w:rFonts w:eastAsia="宋体"/>
                <w:color w:val="auto"/>
                <w:sz w:val="18"/>
                <w:szCs w:val="18"/>
              </w:rPr>
              <w:t>mg/kg</w:t>
            </w:r>
            <w:r>
              <w:rPr>
                <w:rStyle w:val="27"/>
                <w:rFonts w:hint="default" w:ascii="Times New Roman" w:hAnsi="Times New Roman" w:cs="Times New Roman"/>
                <w:color w:val="auto"/>
                <w:sz w:val="18"/>
                <w:szCs w:val="18"/>
              </w:rPr>
              <w:t>体重</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28</w:t>
            </w:r>
          </w:p>
        </w:tc>
      </w:tr>
      <w:tr>
        <w:tblPrEx>
          <w:tblCellMar>
            <w:top w:w="0" w:type="dxa"/>
            <w:left w:w="0" w:type="dxa"/>
            <w:bottom w:w="0" w:type="dxa"/>
            <w:right w:w="0" w:type="dxa"/>
          </w:tblCellMar>
        </w:tblPrEx>
        <w:trPr>
          <w:trHeight w:val="495"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盐酸土霉素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静脉注射，一次量（</w:t>
            </w:r>
            <w:r>
              <w:rPr>
                <w:rStyle w:val="28"/>
                <w:rFonts w:eastAsia="宋体"/>
                <w:color w:val="auto"/>
                <w:sz w:val="18"/>
                <w:szCs w:val="18"/>
              </w:rPr>
              <w:t>5~10</w:t>
            </w:r>
            <w:r>
              <w:rPr>
                <w:rStyle w:val="27"/>
                <w:rFonts w:hint="default" w:ascii="Times New Roman" w:hAnsi="Times New Roman" w:cs="Times New Roman"/>
                <w:color w:val="auto"/>
                <w:sz w:val="18"/>
                <w:szCs w:val="18"/>
              </w:rPr>
              <w:t>）</w:t>
            </w:r>
            <w:r>
              <w:rPr>
                <w:rStyle w:val="28"/>
                <w:rFonts w:eastAsia="宋体"/>
                <w:color w:val="auto"/>
                <w:sz w:val="18"/>
                <w:szCs w:val="18"/>
              </w:rPr>
              <w:t>mg/kg</w:t>
            </w:r>
            <w:r>
              <w:rPr>
                <w:rStyle w:val="27"/>
                <w:rFonts w:hint="default" w:ascii="Times New Roman" w:hAnsi="Times New Roman" w:cs="Times New Roman"/>
                <w:color w:val="auto"/>
                <w:sz w:val="18"/>
                <w:szCs w:val="18"/>
              </w:rPr>
              <w:t>体重，</w:t>
            </w:r>
            <w:r>
              <w:rPr>
                <w:rStyle w:val="28"/>
                <w:rFonts w:eastAsia="宋体"/>
                <w:color w:val="auto"/>
                <w:sz w:val="18"/>
                <w:szCs w:val="18"/>
              </w:rPr>
              <w:t>2</w:t>
            </w:r>
            <w:r>
              <w:rPr>
                <w:rStyle w:val="27"/>
                <w:rFonts w:hint="default" w:ascii="Times New Roman" w:hAnsi="Times New Roman" w:cs="Times New Roman"/>
                <w:color w:val="auto"/>
                <w:sz w:val="18"/>
                <w:szCs w:val="18"/>
              </w:rPr>
              <w:t>次</w:t>
            </w:r>
            <w:r>
              <w:rPr>
                <w:rStyle w:val="28"/>
                <w:rFonts w:eastAsia="宋体"/>
                <w:color w:val="auto"/>
                <w:sz w:val="18"/>
                <w:szCs w:val="18"/>
              </w:rPr>
              <w:t>/</w:t>
            </w:r>
            <w:r>
              <w:rPr>
                <w:rStyle w:val="27"/>
                <w:rFonts w:hint="default" w:ascii="Times New Roman" w:hAnsi="Times New Roman" w:cs="Times New Roman"/>
                <w:color w:val="auto"/>
                <w:sz w:val="18"/>
                <w:szCs w:val="18"/>
              </w:rPr>
              <w:t>日，连用（</w:t>
            </w:r>
            <w:r>
              <w:rPr>
                <w:rStyle w:val="28"/>
                <w:rFonts w:eastAsia="宋体"/>
                <w:color w:val="auto"/>
                <w:sz w:val="18"/>
                <w:szCs w:val="18"/>
              </w:rPr>
              <w:t>2~3</w:t>
            </w:r>
            <w:r>
              <w:rPr>
                <w:rStyle w:val="27"/>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19</w:t>
            </w:r>
          </w:p>
        </w:tc>
      </w:tr>
      <w:tr>
        <w:tblPrEx>
          <w:tblCellMar>
            <w:top w:w="0" w:type="dxa"/>
            <w:left w:w="0" w:type="dxa"/>
            <w:bottom w:w="0" w:type="dxa"/>
            <w:right w:w="0" w:type="dxa"/>
          </w:tblCellMar>
        </w:tblPrEx>
        <w:trPr>
          <w:trHeight w:val="510"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普鲁卡因青霉素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肌内注射，一次量（</w:t>
            </w:r>
            <w:r>
              <w:rPr>
                <w:rStyle w:val="28"/>
                <w:rFonts w:eastAsia="宋体"/>
                <w:color w:val="auto"/>
                <w:sz w:val="18"/>
                <w:szCs w:val="18"/>
              </w:rPr>
              <w:t>1~2</w:t>
            </w:r>
            <w:r>
              <w:rPr>
                <w:rStyle w:val="27"/>
                <w:rFonts w:hint="default" w:ascii="Times New Roman" w:hAnsi="Times New Roman" w:cs="Times New Roman"/>
                <w:color w:val="auto"/>
                <w:sz w:val="18"/>
                <w:szCs w:val="18"/>
              </w:rPr>
              <w:t>）万单位</w:t>
            </w:r>
            <w:r>
              <w:rPr>
                <w:rStyle w:val="28"/>
                <w:rFonts w:eastAsia="宋体"/>
                <w:color w:val="auto"/>
                <w:sz w:val="18"/>
                <w:szCs w:val="18"/>
              </w:rPr>
              <w:t>/kg</w:t>
            </w:r>
            <w:r>
              <w:rPr>
                <w:rStyle w:val="27"/>
                <w:rFonts w:hint="default" w:ascii="Times New Roman" w:hAnsi="Times New Roman" w:cs="Times New Roman"/>
                <w:color w:val="auto"/>
                <w:sz w:val="18"/>
                <w:szCs w:val="18"/>
              </w:rPr>
              <w:t>体重，</w:t>
            </w:r>
            <w:r>
              <w:rPr>
                <w:rStyle w:val="28"/>
                <w:rFonts w:eastAsia="宋体"/>
                <w:color w:val="auto"/>
                <w:sz w:val="18"/>
                <w:szCs w:val="18"/>
              </w:rPr>
              <w:t>1</w:t>
            </w:r>
            <w:r>
              <w:rPr>
                <w:rStyle w:val="27"/>
                <w:rFonts w:hint="default" w:ascii="Times New Roman" w:hAnsi="Times New Roman" w:cs="Times New Roman"/>
                <w:color w:val="auto"/>
                <w:sz w:val="18"/>
                <w:szCs w:val="18"/>
              </w:rPr>
              <w:t>次</w:t>
            </w:r>
            <w:r>
              <w:rPr>
                <w:rStyle w:val="28"/>
                <w:rFonts w:eastAsia="宋体"/>
                <w:color w:val="auto"/>
                <w:sz w:val="18"/>
                <w:szCs w:val="18"/>
              </w:rPr>
              <w:t>/</w:t>
            </w:r>
            <w:r>
              <w:rPr>
                <w:rStyle w:val="27"/>
                <w:rFonts w:hint="default" w:ascii="Times New Roman" w:hAnsi="Times New Roman" w:cs="Times New Roman"/>
                <w:color w:val="auto"/>
                <w:sz w:val="18"/>
                <w:szCs w:val="18"/>
              </w:rPr>
              <w:t>日，连用（</w:t>
            </w:r>
            <w:r>
              <w:rPr>
                <w:rStyle w:val="28"/>
                <w:rFonts w:eastAsia="宋体"/>
                <w:color w:val="auto"/>
                <w:sz w:val="18"/>
                <w:szCs w:val="18"/>
              </w:rPr>
              <w:t>2~3</w:t>
            </w:r>
            <w:r>
              <w:rPr>
                <w:rStyle w:val="27"/>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10</w:t>
            </w:r>
          </w:p>
        </w:tc>
      </w:tr>
      <w:tr>
        <w:tblPrEx>
          <w:tblCellMar>
            <w:top w:w="0" w:type="dxa"/>
            <w:left w:w="0" w:type="dxa"/>
            <w:bottom w:w="0" w:type="dxa"/>
            <w:right w:w="0" w:type="dxa"/>
          </w:tblCellMar>
        </w:tblPrEx>
        <w:trPr>
          <w:trHeight w:val="495" w:hRule="atLeast"/>
        </w:trPr>
        <w:tc>
          <w:tcPr>
            <w:tcW w:w="600" w:type="dxa"/>
            <w:vMerge w:val="continue"/>
            <w:tcBorders>
              <w:top w:val="nil"/>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Times New Roman" w:hAnsi="Times New Roman" w:eastAsia="宋体" w:cs="Times New Roman"/>
                <w:sz w:val="18"/>
                <w:szCs w:val="18"/>
              </w:rPr>
            </w:pPr>
          </w:p>
        </w:tc>
        <w:tc>
          <w:tcPr>
            <w:tcW w:w="1589"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硫酸链霉素</w:t>
            </w:r>
          </w:p>
        </w:tc>
        <w:tc>
          <w:tcPr>
            <w:tcW w:w="1186"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注射用粉针</w:t>
            </w:r>
          </w:p>
        </w:tc>
        <w:tc>
          <w:tcPr>
            <w:tcW w:w="484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18"/>
                <w:szCs w:val="18"/>
              </w:rPr>
            </w:pPr>
            <w:r>
              <w:rPr>
                <w:rStyle w:val="27"/>
                <w:rFonts w:hint="default" w:ascii="Times New Roman" w:hAnsi="Times New Roman" w:cs="Times New Roman"/>
                <w:color w:val="auto"/>
                <w:sz w:val="18"/>
                <w:szCs w:val="18"/>
              </w:rPr>
              <w:t>肌内注射，一次量（</w:t>
            </w:r>
            <w:r>
              <w:rPr>
                <w:rStyle w:val="28"/>
                <w:rFonts w:eastAsia="宋体"/>
                <w:color w:val="auto"/>
                <w:sz w:val="18"/>
                <w:szCs w:val="18"/>
              </w:rPr>
              <w:t>10~15</w:t>
            </w:r>
            <w:r>
              <w:rPr>
                <w:rStyle w:val="27"/>
                <w:rFonts w:hint="default" w:ascii="Times New Roman" w:hAnsi="Times New Roman" w:cs="Times New Roman"/>
                <w:color w:val="auto"/>
                <w:sz w:val="18"/>
                <w:szCs w:val="18"/>
              </w:rPr>
              <w:t>）</w:t>
            </w:r>
            <w:r>
              <w:rPr>
                <w:rStyle w:val="28"/>
                <w:rFonts w:eastAsia="宋体"/>
                <w:color w:val="auto"/>
                <w:sz w:val="18"/>
                <w:szCs w:val="18"/>
              </w:rPr>
              <w:t>mg/kg</w:t>
            </w:r>
            <w:r>
              <w:rPr>
                <w:rStyle w:val="27"/>
                <w:rFonts w:hint="default" w:ascii="Times New Roman" w:hAnsi="Times New Roman" w:cs="Times New Roman"/>
                <w:color w:val="auto"/>
                <w:sz w:val="18"/>
                <w:szCs w:val="18"/>
              </w:rPr>
              <w:t>体重，</w:t>
            </w:r>
            <w:r>
              <w:rPr>
                <w:rStyle w:val="28"/>
                <w:rFonts w:eastAsia="宋体"/>
                <w:color w:val="auto"/>
                <w:sz w:val="18"/>
                <w:szCs w:val="18"/>
              </w:rPr>
              <w:t>2</w:t>
            </w:r>
            <w:r>
              <w:rPr>
                <w:rStyle w:val="27"/>
                <w:rFonts w:hint="default" w:ascii="Times New Roman" w:hAnsi="Times New Roman" w:cs="Times New Roman"/>
                <w:color w:val="auto"/>
                <w:sz w:val="18"/>
                <w:szCs w:val="18"/>
              </w:rPr>
              <w:t>次</w:t>
            </w:r>
            <w:r>
              <w:rPr>
                <w:rStyle w:val="28"/>
                <w:rFonts w:eastAsia="宋体"/>
                <w:color w:val="auto"/>
                <w:sz w:val="18"/>
                <w:szCs w:val="18"/>
              </w:rPr>
              <w:t>/</w:t>
            </w:r>
            <w:r>
              <w:rPr>
                <w:rStyle w:val="27"/>
                <w:rFonts w:hint="default" w:ascii="Times New Roman" w:hAnsi="Times New Roman" w:cs="Times New Roman"/>
                <w:color w:val="auto"/>
                <w:sz w:val="18"/>
                <w:szCs w:val="18"/>
              </w:rPr>
              <w:t>日，连用（</w:t>
            </w:r>
            <w:r>
              <w:rPr>
                <w:rStyle w:val="28"/>
                <w:rFonts w:eastAsia="宋体"/>
                <w:color w:val="auto"/>
                <w:sz w:val="18"/>
                <w:szCs w:val="18"/>
              </w:rPr>
              <w:t>2~3</w:t>
            </w:r>
            <w:r>
              <w:rPr>
                <w:rStyle w:val="27"/>
                <w:rFonts w:hint="default" w:ascii="Times New Roman" w:hAnsi="Times New Roman" w:cs="Times New Roman"/>
                <w:color w:val="auto"/>
                <w:sz w:val="18"/>
                <w:szCs w:val="18"/>
              </w:rPr>
              <w:t>）日</w:t>
            </w:r>
          </w:p>
        </w:tc>
        <w:tc>
          <w:tcPr>
            <w:tcW w:w="992" w:type="dxa"/>
            <w:tcBorders>
              <w:top w:val="nil"/>
              <w:left w:val="nil"/>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14</w:t>
            </w:r>
          </w:p>
        </w:tc>
      </w:tr>
    </w:tbl>
    <w:p/>
    <w:sectPr>
      <w:headerReference r:id="rId9" w:type="default"/>
      <w:footerReference r:id="rId10"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II</w:t>
    </w:r>
    <w:r>
      <w:rPr>
        <w:rStyle w:val="12"/>
      </w:rPr>
      <w:fldChar w:fldCharType="end"/>
    </w:r>
  </w:p>
  <w:p>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rPr>
        <w:rFonts w:cs="Times New Roman"/>
      </w:rPr>
    </w:pPr>
    <w:r>
      <w:fldChar w:fldCharType="begin"/>
    </w:r>
    <w:r>
      <w:instrText xml:space="preserve"> PAGE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10</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bCs/>
        <w:szCs w:val="28"/>
      </w:rPr>
      <w:t>DB43/T</w:t>
    </w:r>
    <w:r>
      <w:rPr>
        <w:rFonts w:hint="eastAsia"/>
        <w:szCs w:val="28"/>
      </w:rPr>
      <w:t>XXX</w:t>
    </w:r>
    <w:r>
      <w:rPr>
        <w:szCs w:val="28"/>
      </w:rPr>
      <w:t>—201</w:t>
    </w:r>
    <w:r>
      <w:rPr>
        <w:rFonts w:hint="eastAsia"/>
        <w:szCs w:val="28"/>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t>DB43/T XXXX—202</w:t>
    </w:r>
    <w:r>
      <w:rPr>
        <w:rFonts w:hint="eastAsia"/>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b/>
      </w:rPr>
    </w:pPr>
    <w:r>
      <w:rPr>
        <w:rFonts w:hint="eastAsia"/>
      </w:rPr>
      <w:t xml:space="preserve">                                                           </w:t>
    </w:r>
    <w:r>
      <w:rPr>
        <w:b/>
      </w:rPr>
      <w:t>DB43/T XXXX-202</w:t>
    </w:r>
    <w:r>
      <w:rPr>
        <w:rFonts w:hint="eastAsia"/>
        <w:b/>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22"/>
      <w:suff w:val="nothing"/>
      <w:lvlText w:val="%1　"/>
      <w:lvlJc w:val="left"/>
      <w:rPr>
        <w:rFonts w:hint="eastAsia" w:ascii="黑体" w:hAnsi="Times New Roman" w:eastAsia="黑体" w:cs="Times New Roman"/>
        <w:b w:val="0"/>
        <w:bCs w:val="0"/>
        <w:i w:val="0"/>
        <w:iCs w:val="0"/>
        <w:sz w:val="21"/>
        <w:szCs w:val="21"/>
      </w:rPr>
    </w:lvl>
    <w:lvl w:ilvl="1" w:tentative="0">
      <w:start w:val="1"/>
      <w:numFmt w:val="decimal"/>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rPr>
        <w:rFonts w:hint="eastAsia" w:ascii="黑体" w:hAnsi="Times New Roman" w:eastAsia="黑体" w:cs="Times New Roman"/>
        <w:b w:val="0"/>
        <w:bCs w:val="0"/>
        <w:i w:val="0"/>
        <w:iCs w:val="0"/>
        <w:sz w:val="21"/>
        <w:szCs w:val="21"/>
      </w:rPr>
    </w:lvl>
    <w:lvl w:ilvl="3" w:tentative="0">
      <w:start w:val="1"/>
      <w:numFmt w:val="decimal"/>
      <w:suff w:val="nothing"/>
      <w:lvlText w:val="%1.%2.%3.%4　"/>
      <w:lvlJc w:val="left"/>
      <w:rPr>
        <w:rFonts w:hint="eastAsia" w:ascii="黑体" w:hAnsi="Times New Roman" w:eastAsia="黑体" w:cs="Times New Roman"/>
        <w:b w:val="0"/>
        <w:bCs w:val="0"/>
        <w:i w:val="0"/>
        <w:iCs w:val="0"/>
        <w:sz w:val="21"/>
        <w:szCs w:val="21"/>
      </w:rPr>
    </w:lvl>
    <w:lvl w:ilvl="4" w:tentative="0">
      <w:start w:val="1"/>
      <w:numFmt w:val="decimal"/>
      <w:suff w:val="nothing"/>
      <w:lvlText w:val="%1.%2.%3.%4.%5　"/>
      <w:lvlJc w:val="left"/>
      <w:rPr>
        <w:rFonts w:hint="eastAsia" w:ascii="黑体" w:hAnsi="Times New Roman" w:eastAsia="黑体" w:cs="Times New Roman"/>
        <w:b w:val="0"/>
        <w:bCs w:val="0"/>
        <w:i w:val="0"/>
        <w:iCs w:val="0"/>
        <w:sz w:val="21"/>
        <w:szCs w:val="21"/>
      </w:rPr>
    </w:lvl>
    <w:lvl w:ilvl="5" w:tentative="0">
      <w:start w:val="1"/>
      <w:numFmt w:val="decimal"/>
      <w:suff w:val="nothing"/>
      <w:lvlText w:val="%1.%2.%3.%4.%5.%6　"/>
      <w:lvlJc w:val="left"/>
      <w:rPr>
        <w:rFonts w:hint="eastAsia" w:ascii="黑体" w:hAnsi="Times New Roman" w:eastAsia="黑体" w:cs="Times New Roman"/>
        <w:b w:val="0"/>
        <w:bCs w:val="0"/>
        <w:i w:val="0"/>
        <w:iCs w:val="0"/>
        <w:sz w:val="21"/>
        <w:szCs w:val="21"/>
      </w:rPr>
    </w:lvl>
    <w:lvl w:ilvl="6" w:tentative="0">
      <w:start w:val="1"/>
      <w:numFmt w:val="decimal"/>
      <w:suff w:val="nothing"/>
      <w:lvlText w:val="%1%2.%3.%4.%5.%6.%7　"/>
      <w:lvlJc w:val="left"/>
      <w:rPr>
        <w:rFonts w:hint="eastAsia" w:ascii="黑体" w:hAnsi="Times New Roman" w:eastAsia="黑体" w:cs="Times New Roman"/>
        <w:b w:val="0"/>
        <w:bCs w:val="0"/>
        <w:i w:val="0"/>
        <w:iCs w:val="0"/>
        <w:sz w:val="21"/>
        <w:szCs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
    <w:nsid w:val="6CEA2025"/>
    <w:multiLevelType w:val="multilevel"/>
    <w:tmpl w:val="6CEA2025"/>
    <w:lvl w:ilvl="0" w:tentative="0">
      <w:start w:val="1"/>
      <w:numFmt w:val="none"/>
      <w:suff w:val="nothing"/>
      <w:lvlText w:val="%1"/>
      <w:lvlJc w:val="left"/>
      <w:pPr>
        <w:ind w:left="0" w:firstLine="0"/>
      </w:pPr>
    </w:lvl>
    <w:lvl w:ilvl="1" w:tentative="0">
      <w:start w:val="1"/>
      <w:numFmt w:val="decimal"/>
      <w:pStyle w:val="18"/>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hYzZhMDNlMmRiOTQ3ZTRiMzU1NWUyZDFlNDg0NjUifQ=="/>
  </w:docVars>
  <w:rsids>
    <w:rsidRoot w:val="00FA55B9"/>
    <w:rsid w:val="000323D1"/>
    <w:rsid w:val="000D290C"/>
    <w:rsid w:val="0016674B"/>
    <w:rsid w:val="0016725E"/>
    <w:rsid w:val="0026585A"/>
    <w:rsid w:val="00277214"/>
    <w:rsid w:val="002B7805"/>
    <w:rsid w:val="002E2CBE"/>
    <w:rsid w:val="003E1DE6"/>
    <w:rsid w:val="00583410"/>
    <w:rsid w:val="006B7F45"/>
    <w:rsid w:val="007A251A"/>
    <w:rsid w:val="008A02FC"/>
    <w:rsid w:val="009B0FF5"/>
    <w:rsid w:val="00AF7F37"/>
    <w:rsid w:val="00BC54CF"/>
    <w:rsid w:val="00DA5151"/>
    <w:rsid w:val="00DE69A4"/>
    <w:rsid w:val="00F065CB"/>
    <w:rsid w:val="00FA55B9"/>
    <w:rsid w:val="05726EEE"/>
    <w:rsid w:val="119B7CAE"/>
    <w:rsid w:val="1B6144FE"/>
    <w:rsid w:val="202667CA"/>
    <w:rsid w:val="236B633E"/>
    <w:rsid w:val="23A1571D"/>
    <w:rsid w:val="297E0BF6"/>
    <w:rsid w:val="2BFC1717"/>
    <w:rsid w:val="303B4F33"/>
    <w:rsid w:val="3C6B554B"/>
    <w:rsid w:val="3FD75C2F"/>
    <w:rsid w:val="43F06DEC"/>
    <w:rsid w:val="470B1A19"/>
    <w:rsid w:val="4DA810CE"/>
    <w:rsid w:val="57800D3C"/>
    <w:rsid w:val="5B664C96"/>
    <w:rsid w:val="5B69538E"/>
    <w:rsid w:val="5C36791F"/>
    <w:rsid w:val="60C628A3"/>
    <w:rsid w:val="64030466"/>
    <w:rsid w:val="64EA07F0"/>
    <w:rsid w:val="65D5198E"/>
    <w:rsid w:val="6B9C514B"/>
    <w:rsid w:val="6CE85809"/>
    <w:rsid w:val="6F771545"/>
    <w:rsid w:val="72870941"/>
    <w:rsid w:val="76175201"/>
    <w:rsid w:val="76D00ECD"/>
    <w:rsid w:val="76FA7FE9"/>
    <w:rsid w:val="77732848"/>
    <w:rsid w:val="B33C9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alloon Text"/>
    <w:basedOn w:val="1"/>
    <w:link w:val="25"/>
    <w:qFormat/>
    <w:uiPriority w:val="0"/>
    <w:rPr>
      <w:sz w:val="18"/>
      <w:szCs w:val="18"/>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qFormat/>
    <w:uiPriority w:val="99"/>
    <w:rPr>
      <w:rFonts w:ascii="Times New Roman" w:hAnsi="Times New Roman" w:eastAsia="宋体" w:cs="Times New Roman"/>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24"/>
    <w:qFormat/>
    <w:uiPriority w:val="0"/>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Hyperlink"/>
    <w:basedOn w:val="11"/>
    <w:unhideWhenUsed/>
    <w:qFormat/>
    <w:uiPriority w:val="99"/>
    <w:rPr>
      <w:color w:val="0000FF"/>
      <w:u w:val="single"/>
    </w:rPr>
  </w:style>
  <w:style w:type="character" w:styleId="14">
    <w:name w:val="annotation reference"/>
    <w:basedOn w:val="11"/>
    <w:qFormat/>
    <w:uiPriority w:val="0"/>
    <w:rPr>
      <w:sz w:val="21"/>
      <w:szCs w:val="21"/>
    </w:rPr>
  </w:style>
  <w:style w:type="paragraph" w:customStyle="1" w:styleId="15">
    <w:name w:val="标准文件_目录标题"/>
    <w:basedOn w:val="1"/>
    <w:qFormat/>
    <w:uiPriority w:val="0"/>
    <w:pPr>
      <w:adjustRightInd w:val="0"/>
      <w:spacing w:afterLines="150"/>
      <w:jc w:val="center"/>
    </w:pPr>
    <w:rPr>
      <w:rFonts w:ascii="黑体" w:hAnsi="Calibri" w:eastAsia="黑体" w:cs="Times New Roman"/>
      <w:sz w:val="32"/>
      <w:szCs w:val="21"/>
    </w:rPr>
  </w:style>
  <w:style w:type="paragraph" w:customStyle="1" w:styleId="1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7">
    <w:name w:val="段"/>
    <w:qFormat/>
    <w:uiPriority w:val="99"/>
    <w:pPr>
      <w:autoSpaceDE w:val="0"/>
      <w:autoSpaceDN w:val="0"/>
      <w:ind w:firstLine="200" w:firstLineChars="200"/>
      <w:jc w:val="both"/>
    </w:pPr>
    <w:rPr>
      <w:rFonts w:ascii="宋体" w:hAnsi="Times New Roman" w:eastAsia="宋体" w:cs="Times New Roman"/>
      <w:lang w:val="en-US" w:eastAsia="zh-CN" w:bidi="ar-SA"/>
    </w:rPr>
  </w:style>
  <w:style w:type="paragraph" w:customStyle="1" w:styleId="18">
    <w:name w:val="标准文件_章标题"/>
    <w:next w:val="16"/>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19">
    <w:name w:val="标准标志"/>
    <w:next w:val="1"/>
    <w:qFormat/>
    <w:uiPriority w:val="99"/>
    <w:pPr>
      <w:shd w:val="solid" w:color="FFFFFF" w:fill="FFFFFF"/>
      <w:spacing w:line="240" w:lineRule="atLeast"/>
      <w:jc w:val="right"/>
    </w:pPr>
    <w:rPr>
      <w:rFonts w:ascii="Times New Roman" w:hAnsi="Times New Roman" w:eastAsia="宋体" w:cs="Times New Roman"/>
      <w:b/>
      <w:w w:val="130"/>
      <w:sz w:val="96"/>
      <w:lang w:val="en-US" w:eastAsia="zh-CN" w:bidi="ar-SA"/>
    </w:rPr>
  </w:style>
  <w:style w:type="paragraph" w:customStyle="1" w:styleId="20">
    <w:name w:val="标准书眉_奇数页"/>
    <w:next w:val="1"/>
    <w:qFormat/>
    <w:uiPriority w:val="0"/>
    <w:pPr>
      <w:tabs>
        <w:tab w:val="center" w:pos="4154"/>
        <w:tab w:val="right" w:pos="8306"/>
      </w:tabs>
      <w:spacing w:after="220"/>
      <w:jc w:val="right"/>
    </w:pPr>
    <w:rPr>
      <w:rFonts w:ascii="黑体" w:hAnsi="Times New Roman" w:eastAsia="黑体" w:cs="黑体"/>
      <w:sz w:val="21"/>
      <w:szCs w:val="21"/>
      <w:lang w:val="en-US" w:eastAsia="zh-CN" w:bidi="ar-SA"/>
    </w:rPr>
  </w:style>
  <w:style w:type="paragraph" w:customStyle="1" w:styleId="21">
    <w:name w:val="标准书脚_奇数页"/>
    <w:qFormat/>
    <w:uiPriority w:val="99"/>
    <w:pPr>
      <w:spacing w:before="120"/>
      <w:ind w:right="198"/>
      <w:jc w:val="right"/>
    </w:pPr>
    <w:rPr>
      <w:rFonts w:ascii="宋体" w:hAnsi="Times New Roman" w:eastAsia="宋体" w:cs="宋体"/>
      <w:sz w:val="18"/>
      <w:szCs w:val="18"/>
      <w:lang w:val="en-US" w:eastAsia="zh-CN" w:bidi="ar-SA"/>
    </w:rPr>
  </w:style>
  <w:style w:type="paragraph" w:customStyle="1" w:styleId="22">
    <w:name w:val="章标题"/>
    <w:next w:val="17"/>
    <w:qFormat/>
    <w:uiPriority w:val="99"/>
    <w:pPr>
      <w:numPr>
        <w:ilvl w:val="0"/>
        <w:numId w:val="2"/>
      </w:numPr>
      <w:spacing w:beforeLines="100" w:afterLines="100"/>
      <w:jc w:val="both"/>
      <w:outlineLvl w:val="1"/>
    </w:pPr>
    <w:rPr>
      <w:rFonts w:ascii="黑体" w:hAnsi="Times New Roman" w:eastAsia="黑体" w:cs="黑体"/>
      <w:sz w:val="21"/>
      <w:szCs w:val="21"/>
      <w:lang w:val="en-US" w:eastAsia="zh-CN" w:bidi="ar-SA"/>
    </w:rPr>
  </w:style>
  <w:style w:type="character" w:customStyle="1" w:styleId="23">
    <w:name w:val="批注文字 字符"/>
    <w:basedOn w:val="11"/>
    <w:link w:val="2"/>
    <w:qFormat/>
    <w:uiPriority w:val="0"/>
    <w:rPr>
      <w:rFonts w:asciiTheme="minorHAnsi" w:hAnsiTheme="minorHAnsi" w:eastAsiaTheme="minorEastAsia" w:cstheme="minorBidi"/>
      <w:kern w:val="2"/>
      <w:sz w:val="21"/>
      <w:szCs w:val="22"/>
    </w:rPr>
  </w:style>
  <w:style w:type="character" w:customStyle="1" w:styleId="24">
    <w:name w:val="批注主题 字符"/>
    <w:basedOn w:val="23"/>
    <w:link w:val="8"/>
    <w:qFormat/>
    <w:uiPriority w:val="0"/>
    <w:rPr>
      <w:rFonts w:asciiTheme="minorHAnsi" w:hAnsiTheme="minorHAnsi" w:eastAsiaTheme="minorEastAsia" w:cstheme="minorBidi"/>
      <w:b/>
      <w:bCs/>
      <w:kern w:val="2"/>
      <w:sz w:val="21"/>
      <w:szCs w:val="22"/>
    </w:rPr>
  </w:style>
  <w:style w:type="character" w:customStyle="1" w:styleId="25">
    <w:name w:val="批注框文本 字符"/>
    <w:basedOn w:val="11"/>
    <w:link w:val="3"/>
    <w:qFormat/>
    <w:uiPriority w:val="0"/>
    <w:rPr>
      <w:rFonts w:asciiTheme="minorHAnsi" w:hAnsiTheme="minorHAnsi" w:eastAsiaTheme="minorEastAsia" w:cstheme="minorBidi"/>
      <w:kern w:val="2"/>
      <w:sz w:val="18"/>
      <w:szCs w:val="18"/>
    </w:rPr>
  </w:style>
  <w:style w:type="paragraph" w:customStyle="1" w:styleId="26">
    <w:name w:val="列出段落1"/>
    <w:basedOn w:val="1"/>
    <w:qFormat/>
    <w:uiPriority w:val="99"/>
    <w:pPr>
      <w:ind w:firstLine="420" w:firstLineChars="200"/>
    </w:pPr>
    <w:rPr>
      <w:rFonts w:ascii="Times New Roman" w:hAnsi="Times New Roman" w:eastAsia="宋体" w:cs="Times New Roman"/>
      <w:szCs w:val="21"/>
    </w:rPr>
  </w:style>
  <w:style w:type="character" w:customStyle="1" w:styleId="27">
    <w:name w:val="font91"/>
    <w:basedOn w:val="11"/>
    <w:qFormat/>
    <w:uiPriority w:val="0"/>
    <w:rPr>
      <w:rFonts w:hint="eastAsia" w:ascii="宋体" w:hAnsi="宋体" w:eastAsia="宋体" w:cs="宋体"/>
      <w:color w:val="000000"/>
      <w:sz w:val="20"/>
      <w:szCs w:val="20"/>
      <w:u w:val="none"/>
    </w:rPr>
  </w:style>
  <w:style w:type="character" w:customStyle="1" w:styleId="28">
    <w:name w:val="font81"/>
    <w:basedOn w:val="1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0a6ac5d-022c-4eb0-8f38-ec4e0e83b734}"/>
        <w:style w:val=""/>
        <w:category>
          <w:name w:val="常规"/>
          <w:gallery w:val="placeholder"/>
        </w:category>
        <w:types>
          <w:type w:val="bbPlcHdr"/>
        </w:types>
        <w:behaviors>
          <w:behavior w:val="content"/>
        </w:behaviors>
        <w:description w:val=""/>
        <w:guid w:val="{00A6AC5D-022C-4EB0-8F38-EC4E0E83B734}"/>
      </w:docPartPr>
      <w:docPartBody>
        <w:p>
          <w:pPr>
            <w:pStyle w:val="4"/>
          </w:pPr>
          <w:r>
            <w:rPr>
              <w:rStyle w:val="5"/>
              <w:rFonts w:hint="eastAsia"/>
            </w:rPr>
            <w:t>选择一项。</w:t>
          </w:r>
        </w:p>
      </w:docPartBody>
    </w:docPart>
    <w:docPart>
      <w:docPartPr>
        <w:name w:val="{fa5f155f-f809-4837-8675-df811a85e2be}"/>
        <w:style w:val=""/>
        <w:category>
          <w:name w:val="常规"/>
          <w:gallery w:val="placeholder"/>
        </w:category>
        <w:types>
          <w:type w:val="bbPlcHdr"/>
        </w:types>
        <w:behaviors>
          <w:behavior w:val="content"/>
        </w:behaviors>
        <w:description w:val=""/>
        <w:guid w:val="{FA5F155F-F809-4837-8675-DF811A85E2BE}"/>
      </w:docPartPr>
      <w:docPartBody>
        <w:p>
          <w:pPr>
            <w:pStyle w:val="6"/>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848"/>
    <w:rsid w:val="00033D50"/>
    <w:rsid w:val="000A6DF6"/>
    <w:rsid w:val="002370DB"/>
    <w:rsid w:val="005B00FC"/>
    <w:rsid w:val="005F2848"/>
    <w:rsid w:val="008460FF"/>
    <w:rsid w:val="00D52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9F09D54871304C689C03A550149E9DD9"/>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style>
  <w:style w:type="paragraph" w:customStyle="1" w:styleId="6">
    <w:name w:val="5583BDA68B9D4354A4F51F2AE2F3173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13</Pages>
  <Words>1187</Words>
  <Characters>6766</Characters>
  <Lines>56</Lines>
  <Paragraphs>15</Paragraphs>
  <TotalTime>37</TotalTime>
  <ScaleCrop>false</ScaleCrop>
  <LinksUpToDate>false</LinksUpToDate>
  <CharactersWithSpaces>7938</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2022-07-08T11:34:00Z</dcterms:created>
  <dc:creator>DELL</dc:creator>
  <cp:lastModifiedBy>xjkp</cp:lastModifiedBy>
  <dcterms:modified xsi:type="dcterms:W3CDTF">2023-12-28T14:47:09Z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D8381DAD9C7E440B881E88E02FCD8393</vt:lpwstr>
  </property>
</Properties>
</file>