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eastAsia="仿宋"/>
          <w:b/>
          <w:bCs/>
          <w:sz w:val="44"/>
          <w:szCs w:val="44"/>
        </w:rPr>
      </w:pPr>
      <w:r>
        <w:rPr>
          <w:rFonts w:eastAsia="仿宋"/>
          <w:b/>
          <w:bCs/>
          <w:sz w:val="44"/>
          <w:szCs w:val="44"/>
        </w:rPr>
        <w:t>湖南省《</w:t>
      </w:r>
      <w:r>
        <w:rPr>
          <w:rFonts w:hint="eastAsia" w:eastAsia="仿宋"/>
          <w:b/>
          <w:bCs/>
          <w:sz w:val="44"/>
          <w:szCs w:val="44"/>
        </w:rPr>
        <w:t>全株水稻青贮技术规程</w:t>
      </w:r>
      <w:r>
        <w:rPr>
          <w:rFonts w:eastAsia="仿宋"/>
          <w:b/>
          <w:bCs/>
          <w:sz w:val="44"/>
          <w:szCs w:val="44"/>
        </w:rPr>
        <w:t>》</w:t>
      </w:r>
    </w:p>
    <w:p>
      <w:pPr>
        <w:spacing w:after="156" w:afterLines="50"/>
        <w:jc w:val="center"/>
        <w:rPr>
          <w:rFonts w:eastAsia="仿宋"/>
          <w:b/>
          <w:bCs/>
          <w:sz w:val="44"/>
          <w:szCs w:val="44"/>
        </w:rPr>
      </w:pPr>
      <w:r>
        <w:rPr>
          <w:rFonts w:eastAsia="仿宋"/>
          <w:b/>
          <w:bCs/>
          <w:sz w:val="44"/>
          <w:szCs w:val="44"/>
        </w:rPr>
        <w:t>编 制 说 明</w:t>
      </w:r>
    </w:p>
    <w:p>
      <w:pPr>
        <w:spacing w:after="156" w:afterLines="50"/>
        <w:jc w:val="center"/>
        <w:rPr>
          <w:rFonts w:eastAsia="仿宋"/>
          <w:b/>
          <w:bCs/>
          <w:sz w:val="44"/>
          <w:szCs w:val="44"/>
        </w:rPr>
      </w:pPr>
    </w:p>
    <w:p>
      <w:pPr>
        <w:widowControl/>
        <w:tabs>
          <w:tab w:val="left" w:pos="4455"/>
        </w:tabs>
        <w:ind w:firstLine="640" w:firstLineChars="200"/>
        <w:jc w:val="left"/>
        <w:rPr>
          <w:rFonts w:eastAsia="仿宋"/>
          <w:kern w:val="0"/>
          <w:sz w:val="32"/>
          <w:szCs w:val="32"/>
        </w:rPr>
      </w:pPr>
      <w:r>
        <w:rPr>
          <w:rFonts w:eastAsia="仿宋"/>
          <w:kern w:val="0"/>
          <w:sz w:val="32"/>
          <w:szCs w:val="32"/>
        </w:rPr>
        <w:t>一、任务来源</w:t>
      </w:r>
    </w:p>
    <w:p>
      <w:pPr>
        <w:widowControl/>
        <w:tabs>
          <w:tab w:val="left" w:pos="4455"/>
        </w:tabs>
        <w:ind w:firstLine="640" w:firstLineChars="200"/>
        <w:jc w:val="left"/>
        <w:rPr>
          <w:rFonts w:ascii="仿宋_GB2312" w:hAnsi="仿宋" w:eastAsia="仿宋_GB2312" w:cs="宋体"/>
          <w:kern w:val="0"/>
          <w:sz w:val="32"/>
          <w:szCs w:val="32"/>
        </w:rPr>
      </w:pPr>
      <w:r>
        <w:rPr>
          <w:rFonts w:eastAsia="仿宋"/>
          <w:kern w:val="0"/>
          <w:sz w:val="32"/>
          <w:szCs w:val="32"/>
        </w:rPr>
        <w:t>根据湖南省</w:t>
      </w:r>
      <w:r>
        <w:rPr>
          <w:rFonts w:hint="eastAsia" w:eastAsia="仿宋"/>
          <w:kern w:val="0"/>
          <w:sz w:val="32"/>
          <w:szCs w:val="32"/>
          <w:lang w:eastAsia="zh-CN"/>
        </w:rPr>
        <w:t>市场监督管理局</w:t>
      </w:r>
      <w:r>
        <w:rPr>
          <w:rFonts w:eastAsia="仿宋"/>
          <w:kern w:val="0"/>
          <w:sz w:val="32"/>
          <w:szCs w:val="32"/>
        </w:rPr>
        <w:t>文件</w:t>
      </w:r>
      <w:r>
        <w:fldChar w:fldCharType="begin"/>
      </w:r>
      <w:r>
        <w:instrText xml:space="preserve"> HYPERLINK "http://amr.hunan.gov.cn/amr/zwx/xxgkmlx/tzggx/201904/10382544/files/452d781289e14d2cb4310275ac98812b.pdf" </w:instrText>
      </w:r>
      <w:r>
        <w:fldChar w:fldCharType="separate"/>
      </w:r>
      <w:r>
        <w:rPr>
          <w:rFonts w:eastAsia="仿宋"/>
          <w:kern w:val="0"/>
          <w:sz w:val="32"/>
          <w:szCs w:val="32"/>
        </w:rPr>
        <w:t>《湖南省市场监督管理局关于下达2021年第一批地方标准制修订项目计划的通知》</w:t>
      </w:r>
      <w:r>
        <w:rPr>
          <w:rFonts w:eastAsia="仿宋"/>
          <w:kern w:val="0"/>
          <w:sz w:val="32"/>
          <w:szCs w:val="32"/>
        </w:rPr>
        <w:fldChar w:fldCharType="end"/>
      </w:r>
      <w:r>
        <w:rPr>
          <w:rFonts w:hint="eastAsia" w:ascii="仿宋_GB2312" w:hAnsi="仿宋" w:eastAsia="仿宋_GB2312" w:cs="宋体"/>
          <w:kern w:val="0"/>
          <w:sz w:val="32"/>
          <w:szCs w:val="32"/>
        </w:rPr>
        <w:t>，拟在2021年完成《</w:t>
      </w:r>
      <w:r>
        <w:rPr>
          <w:rFonts w:hint="eastAsia" w:eastAsia="仿宋"/>
          <w:kern w:val="0"/>
          <w:sz w:val="32"/>
          <w:szCs w:val="32"/>
        </w:rPr>
        <w:t>全株水稻青贮技术规程》地</w:t>
      </w:r>
      <w:r>
        <w:rPr>
          <w:rFonts w:hint="eastAsia" w:ascii="仿宋_GB2312" w:hAnsi="仿宋" w:eastAsia="仿宋_GB2312" w:cs="宋体"/>
          <w:kern w:val="0"/>
          <w:sz w:val="32"/>
          <w:szCs w:val="32"/>
        </w:rPr>
        <w:t>方标准的制</w:t>
      </w:r>
      <w:bookmarkStart w:id="0" w:name="_GoBack"/>
      <w:bookmarkEnd w:id="0"/>
      <w:r>
        <w:rPr>
          <w:rFonts w:hint="eastAsia" w:ascii="仿宋_GB2312" w:hAnsi="仿宋" w:eastAsia="仿宋_GB2312" w:cs="宋体"/>
          <w:kern w:val="0"/>
          <w:sz w:val="32"/>
          <w:szCs w:val="32"/>
        </w:rPr>
        <w:t>定工作。该标准制定由湖南农业大学牵头，湖南</w:t>
      </w:r>
      <w:r>
        <w:rPr>
          <w:rFonts w:hint="eastAsia" w:ascii="仿宋_GB2312" w:hAnsi="仿宋" w:eastAsia="仿宋_GB2312" w:cs="宋体"/>
          <w:kern w:val="0"/>
          <w:sz w:val="32"/>
          <w:szCs w:val="32"/>
          <w:lang w:eastAsia="zh-CN"/>
        </w:rPr>
        <w:t>省</w:t>
      </w:r>
      <w:r>
        <w:rPr>
          <w:rFonts w:hint="eastAsia" w:ascii="仿宋_GB2312" w:hAnsi="仿宋" w:eastAsia="仿宋_GB2312" w:cs="宋体"/>
          <w:kern w:val="0"/>
          <w:sz w:val="32"/>
          <w:szCs w:val="32"/>
        </w:rPr>
        <w:t>畜牧兽医研究所和湖南生物机电学院等单位参与起草，由湖南省农业标准化技术委员会归口。</w:t>
      </w:r>
    </w:p>
    <w:p>
      <w:pPr>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二、制定标准的目的、意义</w:t>
      </w:r>
    </w:p>
    <w:p>
      <w:pPr>
        <w:widowControl/>
        <w:tabs>
          <w:tab w:val="left" w:pos="4455"/>
        </w:tabs>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全株水稻开发成牲畜饲料在世界上已引起越来越多国家的重视,而青贮是一种用于新鲜作物材料保存常用的技术,伴随草食家畜的快速发展,冬春两季牧草资源的匮乏,已成为发展规模养殖的瓶颈。如何有效利用饲草资源,已成为目前规模化养殖的热点问题。水稻是我国主要的农作物,由于水稻秸秆粗纤维、酚类物质和二氧化硅含量较高,粗蛋白含量低,导致其营养品质较低,在极大程度上限制了其作为粗饲料的利用。</w:t>
      </w:r>
    </w:p>
    <w:p>
      <w:pPr>
        <w:widowControl/>
        <w:tabs>
          <w:tab w:val="left" w:pos="4455"/>
        </w:tabs>
        <w:jc w:val="left"/>
        <w:rPr>
          <w:rFonts w:ascii="仿宋" w:hAnsi="仿宋" w:eastAsia="仿宋"/>
          <w:position w:val="6"/>
        </w:rPr>
      </w:pPr>
      <w:r>
        <w:rPr>
          <w:rFonts w:hint="eastAsia" w:ascii="仿宋_GB2312" w:hAnsi="仿宋" w:eastAsia="仿宋_GB2312" w:cs="宋体"/>
          <w:kern w:val="0"/>
          <w:sz w:val="32"/>
          <w:szCs w:val="32"/>
        </w:rPr>
        <w:t>研究表明全株水稻青贮在制作时添加纤维素酶和木聚糖酶,能将植物细胞壁中的粗纤维有效降解并转化为非结构性碳水化合物,显著降低原料中的酸性洗涤纤维和中性洗涤纤维含量,提高水溶性碳水化合物含量,改善青贮品质和质量。为发展全株水稻青贮饲料化的利用，根据我国饲草市场的需求和水稻资源以及草食家畜的养殖实际情况，迫切需要一套操作性强的全株水稻青贮技术标准。</w:t>
      </w:r>
    </w:p>
    <w:p>
      <w:pPr>
        <w:widowControl/>
        <w:tabs>
          <w:tab w:val="left" w:pos="4455"/>
        </w:tabs>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三、制定标准的原则</w:t>
      </w:r>
    </w:p>
    <w:p>
      <w:pPr>
        <w:widowControl/>
        <w:tabs>
          <w:tab w:val="left" w:pos="4455"/>
        </w:tabs>
        <w:ind w:firstLine="643" w:firstLineChars="200"/>
        <w:jc w:val="left"/>
        <w:rPr>
          <w:rFonts w:ascii="仿宋_GB2312" w:hAnsi="仿宋" w:eastAsia="仿宋_GB2312" w:cs="宋体"/>
          <w:b/>
          <w:kern w:val="0"/>
          <w:sz w:val="32"/>
          <w:szCs w:val="32"/>
        </w:rPr>
      </w:pPr>
      <w:r>
        <w:rPr>
          <w:rFonts w:hint="eastAsia" w:ascii="仿宋_GB2312" w:hAnsi="仿宋" w:eastAsia="仿宋_GB2312" w:cs="宋体"/>
          <w:b/>
          <w:kern w:val="0"/>
          <w:sz w:val="32"/>
          <w:szCs w:val="32"/>
        </w:rPr>
        <w:t>1、合规的原则</w:t>
      </w:r>
    </w:p>
    <w:p>
      <w:pPr>
        <w:widowControl/>
        <w:tabs>
          <w:tab w:val="left" w:pos="4455"/>
        </w:tabs>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制定本标准遵循国家有关法律、法规的要求，符合国家、省政府有关农业和标准化方面的政策规定。</w:t>
      </w:r>
    </w:p>
    <w:p>
      <w:pPr>
        <w:ind w:firstLine="643" w:firstLineChars="200"/>
        <w:rPr>
          <w:rFonts w:ascii="仿宋_GB2312" w:hAnsi="仿宋" w:eastAsia="仿宋_GB2312" w:cs="宋体"/>
          <w:b/>
          <w:kern w:val="0"/>
          <w:sz w:val="32"/>
          <w:szCs w:val="32"/>
        </w:rPr>
      </w:pPr>
      <w:r>
        <w:rPr>
          <w:rFonts w:hint="eastAsia" w:ascii="仿宋_GB2312" w:hAnsi="仿宋" w:eastAsia="仿宋_GB2312" w:cs="宋体"/>
          <w:b/>
          <w:kern w:val="0"/>
          <w:sz w:val="32"/>
          <w:szCs w:val="32"/>
        </w:rPr>
        <w:t>2、安全的原则</w:t>
      </w:r>
    </w:p>
    <w:p>
      <w:pPr>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制定本标准遵循确保质量安全的原则，标准中有关质量安全控制按绿色农产品相关要求确定。</w:t>
      </w:r>
    </w:p>
    <w:p>
      <w:pPr>
        <w:ind w:firstLine="643" w:firstLineChars="200"/>
        <w:rPr>
          <w:rFonts w:ascii="仿宋_GB2312" w:hAnsi="仿宋" w:eastAsia="仿宋_GB2312" w:cs="宋体"/>
          <w:b/>
          <w:kern w:val="0"/>
          <w:sz w:val="32"/>
          <w:szCs w:val="32"/>
        </w:rPr>
      </w:pPr>
      <w:r>
        <w:rPr>
          <w:rFonts w:hint="eastAsia" w:ascii="仿宋_GB2312" w:hAnsi="仿宋" w:eastAsia="仿宋_GB2312" w:cs="宋体"/>
          <w:b/>
          <w:kern w:val="0"/>
          <w:sz w:val="32"/>
          <w:szCs w:val="32"/>
        </w:rPr>
        <w:t>3、科学的原则</w:t>
      </w:r>
    </w:p>
    <w:p>
      <w:pPr>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制定本标准遵循生态、环保、科学的原则，标准的内容要求科学可靠。</w:t>
      </w:r>
    </w:p>
    <w:p>
      <w:pPr>
        <w:ind w:firstLine="643" w:firstLineChars="200"/>
        <w:rPr>
          <w:rFonts w:ascii="仿宋_GB2312" w:hAnsi="仿宋" w:eastAsia="仿宋_GB2312" w:cs="宋体"/>
          <w:b/>
          <w:kern w:val="0"/>
          <w:sz w:val="32"/>
          <w:szCs w:val="32"/>
        </w:rPr>
      </w:pPr>
      <w:r>
        <w:rPr>
          <w:rFonts w:hint="eastAsia" w:ascii="仿宋_GB2312" w:hAnsi="仿宋" w:eastAsia="仿宋_GB2312" w:cs="宋体"/>
          <w:b/>
          <w:kern w:val="0"/>
          <w:sz w:val="32"/>
          <w:szCs w:val="32"/>
        </w:rPr>
        <w:t>4、可操作的原则</w:t>
      </w:r>
    </w:p>
    <w:p>
      <w:pPr>
        <w:widowControl/>
        <w:tabs>
          <w:tab w:val="left" w:pos="4455"/>
        </w:tabs>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本标准所确定的术语和定义、各项要求应符合我省农业生产的特点特色，方便全株水稻青贮制作过程中的实际操作。</w:t>
      </w:r>
    </w:p>
    <w:p>
      <w:pPr>
        <w:widowControl/>
        <w:tabs>
          <w:tab w:val="left" w:pos="4455"/>
        </w:tabs>
        <w:ind w:firstLine="640" w:firstLineChars="200"/>
        <w:jc w:val="left"/>
        <w:rPr>
          <w:rFonts w:ascii="仿宋_GB2312" w:hAnsi="仿宋" w:eastAsia="仿宋_GB2312" w:cs="宋体"/>
          <w:kern w:val="0"/>
          <w:sz w:val="32"/>
          <w:szCs w:val="32"/>
        </w:rPr>
      </w:pPr>
      <w:r>
        <w:rPr>
          <w:rFonts w:hint="eastAsia" w:ascii="仿宋_GB2312" w:hAnsi="仿宋" w:eastAsia="仿宋_GB2312" w:cs="宋体"/>
          <w:kern w:val="0"/>
          <w:sz w:val="32"/>
          <w:szCs w:val="32"/>
        </w:rPr>
        <w:t>四、标准的制定过程</w:t>
      </w:r>
    </w:p>
    <w:p>
      <w:pPr>
        <w:widowControl/>
        <w:tabs>
          <w:tab w:val="left" w:pos="4455"/>
        </w:tabs>
        <w:ind w:firstLine="643" w:firstLineChars="200"/>
        <w:jc w:val="left"/>
        <w:rPr>
          <w:rFonts w:ascii="仿宋_GB2312" w:hAnsi="仿宋" w:eastAsia="仿宋_GB2312"/>
          <w:b/>
          <w:bCs/>
          <w:sz w:val="32"/>
          <w:szCs w:val="32"/>
        </w:rPr>
      </w:pPr>
      <w:r>
        <w:rPr>
          <w:rFonts w:hint="eastAsia" w:ascii="仿宋_GB2312" w:hAnsi="仿宋" w:eastAsia="仿宋_GB2312"/>
          <w:b/>
          <w:bCs/>
          <w:sz w:val="32"/>
          <w:szCs w:val="32"/>
        </w:rPr>
        <w:t>1、前期准备工作</w:t>
      </w:r>
    </w:p>
    <w:p>
      <w:pPr>
        <w:widowControl/>
        <w:tabs>
          <w:tab w:val="left" w:pos="4455"/>
        </w:tabs>
        <w:ind w:firstLine="640" w:firstLineChars="200"/>
        <w:jc w:val="left"/>
        <w:rPr>
          <w:rFonts w:eastAsia="仿宋"/>
          <w:bCs/>
          <w:sz w:val="32"/>
          <w:szCs w:val="32"/>
        </w:rPr>
      </w:pPr>
      <w:r>
        <w:rPr>
          <w:rFonts w:eastAsia="仿宋"/>
          <w:bCs/>
          <w:sz w:val="32"/>
          <w:szCs w:val="32"/>
        </w:rPr>
        <w:t>202</w:t>
      </w:r>
      <w:r>
        <w:rPr>
          <w:rFonts w:hint="eastAsia" w:eastAsia="仿宋"/>
          <w:bCs/>
          <w:sz w:val="32"/>
          <w:szCs w:val="32"/>
        </w:rPr>
        <w:t>1</w:t>
      </w:r>
      <w:r>
        <w:rPr>
          <w:rFonts w:eastAsia="仿宋"/>
          <w:bCs/>
          <w:sz w:val="32"/>
          <w:szCs w:val="32"/>
        </w:rPr>
        <w:t>年</w:t>
      </w:r>
      <w:r>
        <w:rPr>
          <w:rFonts w:hint="eastAsia" w:eastAsia="仿宋"/>
          <w:bCs/>
          <w:sz w:val="32"/>
          <w:szCs w:val="32"/>
        </w:rPr>
        <w:t>2</w:t>
      </w:r>
      <w:r>
        <w:rPr>
          <w:rFonts w:eastAsia="仿宋"/>
          <w:bCs/>
          <w:sz w:val="32"/>
          <w:szCs w:val="32"/>
        </w:rPr>
        <w:t>月开始启动制订工作，</w:t>
      </w:r>
      <w:r>
        <w:rPr>
          <w:rFonts w:hint="eastAsia" w:eastAsia="仿宋"/>
          <w:bCs/>
          <w:sz w:val="32"/>
          <w:szCs w:val="32"/>
        </w:rPr>
        <w:t>3</w:t>
      </w:r>
      <w:r>
        <w:rPr>
          <w:rFonts w:eastAsia="仿宋"/>
          <w:bCs/>
          <w:sz w:val="32"/>
          <w:szCs w:val="32"/>
        </w:rPr>
        <w:t>月上旬召开地方标准起草启动会，确定本标准制定由湖南</w:t>
      </w:r>
      <w:r>
        <w:rPr>
          <w:rFonts w:hint="eastAsia" w:eastAsia="仿宋"/>
          <w:bCs/>
          <w:sz w:val="32"/>
          <w:szCs w:val="32"/>
        </w:rPr>
        <w:t>农业大学</w:t>
      </w:r>
      <w:r>
        <w:rPr>
          <w:rFonts w:eastAsia="仿宋"/>
          <w:bCs/>
          <w:sz w:val="32"/>
          <w:szCs w:val="32"/>
        </w:rPr>
        <w:t>牵头，</w:t>
      </w:r>
      <w:r>
        <w:rPr>
          <w:rFonts w:hint="eastAsia" w:eastAsia="仿宋"/>
          <w:bCs/>
          <w:sz w:val="32"/>
          <w:szCs w:val="32"/>
        </w:rPr>
        <w:t>组织了以陈东博士为主的多人小组，</w:t>
      </w:r>
      <w:r>
        <w:rPr>
          <w:rFonts w:hint="eastAsia" w:ascii="仿宋_GB2312" w:hAnsi="仿宋" w:eastAsia="仿宋_GB2312"/>
          <w:bCs/>
          <w:sz w:val="32"/>
          <w:szCs w:val="32"/>
        </w:rPr>
        <w:t>进行标准起草工作，确定了人员分工，</w:t>
      </w:r>
      <w:r>
        <w:rPr>
          <w:rFonts w:eastAsia="仿宋"/>
          <w:bCs/>
          <w:sz w:val="32"/>
          <w:szCs w:val="32"/>
        </w:rPr>
        <w:t>确定了制定的方法与思路，明确了各阶段的任务与目标。</w:t>
      </w:r>
    </w:p>
    <w:p>
      <w:pPr>
        <w:ind w:firstLine="643" w:firstLineChars="200"/>
        <w:rPr>
          <w:rFonts w:ascii="仿宋_GB2312" w:hAnsi="仿宋" w:eastAsia="仿宋_GB2312"/>
          <w:b/>
          <w:bCs/>
          <w:sz w:val="32"/>
          <w:szCs w:val="32"/>
        </w:rPr>
      </w:pPr>
      <w:r>
        <w:rPr>
          <w:rFonts w:hint="eastAsia" w:ascii="仿宋_GB2312" w:hAnsi="仿宋" w:eastAsia="仿宋_GB2312"/>
          <w:b/>
          <w:bCs/>
          <w:sz w:val="32"/>
          <w:szCs w:val="32"/>
        </w:rPr>
        <w:t>2、开展调查研究</w:t>
      </w:r>
    </w:p>
    <w:p>
      <w:pPr>
        <w:ind w:firstLine="640" w:firstLineChars="200"/>
        <w:rPr>
          <w:rFonts w:ascii="仿宋_GB2312" w:hAnsi="仿宋" w:eastAsia="仿宋_GB2312" w:cs="仿宋_GB2312"/>
          <w:sz w:val="32"/>
          <w:szCs w:val="32"/>
        </w:rPr>
      </w:pPr>
      <w:r>
        <w:rPr>
          <w:rFonts w:hint="eastAsia" w:ascii="仿宋_GB2312" w:hAnsi="仿宋" w:eastAsia="仿宋_GB2312"/>
          <w:bCs/>
          <w:sz w:val="32"/>
          <w:szCs w:val="32"/>
        </w:rPr>
        <w:t>2021年5月至8月，编制组成员</w:t>
      </w:r>
      <w:r>
        <w:rPr>
          <w:rFonts w:hint="eastAsia" w:ascii="仿宋_GB2312" w:hAnsi="仿宋" w:eastAsia="仿宋_GB2312" w:cs="仿宋_GB2312"/>
          <w:sz w:val="32"/>
          <w:szCs w:val="32"/>
        </w:rPr>
        <w:t>收集与起草标准有关的资料，在本标准编制过程中，编制组深入调研了国内外相关技术规范、技术标准、技术导则2</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个；期刊、文献100余篇。除文献调研外，还实地开展了全株水稻青贮试验，进一步明确标准中的设定值。</w:t>
      </w:r>
      <w:r>
        <w:rPr>
          <w:rFonts w:hint="eastAsia" w:ascii="仿宋_GB2312" w:hAnsi="仿宋" w:eastAsia="仿宋_GB2312" w:cs="宋体"/>
          <w:kern w:val="0"/>
          <w:sz w:val="32"/>
          <w:szCs w:val="32"/>
        </w:rPr>
        <w:t>这些工作，</w:t>
      </w:r>
      <w:r>
        <w:rPr>
          <w:rFonts w:hint="eastAsia" w:ascii="仿宋_GB2312" w:hAnsi="仿宋" w:eastAsia="仿宋_GB2312" w:cs="仿宋_GB2312"/>
          <w:sz w:val="32"/>
          <w:szCs w:val="32"/>
        </w:rPr>
        <w:t>为标准起草打下了较为充分的基础。</w:t>
      </w:r>
    </w:p>
    <w:p>
      <w:pPr>
        <w:widowControl/>
        <w:tabs>
          <w:tab w:val="left" w:pos="4455"/>
        </w:tabs>
        <w:ind w:firstLine="643" w:firstLineChars="200"/>
        <w:jc w:val="left"/>
        <w:rPr>
          <w:rFonts w:ascii="仿宋_GB2312" w:hAnsi="仿宋" w:eastAsia="仿宋_GB2312"/>
          <w:b/>
          <w:sz w:val="32"/>
          <w:szCs w:val="32"/>
        </w:rPr>
      </w:pPr>
      <w:r>
        <w:rPr>
          <w:rFonts w:hint="eastAsia" w:ascii="仿宋_GB2312" w:hAnsi="仿宋" w:eastAsia="仿宋_GB2312"/>
          <w:b/>
          <w:sz w:val="32"/>
          <w:szCs w:val="32"/>
        </w:rPr>
        <w:t>3、完成标准的征求意见稿</w:t>
      </w:r>
    </w:p>
    <w:p>
      <w:pPr>
        <w:ind w:firstLine="640" w:firstLineChars="200"/>
        <w:rPr>
          <w:rFonts w:ascii="仿宋_GB2312" w:hAnsi="仿宋" w:eastAsia="仿宋_GB2312"/>
          <w:sz w:val="32"/>
          <w:szCs w:val="32"/>
        </w:rPr>
      </w:pPr>
      <w:r>
        <w:rPr>
          <w:rFonts w:hint="eastAsia" w:ascii="仿宋_GB2312" w:hAnsi="仿宋" w:eastAsia="仿宋_GB2312"/>
          <w:sz w:val="32"/>
          <w:szCs w:val="32"/>
        </w:rPr>
        <w:t>2021年9月，编制组成员将收集到的与标准起草有关的资料和交流意见进行整理，完成了撰写标准文本各章节的起草，形成标准征求意见稿，同时撰写了编制说明。</w:t>
      </w:r>
    </w:p>
    <w:p>
      <w:pPr>
        <w:widowControl/>
        <w:tabs>
          <w:tab w:val="left" w:pos="4455"/>
        </w:tabs>
        <w:ind w:firstLine="643" w:firstLineChars="200"/>
        <w:jc w:val="left"/>
        <w:rPr>
          <w:rFonts w:ascii="仿宋_GB2312" w:hAnsi="仿宋" w:eastAsia="仿宋_GB2312"/>
          <w:b/>
          <w:sz w:val="32"/>
          <w:szCs w:val="32"/>
        </w:rPr>
      </w:pPr>
      <w:r>
        <w:rPr>
          <w:rFonts w:hint="eastAsia" w:ascii="仿宋_GB2312" w:hAnsi="仿宋" w:eastAsia="仿宋_GB2312"/>
          <w:b/>
          <w:sz w:val="32"/>
          <w:szCs w:val="32"/>
        </w:rPr>
        <w:t>4、征求意见</w:t>
      </w:r>
    </w:p>
    <w:p>
      <w:pPr>
        <w:widowControl/>
        <w:tabs>
          <w:tab w:val="left" w:pos="4455"/>
        </w:tabs>
        <w:ind w:firstLine="640" w:firstLineChars="200"/>
        <w:jc w:val="left"/>
        <w:rPr>
          <w:rFonts w:ascii="仿宋_GB2312" w:hAnsi="仿宋" w:eastAsia="仿宋_GB2312"/>
          <w:sz w:val="32"/>
          <w:szCs w:val="32"/>
        </w:rPr>
      </w:pPr>
      <w:r>
        <w:rPr>
          <w:rFonts w:hint="eastAsia" w:ascii="仿宋_GB2312" w:hAnsi="仿宋" w:eastAsia="仿宋_GB2312"/>
          <w:sz w:val="32"/>
          <w:szCs w:val="32"/>
        </w:rPr>
        <w:t>2021年10月，编制组进行了标准意见征求，征集意见单位或部门有湖南农业大学动物科学技术学院、中国科学院亚热带</w:t>
      </w:r>
      <w:r>
        <w:rPr>
          <w:rFonts w:hint="eastAsia" w:ascii="仿宋_GB2312" w:hAnsi="仿宋" w:eastAsia="仿宋_GB2312"/>
          <w:sz w:val="32"/>
          <w:szCs w:val="32"/>
          <w:lang w:eastAsia="zh-CN"/>
        </w:rPr>
        <w:t>农业生态</w:t>
      </w:r>
      <w:r>
        <w:rPr>
          <w:rFonts w:hint="eastAsia" w:ascii="仿宋_GB2312" w:hAnsi="仿宋" w:eastAsia="仿宋_GB2312"/>
          <w:sz w:val="32"/>
          <w:szCs w:val="32"/>
        </w:rPr>
        <w:t>研究所等，征集意见的专家和基地技术人员达9位，期间共收集意见1</w:t>
      </w:r>
      <w:r>
        <w:rPr>
          <w:rFonts w:ascii="仿宋_GB2312" w:hAnsi="仿宋" w:eastAsia="仿宋_GB2312"/>
          <w:sz w:val="32"/>
          <w:szCs w:val="32"/>
        </w:rPr>
        <w:t>6</w:t>
      </w:r>
      <w:r>
        <w:rPr>
          <w:rFonts w:hint="eastAsia" w:ascii="仿宋_GB2312" w:hAnsi="仿宋" w:eastAsia="仿宋_GB2312"/>
          <w:sz w:val="32"/>
          <w:szCs w:val="32"/>
        </w:rPr>
        <w:t>条，经分析采纳</w:t>
      </w:r>
      <w:r>
        <w:rPr>
          <w:rFonts w:hint="eastAsia" w:ascii="仿宋_GB2312" w:hAnsi="仿宋" w:eastAsia="仿宋_GB2312"/>
          <w:sz w:val="32"/>
          <w:szCs w:val="32"/>
          <w:lang w:val="en-US" w:eastAsia="zh-CN"/>
        </w:rPr>
        <w:t>12</w:t>
      </w:r>
      <w:r>
        <w:rPr>
          <w:rFonts w:hint="eastAsia" w:ascii="仿宋_GB2312" w:hAnsi="仿宋" w:eastAsia="仿宋_GB2312"/>
          <w:sz w:val="32"/>
          <w:szCs w:val="32"/>
        </w:rPr>
        <w:t>条，无意见的回复</w:t>
      </w:r>
      <w:r>
        <w:rPr>
          <w:rFonts w:hint="eastAsia" w:ascii="仿宋_GB2312" w:hAnsi="仿宋" w:eastAsia="仿宋_GB2312"/>
          <w:sz w:val="32"/>
          <w:szCs w:val="32"/>
          <w:lang w:val="en-US" w:eastAsia="zh-CN"/>
        </w:rPr>
        <w:t>4</w:t>
      </w:r>
      <w:r>
        <w:rPr>
          <w:rFonts w:hint="eastAsia" w:ascii="仿宋_GB2312" w:hAnsi="仿宋" w:eastAsia="仿宋_GB2312"/>
          <w:sz w:val="32"/>
          <w:szCs w:val="32"/>
        </w:rPr>
        <w:t>条。</w:t>
      </w:r>
    </w:p>
    <w:p>
      <w:pPr>
        <w:ind w:firstLine="645"/>
        <w:rPr>
          <w:rFonts w:eastAsia="仿宋"/>
          <w:b/>
          <w:sz w:val="32"/>
          <w:szCs w:val="32"/>
        </w:rPr>
      </w:pPr>
      <w:r>
        <w:rPr>
          <w:rFonts w:eastAsia="仿宋"/>
          <w:b/>
          <w:sz w:val="32"/>
          <w:szCs w:val="32"/>
        </w:rPr>
        <w:t>5、编制标准送审稿</w:t>
      </w:r>
    </w:p>
    <w:p>
      <w:pPr>
        <w:widowControl/>
        <w:tabs>
          <w:tab w:val="left" w:pos="4455"/>
        </w:tabs>
        <w:ind w:firstLine="640" w:firstLineChars="200"/>
        <w:jc w:val="left"/>
        <w:rPr>
          <w:rFonts w:ascii="仿宋_GB2312" w:hAnsi="仿宋" w:eastAsia="仿宋_GB2312"/>
          <w:sz w:val="32"/>
          <w:szCs w:val="32"/>
        </w:rPr>
      </w:pPr>
      <w:r>
        <w:rPr>
          <w:rFonts w:hint="eastAsia" w:ascii="仿宋_GB2312" w:hAnsi="仿宋" w:eastAsia="仿宋_GB2312"/>
          <w:sz w:val="32"/>
          <w:szCs w:val="32"/>
        </w:rPr>
        <w:t>2021年11月，编制组再次组织10多位主要专家和领导将收集到的反馈意见，经过分析、整理，对标准的内容进行了逐项修改和完善，形成了标准送审稿。拟在湖南省市场监督标准化处的领导下，邀请有关专家召开标准审查会，对标准进行审查并提出修改建议。</w:t>
      </w:r>
    </w:p>
    <w:p>
      <w:pPr>
        <w:widowControl/>
        <w:tabs>
          <w:tab w:val="left" w:pos="4455"/>
        </w:tabs>
        <w:ind w:firstLine="640" w:firstLineChars="200"/>
        <w:jc w:val="left"/>
        <w:rPr>
          <w:rFonts w:eastAsia="仿宋"/>
          <w:sz w:val="32"/>
          <w:szCs w:val="32"/>
        </w:rPr>
      </w:pPr>
      <w:r>
        <w:rPr>
          <w:rFonts w:eastAsia="仿宋"/>
          <w:sz w:val="32"/>
          <w:szCs w:val="32"/>
        </w:rPr>
        <w:t>五、制定标准的依据</w:t>
      </w:r>
    </w:p>
    <w:p>
      <w:pPr>
        <w:widowControl/>
        <w:tabs>
          <w:tab w:val="left" w:pos="4455"/>
        </w:tabs>
        <w:ind w:firstLine="640" w:firstLineChars="200"/>
        <w:jc w:val="left"/>
        <w:rPr>
          <w:rFonts w:ascii="仿宋_GB2312" w:hAnsi="仿宋" w:eastAsia="仿宋_GB2312"/>
          <w:sz w:val="32"/>
          <w:szCs w:val="32"/>
        </w:rPr>
      </w:pPr>
      <w:r>
        <w:rPr>
          <w:rFonts w:hint="eastAsia" w:ascii="仿宋_GB2312" w:hAnsi="仿宋" w:eastAsia="仿宋_GB2312"/>
          <w:sz w:val="32"/>
          <w:szCs w:val="32"/>
        </w:rPr>
        <w:t>在编制该项标准的过程中，我们依据的标准有：</w:t>
      </w:r>
      <w:r>
        <w:rPr>
          <w:rFonts w:ascii="仿宋_GB2312" w:hAnsi="仿宋" w:eastAsia="仿宋_GB2312"/>
          <w:sz w:val="32"/>
          <w:szCs w:val="32"/>
        </w:rPr>
        <w:t>GB</w:t>
      </w:r>
      <w:r>
        <w:rPr>
          <w:rFonts w:hint="eastAsia" w:ascii="仿宋_GB2312" w:hAnsi="仿宋" w:eastAsia="仿宋_GB2312"/>
          <w:sz w:val="32"/>
          <w:szCs w:val="32"/>
        </w:rPr>
        <w:t>/</w:t>
      </w:r>
      <w:r>
        <w:rPr>
          <w:rFonts w:ascii="仿宋_GB2312" w:hAnsi="仿宋" w:eastAsia="仿宋_GB2312"/>
          <w:sz w:val="32"/>
          <w:szCs w:val="32"/>
        </w:rPr>
        <w:t>13078</w:t>
      </w:r>
      <w:r>
        <w:rPr>
          <w:rFonts w:hint="eastAsia" w:ascii="仿宋_GB2312" w:hAnsi="仿宋" w:eastAsia="仿宋_GB2312"/>
          <w:sz w:val="32"/>
          <w:szCs w:val="32"/>
        </w:rPr>
        <w:t>-2017《饲料卫生标准》，NY/T 3020-2016《农作物秸秆综合利用技术通则》，NY/T 2698-2015《青贮设施建设技术规范》等。</w:t>
      </w:r>
    </w:p>
    <w:p>
      <w:pPr>
        <w:ind w:firstLine="640" w:firstLineChars="200"/>
        <w:rPr>
          <w:rFonts w:ascii="仿宋_GB2312" w:hAnsi="黑体" w:eastAsia="仿宋_GB2312" w:cs="黑体"/>
          <w:sz w:val="32"/>
          <w:szCs w:val="32"/>
        </w:rPr>
      </w:pPr>
      <w:r>
        <w:rPr>
          <w:rFonts w:hint="eastAsia" w:ascii="仿宋_GB2312" w:hAnsi="黑体" w:eastAsia="仿宋_GB2312" w:cs="黑体"/>
          <w:sz w:val="32"/>
          <w:szCs w:val="32"/>
        </w:rPr>
        <w:t>六、标准的主要内容说明</w:t>
      </w:r>
    </w:p>
    <w:p>
      <w:pPr>
        <w:widowControl/>
        <w:tabs>
          <w:tab w:val="left" w:pos="4455"/>
        </w:tabs>
        <w:ind w:firstLine="643" w:firstLineChars="200"/>
        <w:jc w:val="left"/>
        <w:rPr>
          <w:rFonts w:ascii="仿宋_GB2312" w:hAnsi="仿宋" w:eastAsia="仿宋_GB2312"/>
          <w:b/>
          <w:bCs/>
          <w:sz w:val="32"/>
          <w:szCs w:val="32"/>
        </w:rPr>
      </w:pPr>
      <w:r>
        <w:rPr>
          <w:rFonts w:hint="eastAsia" w:ascii="仿宋_GB2312" w:hAnsi="仿宋" w:eastAsia="仿宋_GB2312"/>
          <w:b/>
          <w:bCs/>
          <w:sz w:val="32"/>
          <w:szCs w:val="32"/>
        </w:rPr>
        <w:t>1、标准的适用范围</w:t>
      </w:r>
    </w:p>
    <w:p>
      <w:pPr>
        <w:widowControl/>
        <w:tabs>
          <w:tab w:val="left" w:pos="4455"/>
        </w:tabs>
        <w:ind w:firstLine="640" w:firstLineChars="200"/>
        <w:jc w:val="left"/>
        <w:rPr>
          <w:rFonts w:ascii="仿宋_GB2312" w:hAnsi="仿宋" w:eastAsia="仿宋_GB2312"/>
          <w:sz w:val="32"/>
          <w:szCs w:val="32"/>
        </w:rPr>
      </w:pPr>
      <w:r>
        <w:rPr>
          <w:rFonts w:hint="eastAsia" w:ascii="仿宋_GB2312" w:hAnsi="仿宋" w:eastAsia="仿宋_GB2312"/>
          <w:sz w:val="32"/>
          <w:szCs w:val="32"/>
        </w:rPr>
        <w:t>本标准适用于我省全株水稻青贮制作。</w:t>
      </w:r>
    </w:p>
    <w:p>
      <w:pPr>
        <w:widowControl/>
        <w:tabs>
          <w:tab w:val="left" w:pos="4455"/>
        </w:tabs>
        <w:ind w:firstLine="643" w:firstLineChars="200"/>
        <w:jc w:val="left"/>
        <w:rPr>
          <w:rFonts w:ascii="仿宋_GB2312" w:hAnsi="仿宋" w:eastAsia="仿宋_GB2312"/>
          <w:b/>
          <w:bCs/>
          <w:sz w:val="32"/>
          <w:szCs w:val="32"/>
        </w:rPr>
      </w:pPr>
      <w:r>
        <w:rPr>
          <w:rFonts w:hint="eastAsia" w:ascii="仿宋_GB2312" w:hAnsi="仿宋" w:eastAsia="仿宋_GB2312"/>
          <w:b/>
          <w:bCs/>
          <w:sz w:val="32"/>
          <w:szCs w:val="32"/>
        </w:rPr>
        <w:t>2、标准的主要内容</w:t>
      </w:r>
    </w:p>
    <w:p>
      <w:pPr>
        <w:spacing w:line="360" w:lineRule="auto"/>
        <w:ind w:firstLine="640" w:firstLineChars="200"/>
        <w:rPr>
          <w:rFonts w:ascii="仿宋_GB2312" w:hAnsi="仿宋" w:eastAsia="仿宋_GB2312"/>
          <w:sz w:val="32"/>
          <w:szCs w:val="32"/>
        </w:rPr>
      </w:pPr>
      <w:r>
        <w:rPr>
          <w:rFonts w:hint="eastAsia" w:ascii="仿宋_GB2312" w:hAnsi="仿宋" w:eastAsia="仿宋_GB2312" w:cs="仿宋_GB2312"/>
          <w:sz w:val="32"/>
          <w:szCs w:val="32"/>
        </w:rPr>
        <w:t>（1）本标准规定了</w:t>
      </w:r>
      <w:r>
        <w:rPr>
          <w:rFonts w:hint="eastAsia" w:ascii="仿宋_GB2312" w:hAnsi="仿宋" w:eastAsia="仿宋_GB2312"/>
          <w:sz w:val="32"/>
          <w:szCs w:val="32"/>
        </w:rPr>
        <w:t>全株水稻青贮技术</w:t>
      </w:r>
      <w:r>
        <w:rPr>
          <w:rFonts w:hint="eastAsia" w:ascii="仿宋_GB2312" w:hAnsi="仿宋" w:eastAsia="仿宋_GB2312" w:cs="仿宋_GB2312"/>
          <w:sz w:val="32"/>
          <w:szCs w:val="32"/>
        </w:rPr>
        <w:t>规程的术语和定义、</w:t>
      </w:r>
      <w:r>
        <w:rPr>
          <w:rFonts w:hint="eastAsia" w:ascii="仿宋_GB2312" w:hAnsi="仿宋" w:eastAsia="仿宋_GB2312"/>
          <w:sz w:val="32"/>
          <w:szCs w:val="32"/>
        </w:rPr>
        <w:t>青贮方式及要求、青贮前的准备、全株水稻原料和青贮管理的操作标准等内容。</w:t>
      </w:r>
    </w:p>
    <w:p>
      <w:pPr>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（2）技术要求突出简洁明了和科学实用。</w:t>
      </w:r>
    </w:p>
    <w:p>
      <w:pPr>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（3）《规程》编写根据国家政策、法规、标准及要求综合考虑。</w:t>
      </w:r>
    </w:p>
    <w:p>
      <w:pPr>
        <w:ind w:firstLine="640" w:firstLineChars="200"/>
        <w:rPr>
          <w:rFonts w:ascii="仿宋_GB2312" w:hAnsi="仿宋" w:eastAsia="仿宋_GB2312" w:cs="仿宋_GB2312"/>
          <w:sz w:val="32"/>
          <w:szCs w:val="32"/>
        </w:rPr>
      </w:pPr>
      <w:r>
        <w:rPr>
          <w:rFonts w:hint="eastAsia" w:ascii="仿宋_GB2312" w:hAnsi="仿宋" w:eastAsia="仿宋_GB2312" w:cs="仿宋_GB2312"/>
          <w:sz w:val="32"/>
          <w:szCs w:val="32"/>
        </w:rPr>
        <w:t>（4）《规程》有关技术参照相关的技术标准进行，与国家相关政策、法规以及强制性标准不相冲突。</w:t>
      </w:r>
    </w:p>
    <w:p>
      <w:pPr>
        <w:widowControl/>
        <w:tabs>
          <w:tab w:val="left" w:pos="4455"/>
        </w:tabs>
        <w:ind w:firstLine="640" w:firstLineChars="200"/>
        <w:jc w:val="left"/>
        <w:rPr>
          <w:rFonts w:ascii="仿宋_GB2312" w:hAnsi="仿宋" w:eastAsia="仿宋_GB2312" w:cs="仿宋_GB2312"/>
          <w:sz w:val="32"/>
          <w:szCs w:val="32"/>
        </w:rPr>
      </w:pPr>
      <w:r>
        <w:rPr>
          <w:rFonts w:hint="eastAsia" w:ascii="仿宋_GB2312" w:hAnsi="仿宋" w:eastAsia="仿宋_GB2312" w:cs="仿宋_GB2312"/>
          <w:sz w:val="32"/>
          <w:szCs w:val="32"/>
        </w:rPr>
        <w:t>（5）《规程》根据我省全株水稻青贮现状与研究成果制订。</w:t>
      </w:r>
    </w:p>
    <w:p>
      <w:pPr>
        <w:ind w:firstLine="640" w:firstLineChars="200"/>
        <w:rPr>
          <w:rFonts w:ascii="仿宋_GB2312" w:hAnsi="黑体" w:eastAsia="仿宋_GB2312" w:cs="黑体"/>
          <w:sz w:val="32"/>
          <w:szCs w:val="32"/>
        </w:rPr>
      </w:pPr>
      <w:r>
        <w:rPr>
          <w:rFonts w:hint="eastAsia" w:ascii="仿宋_GB2312" w:hAnsi="黑体" w:eastAsia="仿宋_GB2312" w:cs="黑体"/>
          <w:sz w:val="32"/>
          <w:szCs w:val="32"/>
        </w:rPr>
        <w:t>七、标准结构框架</w:t>
      </w:r>
    </w:p>
    <w:p>
      <w:pPr>
        <w:ind w:firstLine="640" w:firstLineChars="200"/>
        <w:rPr>
          <w:rFonts w:ascii="仿宋_GB2312" w:hAnsi="仿宋" w:eastAsia="仿宋_GB2312"/>
          <w:sz w:val="32"/>
          <w:szCs w:val="32"/>
        </w:rPr>
      </w:pPr>
      <w:r>
        <w:rPr>
          <w:rFonts w:hint="eastAsia" w:ascii="仿宋_GB2312" w:hAnsi="仿宋" w:eastAsia="仿宋_GB2312" w:cs="宋体"/>
          <w:kern w:val="0"/>
          <w:sz w:val="32"/>
          <w:szCs w:val="32"/>
        </w:rPr>
        <w:t>本</w:t>
      </w:r>
      <w:r>
        <w:rPr>
          <w:rFonts w:hint="eastAsia" w:ascii="仿宋_GB2312" w:hAnsi="仿宋" w:eastAsia="仿宋_GB2312"/>
          <w:sz w:val="32"/>
          <w:szCs w:val="32"/>
        </w:rPr>
        <w:t>标准文本包括的主要章节内容如下：</w:t>
      </w:r>
    </w:p>
    <w:p>
      <w:pPr>
        <w:ind w:firstLine="640" w:firstLineChars="200"/>
        <w:rPr>
          <w:rFonts w:ascii="仿宋_GB2312" w:hAnsi="仿宋" w:eastAsia="仿宋_GB2312"/>
          <w:sz w:val="32"/>
          <w:szCs w:val="32"/>
        </w:rPr>
      </w:pPr>
      <w:r>
        <w:rPr>
          <w:rFonts w:hint="eastAsia" w:ascii="仿宋_GB2312" w:hAnsi="仿宋" w:eastAsia="仿宋_GB2312"/>
          <w:sz w:val="32"/>
          <w:szCs w:val="32"/>
        </w:rPr>
        <w:t>前言</w:t>
      </w:r>
      <w:r>
        <w:rPr>
          <w:rFonts w:hint="eastAsia" w:ascii="仿宋_GB2312" w:hAnsi="仿宋" w:eastAsia="仿宋_GB2312"/>
          <w:sz w:val="32"/>
          <w:szCs w:val="32"/>
        </w:rPr>
        <w:tab/>
      </w:r>
    </w:p>
    <w:p>
      <w:pPr>
        <w:ind w:firstLine="640" w:firstLineChars="200"/>
        <w:rPr>
          <w:rFonts w:ascii="仿宋_GB2312" w:hAnsi="仿宋" w:eastAsia="仿宋_GB2312"/>
          <w:sz w:val="32"/>
          <w:szCs w:val="32"/>
        </w:rPr>
      </w:pPr>
      <w:r>
        <w:rPr>
          <w:rFonts w:hint="eastAsia" w:ascii="仿宋_GB2312" w:hAnsi="仿宋" w:eastAsia="仿宋_GB2312"/>
          <w:sz w:val="32"/>
          <w:szCs w:val="32"/>
        </w:rPr>
        <w:t>1 范围</w:t>
      </w:r>
    </w:p>
    <w:p>
      <w:pPr>
        <w:ind w:firstLine="640" w:firstLineChars="200"/>
        <w:rPr>
          <w:rFonts w:ascii="仿宋_GB2312" w:hAnsi="仿宋" w:eastAsia="仿宋_GB2312"/>
          <w:sz w:val="32"/>
          <w:szCs w:val="32"/>
        </w:rPr>
      </w:pPr>
      <w:r>
        <w:rPr>
          <w:rFonts w:hint="eastAsia" w:ascii="仿宋_GB2312" w:hAnsi="仿宋" w:eastAsia="仿宋_GB2312"/>
          <w:sz w:val="32"/>
          <w:szCs w:val="32"/>
        </w:rPr>
        <w:t>2 规范性引用文件</w:t>
      </w:r>
    </w:p>
    <w:p>
      <w:pPr>
        <w:ind w:firstLine="640" w:firstLineChars="200"/>
        <w:rPr>
          <w:rFonts w:ascii="仿宋_GB2312" w:hAnsi="仿宋" w:eastAsia="仿宋_GB2312"/>
          <w:sz w:val="32"/>
          <w:szCs w:val="32"/>
        </w:rPr>
      </w:pPr>
      <w:r>
        <w:rPr>
          <w:rFonts w:hint="eastAsia" w:ascii="仿宋_GB2312" w:hAnsi="仿宋" w:eastAsia="仿宋_GB2312"/>
          <w:sz w:val="32"/>
          <w:szCs w:val="32"/>
        </w:rPr>
        <w:t>3 术语和定义</w:t>
      </w:r>
    </w:p>
    <w:p>
      <w:pPr>
        <w:ind w:firstLine="640" w:firstLineChars="200"/>
        <w:rPr>
          <w:rFonts w:ascii="仿宋_GB2312" w:hAnsi="仿宋" w:eastAsia="仿宋_GB2312"/>
          <w:sz w:val="32"/>
          <w:szCs w:val="32"/>
        </w:rPr>
      </w:pPr>
      <w:r>
        <w:rPr>
          <w:rFonts w:hint="eastAsia" w:ascii="仿宋_GB2312" w:hAnsi="仿宋" w:eastAsia="仿宋_GB2312"/>
          <w:sz w:val="32"/>
          <w:szCs w:val="32"/>
        </w:rPr>
        <w:t>4 青贮方式及要求</w:t>
      </w:r>
    </w:p>
    <w:p>
      <w:pPr>
        <w:ind w:firstLine="640" w:firstLineChars="200"/>
        <w:rPr>
          <w:rFonts w:ascii="仿宋_GB2312" w:hAnsi="仿宋" w:eastAsia="仿宋_GB2312"/>
          <w:sz w:val="32"/>
          <w:szCs w:val="32"/>
        </w:rPr>
      </w:pPr>
      <w:r>
        <w:rPr>
          <w:rFonts w:hint="eastAsia" w:ascii="仿宋_GB2312" w:hAnsi="仿宋" w:eastAsia="仿宋_GB2312"/>
          <w:sz w:val="32"/>
          <w:szCs w:val="32"/>
        </w:rPr>
        <w:t>5 青贮前的准备</w:t>
      </w:r>
    </w:p>
    <w:p>
      <w:pPr>
        <w:ind w:firstLine="640" w:firstLineChars="200"/>
        <w:rPr>
          <w:rFonts w:ascii="仿宋_GB2312" w:hAnsi="仿宋" w:eastAsia="仿宋_GB2312"/>
          <w:sz w:val="32"/>
          <w:szCs w:val="32"/>
        </w:rPr>
      </w:pPr>
      <w:r>
        <w:rPr>
          <w:rFonts w:hint="eastAsia" w:ascii="仿宋_GB2312" w:hAnsi="仿宋" w:eastAsia="仿宋_GB2312"/>
          <w:sz w:val="32"/>
          <w:szCs w:val="32"/>
        </w:rPr>
        <w:t>6 青贮制作</w:t>
      </w:r>
    </w:p>
    <w:p>
      <w:pPr>
        <w:ind w:firstLine="640" w:firstLineChars="200"/>
        <w:rPr>
          <w:rFonts w:ascii="仿宋_GB2312" w:hAnsi="仿宋" w:eastAsia="仿宋_GB2312"/>
          <w:sz w:val="32"/>
          <w:szCs w:val="32"/>
        </w:rPr>
      </w:pPr>
      <w:r>
        <w:rPr>
          <w:rFonts w:hint="eastAsia" w:ascii="仿宋_GB2312" w:hAnsi="仿宋" w:eastAsia="仿宋_GB2312"/>
          <w:sz w:val="32"/>
          <w:szCs w:val="32"/>
        </w:rPr>
        <w:t>7 青贮管理</w:t>
      </w:r>
    </w:p>
    <w:p>
      <w:pPr>
        <w:ind w:firstLine="640" w:firstLineChars="200"/>
        <w:rPr>
          <w:rFonts w:ascii="仿宋_GB2312" w:hAnsi="仿宋" w:eastAsia="仿宋_GB2312"/>
          <w:sz w:val="32"/>
          <w:szCs w:val="32"/>
        </w:rPr>
      </w:pPr>
      <w:r>
        <w:rPr>
          <w:rFonts w:hint="eastAsia" w:ascii="仿宋_GB2312" w:hAnsi="仿宋" w:eastAsia="仿宋_GB2312"/>
          <w:sz w:val="32"/>
          <w:szCs w:val="32"/>
        </w:rPr>
        <w:t>8 品质鉴定</w:t>
      </w:r>
    </w:p>
    <w:p>
      <w:pPr>
        <w:ind w:firstLine="640" w:firstLineChars="200"/>
        <w:rPr>
          <w:rFonts w:ascii="仿宋_GB2312" w:hAnsi="仿宋" w:eastAsia="仿宋_GB2312"/>
          <w:sz w:val="32"/>
          <w:szCs w:val="32"/>
        </w:rPr>
      </w:pPr>
      <w:r>
        <w:rPr>
          <w:rFonts w:hint="eastAsia" w:ascii="仿宋_GB2312" w:hAnsi="仿宋" w:eastAsia="仿宋_GB2312"/>
          <w:sz w:val="32"/>
          <w:szCs w:val="32"/>
        </w:rPr>
        <w:t>9 取饲</w:t>
      </w:r>
    </w:p>
    <w:p>
      <w:pPr>
        <w:pStyle w:val="2"/>
        <w:widowControl/>
        <w:spacing w:before="76" w:beforeAutospacing="0" w:after="0" w:afterAutospacing="0"/>
        <w:ind w:firstLine="643" w:firstLineChars="200"/>
        <w:rPr>
          <w:rFonts w:ascii="仿宋_GB2312" w:hAnsi="金山简标宋" w:eastAsia="仿宋_GB2312"/>
          <w:b/>
          <w:kern w:val="2"/>
          <w:sz w:val="32"/>
          <w:szCs w:val="32"/>
        </w:rPr>
      </w:pPr>
      <w:r>
        <w:rPr>
          <w:rFonts w:hint="eastAsia" w:ascii="仿宋_GB2312" w:hAnsi="金山简标宋" w:eastAsia="仿宋_GB2312"/>
          <w:b/>
          <w:kern w:val="2"/>
          <w:sz w:val="32"/>
          <w:szCs w:val="32"/>
        </w:rPr>
        <w:t>八、与其他标准的关系</w:t>
      </w:r>
    </w:p>
    <w:p>
      <w:pPr>
        <w:pStyle w:val="2"/>
        <w:widowControl/>
        <w:spacing w:before="76" w:beforeAutospacing="0" w:after="0" w:afterAutospacing="0"/>
        <w:ind w:firstLine="640" w:firstLineChars="200"/>
        <w:rPr>
          <w:rFonts w:ascii="仿宋_GB2312" w:hAnsi="宋体" w:eastAsia="仿宋_GB2312"/>
          <w:kern w:val="2"/>
          <w:sz w:val="32"/>
          <w:szCs w:val="32"/>
        </w:rPr>
      </w:pPr>
      <w:r>
        <w:rPr>
          <w:rFonts w:hint="eastAsia" w:ascii="仿宋_GB2312" w:hAnsi="宋体" w:eastAsia="仿宋_GB2312"/>
          <w:kern w:val="2"/>
          <w:sz w:val="32"/>
          <w:szCs w:val="32"/>
        </w:rPr>
        <w:t>目前，我省全株水稻青贮技术的相关标准，地方青贮技术标准缺乏，我省地方全株水稻青贮技术亟需出台相关技术规程标准予以规范引导。</w:t>
      </w:r>
    </w:p>
    <w:p>
      <w:pPr>
        <w:widowControl/>
        <w:tabs>
          <w:tab w:val="left" w:pos="4455"/>
        </w:tabs>
        <w:ind w:firstLine="640" w:firstLineChars="200"/>
        <w:jc w:val="left"/>
        <w:rPr>
          <w:rFonts w:ascii="仿宋_GB2312" w:hAnsi="宋体" w:eastAsia="仿宋_GB2312"/>
          <w:sz w:val="32"/>
          <w:szCs w:val="32"/>
        </w:rPr>
      </w:pPr>
      <w:r>
        <w:rPr>
          <w:rFonts w:hint="eastAsia" w:ascii="仿宋_GB2312" w:hAnsi="宋体" w:eastAsia="仿宋_GB2312"/>
          <w:sz w:val="32"/>
          <w:szCs w:val="32"/>
        </w:rPr>
        <w:t>本标准在编制过程中，尽量直接引用的方式或修改引用相关国家标准、行业标准主要技术内容，确保与相关国家标准、行业标准相协调、相衔接。</w:t>
      </w:r>
    </w:p>
    <w:p>
      <w:pPr>
        <w:widowControl/>
        <w:tabs>
          <w:tab w:val="left" w:pos="4455"/>
        </w:tabs>
        <w:ind w:firstLine="643" w:firstLineChars="200"/>
        <w:jc w:val="left"/>
        <w:rPr>
          <w:rFonts w:eastAsia="仿宋"/>
          <w:b/>
          <w:bCs/>
          <w:sz w:val="32"/>
          <w:szCs w:val="32"/>
        </w:rPr>
      </w:pPr>
      <w:r>
        <w:rPr>
          <w:rFonts w:eastAsia="仿宋"/>
          <w:b/>
          <w:bCs/>
          <w:sz w:val="32"/>
          <w:szCs w:val="32"/>
        </w:rPr>
        <w:t>九</w:t>
      </w:r>
      <w:r>
        <w:rPr>
          <w:rFonts w:hint="eastAsia" w:eastAsia="仿宋"/>
          <w:b/>
          <w:bCs/>
          <w:sz w:val="32"/>
          <w:szCs w:val="32"/>
        </w:rPr>
        <w:t>、</w:t>
      </w:r>
      <w:r>
        <w:rPr>
          <w:rFonts w:eastAsia="仿宋"/>
          <w:b/>
          <w:bCs/>
          <w:sz w:val="32"/>
          <w:szCs w:val="32"/>
        </w:rPr>
        <w:t>标准预计产生的经济、社会效益</w:t>
      </w:r>
    </w:p>
    <w:p>
      <w:pPr>
        <w:widowControl/>
        <w:tabs>
          <w:tab w:val="left" w:pos="4455"/>
        </w:tabs>
        <w:ind w:firstLine="640" w:firstLineChars="200"/>
        <w:jc w:val="left"/>
        <w:rPr>
          <w:rFonts w:eastAsia="仿宋"/>
          <w:b/>
          <w:bCs/>
          <w:sz w:val="32"/>
          <w:szCs w:val="32"/>
        </w:rPr>
      </w:pPr>
      <w:r>
        <w:rPr>
          <w:rFonts w:hint="eastAsia" w:ascii="仿宋_GB2312" w:hAnsi="宋体" w:eastAsia="仿宋_GB2312"/>
          <w:sz w:val="32"/>
          <w:szCs w:val="32"/>
        </w:rPr>
        <w:t>标准制订完善推广后能给农户和养殖企业带来良好的经济效益，而且有利于畜牧业先进配套技术的推广应用，改变传统农业生产经营方式，填补我省在全株水稻青贮研究方面的空白，有利于</w:t>
      </w:r>
      <w:r>
        <w:rPr>
          <w:rFonts w:ascii="仿宋_GB2312" w:hAnsi="宋体" w:eastAsia="仿宋_GB2312"/>
          <w:sz w:val="32"/>
          <w:szCs w:val="32"/>
        </w:rPr>
        <w:t>推动我省</w:t>
      </w:r>
      <w:r>
        <w:rPr>
          <w:rFonts w:hint="eastAsia" w:ascii="仿宋_GB2312" w:hAnsi="宋体" w:eastAsia="仿宋_GB2312"/>
          <w:sz w:val="32"/>
          <w:szCs w:val="32"/>
        </w:rPr>
        <w:t>全株水稻青贮产业的快速发展</w:t>
      </w:r>
      <w:r>
        <w:rPr>
          <w:rFonts w:ascii="仿宋_GB2312" w:hAnsi="宋体" w:eastAsia="仿宋_GB2312"/>
          <w:sz w:val="32"/>
          <w:szCs w:val="32"/>
        </w:rPr>
        <w:t>。</w:t>
      </w:r>
      <w:r>
        <w:rPr>
          <w:rFonts w:hint="eastAsia" w:ascii="仿宋_GB2312" w:hAnsi="宋体" w:eastAsia="仿宋_GB2312"/>
          <w:sz w:val="32"/>
          <w:szCs w:val="32"/>
        </w:rPr>
        <w:t>与此同时，通过项目的实施，能充分利用科技培训平台，开展劳动技能培训，使一大批农民能够接受专业技术培训，掌握多项实用青贮制作技术，提高广大农民的现代农业意识，使传统农业逐步向现代农业转变，实现区域经济社会的可持续发展。其技术在全省推广应用后，可加强和推进农业的科学管理，促进青贮饲料产品生产标准化，加强农业环境保护，确保饲料产品质量安全，促进农民致富增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金山简标宋">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jMmE0ZDlkY2MyOTNhNjI3OWIyYzgzMGY1YWZhMzAifQ=="/>
  </w:docVars>
  <w:rsids>
    <w:rsidRoot w:val="00CF146F"/>
    <w:rsid w:val="007A2A78"/>
    <w:rsid w:val="00CF146F"/>
    <w:rsid w:val="063E1255"/>
    <w:rsid w:val="06502769"/>
    <w:rsid w:val="24154657"/>
    <w:rsid w:val="241659D3"/>
    <w:rsid w:val="247B0F6F"/>
    <w:rsid w:val="251E1E33"/>
    <w:rsid w:val="2A1C7AEF"/>
    <w:rsid w:val="2E677626"/>
    <w:rsid w:val="31C81DA5"/>
    <w:rsid w:val="34694D80"/>
    <w:rsid w:val="3EF402E7"/>
    <w:rsid w:val="41A30DBB"/>
    <w:rsid w:val="515642DA"/>
    <w:rsid w:val="55130AD4"/>
    <w:rsid w:val="646054A7"/>
    <w:rsid w:val="68207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unhideWhenUsed/>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DoubleOX</Company>
  <Pages>6</Pages>
  <Words>2115</Words>
  <Characters>2178</Characters>
  <Lines>16</Lines>
  <Paragraphs>4</Paragraphs>
  <TotalTime>81</TotalTime>
  <ScaleCrop>false</ScaleCrop>
  <LinksUpToDate>false</LinksUpToDate>
  <CharactersWithSpaces>2193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2022-07-01T02:06:00Z</dcterms:created>
  <dc:creator>DELL</dc:creator>
  <cp:lastModifiedBy>Administrator</cp:lastModifiedBy>
  <dcterms:modified xsi:type="dcterms:W3CDTF">2022-07-27T02:03:32Z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D3B65714B8324626882EF78AE22EDF6F</vt:lpwstr>
  </property>
</Properties>
</file>