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sz w:val="28"/>
          <w:szCs w:val="18"/>
        </w:rPr>
      </w:pPr>
    </w:p>
    <w:p>
      <w:pPr>
        <w:wordWrap w:val="0"/>
        <w:rPr>
          <w:rFonts w:ascii="黑体" w:hAnsi="黑体" w:eastAsia="黑体" w:cs="Arial"/>
          <w:sz w:val="44"/>
          <w:szCs w:val="44"/>
        </w:rPr>
      </w:pPr>
      <w:r>
        <w:rPr>
          <w:rFonts w:hint="eastAsia" w:ascii="黑体" w:hAnsi="黑体" w:eastAsia="黑体" w:cs="Arial"/>
          <w:sz w:val="44"/>
          <w:szCs w:val="44"/>
        </w:rPr>
        <w:t>湖    南    省    地    方    标    准</w:t>
      </w:r>
    </w:p>
    <w:p>
      <w:pPr>
        <w:rPr>
          <w:rFonts w:ascii="黑体" w:hAnsi="黑体" w:eastAsia="黑体" w:cs="Arial"/>
          <w:sz w:val="28"/>
          <w:szCs w:val="18"/>
        </w:rPr>
      </w:pPr>
      <w:r>
        <w:rPr>
          <w:rFonts w:hint="eastAsia" w:cs="Arial"/>
          <w:sz w:val="28"/>
          <w:szCs w:val="18"/>
        </w:rPr>
        <w:t xml:space="preserve">                                           </w:t>
      </w:r>
      <w:r>
        <w:rPr>
          <w:rFonts w:hint="eastAsia" w:ascii="黑体" w:hAnsi="黑体" w:eastAsia="黑体" w:cs="Arial"/>
          <w:sz w:val="28"/>
          <w:szCs w:val="18"/>
        </w:rPr>
        <w:t>DB</w:t>
      </w:r>
      <w:r>
        <w:rPr>
          <w:rFonts w:ascii="黑体" w:hAnsi="黑体" w:eastAsia="黑体" w:cs="Arial"/>
          <w:sz w:val="28"/>
          <w:szCs w:val="18"/>
        </w:rPr>
        <w:t>43</w:t>
      </w:r>
      <w:r>
        <w:rPr>
          <w:rFonts w:hint="eastAsia" w:ascii="黑体" w:hAnsi="黑体" w:eastAsia="黑体" w:cs="Arial"/>
          <w:sz w:val="28"/>
          <w:szCs w:val="18"/>
        </w:rPr>
        <w:t>/T  ****－2022</w:t>
      </w:r>
    </w:p>
    <w:p>
      <w:pPr>
        <w:rPr>
          <w:rFonts w:ascii="黑体" w:hAnsi="黑体" w:eastAsia="黑体" w:cs="Arial"/>
          <w:sz w:val="28"/>
          <w:szCs w:val="18"/>
        </w:rPr>
      </w:pPr>
      <w:r>
        <w:rPr>
          <w:b/>
          <w:bCs/>
          <w:sz w:val="20"/>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95250</wp:posOffset>
                </wp:positionV>
                <wp:extent cx="5943600" cy="0"/>
                <wp:effectExtent l="0" t="9525" r="0" b="13335"/>
                <wp:wrapNone/>
                <wp:docPr id="4" name="直线 5"/>
                <wp:cNvGraphicFramePr/>
                <a:graphic xmlns:a="http://schemas.openxmlformats.org/drawingml/2006/main">
                  <a:graphicData uri="http://schemas.microsoft.com/office/word/2010/wordprocessingShape">
                    <wps:wsp>
                      <wps:cNvCnPr/>
                      <wps:spPr>
                        <a:xfrm flipH="1">
                          <a:off x="0" y="0"/>
                          <a:ext cx="59436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flip:x;margin-left:-4.5pt;margin-top:7.5pt;height:0pt;width:468pt;z-index:251659264;mso-width-relative:page;mso-height-relative:page;" filled="f" stroked="t" coordsize="21600,21600" o:gfxdata="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KdCGfT&#10;AAAACAEAAA8AAAAAAAAAAQAgAAAAIgAAAGRycy9kb3ducmV2LnhtbFBLAQIUABQAAAAIAIdO4kBE&#10;z2GW7AEAAOgDAAAOAAAAAAAAAAEAIAAAACIBAABkcnMvZTJvRG9jLnhtbFBLBQYAAAAABgAGAFkB&#10;AACABQAAAAA=&#10;">
                <v:fill on="f" focussize="0,0"/>
                <v:stroke weight="1.5pt" color="#000000" joinstyle="round"/>
                <v:imagedata o:title=""/>
                <o:lock v:ext="edit" aspectratio="f"/>
              </v:line>
            </w:pict>
          </mc:Fallback>
        </mc:AlternateContent>
      </w:r>
    </w:p>
    <w:p>
      <w:pPr>
        <w:rPr>
          <w:rFonts w:cs="Arial"/>
          <w:sz w:val="30"/>
          <w:szCs w:val="18"/>
        </w:rPr>
      </w:pPr>
      <w:r>
        <w:rPr>
          <w:rFonts w:cs="Arial"/>
          <w:b/>
          <w:bCs/>
          <w:sz w:val="24"/>
          <w:szCs w:val="18"/>
        </w:rPr>
        <mc:AlternateContent>
          <mc:Choice Requires="wps">
            <w:drawing>
              <wp:anchor distT="0" distB="0" distL="114300" distR="114300" simplePos="0" relativeHeight="251661312" behindDoc="0" locked="1" layoutInCell="1" allowOverlap="1">
                <wp:simplePos x="0" y="0"/>
                <wp:positionH relativeFrom="margin">
                  <wp:posOffset>2525395</wp:posOffset>
                </wp:positionH>
                <wp:positionV relativeFrom="margin">
                  <wp:posOffset>-449580</wp:posOffset>
                </wp:positionV>
                <wp:extent cx="3175000" cy="720090"/>
                <wp:effectExtent l="0" t="0" r="10160" b="11430"/>
                <wp:wrapNone/>
                <wp:docPr id="7" name="文本框 6"/>
                <wp:cNvGraphicFramePr/>
                <a:graphic xmlns:a="http://schemas.openxmlformats.org/drawingml/2006/main">
                  <a:graphicData uri="http://schemas.microsoft.com/office/word/2010/wordprocessingShape">
                    <wps:wsp>
                      <wps:cNvSpPr/>
                      <wps:spPr>
                        <a:xfrm>
                          <a:off x="0" y="0"/>
                          <a:ext cx="3175000" cy="720090"/>
                        </a:xfrm>
                        <a:prstGeom prst="rect">
                          <a:avLst/>
                        </a:prstGeom>
                        <a:solidFill>
                          <a:srgbClr val="FFFFFF"/>
                        </a:solidFill>
                        <a:ln w="9525">
                          <a:noFill/>
                        </a:ln>
                        <a:effectLst/>
                      </wps:spPr>
                      <wps:txbx>
                        <w:txbxContent>
                          <w:p>
                            <w:pPr>
                              <w:pStyle w:val="18"/>
                            </w:pPr>
                            <w:r>
                              <w:t>DB</w:t>
                            </w:r>
                          </w:p>
                        </w:txbxContent>
                      </wps:txbx>
                      <wps:bodyPr lIns="0" tIns="0" rIns="0" bIns="0" upright="1"/>
                    </wps:wsp>
                  </a:graphicData>
                </a:graphic>
              </wp:anchor>
            </w:drawing>
          </mc:Choice>
          <mc:Fallback>
            <w:pict>
              <v:rect id="文本框 6" o:spid="_x0000_s1026" o:spt="1" style="position:absolute;left:0pt;margin-left:198.85pt;margin-top:-35.4pt;height:56.7pt;width:250pt;mso-position-horizontal-relative:margin;mso-position-vertical-relative:margin;z-index:251661312;mso-width-relative:page;mso-height-relative:page;" fillcolor="#FFFFFF" filled="t" stroked="f" coordsize="21600,21600" o:gfxdata="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51029YAAAAKAQAADwAAAAAAAAABACAA&#10;AAAiAAAAZHJzL2Rvd25yZXYueG1sUEsBAhQAFAAAAAgAh07iQHsPNa/WAQAAqAMAAA4AAAAAAAAA&#10;AQAgAAAAJQEAAGRycy9lMm9Eb2MueG1sUEsFBgAAAAAGAAYAWQEAAG0FAAAAAA==&#10;">
                <v:fill on="t" focussize="0,0"/>
                <v:stroke on="f"/>
                <v:imagedata o:title=""/>
                <o:lock v:ext="edit" aspectratio="f"/>
                <v:textbox inset="0mm,0mm,0mm,0mm">
                  <w:txbxContent>
                    <w:p>
                      <w:pPr>
                        <w:pStyle w:val="18"/>
                      </w:pPr>
                      <w:r>
                        <w:t>DB</w:t>
                      </w:r>
                    </w:p>
                  </w:txbxContent>
                </v:textbox>
                <w10:anchorlock/>
              </v:rect>
            </w:pict>
          </mc:Fallback>
        </mc:AlternateContent>
      </w:r>
    </w:p>
    <w:p>
      <w:pPr>
        <w:adjustRightInd w:val="0"/>
        <w:snapToGrid w:val="0"/>
        <w:rPr>
          <w:rFonts w:cs="Arial"/>
          <w:sz w:val="32"/>
          <w:szCs w:val="32"/>
        </w:rPr>
      </w:pPr>
      <w:bookmarkStart w:id="32" w:name="_GoBack"/>
      <w:bookmarkEnd w:id="32"/>
    </w:p>
    <w:p>
      <w:pPr>
        <w:adjustRightInd w:val="0"/>
        <w:snapToGrid w:val="0"/>
        <w:rPr>
          <w:rFonts w:cs="Arial"/>
          <w:sz w:val="32"/>
          <w:szCs w:val="32"/>
        </w:rPr>
      </w:pPr>
    </w:p>
    <w:p>
      <w:pPr>
        <w:adjustRightInd w:val="0"/>
        <w:snapToGrid w:val="0"/>
        <w:rPr>
          <w:rFonts w:cs="Arial"/>
          <w:sz w:val="32"/>
          <w:szCs w:val="32"/>
        </w:rPr>
      </w:pPr>
    </w:p>
    <w:p>
      <w:pPr>
        <w:adjustRightInd w:val="0"/>
        <w:snapToGrid w:val="0"/>
        <w:rPr>
          <w:rFonts w:cs="Arial"/>
          <w:sz w:val="32"/>
          <w:szCs w:val="32"/>
        </w:rPr>
      </w:pPr>
    </w:p>
    <w:p>
      <w:pPr>
        <w:adjustRightInd w:val="0"/>
        <w:snapToGrid w:val="0"/>
        <w:rPr>
          <w:rFonts w:cs="Arial"/>
          <w:sz w:val="32"/>
          <w:szCs w:val="32"/>
        </w:rPr>
      </w:pPr>
    </w:p>
    <w:p>
      <w:pPr>
        <w:adjustRightInd w:val="0"/>
        <w:snapToGrid w:val="0"/>
        <w:rPr>
          <w:rFonts w:cs="Arial"/>
          <w:sz w:val="32"/>
          <w:szCs w:val="32"/>
        </w:rPr>
      </w:pPr>
    </w:p>
    <w:p>
      <w:pPr>
        <w:adjustRightInd w:val="0"/>
        <w:snapToGrid w:val="0"/>
        <w:jc w:val="center"/>
        <w:rPr>
          <w:rFonts w:ascii="Times New Roman" w:hAnsi="Times New Roman" w:eastAsia="黑体" w:cs="Times New Roman"/>
          <w:b/>
          <w:sz w:val="52"/>
          <w:szCs w:val="56"/>
        </w:rPr>
      </w:pPr>
      <w:r>
        <w:rPr>
          <w:rFonts w:hint="eastAsia" w:ascii="Times New Roman" w:hAnsi="Times New Roman" w:eastAsia="黑体" w:cs="Times New Roman"/>
          <w:b/>
          <w:sz w:val="52"/>
          <w:szCs w:val="56"/>
        </w:rPr>
        <w:t>全株水稻青贮技术规程</w:t>
      </w:r>
    </w:p>
    <w:p>
      <w:pPr>
        <w:adjustRightInd w:val="0"/>
        <w:snapToGrid w:val="0"/>
        <w:jc w:val="center"/>
        <w:rPr>
          <w:sz w:val="28"/>
          <w:szCs w:val="28"/>
        </w:rPr>
      </w:pPr>
      <w:r>
        <w:rPr>
          <w:rFonts w:hint="eastAsia" w:ascii="Times New Roman" w:hAnsi="Times New Roman" w:eastAsia="黑体" w:cs="Times New Roman"/>
          <w:bCs/>
          <w:szCs w:val="21"/>
        </w:rPr>
        <w:t>Technical specification for silage of whole rice plant</w:t>
      </w: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jc w:val="center"/>
        <w:rPr>
          <w:sz w:val="28"/>
          <w:szCs w:val="28"/>
        </w:rPr>
      </w:pPr>
    </w:p>
    <w:p>
      <w:pPr>
        <w:adjustRightInd w:val="0"/>
        <w:snapToGrid w:val="0"/>
        <w:rPr>
          <w:rFonts w:cs="Arial"/>
          <w:b/>
          <w:bCs/>
          <w:sz w:val="28"/>
          <w:szCs w:val="18"/>
        </w:rPr>
      </w:pPr>
      <w:r>
        <w:rPr>
          <w:rFonts w:hint="eastAsia" w:cs="Arial"/>
          <w:b/>
          <w:bCs/>
          <w:sz w:val="28"/>
          <w:szCs w:val="18"/>
        </w:rPr>
        <w:t>2022-XX-发布                              2022-XX-实施</w:t>
      </w:r>
    </w:p>
    <w:p>
      <w:pPr>
        <w:adjustRightInd w:val="0"/>
        <w:snapToGrid w:val="0"/>
        <w:rPr>
          <w:rFonts w:cs="Arial"/>
          <w:sz w:val="24"/>
          <w:szCs w:val="18"/>
        </w:rPr>
      </w:pPr>
      <w:r>
        <w:rPr>
          <w:rFonts w:cs="Arial"/>
          <w:sz w:val="24"/>
          <w:szCs w:val="1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191760" cy="635"/>
                <wp:effectExtent l="0" t="19050" r="5080" b="26035"/>
                <wp:wrapNone/>
                <wp:docPr id="3" name="直线 6"/>
                <wp:cNvGraphicFramePr/>
                <a:graphic xmlns:a="http://schemas.openxmlformats.org/drawingml/2006/main">
                  <a:graphicData uri="http://schemas.microsoft.com/office/word/2010/wordprocessingShape">
                    <wps:wsp>
                      <wps:cNvCnPr/>
                      <wps:spPr>
                        <a:xfrm>
                          <a:off x="0" y="0"/>
                          <a:ext cx="5943600" cy="0"/>
                        </a:xfrm>
                        <a:prstGeom prst="line">
                          <a:avLst/>
                        </a:prstGeom>
                        <a:ln w="38100" cap="flat" cmpd="sng">
                          <a:solidFill>
                            <a:srgbClr val="000000"/>
                          </a:solidFill>
                          <a:prstDash val="solid"/>
                          <a:headEnd type="none" w="med" len="med"/>
                          <a:tailEnd type="none" w="med" len="med"/>
                        </a:ln>
                        <a:effectLst/>
                      </wps:spPr>
                      <wps:bodyPr/>
                    </wps:wsp>
                  </a:graphicData>
                </a:graphic>
              </wp:anchor>
            </w:drawing>
          </mc:Choice>
          <mc:Fallback>
            <w:pict>
              <v:line id="直线 6" o:spid="_x0000_s1026" o:spt="20" style="position:absolute;left:0pt;margin-left:0pt;margin-top:0pt;height:0.05pt;width:408.8pt;z-index:251660288;mso-width-relative:page;mso-height-relative:page;" filled="f" stroked="t" coordsize="21600,21600" o:gfxdata="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CDKi/PAAAAAgEAAA8AAAAA&#10;AAAAAQAgAAAAIgAAAGRycy9kb3ducmV2LnhtbFBLAQIUABQAAAAIAIdO4kAUBvhB5AEAAN4DAAAO&#10;AAAAAAAAAAEAIAAAAB4BAABkcnMvZTJvRG9jLnhtbFBLBQYAAAAABgAGAFkBAAB0BQAAAAA=&#10;">
                <v:fill on="f" focussize="0,0"/>
                <v:stroke weight="3pt" color="#000000" joinstyle="round"/>
                <v:imagedata o:title=""/>
                <o:lock v:ext="edit" aspectratio="f"/>
              </v:line>
            </w:pict>
          </mc:Fallback>
        </mc:AlternateContent>
      </w:r>
    </w:p>
    <w:p>
      <w:pPr>
        <w:adjustRightInd w:val="0"/>
        <w:snapToGrid w:val="0"/>
        <w:jc w:val="center"/>
        <w:rPr>
          <w:rFonts w:cs="Arial"/>
          <w:b/>
          <w:bCs/>
          <w:sz w:val="24"/>
          <w:szCs w:val="18"/>
        </w:rPr>
      </w:pPr>
      <w:r>
        <w:rPr>
          <w:rFonts w:hint="eastAsia" w:cs="Arial"/>
          <w:b/>
          <w:bCs/>
          <w:sz w:val="44"/>
          <w:szCs w:val="18"/>
        </w:rPr>
        <w:t>湖南省市场监督管理局</w:t>
      </w:r>
      <w:r>
        <w:rPr>
          <w:rFonts w:hint="eastAsia" w:cs="Arial"/>
          <w:sz w:val="30"/>
          <w:szCs w:val="18"/>
        </w:rPr>
        <w:t>发布</w:t>
      </w:r>
    </w:p>
    <w:p>
      <w:pPr>
        <w:adjustRightInd w:val="0"/>
        <w:snapToGrid w:val="0"/>
        <w:jc w:val="center"/>
        <w:rPr>
          <w:sz w:val="28"/>
          <w:szCs w:val="28"/>
        </w:rPr>
        <w:sectPr>
          <w:footerReference r:id="rId6" w:type="first"/>
          <w:headerReference r:id="rId3" w:type="default"/>
          <w:footerReference r:id="rId4" w:type="default"/>
          <w:footerReference r:id="rId5" w:type="even"/>
          <w:pgSz w:w="11906" w:h="16838"/>
          <w:pgMar w:top="1440" w:right="1133" w:bottom="1440" w:left="1800" w:header="851" w:footer="992" w:gutter="0"/>
          <w:pgNumType w:fmt="upperRoman" w:start="1"/>
          <w:cols w:space="425" w:num="1"/>
          <w:titlePg/>
          <w:docGrid w:type="lines" w:linePitch="312" w:charSpace="0"/>
        </w:sectPr>
      </w:pPr>
    </w:p>
    <w:p>
      <w:pPr>
        <w:spacing w:line="360" w:lineRule="auto"/>
        <w:jc w:val="center"/>
        <w:rPr>
          <w:rFonts w:eastAsia="黑体"/>
          <w:sz w:val="30"/>
          <w:szCs w:val="30"/>
        </w:rPr>
      </w:pPr>
    </w:p>
    <w:p>
      <w:pPr>
        <w:pStyle w:val="14"/>
        <w:spacing w:after="468"/>
      </w:pPr>
      <w:r>
        <w:rPr>
          <w:rFonts w:hint="eastAsia"/>
          <w:spacing w:val="320"/>
        </w:rPr>
        <w:t>目</w:t>
      </w:r>
      <w:r>
        <w:rPr>
          <w:rFonts w:hint="eastAsia"/>
        </w:rPr>
        <w:t>次</w:t>
      </w:r>
    </w:p>
    <w:p>
      <w:pPr>
        <w:pStyle w:val="6"/>
        <w:tabs>
          <w:tab w:val="right" w:leader="dot" w:pos="9638"/>
        </w:tabs>
      </w:pPr>
      <w:r>
        <w:rPr>
          <w:rFonts w:hint="eastAsia"/>
        </w:rPr>
        <w:fldChar w:fldCharType="begin"/>
      </w:r>
      <w:r>
        <w:rPr>
          <w:rFonts w:hint="eastAsia"/>
        </w:rPr>
        <w:instrText xml:space="preserve"> TOC \o "1-1" \h \t "标准文件_一级条标题,2,标准文件_二级条标题,3,标准文件_三级条标题,4,标准文件_四级条标题,5,标准文件_五级条标题,6,标准文件_附录一级条标题,2,标准文件_附录二级条标题,3,标准文件_附录三级条标题,4,标准文件_附录四级条标题,5,标准文件_附录五级条标题,6," </w:instrText>
      </w:r>
      <w:r>
        <w:rPr>
          <w:rFonts w:hint="eastAsia"/>
        </w:rPr>
        <w:fldChar w:fldCharType="separate"/>
      </w:r>
      <w:r>
        <w:fldChar w:fldCharType="begin"/>
      </w:r>
      <w:r>
        <w:instrText xml:space="preserve"> HYPERLINK \l "_Toc22326" </w:instrText>
      </w:r>
      <w:r>
        <w:fldChar w:fldCharType="separate"/>
      </w:r>
      <w:r>
        <w:rPr>
          <w:rFonts w:hint="eastAsia" w:ascii="黑体" w:eastAsia="黑体"/>
        </w:rPr>
        <w:t xml:space="preserve">1 </w:t>
      </w:r>
      <w:r>
        <w:rPr>
          <w:rFonts w:hint="eastAsia"/>
        </w:rPr>
        <w:t>范围</w:t>
      </w:r>
      <w:r>
        <w:tab/>
      </w:r>
      <w:r>
        <w:fldChar w:fldCharType="begin"/>
      </w:r>
      <w:r>
        <w:instrText xml:space="preserve"> PAGEREF _Toc22326 \h </w:instrText>
      </w:r>
      <w:r>
        <w:fldChar w:fldCharType="separate"/>
      </w:r>
      <w:r>
        <w:t>1</w:t>
      </w:r>
      <w:r>
        <w:fldChar w:fldCharType="end"/>
      </w:r>
      <w:r>
        <w:fldChar w:fldCharType="end"/>
      </w:r>
    </w:p>
    <w:p>
      <w:pPr>
        <w:pStyle w:val="6"/>
        <w:tabs>
          <w:tab w:val="right" w:leader="dot" w:pos="9638"/>
        </w:tabs>
      </w:pPr>
      <w:r>
        <w:fldChar w:fldCharType="begin"/>
      </w:r>
      <w:r>
        <w:instrText xml:space="preserve"> HYPERLINK \l "_Toc4760"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_Toc4760 \h </w:instrText>
      </w:r>
      <w:r>
        <w:fldChar w:fldCharType="separate"/>
      </w:r>
      <w:r>
        <w:t>1</w:t>
      </w:r>
      <w:r>
        <w:fldChar w:fldCharType="end"/>
      </w:r>
      <w:r>
        <w:fldChar w:fldCharType="end"/>
      </w:r>
    </w:p>
    <w:p>
      <w:pPr>
        <w:pStyle w:val="6"/>
        <w:tabs>
          <w:tab w:val="right" w:leader="dot" w:pos="9638"/>
        </w:tabs>
      </w:pPr>
      <w:r>
        <w:fldChar w:fldCharType="begin"/>
      </w:r>
      <w:r>
        <w:instrText xml:space="preserve"> HYPERLINK \l "_Toc1600" </w:instrText>
      </w:r>
      <w:r>
        <w:fldChar w:fldCharType="separate"/>
      </w:r>
      <w:r>
        <w:rPr>
          <w:rFonts w:hint="eastAsia" w:ascii="黑体" w:eastAsia="黑体"/>
          <w:szCs w:val="21"/>
        </w:rPr>
        <w:t xml:space="preserve">3 </w:t>
      </w:r>
      <w:r>
        <w:rPr>
          <w:rFonts w:hint="eastAsia"/>
          <w:szCs w:val="21"/>
        </w:rPr>
        <w:t>术语和定义</w:t>
      </w:r>
      <w:r>
        <w:tab/>
      </w:r>
      <w:r>
        <w:fldChar w:fldCharType="begin"/>
      </w:r>
      <w:r>
        <w:instrText xml:space="preserve"> PAGEREF _Toc1600 \h </w:instrText>
      </w:r>
      <w:r>
        <w:fldChar w:fldCharType="separate"/>
      </w:r>
      <w:r>
        <w:t>1</w:t>
      </w:r>
      <w:r>
        <w:fldChar w:fldCharType="end"/>
      </w:r>
      <w:r>
        <w:fldChar w:fldCharType="end"/>
      </w:r>
    </w:p>
    <w:p>
      <w:pPr>
        <w:pStyle w:val="6"/>
        <w:tabs>
          <w:tab w:val="right" w:leader="dot" w:pos="9638"/>
        </w:tabs>
      </w:pPr>
      <w:r>
        <w:fldChar w:fldCharType="begin"/>
      </w:r>
      <w:r>
        <w:instrText xml:space="preserve"> HYPERLINK \l "_Toc17748" </w:instrText>
      </w:r>
      <w:r>
        <w:fldChar w:fldCharType="separate"/>
      </w:r>
      <w:r>
        <w:rPr>
          <w:rFonts w:hint="eastAsia" w:ascii="黑体" w:eastAsia="黑体"/>
        </w:rPr>
        <w:t xml:space="preserve">4 </w:t>
      </w:r>
      <w:r>
        <w:rPr>
          <w:rFonts w:hint="eastAsia"/>
        </w:rPr>
        <w:t>青贮方式及要求</w:t>
      </w:r>
      <w:r>
        <w:tab/>
      </w:r>
      <w:r>
        <w:fldChar w:fldCharType="begin"/>
      </w:r>
      <w:r>
        <w:instrText xml:space="preserve"> PAGEREF _Toc17748 \h </w:instrText>
      </w:r>
      <w:r>
        <w:fldChar w:fldCharType="separate"/>
      </w:r>
      <w:r>
        <w:t>1</w:t>
      </w:r>
      <w:r>
        <w:fldChar w:fldCharType="end"/>
      </w:r>
      <w:r>
        <w:fldChar w:fldCharType="end"/>
      </w:r>
    </w:p>
    <w:p>
      <w:pPr>
        <w:pStyle w:val="6"/>
        <w:tabs>
          <w:tab w:val="right" w:leader="dot" w:pos="9638"/>
        </w:tabs>
      </w:pPr>
      <w:r>
        <w:fldChar w:fldCharType="begin"/>
      </w:r>
      <w:r>
        <w:instrText xml:space="preserve"> HYPERLINK \l "_Toc22436" </w:instrText>
      </w:r>
      <w:r>
        <w:fldChar w:fldCharType="separate"/>
      </w:r>
      <w:r>
        <w:rPr>
          <w:rFonts w:hint="eastAsia" w:ascii="黑体" w:eastAsia="黑体"/>
          <w:szCs w:val="32"/>
        </w:rPr>
        <w:t xml:space="preserve">5 </w:t>
      </w:r>
      <w:r>
        <w:rPr>
          <w:rFonts w:hint="eastAsia" w:hAnsi="黑体"/>
          <w:szCs w:val="32"/>
        </w:rPr>
        <w:t>青贮前准备</w:t>
      </w:r>
      <w:r>
        <w:tab/>
      </w:r>
      <w:r>
        <w:fldChar w:fldCharType="begin"/>
      </w:r>
      <w:r>
        <w:instrText xml:space="preserve"> PAGEREF _Toc22436 \h </w:instrText>
      </w:r>
      <w:r>
        <w:fldChar w:fldCharType="separate"/>
      </w:r>
      <w:r>
        <w:t>2</w:t>
      </w:r>
      <w:r>
        <w:fldChar w:fldCharType="end"/>
      </w:r>
      <w:r>
        <w:fldChar w:fldCharType="end"/>
      </w:r>
    </w:p>
    <w:p>
      <w:pPr>
        <w:pStyle w:val="6"/>
        <w:tabs>
          <w:tab w:val="right" w:leader="dot" w:pos="9638"/>
        </w:tabs>
      </w:pPr>
      <w:r>
        <w:fldChar w:fldCharType="begin"/>
      </w:r>
      <w:r>
        <w:instrText xml:space="preserve"> HYPERLINK \l "_Toc6396" </w:instrText>
      </w:r>
      <w:r>
        <w:fldChar w:fldCharType="separate"/>
      </w:r>
      <w:r>
        <w:rPr>
          <w:rFonts w:hint="eastAsia" w:ascii="黑体" w:eastAsia="黑体"/>
          <w:szCs w:val="32"/>
        </w:rPr>
        <w:t xml:space="preserve">6 </w:t>
      </w:r>
      <w:r>
        <w:rPr>
          <w:rFonts w:hint="eastAsia" w:hAnsi="黑体"/>
          <w:szCs w:val="32"/>
        </w:rPr>
        <w:t>青贮制作</w:t>
      </w:r>
      <w:r>
        <w:tab/>
      </w:r>
      <w:r>
        <w:fldChar w:fldCharType="begin"/>
      </w:r>
      <w:r>
        <w:instrText xml:space="preserve"> PAGEREF _Toc6396 \h </w:instrText>
      </w:r>
      <w:r>
        <w:fldChar w:fldCharType="separate"/>
      </w:r>
      <w:r>
        <w:t>2</w:t>
      </w:r>
      <w:r>
        <w:fldChar w:fldCharType="end"/>
      </w:r>
      <w:r>
        <w:fldChar w:fldCharType="end"/>
      </w:r>
    </w:p>
    <w:p>
      <w:pPr>
        <w:pStyle w:val="6"/>
        <w:tabs>
          <w:tab w:val="right" w:leader="dot" w:pos="9638"/>
        </w:tabs>
      </w:pPr>
      <w:r>
        <w:fldChar w:fldCharType="begin"/>
      </w:r>
      <w:r>
        <w:instrText xml:space="preserve"> HYPERLINK \l "_Toc30538" </w:instrText>
      </w:r>
      <w:r>
        <w:fldChar w:fldCharType="separate"/>
      </w:r>
      <w:r>
        <w:rPr>
          <w:rFonts w:hint="eastAsia" w:ascii="黑体" w:eastAsia="黑体"/>
          <w:szCs w:val="32"/>
        </w:rPr>
        <w:t xml:space="preserve">7 </w:t>
      </w:r>
      <w:r>
        <w:rPr>
          <w:rFonts w:hint="eastAsia" w:hAnsi="黑体"/>
          <w:szCs w:val="32"/>
        </w:rPr>
        <w:t>青贮管理</w:t>
      </w:r>
      <w:r>
        <w:tab/>
      </w:r>
      <w:r>
        <w:fldChar w:fldCharType="begin"/>
      </w:r>
      <w:r>
        <w:instrText xml:space="preserve"> PAGEREF _Toc30538 \h </w:instrText>
      </w:r>
      <w:r>
        <w:fldChar w:fldCharType="separate"/>
      </w:r>
      <w:r>
        <w:t>3</w:t>
      </w:r>
      <w:r>
        <w:fldChar w:fldCharType="end"/>
      </w:r>
      <w:r>
        <w:fldChar w:fldCharType="end"/>
      </w:r>
    </w:p>
    <w:p>
      <w:pPr>
        <w:pStyle w:val="6"/>
        <w:tabs>
          <w:tab w:val="right" w:leader="dot" w:pos="9638"/>
        </w:tabs>
      </w:pPr>
      <w:r>
        <w:fldChar w:fldCharType="begin"/>
      </w:r>
      <w:r>
        <w:instrText xml:space="preserve"> HYPERLINK \l "_Toc5072" </w:instrText>
      </w:r>
      <w:r>
        <w:fldChar w:fldCharType="separate"/>
      </w:r>
      <w:r>
        <w:rPr>
          <w:rFonts w:hint="eastAsia" w:ascii="黑体" w:eastAsia="黑体"/>
          <w:szCs w:val="32"/>
        </w:rPr>
        <w:t xml:space="preserve">8 </w:t>
      </w:r>
      <w:r>
        <w:rPr>
          <w:rFonts w:hint="eastAsia" w:hAnsi="黑体"/>
          <w:szCs w:val="32"/>
        </w:rPr>
        <w:t>品质鉴定</w:t>
      </w:r>
      <w:r>
        <w:tab/>
      </w:r>
      <w:r>
        <w:fldChar w:fldCharType="begin"/>
      </w:r>
      <w:r>
        <w:instrText xml:space="preserve"> PAGEREF _Toc5072 \h </w:instrText>
      </w:r>
      <w:r>
        <w:fldChar w:fldCharType="separate"/>
      </w:r>
      <w:r>
        <w:t>3</w:t>
      </w:r>
      <w:r>
        <w:fldChar w:fldCharType="end"/>
      </w:r>
      <w:r>
        <w:fldChar w:fldCharType="end"/>
      </w:r>
    </w:p>
    <w:p>
      <w:pPr>
        <w:pStyle w:val="6"/>
        <w:tabs>
          <w:tab w:val="right" w:leader="dot" w:pos="9638"/>
        </w:tabs>
      </w:pPr>
      <w:r>
        <w:fldChar w:fldCharType="begin"/>
      </w:r>
      <w:r>
        <w:instrText xml:space="preserve"> HYPERLINK \l "_Toc31898" </w:instrText>
      </w:r>
      <w:r>
        <w:fldChar w:fldCharType="separate"/>
      </w:r>
      <w:r>
        <w:rPr>
          <w:rFonts w:hint="eastAsia" w:ascii="黑体" w:eastAsia="黑体"/>
          <w:szCs w:val="32"/>
        </w:rPr>
        <w:t xml:space="preserve">9 </w:t>
      </w:r>
      <w:r>
        <w:rPr>
          <w:rFonts w:hint="eastAsia" w:hAnsi="黑体"/>
          <w:szCs w:val="32"/>
        </w:rPr>
        <w:t>取饲</w:t>
      </w:r>
      <w:r>
        <w:tab/>
      </w:r>
      <w:r>
        <w:fldChar w:fldCharType="begin"/>
      </w:r>
      <w:r>
        <w:instrText xml:space="preserve"> PAGEREF _Toc31898 \h </w:instrText>
      </w:r>
      <w:r>
        <w:fldChar w:fldCharType="separate"/>
      </w:r>
      <w:r>
        <w:t>4</w:t>
      </w:r>
      <w:r>
        <w:fldChar w:fldCharType="end"/>
      </w:r>
      <w:r>
        <w:fldChar w:fldCharType="end"/>
      </w:r>
    </w:p>
    <w:p>
      <w:pPr>
        <w:jc w:val="center"/>
        <w:rPr>
          <w:sz w:val="28"/>
          <w:szCs w:val="28"/>
        </w:rPr>
      </w:pPr>
      <w:r>
        <w:rPr>
          <w:rFonts w:hint="eastAsia"/>
        </w:rPr>
        <w:fldChar w:fldCharType="end"/>
      </w: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sz w:val="28"/>
          <w:szCs w:val="28"/>
        </w:rPr>
      </w:pPr>
    </w:p>
    <w:p>
      <w:pPr>
        <w:jc w:val="center"/>
        <w:rPr>
          <w:rFonts w:ascii="宋体" w:hAnsi="宋体" w:eastAsia="宋体"/>
          <w:b/>
          <w:sz w:val="32"/>
          <w:szCs w:val="32"/>
        </w:rPr>
      </w:pPr>
      <w:r>
        <w:rPr>
          <w:rFonts w:hint="eastAsia"/>
          <w:sz w:val="28"/>
          <w:szCs w:val="28"/>
        </w:rPr>
        <w:t>前    言</w:t>
      </w:r>
    </w:p>
    <w:p>
      <w:pPr>
        <w:pStyle w:val="15"/>
        <w:ind w:firstLine="420"/>
      </w:pPr>
      <w:r>
        <w:rPr>
          <w:rFonts w:hint="eastAsia"/>
        </w:rPr>
        <w:t>本文件按照GB/T 1.1—2020《标准化工作导则  第1部分：标准化文件的结构和起草规则》的规定起草。</w:t>
      </w:r>
    </w:p>
    <w:p>
      <w:pPr>
        <w:pStyle w:val="15"/>
        <w:ind w:firstLine="420"/>
      </w:pPr>
      <w:r>
        <w:rPr>
          <w:rFonts w:hint="eastAsia"/>
        </w:rPr>
        <w:t>请注意本文件的某些内容可能涉及专利，本文件的发布机构不承担识别专利的责任。</w:t>
      </w:r>
    </w:p>
    <w:p>
      <w:pPr>
        <w:pStyle w:val="15"/>
        <w:ind w:firstLine="420"/>
      </w:pPr>
      <w:r>
        <w:rPr>
          <w:rFonts w:hint="eastAsia"/>
        </w:rPr>
        <w:t>本文件由湖南省农业农村厅提出。</w:t>
      </w:r>
    </w:p>
    <w:p>
      <w:pPr>
        <w:pStyle w:val="15"/>
        <w:ind w:firstLine="420"/>
      </w:pPr>
      <w:r>
        <w:rPr>
          <w:rFonts w:hint="eastAsia"/>
        </w:rPr>
        <w:t>本文件由湖南省农业标准化技术委员会归口。</w:t>
      </w:r>
    </w:p>
    <w:p>
      <w:pPr>
        <w:pStyle w:val="15"/>
        <w:ind w:firstLine="420"/>
        <w:rPr>
          <w:rFonts w:hint="eastAsia" w:eastAsia="宋体"/>
          <w:lang w:eastAsia="zh-CN"/>
        </w:rPr>
      </w:pPr>
      <w:r>
        <w:rPr>
          <w:rFonts w:hint="eastAsia"/>
        </w:rPr>
        <w:t>本文件起草单位：湖南农业大学、湖南省畜牧兽医研究所、湖南生物机电职业技术学院</w:t>
      </w:r>
      <w:r>
        <w:rPr>
          <w:rFonts w:hint="eastAsia"/>
          <w:lang w:eastAsia="zh-CN"/>
        </w:rPr>
        <w:t>、</w:t>
      </w:r>
      <w:r>
        <w:rPr>
          <w:rFonts w:hint="eastAsia"/>
        </w:rPr>
        <w:t>湖南省新化县畜牧水产事务中心</w:t>
      </w:r>
      <w:r>
        <w:rPr>
          <w:rFonts w:hint="eastAsia"/>
          <w:lang w:eastAsia="zh-CN"/>
        </w:rPr>
        <w:t>、</w:t>
      </w:r>
      <w:r>
        <w:rPr>
          <w:rFonts w:hint="eastAsia"/>
        </w:rPr>
        <w:t>湖南艾特农牧科技发展有限公司</w:t>
      </w:r>
      <w:r>
        <w:rPr>
          <w:rFonts w:hint="eastAsia"/>
          <w:lang w:eastAsia="zh-CN"/>
        </w:rPr>
        <w:t>，</w:t>
      </w:r>
      <w:r>
        <w:rPr>
          <w:rFonts w:hint="eastAsia"/>
        </w:rPr>
        <w:t>高青黑牛产品加工及品质提升技术中心</w:t>
      </w:r>
      <w:r>
        <w:rPr>
          <w:rFonts w:hint="eastAsia"/>
          <w:lang w:eastAsia="zh-CN"/>
        </w:rPr>
        <w:t>。</w:t>
      </w:r>
    </w:p>
    <w:p>
      <w:pPr>
        <w:pStyle w:val="16"/>
        <w:tabs>
          <w:tab w:val="center" w:pos="4201"/>
          <w:tab w:val="right" w:leader="dot" w:pos="9298"/>
        </w:tabs>
        <w:ind w:firstLine="400"/>
        <w:rPr>
          <w:rFonts w:hint="eastAsia" w:eastAsia="宋体"/>
          <w:sz w:val="21"/>
          <w:lang w:eastAsia="zh-CN"/>
        </w:rPr>
        <w:sectPr>
          <w:headerReference r:id="rId7" w:type="default"/>
          <w:footerReference r:id="rId8" w:type="default"/>
          <w:pgSz w:w="11906" w:h="16838"/>
          <w:pgMar w:top="567" w:right="1134" w:bottom="1134" w:left="1134" w:header="1418" w:footer="1134" w:gutter="0"/>
          <w:pgNumType w:fmt="upperRoman" w:start="1"/>
          <w:cols w:space="720" w:num="1"/>
          <w:formProt w:val="0"/>
          <w:docGrid w:type="lines" w:linePitch="312" w:charSpace="0"/>
        </w:sectPr>
      </w:pPr>
      <w:r>
        <w:rPr>
          <w:rFonts w:hint="eastAsia"/>
        </w:rPr>
        <w:t>本文件主要起草人：陈东，武伟成，</w:t>
      </w:r>
      <w:r>
        <w:rPr>
          <w:rFonts w:hint="eastAsia"/>
          <w:lang w:eastAsia="zh-CN"/>
        </w:rPr>
        <w:t>唐启源，刘登魁，</w:t>
      </w:r>
      <w:r>
        <w:rPr>
          <w:rFonts w:hint="eastAsia"/>
        </w:rPr>
        <w:t>陈一峰，</w:t>
      </w:r>
      <w:r>
        <w:rPr>
          <w:rFonts w:hint="eastAsia"/>
          <w:lang w:eastAsia="zh-CN"/>
        </w:rPr>
        <w:t>郭子强，万发春，</w:t>
      </w:r>
      <w:r>
        <w:rPr>
          <w:rFonts w:hint="eastAsia"/>
        </w:rPr>
        <w:t>祝贺，刘庆丰，肖定福，邢艳霞，</w:t>
      </w:r>
      <w:r>
        <w:rPr>
          <w:rFonts w:hint="eastAsia"/>
          <w:lang w:eastAsia="zh-CN"/>
        </w:rPr>
        <w:t>孙勇，</w:t>
      </w:r>
      <w:r>
        <w:rPr>
          <w:rFonts w:hint="eastAsia"/>
        </w:rPr>
        <w:t>陈坤</w:t>
      </w:r>
      <w:r>
        <w:rPr>
          <w:rFonts w:hint="eastAsia"/>
          <w:lang w:eastAsia="zh-CN"/>
        </w:rPr>
        <w:t>。</w:t>
      </w:r>
    </w:p>
    <w:p>
      <w:pPr>
        <w:widowControl/>
        <w:jc w:val="center"/>
        <w:rPr>
          <w:rFonts w:ascii="黑体" w:hAnsi="黑体" w:eastAsia="黑体"/>
          <w:sz w:val="32"/>
          <w:szCs w:val="32"/>
        </w:rPr>
      </w:pPr>
      <w:r>
        <w:rPr>
          <w:rFonts w:hint="eastAsia" w:ascii="黑体" w:hAnsi="黑体" w:eastAsia="黑体"/>
          <w:sz w:val="32"/>
          <w:szCs w:val="32"/>
        </w:rPr>
        <w:t>全株水稻青贮技术规程</w:t>
      </w:r>
    </w:p>
    <w:p>
      <w:pPr>
        <w:pStyle w:val="17"/>
        <w:spacing w:before="312" w:after="312"/>
      </w:pPr>
      <w:bookmarkStart w:id="0" w:name="_Toc26718930"/>
      <w:bookmarkStart w:id="1" w:name="_Toc17233325"/>
      <w:bookmarkStart w:id="2" w:name="_Toc24884218"/>
      <w:bookmarkStart w:id="3" w:name="_Toc24884211"/>
      <w:bookmarkStart w:id="4" w:name="_Toc26986530"/>
      <w:bookmarkStart w:id="5" w:name="_Toc26986771"/>
      <w:bookmarkStart w:id="6" w:name="_Toc22326"/>
      <w:bookmarkStart w:id="7" w:name="_Toc26648465"/>
      <w:bookmarkStart w:id="8" w:name="_Toc17233333"/>
      <w:r>
        <w:rPr>
          <w:rFonts w:hint="eastAsia"/>
        </w:rPr>
        <w:t>范围</w:t>
      </w:r>
      <w:bookmarkEnd w:id="0"/>
      <w:bookmarkEnd w:id="1"/>
      <w:bookmarkEnd w:id="2"/>
      <w:bookmarkEnd w:id="3"/>
      <w:bookmarkEnd w:id="4"/>
      <w:bookmarkEnd w:id="5"/>
      <w:bookmarkEnd w:id="6"/>
      <w:bookmarkEnd w:id="7"/>
      <w:bookmarkEnd w:id="8"/>
    </w:p>
    <w:p>
      <w:pPr>
        <w:ind w:firstLine="420" w:firstLineChars="200"/>
        <w:rPr>
          <w:rFonts w:ascii="宋体" w:hAnsi="仿宋_GB2312" w:cs="仿宋_GB2312"/>
          <w:szCs w:val="32"/>
        </w:rPr>
      </w:pPr>
      <w:bookmarkStart w:id="9" w:name="_Toc26648466"/>
      <w:bookmarkStart w:id="10" w:name="_Toc24884219"/>
      <w:bookmarkStart w:id="11" w:name="_Toc17233334"/>
      <w:bookmarkStart w:id="12" w:name="_Toc24884212"/>
      <w:bookmarkStart w:id="13" w:name="_Toc17233326"/>
      <w:r>
        <w:rPr>
          <w:rFonts w:hint="eastAsia" w:ascii="宋体" w:hAnsi="仿宋_GB2312" w:cs="仿宋_GB2312"/>
          <w:szCs w:val="32"/>
        </w:rPr>
        <w:t>本标准规定了全株水稻青贮技术规程的术语和定义、青贮方式及要求、青贮前准备、全株水稻原料和青贮管理。</w:t>
      </w:r>
    </w:p>
    <w:p>
      <w:pPr>
        <w:pStyle w:val="15"/>
        <w:ind w:firstLine="420"/>
      </w:pPr>
      <w:r>
        <w:rPr>
          <w:rFonts w:hint="eastAsia" w:hAnsi="仿宋_GB2312" w:cs="仿宋_GB2312"/>
          <w:szCs w:val="32"/>
        </w:rPr>
        <w:t>本标准适用于全株水稻青贮生产管理</w:t>
      </w:r>
      <w:r>
        <w:rPr>
          <w:rFonts w:hint="eastAsia"/>
        </w:rPr>
        <w:t>。</w:t>
      </w:r>
    </w:p>
    <w:p>
      <w:pPr>
        <w:pStyle w:val="17"/>
        <w:spacing w:before="312" w:after="312"/>
      </w:pPr>
      <w:bookmarkStart w:id="14" w:name="_Toc26986531"/>
      <w:bookmarkStart w:id="15" w:name="_Toc4760"/>
      <w:bookmarkStart w:id="16" w:name="_Toc26986772"/>
      <w:bookmarkStart w:id="17" w:name="_Toc26718931"/>
      <w:r>
        <w:rPr>
          <w:rFonts w:hint="eastAsia"/>
        </w:rPr>
        <w:t>规范性引用文件</w:t>
      </w:r>
      <w:bookmarkEnd w:id="9"/>
      <w:bookmarkEnd w:id="10"/>
      <w:bookmarkEnd w:id="11"/>
      <w:bookmarkEnd w:id="12"/>
      <w:bookmarkEnd w:id="13"/>
      <w:bookmarkEnd w:id="14"/>
      <w:bookmarkEnd w:id="15"/>
      <w:bookmarkEnd w:id="16"/>
      <w:bookmarkEnd w:id="17"/>
    </w:p>
    <w:sdt>
      <w:sdtPr>
        <w:rPr>
          <w:rFonts w:hint="eastAsia"/>
        </w:rPr>
        <w:id w:val="715848253"/>
        <w:placeholder>
          <w:docPart w:val="{00a6ac5d-022c-4eb0-8f38-ec4e0e83b73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1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ind w:firstLine="420" w:firstLineChars="200"/>
        <w:rPr>
          <w:rFonts w:ascii="宋体" w:hAnsi="仿宋_GB2312" w:cs="仿宋_GB2312"/>
          <w:szCs w:val="32"/>
          <w:highlight w:val="yellow"/>
        </w:rPr>
      </w:pPr>
      <w:r>
        <w:rPr>
          <w:rFonts w:hint="eastAsia" w:ascii="宋体" w:hAnsi="仿宋_GB2312" w:cs="仿宋_GB2312"/>
          <w:szCs w:val="32"/>
        </w:rPr>
        <w:t>GB 13078  饲料卫生标准</w:t>
      </w:r>
    </w:p>
    <w:p>
      <w:pPr>
        <w:pStyle w:val="15"/>
        <w:ind w:firstLine="420"/>
      </w:pPr>
      <w:r>
        <w:rPr>
          <w:rFonts w:hint="eastAsia"/>
        </w:rPr>
        <w:t>GB/T 4455  农业用聚乙烯吹塑棚膜</w:t>
      </w:r>
    </w:p>
    <w:p>
      <w:pPr>
        <w:ind w:firstLine="420" w:firstLineChars="200"/>
        <w:rPr>
          <w:rFonts w:ascii="宋体" w:hAnsi="仿宋_GB2312" w:cs="仿宋_GB2312"/>
          <w:szCs w:val="32"/>
        </w:rPr>
      </w:pPr>
      <w:r>
        <w:rPr>
          <w:rFonts w:hint="eastAsia" w:ascii="宋体" w:hAnsi="仿宋_GB2312" w:cs="仿宋_GB2312"/>
          <w:szCs w:val="32"/>
        </w:rPr>
        <w:t>GB/T 22141  饲料添加剂 复合酸化剂通用要求</w:t>
      </w:r>
    </w:p>
    <w:p>
      <w:pPr>
        <w:ind w:firstLine="420" w:firstLineChars="200"/>
        <w:rPr>
          <w:rFonts w:ascii="宋体" w:hAnsi="仿宋_GB2312" w:cs="仿宋_GB2312"/>
          <w:szCs w:val="32"/>
        </w:rPr>
      </w:pPr>
      <w:r>
        <w:rPr>
          <w:rFonts w:hint="eastAsia" w:ascii="宋体" w:hAnsi="仿宋_GB2312" w:cs="仿宋_GB2312"/>
          <w:szCs w:val="32"/>
        </w:rPr>
        <w:t>GB/T 22142  饲料添加剂 有机酸通用要求</w:t>
      </w:r>
    </w:p>
    <w:p>
      <w:pPr>
        <w:ind w:firstLine="420" w:firstLineChars="200"/>
        <w:rPr>
          <w:rFonts w:ascii="宋体" w:hAnsi="仿宋_GB2312" w:cs="仿宋_GB2312"/>
          <w:szCs w:val="32"/>
        </w:rPr>
      </w:pPr>
      <w:r>
        <w:rPr>
          <w:rFonts w:hint="eastAsia" w:ascii="宋体" w:hAnsi="仿宋_GB2312" w:cs="仿宋_GB2312"/>
          <w:szCs w:val="32"/>
        </w:rPr>
        <w:t>GB/T 22143  饲料添加剂 无机酸通用要求</w:t>
      </w:r>
    </w:p>
    <w:p>
      <w:pPr>
        <w:ind w:firstLine="420" w:firstLineChars="200"/>
      </w:pPr>
      <w:r>
        <w:rPr>
          <w:rFonts w:hint="eastAsia" w:ascii="宋体" w:hAnsi="仿宋_GB2312" w:cs="仿宋_GB2312"/>
          <w:szCs w:val="32"/>
        </w:rPr>
        <w:t>NY/T 1444  微生物饲料添加剂技术通则</w:t>
      </w:r>
    </w:p>
    <w:p>
      <w:pPr>
        <w:pStyle w:val="15"/>
        <w:ind w:firstLine="420"/>
      </w:pPr>
      <w:r>
        <w:rPr>
          <w:rFonts w:hint="eastAsia"/>
        </w:rPr>
        <w:t>NY/T 2698  青贮设施建设技术规范</w:t>
      </w:r>
    </w:p>
    <w:p>
      <w:pPr>
        <w:pStyle w:val="17"/>
        <w:spacing w:before="312" w:after="312"/>
        <w:rPr>
          <w:szCs w:val="21"/>
        </w:rPr>
      </w:pPr>
      <w:bookmarkStart w:id="18" w:name="_Toc1600"/>
      <w:r>
        <w:rPr>
          <w:rFonts w:hint="eastAsia"/>
          <w:szCs w:val="21"/>
        </w:rPr>
        <w:t>术语和定义</w:t>
      </w:r>
      <w:bookmarkEnd w:id="18"/>
    </w:p>
    <w:sdt>
      <w:sdtPr>
        <w:rPr>
          <w:rFonts w:hint="eastAsia"/>
        </w:rPr>
        <w:id w:val="-1909835108"/>
        <w:placeholder>
          <w:docPart w:val="{fa5f155f-f809-4837-8675-df811a85e2b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15"/>
            <w:ind w:firstLine="420"/>
          </w:pPr>
          <w:bookmarkStart w:id="19" w:name="_Toc26986532"/>
          <w:bookmarkEnd w:id="19"/>
          <w:r>
            <w:rPr>
              <w:rFonts w:hint="eastAsia"/>
            </w:rPr>
            <w:t>下列术语和定义适用于本文件。</w:t>
          </w:r>
        </w:p>
      </w:sdtContent>
    </w:sdt>
    <w:p>
      <w:pPr>
        <w:widowControl/>
        <w:spacing w:before="312" w:beforeLines="100" w:after="100" w:afterAutospacing="1"/>
        <w:jc w:val="left"/>
        <w:rPr>
          <w:rFonts w:ascii="黑体" w:hAnsi="黑体" w:eastAsia="黑体"/>
        </w:rPr>
      </w:pPr>
      <w:r>
        <w:rPr>
          <w:rFonts w:hint="eastAsia" w:ascii="黑体" w:hAnsi="黑体" w:eastAsia="黑体"/>
        </w:rPr>
        <w:t>3.1 全株水稻 Whole plant rice</w:t>
      </w:r>
    </w:p>
    <w:p>
      <w:pPr>
        <w:ind w:firstLine="420" w:firstLineChars="200"/>
        <w:rPr>
          <w:rFonts w:ascii="宋体" w:hAnsi="仿宋_GB2312" w:cs="仿宋_GB2312"/>
          <w:szCs w:val="32"/>
        </w:rPr>
      </w:pPr>
      <w:r>
        <w:rPr>
          <w:rFonts w:ascii="宋体" w:hAnsi="仿宋_GB2312" w:cs="仿宋_GB2312"/>
          <w:szCs w:val="32"/>
        </w:rPr>
        <w:t>包括稻穗在内的地上部植株，作为青贮饲料原料的水稻。</w:t>
      </w:r>
    </w:p>
    <w:p>
      <w:pPr>
        <w:widowControl/>
        <w:spacing w:before="312" w:beforeLines="100" w:after="100" w:afterAutospacing="1"/>
        <w:jc w:val="left"/>
        <w:rPr>
          <w:rFonts w:ascii="黑体" w:hAnsi="黑体" w:eastAsia="黑体"/>
        </w:rPr>
      </w:pPr>
      <w:r>
        <w:rPr>
          <w:rFonts w:hint="eastAsia" w:ascii="黑体" w:hAnsi="黑体" w:eastAsia="黑体"/>
        </w:rPr>
        <w:t>3.2 青贮 Ensiling</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将青绿饲草置于密封的青贮设施设备中，在厌氧环境下进行的以乳酸菌为主导的发酵过程，导致酸度下降抑制微生物的存活，使青绿饲草得以长期保存的饲草加工方法。</w:t>
      </w:r>
    </w:p>
    <w:p>
      <w:pPr>
        <w:pStyle w:val="17"/>
        <w:spacing w:before="312" w:after="312" w:line="400" w:lineRule="exact"/>
      </w:pPr>
      <w:bookmarkStart w:id="20" w:name="_Toc17748"/>
      <w:r>
        <w:rPr>
          <w:rFonts w:hint="eastAsia"/>
        </w:rPr>
        <w:t>青贮方式及要求</w:t>
      </w:r>
      <w:bookmarkEnd w:id="20"/>
    </w:p>
    <w:p>
      <w:pPr>
        <w:widowControl/>
        <w:spacing w:before="312" w:beforeLines="100" w:after="100" w:afterAutospacing="1"/>
        <w:jc w:val="left"/>
        <w:rPr>
          <w:rFonts w:ascii="黑体" w:hAnsi="黑体" w:eastAsia="黑体"/>
          <w:szCs w:val="21"/>
        </w:rPr>
      </w:pPr>
      <w:r>
        <w:rPr>
          <w:rFonts w:hint="eastAsia" w:ascii="黑体" w:hAnsi="黑体" w:eastAsia="黑体"/>
        </w:rPr>
        <w:t xml:space="preserve">4.1 </w:t>
      </w:r>
      <w:r>
        <w:rPr>
          <w:rFonts w:hint="eastAsia" w:ascii="黑体" w:hAnsi="黑体" w:eastAsia="黑体" w:cs="黑体"/>
          <w:szCs w:val="32"/>
        </w:rPr>
        <w:t>青贮方式</w:t>
      </w:r>
    </w:p>
    <w:p>
      <w:pPr>
        <w:autoSpaceDE w:val="0"/>
        <w:autoSpaceDN w:val="0"/>
        <w:spacing w:line="360" w:lineRule="auto"/>
        <w:ind w:firstLine="420" w:firstLineChars="200"/>
        <w:jc w:val="left"/>
        <w:rPr>
          <w:rFonts w:ascii="宋体" w:hAnsi="仿宋_GB2312" w:cs="仿宋_GB2312"/>
          <w:szCs w:val="32"/>
        </w:rPr>
      </w:pPr>
      <w:r>
        <w:rPr>
          <w:rFonts w:hint="eastAsia" w:ascii="Times New Roman" w:hAnsi="Times New Roman" w:cs="Times New Roman"/>
          <w:szCs w:val="32"/>
        </w:rPr>
        <w:t>养殖场根据需求，可采用窖贮、裹包和袋装青贮三种方式</w:t>
      </w:r>
      <w:r>
        <w:rPr>
          <w:rFonts w:hint="eastAsia" w:ascii="宋体" w:hAnsi="仿宋_GB2312" w:cs="仿宋_GB2312"/>
          <w:szCs w:val="32"/>
        </w:rPr>
        <w:t>。</w:t>
      </w:r>
    </w:p>
    <w:p>
      <w:pPr>
        <w:widowControl/>
        <w:spacing w:before="312" w:beforeLines="100" w:after="100" w:afterAutospacing="1"/>
        <w:jc w:val="left"/>
        <w:rPr>
          <w:rFonts w:ascii="黑体" w:hAnsi="黑体" w:eastAsia="黑体" w:cs="黑体"/>
          <w:szCs w:val="32"/>
        </w:rPr>
      </w:pPr>
      <w:r>
        <w:rPr>
          <w:rFonts w:hint="eastAsia" w:ascii="黑体" w:hAnsi="黑体" w:eastAsia="黑体"/>
        </w:rPr>
        <w:t xml:space="preserve">4.2 </w:t>
      </w:r>
      <w:r>
        <w:rPr>
          <w:rFonts w:hint="eastAsia" w:ascii="黑体" w:hAnsi="黑体" w:eastAsia="黑体" w:cs="黑体"/>
          <w:szCs w:val="32"/>
        </w:rPr>
        <w:t>窖贮</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青贮窖建设按NY/T 2698的规定执行。</w:t>
      </w:r>
    </w:p>
    <w:p>
      <w:pPr>
        <w:widowControl/>
        <w:spacing w:before="312" w:beforeLines="100" w:after="100" w:afterAutospacing="1"/>
        <w:jc w:val="left"/>
        <w:rPr>
          <w:rFonts w:ascii="黑体" w:hAnsi="黑体" w:eastAsia="黑体"/>
        </w:rPr>
      </w:pPr>
      <w:bookmarkStart w:id="21" w:name="_Toc50751800"/>
      <w:r>
        <w:rPr>
          <w:rFonts w:hint="eastAsia" w:ascii="黑体" w:hAnsi="黑体" w:eastAsia="黑体"/>
        </w:rPr>
        <w:t xml:space="preserve">4.3 </w:t>
      </w:r>
      <w:bookmarkEnd w:id="21"/>
      <w:r>
        <w:rPr>
          <w:rFonts w:hint="eastAsia" w:ascii="黑体" w:hAnsi="黑体" w:eastAsia="黑体"/>
        </w:rPr>
        <w:t>裹包</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4</w:t>
      </w:r>
      <w:r>
        <w:rPr>
          <w:rFonts w:ascii="Times New Roman" w:eastAsiaTheme="minorEastAsia"/>
          <w:kern w:val="2"/>
          <w:sz w:val="21"/>
          <w:szCs w:val="32"/>
        </w:rPr>
        <w:t>.</w:t>
      </w:r>
      <w:r>
        <w:rPr>
          <w:rFonts w:hint="eastAsia" w:ascii="Times New Roman" w:eastAsiaTheme="minorEastAsia"/>
          <w:kern w:val="2"/>
          <w:sz w:val="21"/>
          <w:szCs w:val="32"/>
        </w:rPr>
        <w:t>3</w:t>
      </w:r>
      <w:r>
        <w:rPr>
          <w:rFonts w:ascii="Times New Roman" w:eastAsiaTheme="minorEastAsia"/>
          <w:kern w:val="2"/>
          <w:sz w:val="21"/>
          <w:szCs w:val="32"/>
        </w:rPr>
        <w:t xml:space="preserve">.1 </w:t>
      </w:r>
      <w:r>
        <w:rPr>
          <w:rFonts w:hint="eastAsia" w:ascii="Times New Roman" w:eastAsiaTheme="minorEastAsia"/>
          <w:kern w:val="2"/>
          <w:sz w:val="21"/>
          <w:szCs w:val="32"/>
        </w:rPr>
        <w:t>采取用捆包机高密度压实打捆，然后用专用青贮塑料拉伸膜裹包起来，造成—个最佳的发酵环境，完成乳酸型自然发酵的生物化学过程。</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ascii="Times New Roman" w:eastAsiaTheme="minorEastAsia"/>
          <w:kern w:val="2"/>
          <w:sz w:val="21"/>
          <w:szCs w:val="32"/>
        </w:rPr>
        <w:t>4.</w:t>
      </w:r>
      <w:r>
        <w:rPr>
          <w:rFonts w:hint="eastAsia" w:ascii="Times New Roman" w:eastAsiaTheme="minorEastAsia"/>
          <w:kern w:val="2"/>
          <w:sz w:val="21"/>
          <w:szCs w:val="32"/>
        </w:rPr>
        <w:t>3</w:t>
      </w:r>
      <w:r>
        <w:rPr>
          <w:rFonts w:ascii="Times New Roman" w:eastAsiaTheme="minorEastAsia"/>
          <w:kern w:val="2"/>
          <w:sz w:val="21"/>
          <w:szCs w:val="32"/>
        </w:rPr>
        <w:t xml:space="preserve">.2 </w:t>
      </w:r>
      <w:r>
        <w:rPr>
          <w:rFonts w:hint="eastAsia" w:ascii="Times New Roman" w:eastAsiaTheme="minorEastAsia"/>
          <w:kern w:val="2"/>
          <w:sz w:val="21"/>
          <w:szCs w:val="32"/>
        </w:rPr>
        <w:t>青贮塑料拉伸膜应符合GB/T 4455的要求。</w:t>
      </w:r>
    </w:p>
    <w:p>
      <w:pPr>
        <w:widowControl/>
        <w:spacing w:before="312" w:beforeLines="100" w:after="100" w:afterAutospacing="1"/>
        <w:jc w:val="left"/>
        <w:rPr>
          <w:rFonts w:ascii="黑体" w:hAnsi="黑体" w:eastAsia="黑体"/>
        </w:rPr>
      </w:pPr>
      <w:r>
        <w:rPr>
          <w:rFonts w:hint="eastAsia" w:ascii="黑体" w:hAnsi="黑体" w:eastAsia="黑体"/>
        </w:rPr>
        <w:t xml:space="preserve">4.4 </w:t>
      </w:r>
      <w:r>
        <w:rPr>
          <w:rFonts w:hint="eastAsia" w:ascii="黑体" w:hAnsi="黑体" w:eastAsia="黑体" w:cs="Times New Roman"/>
          <w:kern w:val="0"/>
          <w:szCs w:val="32"/>
        </w:rPr>
        <w:t>袋装</w:t>
      </w:r>
    </w:p>
    <w:p>
      <w:pPr>
        <w:pStyle w:val="16"/>
        <w:tabs>
          <w:tab w:val="center" w:pos="4201"/>
          <w:tab w:val="right" w:leader="dot" w:pos="9298"/>
        </w:tabs>
        <w:ind w:firstLine="420"/>
        <w:rPr>
          <w:rFonts w:ascii="黑体" w:hAnsi="黑体" w:eastAsia="黑体"/>
        </w:rPr>
      </w:pPr>
      <w:r>
        <w:rPr>
          <w:rFonts w:hint="eastAsia" w:hAnsi="仿宋_GB2312" w:cs="仿宋_GB2312" w:eastAsiaTheme="minorEastAsia"/>
          <w:kern w:val="2"/>
          <w:sz w:val="21"/>
          <w:szCs w:val="32"/>
        </w:rPr>
        <w:t>利用密封性能好的塑料袋，采用抽真空制造厌氧压实环境的青贮方式。</w:t>
      </w:r>
    </w:p>
    <w:p>
      <w:pPr>
        <w:pStyle w:val="17"/>
        <w:spacing w:before="312" w:after="312" w:line="400" w:lineRule="exact"/>
        <w:rPr>
          <w:rFonts w:hAnsi="黑体"/>
          <w:szCs w:val="32"/>
        </w:rPr>
      </w:pPr>
      <w:bookmarkStart w:id="22" w:name="_Toc22436"/>
      <w:r>
        <w:rPr>
          <w:rFonts w:hint="eastAsia" w:hAnsi="黑体"/>
          <w:szCs w:val="32"/>
        </w:rPr>
        <w:t>青贮前准备</w:t>
      </w:r>
      <w:bookmarkEnd w:id="22"/>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5.1 选用适宜本养殖场的方式进行青贮。根据饲养规模确定青贮设施的容量。青贮前，清理青贮设施内的杂物，检查青贮设施的质量，如有损坏及时修复。</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5.2 采用窖贮方式，青贮窖容积按照NY/T 2698的规定执行。</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5.3 检修各类青贮用机械设备，使其运行良好。</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5.4 准备青贮加工必需的材料。</w:t>
      </w:r>
    </w:p>
    <w:p>
      <w:pPr>
        <w:pStyle w:val="17"/>
        <w:spacing w:before="312" w:after="312" w:line="400" w:lineRule="exact"/>
        <w:rPr>
          <w:rFonts w:hAnsi="黑体"/>
          <w:szCs w:val="32"/>
        </w:rPr>
      </w:pPr>
      <w:bookmarkStart w:id="23" w:name="_Toc6396"/>
      <w:r>
        <w:rPr>
          <w:rFonts w:hint="eastAsia" w:hAnsi="黑体"/>
          <w:szCs w:val="32"/>
        </w:rPr>
        <w:t>青贮制作</w:t>
      </w:r>
      <w:bookmarkEnd w:id="23"/>
    </w:p>
    <w:p>
      <w:pPr>
        <w:widowControl/>
        <w:spacing w:before="312" w:beforeLines="100" w:after="100" w:afterAutospacing="1"/>
        <w:jc w:val="left"/>
        <w:rPr>
          <w:rFonts w:ascii="黑体" w:hAnsi="黑体" w:eastAsia="黑体"/>
        </w:rPr>
      </w:pPr>
      <w:r>
        <w:rPr>
          <w:rFonts w:hint="eastAsia" w:ascii="黑体" w:hAnsi="黑体" w:eastAsia="黑体"/>
        </w:rPr>
        <w:t>6.1 原料</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6.1.1 水稻品种干物质产量高、抗倒伏、适合当地播种。</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6.1.2 适宜收获期为抽穗期至乳熟期之间，最迟不应超过腊熟期，适宜的含水量为65%～70%。</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6.1.3 水稻收获时，留茬高度不低于10 cm，不得带入泥土等杂物。</w:t>
      </w:r>
    </w:p>
    <w:p>
      <w:pPr>
        <w:widowControl/>
        <w:spacing w:before="312" w:beforeLines="100" w:after="100" w:afterAutospacing="1"/>
        <w:jc w:val="left"/>
        <w:rPr>
          <w:rFonts w:ascii="黑体" w:hAnsi="黑体" w:eastAsia="黑体"/>
        </w:rPr>
      </w:pPr>
      <w:r>
        <w:rPr>
          <w:rFonts w:hint="eastAsia" w:ascii="黑体" w:hAnsi="黑体" w:eastAsia="黑体"/>
        </w:rPr>
        <w:t>6.2 切碎</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6.2.1 收获的原料应及时切碎，从原料收获到入窖，时间不超过12小时。</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6.2.2 切碎长度一般为3~5 cm。</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6.2.3 切碎作业不得带入泥土等杂物。</w:t>
      </w:r>
    </w:p>
    <w:p>
      <w:pPr>
        <w:widowControl/>
        <w:spacing w:before="312" w:beforeLines="100" w:after="100" w:afterAutospacing="1"/>
        <w:jc w:val="left"/>
        <w:rPr>
          <w:rFonts w:ascii="黑体" w:hAnsi="黑体" w:eastAsia="黑体"/>
        </w:rPr>
      </w:pPr>
      <w:r>
        <w:rPr>
          <w:rFonts w:hint="eastAsia" w:ascii="黑体" w:hAnsi="黑体" w:eastAsia="黑体"/>
        </w:rPr>
        <w:t>6.3 装填与压实</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6.3.1 原料装填时，要迅速、均一，与压实作业交替进行。</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6.3.2 青贮原料由内到外呈楔形分段装填。原料每装填1层，压实1次，装填厚度不得超过30cm，宜采用压窖机或其他中大型轮式机械压实。</w:t>
      </w:r>
    </w:p>
    <w:p>
      <w:pPr>
        <w:widowControl/>
        <w:spacing w:before="312" w:beforeLines="100" w:after="100" w:afterAutospacing="1"/>
        <w:jc w:val="left"/>
        <w:rPr>
          <w:rFonts w:ascii="黑体" w:hAnsi="黑体" w:eastAsia="黑体"/>
        </w:rPr>
      </w:pPr>
      <w:bookmarkStart w:id="24" w:name="_Toc50751808"/>
      <w:r>
        <w:rPr>
          <w:rFonts w:hint="eastAsia" w:ascii="黑体" w:hAnsi="黑体" w:eastAsia="黑体"/>
        </w:rPr>
        <w:t xml:space="preserve">6.4 </w:t>
      </w:r>
      <w:bookmarkEnd w:id="24"/>
      <w:r>
        <w:rPr>
          <w:rFonts w:hint="eastAsia" w:ascii="黑体" w:hAnsi="黑体" w:eastAsia="黑体"/>
        </w:rPr>
        <w:t>青贮添加剂选择与使用</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6.4.1 可选择性添加促进乳酸菌发酵、保证青贮成功的各种添加剂，宜在水稻秸秆切碎时喷洒。</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6.4.2 添加剂的使用符合GB/T 22141、GB/T 22142、GB/T 22143以及NY/T 1444的规定</w:t>
      </w:r>
      <w:r>
        <w:rPr>
          <w:rFonts w:ascii="Times New Roman" w:eastAsiaTheme="minorEastAsia"/>
          <w:kern w:val="2"/>
          <w:sz w:val="21"/>
          <w:szCs w:val="32"/>
        </w:rPr>
        <w:t>。</w:t>
      </w:r>
    </w:p>
    <w:p>
      <w:pPr>
        <w:widowControl/>
        <w:spacing w:before="312" w:beforeLines="100" w:after="100" w:afterAutospacing="1"/>
        <w:jc w:val="left"/>
        <w:rPr>
          <w:rFonts w:ascii="黑体" w:hAnsi="黑体" w:eastAsia="黑体"/>
        </w:rPr>
      </w:pPr>
      <w:bookmarkStart w:id="25" w:name="_Toc50751810"/>
      <w:r>
        <w:rPr>
          <w:rFonts w:hint="eastAsia" w:ascii="黑体" w:hAnsi="黑体" w:eastAsia="黑体"/>
        </w:rPr>
        <w:t xml:space="preserve">6.5 </w:t>
      </w:r>
      <w:bookmarkEnd w:id="25"/>
      <w:r>
        <w:rPr>
          <w:rFonts w:hint="eastAsia" w:ascii="黑体" w:hAnsi="黑体" w:eastAsia="黑体"/>
        </w:rPr>
        <w:t>密封</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6.5.1 装填压实作业之后，立即密封。黏合两侧窖壁的塑料布，形成密闭环境。上层覆盖黑白膜（白面向上）。使用夹层封窖技术，防冰冻、鼠害、鸟害。</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6.5.2 裹包青贮时，打捆后应迅速用厚度25</w:t>
      </w:r>
      <w:r>
        <w:rPr>
          <w:rFonts w:ascii="Times New Roman" w:eastAsiaTheme="minorEastAsia"/>
          <w:kern w:val="2"/>
          <w:sz w:val="21"/>
          <w:szCs w:val="32"/>
        </w:rPr>
        <w:t xml:space="preserve"> μm</w:t>
      </w:r>
      <w:r>
        <w:rPr>
          <w:rFonts w:hint="eastAsia" w:ascii="Times New Roman" w:eastAsiaTheme="minorEastAsia"/>
          <w:kern w:val="2"/>
          <w:sz w:val="21"/>
          <w:szCs w:val="32"/>
        </w:rPr>
        <w:t>以上的聚乙烯拉伸膜裹包6层以上。</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6.5.3 裹包或密封压实密度不低于600kg/m</w:t>
      </w:r>
      <w:r>
        <w:rPr>
          <w:rFonts w:hint="eastAsia" w:ascii="Times New Roman" w:eastAsiaTheme="minorEastAsia"/>
          <w:kern w:val="2"/>
          <w:sz w:val="21"/>
          <w:szCs w:val="32"/>
          <w:vertAlign w:val="superscript"/>
        </w:rPr>
        <w:t>3</w:t>
      </w:r>
      <w:r>
        <w:rPr>
          <w:rFonts w:hint="eastAsia" w:ascii="Times New Roman" w:eastAsiaTheme="minorEastAsia"/>
          <w:kern w:val="2"/>
          <w:sz w:val="21"/>
          <w:szCs w:val="32"/>
        </w:rPr>
        <w:t>。</w:t>
      </w:r>
      <w:bookmarkStart w:id="26" w:name="_Toc50751809"/>
    </w:p>
    <w:p>
      <w:pPr>
        <w:pStyle w:val="17"/>
        <w:spacing w:before="312" w:after="312" w:line="400" w:lineRule="exact"/>
        <w:rPr>
          <w:rFonts w:hAnsi="黑体"/>
          <w:szCs w:val="32"/>
        </w:rPr>
      </w:pPr>
      <w:bookmarkStart w:id="27" w:name="_Toc30538"/>
      <w:r>
        <w:rPr>
          <w:rFonts w:hint="eastAsia" w:hAnsi="黑体"/>
          <w:szCs w:val="32"/>
        </w:rPr>
        <w:t>青贮管理</w:t>
      </w:r>
      <w:bookmarkEnd w:id="27"/>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7.1 窖贮应经常检查青贮设施密封性，及时补漏。顶部出现积水及时排除。</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7.2 裹包青贮避光保存在地面平整、排水良好、没有杂物和尖物的地方，经常检查包膜，发现破损及时修补。</w:t>
      </w:r>
    </w:p>
    <w:bookmarkEnd w:id="26"/>
    <w:p>
      <w:pPr>
        <w:pStyle w:val="17"/>
        <w:spacing w:before="312" w:after="312" w:line="400" w:lineRule="exact"/>
        <w:rPr>
          <w:rFonts w:hAnsi="黑体"/>
          <w:szCs w:val="32"/>
        </w:rPr>
      </w:pPr>
      <w:bookmarkStart w:id="28" w:name="_Toc5072"/>
      <w:r>
        <w:rPr>
          <w:rFonts w:hint="eastAsia" w:hAnsi="黑体"/>
          <w:szCs w:val="32"/>
        </w:rPr>
        <w:t>品质鉴定</w:t>
      </w:r>
      <w:bookmarkEnd w:id="28"/>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青贮饲料质量主要通过感观指标色泽、气味、质地和pH值来进行鉴定。</w:t>
      </w:r>
    </w:p>
    <w:p>
      <w:pPr>
        <w:widowControl/>
        <w:spacing w:before="312" w:beforeLines="100" w:after="100" w:afterAutospacing="1"/>
        <w:jc w:val="left"/>
        <w:rPr>
          <w:rFonts w:ascii="黑体" w:hAnsi="黑体" w:eastAsia="黑体"/>
        </w:rPr>
      </w:pPr>
      <w:r>
        <w:rPr>
          <w:rFonts w:hint="eastAsia" w:ascii="黑体" w:hAnsi="黑体" w:eastAsia="黑体"/>
        </w:rPr>
        <w:t>8.1 色泽</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青贮饲料的颜色越接近原料本色的品质越好。青贮料为绿色或黄绿色为品质优良，青贮料呈黄褐色或褐绿色为品质中等，青贮料呈褐色或黑色为劣质品。</w:t>
      </w:r>
    </w:p>
    <w:p>
      <w:pPr>
        <w:widowControl/>
        <w:spacing w:before="312" w:beforeLines="100" w:after="100" w:afterAutospacing="1"/>
        <w:jc w:val="left"/>
        <w:rPr>
          <w:rFonts w:ascii="黑体" w:hAnsi="黑体" w:eastAsia="黑体"/>
        </w:rPr>
      </w:pPr>
      <w:r>
        <w:rPr>
          <w:rFonts w:hint="eastAsia" w:ascii="黑体" w:hAnsi="黑体" w:eastAsia="黑体"/>
        </w:rPr>
        <w:t>8.2 气味</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青贮料味道酸香，略带水果香味，气味柔和，为品质优良；酸味较浓、略刺鼻、稍有酒味和香味的品质为中等；霉烂腐败、带有臭味、霉味，手抓后长时间仍有臭味，不易用水洗掉，为劣等品质，不能饲用。</w:t>
      </w:r>
    </w:p>
    <w:p>
      <w:pPr>
        <w:widowControl/>
        <w:spacing w:before="312" w:beforeLines="100" w:after="100" w:afterAutospacing="1"/>
        <w:jc w:val="left"/>
        <w:rPr>
          <w:rFonts w:ascii="黑体" w:hAnsi="黑体" w:eastAsia="黑体"/>
        </w:rPr>
      </w:pPr>
      <w:r>
        <w:rPr>
          <w:rFonts w:hint="eastAsia" w:ascii="黑体" w:hAnsi="黑体" w:eastAsia="黑体"/>
        </w:rPr>
        <w:t>8.3 质地</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品质好的青贮料在窖里压的坚实紧密，但拿到手中却比较柔软松散、略带潮湿，不粘手，原料茎、叶等基本操持原状。品质中等的青贮料茎杆、叶、穗仍能辨认，水分适中。品质低略的青贮料结块，发粘、粘手、质地坚硬，干燥。</w:t>
      </w:r>
    </w:p>
    <w:p>
      <w:pPr>
        <w:widowControl/>
        <w:spacing w:before="312" w:beforeLines="100" w:after="100" w:afterAutospacing="1"/>
        <w:jc w:val="left"/>
        <w:rPr>
          <w:rFonts w:ascii="黑体" w:hAnsi="黑体" w:eastAsia="黑体"/>
        </w:rPr>
      </w:pPr>
      <w:r>
        <w:rPr>
          <w:rFonts w:hint="eastAsia" w:ascii="黑体" w:hAnsi="黑体" w:eastAsia="黑体"/>
        </w:rPr>
        <w:t>8.4 pH</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青贮料可在现场通过用pH 试纸测试其pH 值来鉴定青贮饲料的品质。pH 值在3.8-4.5为上等，pH 值在4.6-5.3为中等，pH 值在5.4-6.0为下等，pH 值在6.1以上为劣质品，不能饲用。</w:t>
      </w:r>
    </w:p>
    <w:p>
      <w:pPr>
        <w:pStyle w:val="17"/>
        <w:spacing w:before="312" w:after="312" w:line="400" w:lineRule="exact"/>
        <w:rPr>
          <w:rFonts w:hAnsi="黑体"/>
          <w:szCs w:val="32"/>
        </w:rPr>
      </w:pPr>
      <w:bookmarkStart w:id="29" w:name="_Toc31898"/>
      <w:r>
        <w:rPr>
          <w:rFonts w:hint="eastAsia" w:hAnsi="黑体"/>
          <w:szCs w:val="32"/>
        </w:rPr>
        <w:t>取饲</w:t>
      </w:r>
      <w:bookmarkEnd w:id="29"/>
      <w:bookmarkStart w:id="30" w:name="_Toc10577"/>
      <w:bookmarkStart w:id="31" w:name="_Toc12722"/>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9.1 密封后40 d后开始取饲。</w:t>
      </w:r>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9.2 若青贮表层有霉变部分，应清除霉变部分饲料，从横截面逐层取用，取用截面应尽量保持小和平整。一旦开窖，应每天取用青贮深度达到30 cm以上，如连续2 d以上不取用，应将青贮横截面切割整齐，重新密封青贮窖。</w:t>
      </w:r>
      <w:bookmarkEnd w:id="30"/>
      <w:bookmarkEnd w:id="31"/>
    </w:p>
    <w:p>
      <w:pPr>
        <w:pStyle w:val="16"/>
        <w:tabs>
          <w:tab w:val="center" w:pos="4201"/>
          <w:tab w:val="right" w:leader="dot" w:pos="9298"/>
        </w:tabs>
        <w:spacing w:line="400" w:lineRule="atLeast"/>
        <w:ind w:firstLine="420"/>
        <w:rPr>
          <w:rFonts w:ascii="Times New Roman" w:eastAsiaTheme="minorEastAsia"/>
          <w:kern w:val="2"/>
          <w:sz w:val="21"/>
          <w:szCs w:val="32"/>
        </w:rPr>
      </w:pPr>
      <w:r>
        <w:rPr>
          <w:rFonts w:hint="eastAsia" w:ascii="Times New Roman" w:eastAsiaTheme="minorEastAsia"/>
          <w:kern w:val="2"/>
          <w:sz w:val="21"/>
          <w:szCs w:val="32"/>
        </w:rPr>
        <w:t>9.3 取料时防止暴晒、雨淋。</w:t>
      </w:r>
    </w:p>
    <w:p>
      <w:pPr>
        <w:pStyle w:val="15"/>
        <w:ind w:firstLine="420"/>
      </w:pPr>
    </w:p>
    <w:p>
      <w:pPr>
        <w:autoSpaceDE w:val="0"/>
        <w:autoSpaceDN w:val="0"/>
        <w:adjustRightInd w:val="0"/>
        <w:jc w:val="left"/>
        <w:rPr>
          <w:rFonts w:ascii="Times New Roman" w:hAnsi="Times New Roman" w:eastAsia="宋体" w:cs="Times New Roman"/>
          <w:kern w:val="0"/>
          <w:szCs w:val="21"/>
        </w:rPr>
      </w:pPr>
    </w:p>
    <w:p>
      <w:pPr>
        <w:widowControl/>
        <w:spacing w:before="312" w:beforeLines="100" w:after="100" w:afterAutospacing="1"/>
        <w:jc w:val="left"/>
        <w:rPr>
          <w:rFonts w:ascii="黑体" w:hAnsi="黑体" w:eastAsia="黑体"/>
        </w:rPr>
      </w:pPr>
    </w:p>
    <w:sectPr>
      <w:headerReference r:id="rId9" w:type="default"/>
      <w:footerReference r:id="rId10" w:type="default"/>
      <w:pgSz w:w="11906" w:h="16838"/>
      <w:pgMar w:top="1418" w:right="1418" w:bottom="1418"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II</w:t>
    </w:r>
    <w:r>
      <w:rPr>
        <w:rStyle w:val="11"/>
      </w:rPr>
      <w:fldChar w:fldCharType="end"/>
    </w:r>
  </w:p>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cs="Times New Roman"/>
      </w:rPr>
    </w:pPr>
    <w:r>
      <w:fldChar w:fldCharType="begin"/>
    </w:r>
    <w:r>
      <w:instrText xml:space="preserve"> PAGE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bCs/>
        <w:szCs w:val="28"/>
      </w:rPr>
      <w:t>DB43/T</w:t>
    </w:r>
    <w:r>
      <w:rPr>
        <w:rFonts w:hint="eastAsia"/>
        <w:szCs w:val="28"/>
      </w:rPr>
      <w:t>XXX</w:t>
    </w:r>
    <w:r>
      <w:rPr>
        <w:szCs w:val="28"/>
      </w:rPr>
      <w:t>—201</w:t>
    </w:r>
    <w:r>
      <w:rPr>
        <w:rFonts w:hint="eastAsia"/>
        <w:szCs w:val="28"/>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t>DB43/T XXXX—202</w:t>
    </w:r>
    <w:r>
      <w:rPr>
        <w:rFonts w:hint="eastAsia"/>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b/>
      </w:rPr>
    </w:pPr>
    <w:r>
      <w:rPr>
        <w:rFonts w:hint="eastAsia"/>
      </w:rPr>
      <w:t xml:space="preserve">                                                           </w:t>
    </w:r>
    <w:r>
      <w:rPr>
        <w:b/>
      </w:rPr>
      <w:t>DB43/T XXXX-202</w:t>
    </w:r>
    <w:r>
      <w:rPr>
        <w:rFonts w:hint="eastAsia"/>
        <w:b/>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1"/>
      <w:suff w:val="nothing"/>
      <w:lvlText w:val="%1　"/>
      <w:lvlJc w:val="left"/>
      <w:rPr>
        <w:rFonts w:hint="eastAsia" w:ascii="黑体" w:hAnsi="Times New Roman" w:eastAsia="黑体" w:cs="Times New Roman"/>
        <w:b w:val="0"/>
        <w:bCs w:val="0"/>
        <w:i w:val="0"/>
        <w:iCs w:val="0"/>
        <w:sz w:val="21"/>
        <w:szCs w:val="21"/>
      </w:rPr>
    </w:lvl>
    <w:lvl w:ilvl="1" w:tentative="0">
      <w:start w:val="1"/>
      <w:numFmt w:val="decimal"/>
      <w:pStyle w:val="22"/>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cs="Times New Roman"/>
        <w:b w:val="0"/>
        <w:bCs w:val="0"/>
        <w:i w:val="0"/>
        <w:iCs w:val="0"/>
        <w:sz w:val="21"/>
        <w:szCs w:val="21"/>
      </w:rPr>
    </w:lvl>
    <w:lvl w:ilvl="3" w:tentative="0">
      <w:start w:val="1"/>
      <w:numFmt w:val="decimal"/>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
    <w:nsid w:val="6CEA2025"/>
    <w:multiLevelType w:val="multilevel"/>
    <w:tmpl w:val="6CEA2025"/>
    <w:lvl w:ilvl="0" w:tentative="0">
      <w:start w:val="1"/>
      <w:numFmt w:val="none"/>
      <w:suff w:val="nothing"/>
      <w:lvlText w:val="%1"/>
      <w:lvlJc w:val="left"/>
      <w:pPr>
        <w:ind w:left="0" w:firstLine="0"/>
      </w:pPr>
    </w:lvl>
    <w:lvl w:ilvl="1" w:tentative="0">
      <w:start w:val="1"/>
      <w:numFmt w:val="decimal"/>
      <w:pStyle w:val="17"/>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jMmE0ZDlkY2MyOTNhNjI3OWIyYzgzMGY1YWZhMzAifQ=="/>
  </w:docVars>
  <w:rsids>
    <w:rsidRoot w:val="0089103E"/>
    <w:rsid w:val="00165786"/>
    <w:rsid w:val="003B7915"/>
    <w:rsid w:val="00442665"/>
    <w:rsid w:val="0089103E"/>
    <w:rsid w:val="093548CE"/>
    <w:rsid w:val="13817560"/>
    <w:rsid w:val="202667CA"/>
    <w:rsid w:val="236B633E"/>
    <w:rsid w:val="237E52FE"/>
    <w:rsid w:val="247D116F"/>
    <w:rsid w:val="2C1D0A43"/>
    <w:rsid w:val="303B4F33"/>
    <w:rsid w:val="31AF5953"/>
    <w:rsid w:val="36943EB9"/>
    <w:rsid w:val="4B160C44"/>
    <w:rsid w:val="4B891C0E"/>
    <w:rsid w:val="52504664"/>
    <w:rsid w:val="5455135D"/>
    <w:rsid w:val="54BB6DAE"/>
    <w:rsid w:val="5B664C96"/>
    <w:rsid w:val="64030466"/>
    <w:rsid w:val="64EA07F0"/>
    <w:rsid w:val="6BDD7340"/>
    <w:rsid w:val="70C249CA"/>
    <w:rsid w:val="71E14BAE"/>
    <w:rsid w:val="72870941"/>
    <w:rsid w:val="76D00ECD"/>
    <w:rsid w:val="7CED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3"/>
    <w:qFormat/>
    <w:uiPriority w:val="0"/>
    <w:pPr>
      <w:jc w:val="left"/>
    </w:pPr>
  </w:style>
  <w:style w:type="paragraph" w:styleId="3">
    <w:name w:val="Balloon Text"/>
    <w:basedOn w:val="1"/>
    <w:link w:val="25"/>
    <w:qFormat/>
    <w:uiPriority w:val="0"/>
    <w:rPr>
      <w:sz w:val="18"/>
      <w:szCs w:val="18"/>
    </w:r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qFormat/>
    <w:uiPriority w:val="99"/>
    <w:rPr>
      <w:rFonts w:ascii="Times New Roman" w:hAnsi="Times New Roman" w:eastAsia="宋体" w:cs="Times New Roman"/>
      <w:szCs w:val="24"/>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24"/>
    <w:qFormat/>
    <w:uiPriority w:val="0"/>
    <w:rPr>
      <w:b/>
      <w:bCs/>
    </w:r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styleId="13">
    <w:name w:val="annotation reference"/>
    <w:basedOn w:val="10"/>
    <w:qFormat/>
    <w:uiPriority w:val="0"/>
    <w:rPr>
      <w:sz w:val="21"/>
      <w:szCs w:val="21"/>
    </w:rPr>
  </w:style>
  <w:style w:type="paragraph" w:customStyle="1" w:styleId="14">
    <w:name w:val="标准文件_目录标题"/>
    <w:basedOn w:val="1"/>
    <w:qFormat/>
    <w:uiPriority w:val="0"/>
    <w:pPr>
      <w:adjustRightInd w:val="0"/>
      <w:spacing w:afterLines="150"/>
      <w:jc w:val="center"/>
    </w:pPr>
    <w:rPr>
      <w:rFonts w:ascii="黑体" w:hAnsi="Calibri" w:eastAsia="黑体" w:cs="Times New Roman"/>
      <w:sz w:val="32"/>
      <w:szCs w:val="21"/>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段"/>
    <w:qFormat/>
    <w:uiPriority w:val="99"/>
    <w:pPr>
      <w:autoSpaceDE w:val="0"/>
      <w:autoSpaceDN w:val="0"/>
      <w:ind w:firstLine="200" w:firstLineChars="200"/>
      <w:jc w:val="both"/>
    </w:pPr>
    <w:rPr>
      <w:rFonts w:ascii="宋体" w:hAnsi="Times New Roman" w:eastAsia="宋体" w:cs="Times New Roman"/>
      <w:lang w:val="en-US" w:eastAsia="zh-CN" w:bidi="ar-SA"/>
    </w:rPr>
  </w:style>
  <w:style w:type="paragraph" w:customStyle="1" w:styleId="17">
    <w:name w:val="标准文件_章标题"/>
    <w:next w:val="15"/>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8">
    <w:name w:val="标准标志"/>
    <w:next w:val="1"/>
    <w:qFormat/>
    <w:uiPriority w:val="99"/>
    <w:pPr>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20">
    <w:name w:val="标准书脚_奇数页"/>
    <w:qFormat/>
    <w:uiPriority w:val="99"/>
    <w:pPr>
      <w:spacing w:before="120"/>
      <w:ind w:right="198"/>
      <w:jc w:val="right"/>
    </w:pPr>
    <w:rPr>
      <w:rFonts w:ascii="宋体" w:hAnsi="Times New Roman" w:eastAsia="宋体" w:cs="宋体"/>
      <w:sz w:val="18"/>
      <w:szCs w:val="18"/>
      <w:lang w:val="en-US" w:eastAsia="zh-CN" w:bidi="ar-SA"/>
    </w:rPr>
  </w:style>
  <w:style w:type="paragraph" w:customStyle="1" w:styleId="21">
    <w:name w:val="章标题"/>
    <w:next w:val="16"/>
    <w:qFormat/>
    <w:uiPriority w:val="99"/>
    <w:pPr>
      <w:numPr>
        <w:ilvl w:val="0"/>
        <w:numId w:val="2"/>
      </w:numPr>
      <w:spacing w:beforeLines="100" w:afterLines="100"/>
      <w:jc w:val="both"/>
      <w:outlineLvl w:val="1"/>
    </w:pPr>
    <w:rPr>
      <w:rFonts w:ascii="黑体" w:hAnsi="Times New Roman" w:eastAsia="黑体" w:cs="黑体"/>
      <w:sz w:val="21"/>
      <w:szCs w:val="21"/>
      <w:lang w:val="en-US" w:eastAsia="zh-CN" w:bidi="ar-SA"/>
    </w:rPr>
  </w:style>
  <w:style w:type="paragraph" w:customStyle="1" w:styleId="22">
    <w:name w:val="一级条标题"/>
    <w:next w:val="1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23">
    <w:name w:val="批注文字 字符"/>
    <w:basedOn w:val="10"/>
    <w:link w:val="2"/>
    <w:qFormat/>
    <w:uiPriority w:val="0"/>
    <w:rPr>
      <w:rFonts w:asciiTheme="minorHAnsi" w:hAnsiTheme="minorHAnsi" w:eastAsiaTheme="minorEastAsia" w:cstheme="minorBidi"/>
      <w:kern w:val="2"/>
      <w:sz w:val="21"/>
      <w:szCs w:val="22"/>
    </w:rPr>
  </w:style>
  <w:style w:type="character" w:customStyle="1" w:styleId="24">
    <w:name w:val="批注主题 字符"/>
    <w:basedOn w:val="23"/>
    <w:link w:val="8"/>
    <w:qFormat/>
    <w:uiPriority w:val="0"/>
    <w:rPr>
      <w:rFonts w:asciiTheme="minorHAnsi" w:hAnsiTheme="minorHAnsi" w:eastAsiaTheme="minorEastAsia" w:cstheme="minorBidi"/>
      <w:b/>
      <w:bCs/>
      <w:kern w:val="2"/>
      <w:sz w:val="21"/>
      <w:szCs w:val="22"/>
    </w:rPr>
  </w:style>
  <w:style w:type="character" w:customStyle="1" w:styleId="25">
    <w:name w:val="批注框文本 字符"/>
    <w:basedOn w:val="10"/>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0a6ac5d-022c-4eb0-8f38-ec4e0e83b734}"/>
        <w:style w:val=""/>
        <w:category>
          <w:name w:val="常规"/>
          <w:gallery w:val="placeholder"/>
        </w:category>
        <w:types>
          <w:type w:val="bbPlcHdr"/>
        </w:types>
        <w:behaviors>
          <w:behavior w:val="content"/>
        </w:behaviors>
        <w:description w:val=""/>
        <w:guid w:val="{00A6AC5D-022C-4EB0-8F38-EC4E0E83B734}"/>
      </w:docPartPr>
      <w:docPartBody>
        <w:p>
          <w:pPr>
            <w:pStyle w:val="4"/>
          </w:pPr>
          <w:r>
            <w:rPr>
              <w:rStyle w:val="5"/>
              <w:rFonts w:hint="eastAsia"/>
            </w:rPr>
            <w:t>选择一项。</w:t>
          </w:r>
        </w:p>
      </w:docPartBody>
    </w:docPart>
    <w:docPart>
      <w:docPartPr>
        <w:name w:val="{fa5f155f-f809-4837-8675-df811a85e2be}"/>
        <w:style w:val=""/>
        <w:category>
          <w:name w:val="常规"/>
          <w:gallery w:val="placeholder"/>
        </w:category>
        <w:types>
          <w:type w:val="bbPlcHdr"/>
        </w:types>
        <w:behaviors>
          <w:behavior w:val="content"/>
        </w:behaviors>
        <w:description w:val=""/>
        <w:guid w:val="{FA5F155F-F809-4837-8675-DF811A85E2BE}"/>
      </w:docPartPr>
      <w:docPartBody>
        <w:p>
          <w:pPr>
            <w:pStyle w:val="6"/>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BC7059"/>
    <w:rsid w:val="00942C01"/>
    <w:rsid w:val="00BC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9F09D54871304C689C03A550149E9DD9"/>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style>
  <w:style w:type="paragraph" w:customStyle="1" w:styleId="6">
    <w:name w:val="5583BDA68B9D4354A4F51F2AE2F317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7</Pages>
  <Words>2079</Words>
  <Characters>2419</Characters>
  <Lines>23</Lines>
  <Paragraphs>6</Paragraphs>
  <TotalTime>25</TotalTime>
  <ScaleCrop>false</ScaleCrop>
  <LinksUpToDate>false</LinksUpToDate>
  <CharactersWithSpaces>2672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2022-07-01T10:27:00Z</dcterms:created>
  <dc:creator>DELL</dc:creator>
  <cp:lastModifiedBy>Only you</cp:lastModifiedBy>
  <dcterms:modified xsi:type="dcterms:W3CDTF">2022-07-26T10:10:21Z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D8381DAD9C7E440B881E88E02FCD8393</vt:lpwstr>
  </property>
</Properties>
</file>