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109" w:rightChars="-52" w:firstLine="5936" w:firstLineChars="528"/>
        <w:rPr>
          <w:rFonts w:hint="eastAsia" w:eastAsia="黑体"/>
          <w:b/>
          <w:color w:val="auto"/>
          <w:sz w:val="112"/>
          <w:szCs w:val="112"/>
        </w:rPr>
      </w:pPr>
      <w:r>
        <w:rPr>
          <w:rFonts w:eastAsia="黑体"/>
          <w:b/>
          <w:color w:val="auto"/>
          <w:sz w:val="112"/>
          <w:szCs w:val="112"/>
        </w:rPr>
        <w:t>DB</w:t>
      </w:r>
      <w:r>
        <w:rPr>
          <w:rFonts w:hint="eastAsia" w:eastAsia="黑体"/>
          <w:b/>
          <w:color w:val="auto"/>
          <w:sz w:val="112"/>
          <w:szCs w:val="112"/>
        </w:rPr>
        <w:t>43</w:t>
      </w:r>
    </w:p>
    <w:p>
      <w:pPr>
        <w:jc w:val="distribute"/>
        <w:rPr>
          <w:rFonts w:ascii="黑体" w:eastAsia="黑体"/>
          <w:color w:val="auto"/>
          <w:sz w:val="48"/>
          <w:szCs w:val="48"/>
        </w:rPr>
      </w:pPr>
      <w:r>
        <w:rPr>
          <w:rFonts w:hint="eastAsia" w:ascii="黑体" w:eastAsia="黑体"/>
          <w:color w:val="auto"/>
          <w:sz w:val="48"/>
          <w:szCs w:val="48"/>
        </w:rPr>
        <w:t>湖南省地方标准</w:t>
      </w:r>
    </w:p>
    <w:p>
      <w:pPr>
        <w:pBdr>
          <w:bottom w:val="single" w:color="auto" w:sz="6" w:space="1"/>
        </w:pBdr>
        <w:spacing w:line="100" w:lineRule="atLeast"/>
        <w:ind w:right="2"/>
        <w:jc w:val="right"/>
        <w:rPr>
          <w:rFonts w:hint="eastAsia" w:ascii="黑体" w:eastAsia="黑体"/>
          <w:color w:val="auto"/>
          <w:sz w:val="28"/>
          <w:szCs w:val="28"/>
        </w:rPr>
      </w:pPr>
    </w:p>
    <w:p>
      <w:pPr>
        <w:pBdr>
          <w:bottom w:val="single" w:color="auto" w:sz="6" w:space="1"/>
        </w:pBdr>
        <w:spacing w:line="100" w:lineRule="atLeast"/>
        <w:ind w:right="2"/>
        <w:jc w:val="right"/>
        <w:rPr>
          <w:rFonts w:hint="eastAsia" w:ascii="黑体" w:eastAsia="黑体"/>
          <w:color w:val="auto"/>
          <w:sz w:val="28"/>
          <w:szCs w:val="28"/>
          <w:lang w:eastAsia="zh-CN"/>
        </w:rPr>
      </w:pPr>
      <w:r>
        <w:rPr>
          <w:rFonts w:hint="eastAsia" w:ascii="黑体" w:eastAsia="黑体"/>
          <w:color w:val="auto"/>
          <w:sz w:val="28"/>
          <w:szCs w:val="28"/>
        </w:rPr>
        <w:t>DB43/T 0000</w:t>
      </w:r>
      <w:r>
        <w:rPr>
          <w:rFonts w:hint="eastAsia" w:ascii="方正粗黑宋简体" w:hAnsi="方正粗黑宋简体" w:eastAsia="方正粗黑宋简体"/>
          <w:color w:val="auto"/>
          <w:sz w:val="28"/>
          <w:szCs w:val="28"/>
        </w:rPr>
        <w:t>—</w:t>
      </w:r>
      <w:r>
        <w:rPr>
          <w:rFonts w:hint="eastAsia" w:ascii="黑体" w:eastAsia="黑体"/>
          <w:color w:val="auto"/>
          <w:sz w:val="28"/>
          <w:szCs w:val="28"/>
        </w:rPr>
        <w:t>202</w:t>
      </w:r>
      <w:r>
        <w:rPr>
          <w:rFonts w:hint="eastAsia" w:ascii="黑体" w:eastAsia="黑体"/>
          <w:color w:val="auto"/>
          <w:sz w:val="28"/>
          <w:szCs w:val="28"/>
          <w:lang w:val="en-US" w:eastAsia="zh-CN"/>
        </w:rPr>
        <w:t>2</w:t>
      </w:r>
    </w:p>
    <w:p>
      <w:pPr>
        <w:pBdr>
          <w:bottom w:val="single" w:color="auto" w:sz="6" w:space="1"/>
        </w:pBdr>
        <w:spacing w:line="100" w:lineRule="atLeast"/>
        <w:ind w:right="2"/>
        <w:jc w:val="right"/>
        <w:rPr>
          <w:rFonts w:hint="eastAsia" w:ascii="黑体" w:eastAsia="黑体"/>
          <w:color w:val="auto"/>
          <w:sz w:val="28"/>
          <w:szCs w:val="28"/>
        </w:rPr>
      </w:pPr>
    </w:p>
    <w:p>
      <w:pPr>
        <w:spacing w:line="120" w:lineRule="atLeast"/>
        <w:jc w:val="center"/>
        <w:rPr>
          <w:rFonts w:hint="eastAsia" w:ascii="黑体" w:eastAsia="黑体"/>
          <w:color w:val="auto"/>
          <w:sz w:val="28"/>
          <w:szCs w:val="28"/>
        </w:rPr>
      </w:pPr>
    </w:p>
    <w:p>
      <w:pPr>
        <w:spacing w:line="120" w:lineRule="atLeast"/>
        <w:jc w:val="center"/>
        <w:rPr>
          <w:rFonts w:hint="eastAsia" w:ascii="黑体" w:eastAsia="黑体"/>
          <w:color w:val="auto"/>
          <w:sz w:val="28"/>
          <w:szCs w:val="28"/>
        </w:rPr>
      </w:pPr>
    </w:p>
    <w:p>
      <w:pPr>
        <w:spacing w:line="120" w:lineRule="atLeast"/>
        <w:jc w:val="center"/>
        <w:rPr>
          <w:rFonts w:hint="eastAsia" w:ascii="黑体" w:eastAsia="黑体"/>
          <w:color w:val="auto"/>
          <w:sz w:val="28"/>
          <w:szCs w:val="28"/>
        </w:rPr>
      </w:pPr>
    </w:p>
    <w:p>
      <w:pPr>
        <w:spacing w:line="120" w:lineRule="atLeast"/>
        <w:jc w:val="center"/>
        <w:rPr>
          <w:rFonts w:hint="eastAsia" w:ascii="黑体" w:eastAsia="黑体"/>
          <w:color w:val="auto"/>
          <w:sz w:val="28"/>
          <w:szCs w:val="28"/>
        </w:rPr>
      </w:pPr>
    </w:p>
    <w:p>
      <w:pPr>
        <w:spacing w:line="120" w:lineRule="atLeast"/>
        <w:jc w:val="center"/>
        <w:rPr>
          <w:rFonts w:hint="eastAsia" w:ascii="黑体" w:eastAsia="黑体"/>
          <w:color w:val="auto"/>
          <w:sz w:val="52"/>
          <w:szCs w:val="52"/>
          <w:lang w:eastAsia="zh-CN"/>
        </w:rPr>
      </w:pPr>
      <w:r>
        <w:rPr>
          <w:rFonts w:hint="eastAsia" w:ascii="黑体" w:eastAsia="黑体"/>
          <w:color w:val="auto"/>
          <w:sz w:val="52"/>
          <w:szCs w:val="52"/>
        </w:rPr>
        <w:t>番茄大棚秋延后</w:t>
      </w:r>
      <w:r>
        <w:rPr>
          <w:rFonts w:hint="eastAsia" w:ascii="黑体" w:eastAsia="黑体"/>
          <w:color w:val="auto"/>
          <w:sz w:val="52"/>
          <w:szCs w:val="52"/>
          <w:lang w:eastAsia="zh-CN"/>
        </w:rPr>
        <w:t>水肥一体化</w:t>
      </w:r>
    </w:p>
    <w:p>
      <w:pPr>
        <w:spacing w:line="120" w:lineRule="atLeast"/>
        <w:jc w:val="center"/>
        <w:rPr>
          <w:rFonts w:hint="eastAsia" w:ascii="黑体" w:eastAsia="黑体"/>
          <w:color w:val="auto"/>
          <w:sz w:val="52"/>
          <w:szCs w:val="52"/>
        </w:rPr>
      </w:pPr>
      <w:r>
        <w:rPr>
          <w:rFonts w:hint="eastAsia" w:ascii="黑体" w:eastAsia="黑体"/>
          <w:color w:val="auto"/>
          <w:sz w:val="52"/>
          <w:szCs w:val="52"/>
        </w:rPr>
        <w:t>栽培技术规程</w:t>
      </w:r>
    </w:p>
    <w:p>
      <w:pPr>
        <w:spacing w:line="120" w:lineRule="atLeast"/>
        <w:jc w:val="center"/>
        <w:rPr>
          <w:rFonts w:hint="eastAsia" w:eastAsia="黑体"/>
          <w:color w:val="auto"/>
          <w:sz w:val="28"/>
          <w:szCs w:val="28"/>
        </w:rPr>
      </w:pPr>
    </w:p>
    <w:p>
      <w:pPr>
        <w:spacing w:line="120" w:lineRule="atLeast"/>
        <w:jc w:val="center"/>
        <w:rPr>
          <w:rFonts w:hint="eastAsia" w:eastAsia="黑体"/>
          <w:b/>
          <w:bCs/>
          <w:color w:val="auto"/>
          <w:sz w:val="28"/>
          <w:szCs w:val="28"/>
        </w:rPr>
      </w:pPr>
      <w:r>
        <w:rPr>
          <w:rFonts w:hint="eastAsia" w:eastAsia="黑体"/>
          <w:b/>
          <w:bCs/>
          <w:color w:val="auto"/>
          <w:sz w:val="28"/>
          <w:szCs w:val="28"/>
        </w:rPr>
        <w:t>Technical specification for integrated cultivation of water and fertilizer in tomato greenhouse after autumn extension</w:t>
      </w:r>
    </w:p>
    <w:p>
      <w:pPr>
        <w:spacing w:line="120" w:lineRule="atLeast"/>
        <w:jc w:val="center"/>
        <w:rPr>
          <w:rFonts w:hint="eastAsia" w:ascii="Microsoft JhengHei" w:hAnsi="Microsoft JhengHei" w:eastAsia="Microsoft JhengHei"/>
          <w:b/>
          <w:color w:val="auto"/>
          <w:sz w:val="22"/>
          <w:szCs w:val="22"/>
        </w:rPr>
      </w:pPr>
      <w:r>
        <w:rPr>
          <w:rFonts w:hint="eastAsia" w:ascii="Microsoft JhengHei" w:hAnsi="Microsoft JhengHei" w:eastAsia="Microsoft JhengHei"/>
          <w:b/>
          <w:color w:val="auto"/>
          <w:sz w:val="22"/>
          <w:szCs w:val="22"/>
        </w:rPr>
        <w:t xml:space="preserve">                                              </w:t>
      </w:r>
    </w:p>
    <w:p>
      <w:pPr>
        <w:spacing w:line="120" w:lineRule="atLeast"/>
        <w:jc w:val="center"/>
        <w:rPr>
          <w:rFonts w:hint="eastAsia" w:eastAsia="黑体"/>
          <w:color w:val="auto"/>
          <w:sz w:val="28"/>
          <w:szCs w:val="28"/>
        </w:rPr>
      </w:pPr>
      <w:r>
        <w:rPr>
          <w:rFonts w:hint="eastAsia" w:eastAsia="黑体"/>
          <w:color w:val="auto"/>
          <w:sz w:val="28"/>
          <w:szCs w:val="28"/>
        </w:rPr>
        <w:t>（</w:t>
      </w:r>
      <w:r>
        <w:rPr>
          <w:rFonts w:hint="eastAsia" w:eastAsia="黑体"/>
          <w:color w:val="auto"/>
          <w:sz w:val="28"/>
          <w:szCs w:val="28"/>
          <w:lang w:eastAsia="zh-CN"/>
        </w:rPr>
        <w:t>征求意见</w:t>
      </w:r>
      <w:r>
        <w:rPr>
          <w:rFonts w:hint="eastAsia" w:eastAsia="黑体"/>
          <w:color w:val="auto"/>
          <w:sz w:val="28"/>
          <w:szCs w:val="28"/>
        </w:rPr>
        <w:t>稿）</w:t>
      </w:r>
      <w:bookmarkStart w:id="0" w:name="_GoBack"/>
      <w:bookmarkEnd w:id="0"/>
    </w:p>
    <w:p>
      <w:pPr>
        <w:spacing w:line="120" w:lineRule="atLeast"/>
        <w:jc w:val="center"/>
        <w:rPr>
          <w:rFonts w:hint="eastAsia" w:eastAsia="黑体"/>
          <w:color w:val="auto"/>
          <w:sz w:val="28"/>
          <w:szCs w:val="28"/>
        </w:rPr>
      </w:pPr>
    </w:p>
    <w:p>
      <w:pPr>
        <w:spacing w:line="120" w:lineRule="atLeast"/>
        <w:jc w:val="center"/>
        <w:rPr>
          <w:rFonts w:hint="eastAsia" w:eastAsia="黑体"/>
          <w:color w:val="auto"/>
          <w:sz w:val="28"/>
          <w:szCs w:val="28"/>
        </w:rPr>
      </w:pPr>
    </w:p>
    <w:p>
      <w:pPr>
        <w:spacing w:line="120" w:lineRule="atLeast"/>
        <w:jc w:val="center"/>
        <w:rPr>
          <w:rFonts w:hint="eastAsia" w:eastAsia="黑体"/>
          <w:color w:val="auto"/>
          <w:sz w:val="28"/>
          <w:szCs w:val="28"/>
        </w:rPr>
      </w:pPr>
    </w:p>
    <w:p>
      <w:pPr>
        <w:spacing w:line="120" w:lineRule="atLeast"/>
        <w:jc w:val="center"/>
        <w:rPr>
          <w:rFonts w:hint="eastAsia" w:eastAsia="黑体"/>
          <w:color w:val="auto"/>
          <w:sz w:val="28"/>
          <w:szCs w:val="28"/>
        </w:rPr>
      </w:pPr>
    </w:p>
    <w:p>
      <w:pPr>
        <w:spacing w:line="120" w:lineRule="atLeast"/>
        <w:jc w:val="center"/>
        <w:rPr>
          <w:rFonts w:hint="eastAsia" w:ascii="Arial" w:hAnsi="Arial" w:cs="Arial"/>
          <w:color w:val="auto"/>
          <w:sz w:val="34"/>
          <w:szCs w:val="34"/>
          <w:shd w:val="clear" w:color="auto" w:fill="FFFFFF"/>
        </w:rPr>
      </w:pPr>
    </w:p>
    <w:p>
      <w:pPr>
        <w:spacing w:line="120" w:lineRule="atLeast"/>
        <w:jc w:val="center"/>
        <w:rPr>
          <w:rFonts w:hint="eastAsia" w:ascii="Arial" w:hAnsi="Arial" w:cs="Arial"/>
          <w:color w:val="auto"/>
          <w:sz w:val="34"/>
          <w:szCs w:val="34"/>
          <w:shd w:val="clear" w:color="auto" w:fill="FFFFFF"/>
        </w:rPr>
      </w:pPr>
    </w:p>
    <w:p>
      <w:pPr>
        <w:spacing w:line="120" w:lineRule="atLeast"/>
        <w:jc w:val="center"/>
        <w:rPr>
          <w:rFonts w:hint="eastAsia" w:ascii="Arial" w:hAnsi="Arial" w:cs="Arial"/>
          <w:color w:val="auto"/>
          <w:sz w:val="34"/>
          <w:szCs w:val="34"/>
          <w:shd w:val="clear" w:color="auto" w:fill="FFFFFF"/>
        </w:rPr>
      </w:pPr>
    </w:p>
    <w:p>
      <w:pPr>
        <w:spacing w:line="120" w:lineRule="atLeast"/>
        <w:jc w:val="center"/>
        <w:rPr>
          <w:rFonts w:hint="eastAsia" w:eastAsia="黑体"/>
          <w:color w:val="auto"/>
          <w:sz w:val="28"/>
          <w:szCs w:val="28"/>
        </w:rPr>
      </w:pPr>
    </w:p>
    <w:p>
      <w:pPr>
        <w:spacing w:line="120" w:lineRule="atLeast"/>
        <w:jc w:val="center"/>
        <w:rPr>
          <w:rFonts w:hint="eastAsia" w:eastAsia="黑体"/>
          <w:color w:val="auto"/>
          <w:sz w:val="28"/>
          <w:szCs w:val="28"/>
        </w:rPr>
      </w:pPr>
    </w:p>
    <w:p>
      <w:pPr>
        <w:spacing w:line="120" w:lineRule="atLeast"/>
        <w:jc w:val="center"/>
        <w:rPr>
          <w:rFonts w:hint="eastAsia" w:eastAsia="黑体"/>
          <w:color w:val="auto"/>
          <w:sz w:val="28"/>
          <w:szCs w:val="28"/>
        </w:rPr>
      </w:pPr>
    </w:p>
    <w:p>
      <w:pPr>
        <w:spacing w:line="120" w:lineRule="atLeast"/>
        <w:jc w:val="center"/>
        <w:rPr>
          <w:rFonts w:hint="eastAsia" w:eastAsia="黑体"/>
          <w:color w:val="auto"/>
          <w:sz w:val="28"/>
          <w:szCs w:val="28"/>
        </w:rPr>
      </w:pPr>
    </w:p>
    <w:p>
      <w:pPr>
        <w:spacing w:line="120" w:lineRule="atLeast"/>
        <w:jc w:val="center"/>
        <w:rPr>
          <w:rFonts w:hint="eastAsia" w:eastAsia="黑体"/>
          <w:color w:val="auto"/>
          <w:sz w:val="28"/>
          <w:szCs w:val="28"/>
        </w:rPr>
      </w:pPr>
    </w:p>
    <w:p>
      <w:pPr>
        <w:spacing w:line="240" w:lineRule="atLeast"/>
        <w:rPr>
          <w:rFonts w:hint="eastAsia" w:ascii="黑体" w:eastAsia="黑体"/>
          <w:color w:val="auto"/>
          <w:sz w:val="28"/>
          <w:szCs w:val="28"/>
        </w:rPr>
      </w:pPr>
      <w:r>
        <w:rPr>
          <w:rFonts w:hint="eastAsia" w:ascii="黑体" w:eastAsia="黑体"/>
          <w:color w:val="auto"/>
          <w:sz w:val="28"/>
        </w:rPr>
        <w:t>202</w:t>
      </w:r>
      <w:r>
        <w:rPr>
          <w:rFonts w:hint="eastAsia" w:ascii="黑体" w:eastAsia="黑体"/>
          <w:color w:val="auto"/>
          <w:sz w:val="28"/>
          <w:lang w:val="en-US" w:eastAsia="zh-CN"/>
        </w:rPr>
        <w:t>2</w:t>
      </w:r>
      <w:r>
        <w:rPr>
          <w:rFonts w:hint="eastAsia" w:ascii="黑体" w:eastAsia="黑体"/>
          <w:color w:val="auto"/>
          <w:sz w:val="28"/>
        </w:rPr>
        <w:t xml:space="preserve">-00-00发布 </w:t>
      </w:r>
      <w:r>
        <w:rPr>
          <w:rFonts w:hint="eastAsia" w:ascii="黑体" w:eastAsia="黑体"/>
          <w:color w:val="auto"/>
        </w:rPr>
        <w:t xml:space="preserve">                                           </w:t>
      </w:r>
      <w:r>
        <w:rPr>
          <w:rFonts w:hint="eastAsia" w:ascii="黑体" w:eastAsia="黑体"/>
          <w:color w:val="auto"/>
          <w:sz w:val="28"/>
        </w:rPr>
        <w:t xml:space="preserve">  202</w:t>
      </w:r>
      <w:r>
        <w:rPr>
          <w:rFonts w:hint="eastAsia" w:ascii="黑体" w:eastAsia="黑体"/>
          <w:color w:val="auto"/>
          <w:sz w:val="28"/>
          <w:lang w:val="en-US" w:eastAsia="zh-CN"/>
        </w:rPr>
        <w:t>2</w:t>
      </w:r>
      <w:r>
        <w:rPr>
          <w:rFonts w:hint="eastAsia" w:ascii="黑体" w:eastAsia="黑体"/>
          <w:color w:val="auto"/>
          <w:sz w:val="28"/>
        </w:rPr>
        <w:t>-00-00实施</w:t>
      </w:r>
    </w:p>
    <w:p>
      <w:pPr>
        <w:spacing w:line="300" w:lineRule="exact"/>
        <w:jc w:val="center"/>
        <w:rPr>
          <w:rFonts w:hint="eastAsia" w:ascii="黑体" w:eastAsia="黑体"/>
          <w:color w:val="auto"/>
          <w:sz w:val="28"/>
          <w:szCs w:val="28"/>
        </w:rPr>
      </w:pPr>
      <w:r>
        <w:rPr>
          <w:rFonts w:hint="eastAsia" w:ascii="黑体" w:eastAsia="黑体"/>
          <w:color w:val="auto"/>
          <w:sz w:val="28"/>
          <w:szCs w:val="28"/>
        </w:rPr>
        <w:t>————————————————————————————————</w:t>
      </w:r>
    </w:p>
    <w:p>
      <w:pPr>
        <w:spacing w:line="300" w:lineRule="exact"/>
        <w:jc w:val="center"/>
        <w:rPr>
          <w:rFonts w:hint="eastAsia" w:ascii="黑体" w:eastAsia="黑体"/>
          <w:color w:val="auto"/>
          <w:sz w:val="36"/>
          <w:szCs w:val="36"/>
        </w:rPr>
      </w:pPr>
    </w:p>
    <w:p>
      <w:pPr>
        <w:spacing w:line="380" w:lineRule="exact"/>
        <w:jc w:val="center"/>
        <w:rPr>
          <w:rFonts w:hint="eastAsia" w:ascii="黑体" w:eastAsia="黑体"/>
          <w:color w:val="auto"/>
          <w:sz w:val="30"/>
          <w:szCs w:val="30"/>
        </w:rPr>
      </w:pPr>
      <w:r>
        <w:rPr>
          <w:rFonts w:hint="eastAsia" w:ascii="黑体" w:eastAsia="黑体"/>
          <w:color w:val="auto"/>
          <w:spacing w:val="26"/>
          <w:w w:val="150"/>
          <w:sz w:val="32"/>
          <w:szCs w:val="36"/>
        </w:rPr>
        <w:t>湖南省市场监督管理局</w:t>
      </w:r>
      <w:r>
        <w:rPr>
          <w:rFonts w:hint="eastAsia" w:ascii="黑体" w:eastAsia="黑体"/>
          <w:color w:val="auto"/>
          <w:sz w:val="36"/>
          <w:szCs w:val="36"/>
        </w:rPr>
        <w:t xml:space="preserve">  </w:t>
      </w:r>
      <w:r>
        <w:rPr>
          <w:rFonts w:hint="eastAsia" w:ascii="黑体" w:eastAsia="黑体"/>
          <w:color w:val="auto"/>
          <w:sz w:val="30"/>
          <w:szCs w:val="30"/>
        </w:rPr>
        <w:t>发 布</w:t>
      </w:r>
    </w:p>
    <w:p>
      <w:pPr>
        <w:spacing w:line="380" w:lineRule="exact"/>
        <w:jc w:val="center"/>
        <w:rPr>
          <w:rFonts w:ascii="黑体" w:eastAsia="黑体"/>
          <w:color w:val="auto"/>
          <w:sz w:val="30"/>
          <w:szCs w:val="30"/>
        </w:rPr>
        <w:sectPr>
          <w:headerReference r:id="rId4" w:type="first"/>
          <w:footerReference r:id="rId7" w:type="first"/>
          <w:headerReference r:id="rId3" w:type="default"/>
          <w:footerReference r:id="rId5" w:type="default"/>
          <w:footerReference r:id="rId6" w:type="even"/>
          <w:pgSz w:w="11906" w:h="16838"/>
          <w:pgMar w:top="1440" w:right="1418" w:bottom="1559" w:left="1418" w:header="851" w:footer="992" w:gutter="0"/>
          <w:pgNumType w:fmt="upperRoman" w:start="1"/>
          <w:cols w:space="720" w:num="1"/>
          <w:docGrid w:linePitch="312" w:charSpace="0"/>
        </w:sectPr>
      </w:pPr>
    </w:p>
    <w:p>
      <w:pPr>
        <w:pStyle w:val="29"/>
        <w:spacing w:before="0" w:after="0" w:line="600" w:lineRule="exact"/>
        <w:rPr>
          <w:rFonts w:hint="eastAsia"/>
          <w:color w:val="auto"/>
          <w:sz w:val="36"/>
          <w:szCs w:val="36"/>
        </w:rPr>
      </w:pPr>
    </w:p>
    <w:p>
      <w:pPr>
        <w:pStyle w:val="29"/>
        <w:spacing w:before="0" w:after="0" w:line="600" w:lineRule="exact"/>
        <w:rPr>
          <w:rFonts w:hint="eastAsia"/>
          <w:color w:val="auto"/>
          <w:szCs w:val="32"/>
        </w:rPr>
      </w:pPr>
      <w:r>
        <w:rPr>
          <w:rFonts w:hint="eastAsia"/>
          <w:color w:val="auto"/>
          <w:szCs w:val="32"/>
        </w:rPr>
        <w:t>目    次</w:t>
      </w:r>
    </w:p>
    <w:p>
      <w:pPr>
        <w:rPr>
          <w:rFonts w:hint="eastAsia"/>
          <w:color w:val="auto"/>
        </w:rPr>
      </w:pPr>
    </w:p>
    <w:p>
      <w:pPr>
        <w:rPr>
          <w:rFonts w:hint="eastAsia"/>
          <w:color w:val="auto"/>
          <w:sz w:val="36"/>
          <w:szCs w:val="36"/>
        </w:rPr>
      </w:pPr>
    </w:p>
    <w:p>
      <w:pPr>
        <w:spacing w:line="360" w:lineRule="auto"/>
        <w:rPr>
          <w:rFonts w:ascii="宋体" w:hAnsi="宋体" w:cs="宋体"/>
          <w:color w:val="auto"/>
          <w:szCs w:val="21"/>
        </w:rPr>
      </w:pPr>
      <w:r>
        <w:rPr>
          <w:rFonts w:hint="eastAsia" w:ascii="宋体" w:hAnsi="宋体" w:cs="宋体"/>
          <w:color w:val="auto"/>
          <w:szCs w:val="21"/>
        </w:rPr>
        <w:t>前言…………………………………………………………………………………………………………</w:t>
      </w:r>
      <w:r>
        <w:rPr>
          <w:rFonts w:hint="eastAsia" w:ascii="宋体" w:hAnsi="宋体" w:cs="宋体"/>
          <w:color w:val="auto"/>
          <w:szCs w:val="21"/>
        </w:rPr>
        <w:fldChar w:fldCharType="begin"/>
      </w:r>
      <w:r>
        <w:rPr>
          <w:rFonts w:hint="eastAsia" w:ascii="宋体" w:hAnsi="宋体" w:cs="宋体"/>
          <w:color w:val="auto"/>
          <w:szCs w:val="21"/>
        </w:rPr>
        <w:instrText xml:space="preserve"> = 123 \* ROMAN \* MERGEFORMAT </w:instrText>
      </w:r>
      <w:r>
        <w:rPr>
          <w:rFonts w:ascii="宋体" w:hAnsi="宋体" w:cs="宋体"/>
          <w:color w:val="auto"/>
          <w:szCs w:val="21"/>
        </w:rPr>
        <w:fldChar w:fldCharType="separate"/>
      </w:r>
      <w:r>
        <w:rPr>
          <w:rFonts w:hint="eastAsia" w:ascii="宋体" w:hAnsi="宋体"/>
          <w:color w:val="auto"/>
        </w:rPr>
        <w:t>II</w:t>
      </w:r>
      <w:r>
        <w:rPr>
          <w:rFonts w:hint="eastAsia" w:ascii="宋体" w:hAnsi="宋体" w:cs="宋体"/>
          <w:color w:val="auto"/>
          <w:szCs w:val="21"/>
        </w:rPr>
        <w:fldChar w:fldCharType="end"/>
      </w:r>
    </w:p>
    <w:p>
      <w:pPr>
        <w:spacing w:line="360" w:lineRule="auto"/>
        <w:jc w:val="distribute"/>
        <w:rPr>
          <w:rFonts w:hint="eastAsia" w:ascii="宋体" w:hAnsi="宋体" w:cs="宋体"/>
          <w:color w:val="auto"/>
          <w:szCs w:val="21"/>
        </w:rPr>
      </w:pPr>
      <w:r>
        <w:rPr>
          <w:rFonts w:hint="eastAsia" w:ascii="宋体" w:hAnsi="宋体" w:cs="宋体"/>
          <w:color w:val="auto"/>
          <w:szCs w:val="21"/>
        </w:rPr>
        <w:t>1  范围……………………………………………………………………………………………1</w:t>
      </w:r>
    </w:p>
    <w:p>
      <w:pPr>
        <w:spacing w:line="360" w:lineRule="auto"/>
        <w:jc w:val="distribute"/>
        <w:rPr>
          <w:rFonts w:hint="eastAsia" w:ascii="宋体" w:hAnsi="宋体" w:cs="宋体"/>
          <w:color w:val="auto"/>
          <w:szCs w:val="21"/>
        </w:rPr>
      </w:pPr>
      <w:r>
        <w:rPr>
          <w:rFonts w:hint="eastAsia" w:ascii="宋体" w:hAnsi="宋体" w:cs="宋体"/>
          <w:color w:val="auto"/>
          <w:szCs w:val="21"/>
        </w:rPr>
        <w:t>2  规范性引用文件………………………………………………………………………………1</w:t>
      </w:r>
    </w:p>
    <w:p>
      <w:pPr>
        <w:spacing w:line="360" w:lineRule="auto"/>
        <w:jc w:val="distribute"/>
        <w:rPr>
          <w:rFonts w:hint="eastAsia" w:ascii="宋体" w:hAnsi="宋体" w:cs="宋体"/>
          <w:color w:val="auto"/>
          <w:szCs w:val="21"/>
          <w:lang w:eastAsia="zh-CN"/>
        </w:rPr>
      </w:pPr>
      <w:r>
        <w:rPr>
          <w:rFonts w:hint="eastAsia" w:ascii="宋体" w:hAnsi="宋体" w:cs="宋体"/>
          <w:color w:val="auto"/>
          <w:szCs w:val="21"/>
        </w:rPr>
        <w:t>3  术语和定义………………………………………………………………………………………</w:t>
      </w:r>
      <w:r>
        <w:rPr>
          <w:rFonts w:hint="eastAsia" w:ascii="宋体" w:hAnsi="宋体" w:cs="宋体"/>
          <w:color w:val="auto"/>
          <w:szCs w:val="21"/>
          <w:lang w:val="en-US" w:eastAsia="zh-CN"/>
        </w:rPr>
        <w:t>2</w:t>
      </w:r>
    </w:p>
    <w:p>
      <w:pPr>
        <w:spacing w:line="360" w:lineRule="auto"/>
        <w:jc w:val="distribute"/>
        <w:rPr>
          <w:rFonts w:hint="eastAsia" w:ascii="宋体" w:hAnsi="宋体" w:cs="宋体"/>
          <w:color w:val="auto"/>
          <w:szCs w:val="21"/>
          <w:lang w:eastAsia="zh-CN"/>
        </w:rPr>
      </w:pPr>
      <w:r>
        <w:rPr>
          <w:rFonts w:hint="eastAsia" w:ascii="宋体" w:hAnsi="宋体" w:cs="宋体"/>
          <w:color w:val="auto"/>
          <w:szCs w:val="21"/>
        </w:rPr>
        <w:t xml:space="preserve">4  </w:t>
      </w:r>
      <w:r>
        <w:rPr>
          <w:rFonts w:hint="eastAsia" w:ascii="宋体" w:hAnsi="宋体" w:cs="宋体"/>
          <w:color w:val="auto"/>
          <w:szCs w:val="21"/>
          <w:lang w:eastAsia="zh-CN"/>
        </w:rPr>
        <w:t>设备条件</w:t>
      </w:r>
      <w:r>
        <w:rPr>
          <w:rFonts w:hint="eastAsia" w:ascii="宋体" w:hAnsi="宋体" w:cs="宋体"/>
          <w:color w:val="auto"/>
          <w:szCs w:val="21"/>
        </w:rPr>
        <w:t>………………………………………………………………………………………</w:t>
      </w:r>
      <w:r>
        <w:rPr>
          <w:rFonts w:hint="eastAsia" w:ascii="宋体" w:hAnsi="宋体" w:cs="宋体"/>
          <w:color w:val="auto"/>
          <w:szCs w:val="21"/>
          <w:lang w:val="en-US" w:eastAsia="zh-CN"/>
        </w:rPr>
        <w:t>3</w:t>
      </w:r>
    </w:p>
    <w:p>
      <w:pPr>
        <w:spacing w:line="360" w:lineRule="auto"/>
        <w:jc w:val="distribute"/>
        <w:rPr>
          <w:rFonts w:hint="eastAsia" w:ascii="宋体" w:hAnsi="宋体" w:cs="宋体"/>
          <w:color w:val="auto"/>
          <w:szCs w:val="21"/>
        </w:rPr>
      </w:pPr>
      <w:r>
        <w:rPr>
          <w:rFonts w:hint="eastAsia" w:ascii="宋体" w:hAnsi="宋体" w:cs="宋体"/>
          <w:color w:val="auto"/>
          <w:szCs w:val="21"/>
        </w:rPr>
        <w:t xml:space="preserve">5  </w:t>
      </w:r>
      <w:r>
        <w:rPr>
          <w:rFonts w:hint="eastAsia" w:ascii="宋体" w:hAnsi="宋体" w:cs="宋体"/>
          <w:color w:val="auto"/>
          <w:szCs w:val="21"/>
          <w:lang w:val="en-US" w:eastAsia="zh-CN"/>
        </w:rPr>
        <w:t>水肥耦合设定</w:t>
      </w:r>
      <w:r>
        <w:rPr>
          <w:rFonts w:hint="eastAsia" w:ascii="宋体" w:hAnsi="宋体" w:cs="宋体"/>
          <w:color w:val="auto"/>
          <w:szCs w:val="21"/>
        </w:rPr>
        <w:t>……………………………………………………………………………………1</w:t>
      </w:r>
    </w:p>
    <w:p>
      <w:pPr>
        <w:spacing w:line="360" w:lineRule="auto"/>
        <w:jc w:val="distribute"/>
        <w:rPr>
          <w:rFonts w:hint="eastAsia" w:ascii="宋体" w:hAnsi="宋体" w:cs="宋体"/>
          <w:color w:val="auto"/>
          <w:szCs w:val="21"/>
        </w:rPr>
      </w:pPr>
      <w:r>
        <w:rPr>
          <w:rFonts w:hint="eastAsia" w:ascii="宋体" w:hAnsi="宋体" w:cs="宋体"/>
          <w:color w:val="auto"/>
          <w:szCs w:val="21"/>
        </w:rPr>
        <w:t>6  品种选择………………………………………………………………………………………2</w:t>
      </w:r>
    </w:p>
    <w:p>
      <w:pPr>
        <w:spacing w:line="360" w:lineRule="auto"/>
        <w:jc w:val="distribute"/>
        <w:rPr>
          <w:rFonts w:hint="eastAsia" w:ascii="宋体" w:hAnsi="宋体" w:cs="宋体"/>
          <w:color w:val="auto"/>
          <w:szCs w:val="21"/>
        </w:rPr>
      </w:pPr>
      <w:r>
        <w:rPr>
          <w:rFonts w:hint="eastAsia" w:ascii="宋体" w:hAnsi="宋体" w:cs="宋体"/>
          <w:color w:val="auto"/>
          <w:szCs w:val="21"/>
        </w:rPr>
        <w:t>7  播种育苗………………………………………………………………………………………2</w:t>
      </w:r>
    </w:p>
    <w:p>
      <w:pPr>
        <w:spacing w:line="360" w:lineRule="auto"/>
        <w:jc w:val="distribute"/>
        <w:rPr>
          <w:rFonts w:hint="eastAsia" w:ascii="宋体" w:hAnsi="宋体" w:cs="宋体"/>
          <w:color w:val="auto"/>
          <w:szCs w:val="21"/>
        </w:rPr>
      </w:pPr>
      <w:r>
        <w:rPr>
          <w:rFonts w:hint="eastAsia" w:ascii="宋体" w:hAnsi="宋体" w:cs="宋体"/>
          <w:color w:val="auto"/>
          <w:szCs w:val="21"/>
        </w:rPr>
        <w:t>8  整地</w:t>
      </w:r>
      <w:r>
        <w:rPr>
          <w:rFonts w:hint="eastAsia" w:ascii="宋体" w:hAnsi="宋体" w:cs="宋体"/>
          <w:color w:val="auto"/>
          <w:szCs w:val="21"/>
          <w:lang w:eastAsia="zh-CN"/>
        </w:rPr>
        <w:t>铺滴灌带</w:t>
      </w:r>
      <w:r>
        <w:rPr>
          <w:rFonts w:hint="eastAsia" w:ascii="宋体" w:hAnsi="宋体" w:cs="宋体"/>
          <w:color w:val="auto"/>
          <w:szCs w:val="21"/>
        </w:rPr>
        <w:t>……………………………………………………………………………………2</w:t>
      </w:r>
    </w:p>
    <w:p>
      <w:pPr>
        <w:spacing w:line="360" w:lineRule="auto"/>
        <w:jc w:val="distribute"/>
        <w:rPr>
          <w:rFonts w:hint="eastAsia" w:ascii="宋体" w:hAnsi="宋体" w:cs="宋体"/>
          <w:color w:val="auto"/>
          <w:szCs w:val="21"/>
        </w:rPr>
      </w:pPr>
      <w:r>
        <w:rPr>
          <w:rFonts w:hint="eastAsia" w:ascii="宋体" w:hAnsi="宋体" w:cs="宋体"/>
          <w:color w:val="auto"/>
          <w:szCs w:val="21"/>
        </w:rPr>
        <w:t>9  定植移栽………………………………………………………………………………………3</w:t>
      </w:r>
    </w:p>
    <w:p>
      <w:pPr>
        <w:spacing w:line="360" w:lineRule="auto"/>
        <w:jc w:val="distribute"/>
        <w:rPr>
          <w:rFonts w:hint="eastAsia" w:ascii="宋体" w:hAnsi="宋体" w:cs="宋体"/>
          <w:color w:val="auto"/>
          <w:szCs w:val="21"/>
        </w:rPr>
      </w:pPr>
      <w:r>
        <w:rPr>
          <w:rFonts w:hint="eastAsia" w:ascii="宋体" w:hAnsi="宋体" w:cs="宋体"/>
          <w:color w:val="auto"/>
          <w:szCs w:val="21"/>
        </w:rPr>
        <w:t>10 田间管理………………………………………………………………………………………3</w:t>
      </w:r>
    </w:p>
    <w:p>
      <w:pPr>
        <w:spacing w:line="360" w:lineRule="auto"/>
        <w:jc w:val="distribute"/>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val="en-US" w:eastAsia="zh-CN"/>
        </w:rPr>
        <w:t>1</w:t>
      </w:r>
      <w:r>
        <w:rPr>
          <w:rFonts w:hint="eastAsia" w:ascii="宋体" w:hAnsi="宋体" w:cs="宋体"/>
          <w:color w:val="auto"/>
          <w:szCs w:val="21"/>
        </w:rPr>
        <w:t xml:space="preserve"> 病虫害防治………………………………………………………………………………………………3</w:t>
      </w:r>
    </w:p>
    <w:p>
      <w:pPr>
        <w:spacing w:line="360" w:lineRule="auto"/>
        <w:jc w:val="distribute"/>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val="en-US" w:eastAsia="zh-CN"/>
        </w:rPr>
        <w:t>2</w:t>
      </w:r>
      <w:r>
        <w:rPr>
          <w:rFonts w:hint="eastAsia" w:ascii="宋体" w:hAnsi="宋体" w:cs="宋体"/>
          <w:color w:val="auto"/>
          <w:szCs w:val="21"/>
        </w:rPr>
        <w:t xml:space="preserve"> 采收………………………………………………………………………………………………………3</w:t>
      </w:r>
    </w:p>
    <w:p>
      <w:pPr>
        <w:spacing w:line="360" w:lineRule="auto"/>
        <w:jc w:val="distribute"/>
        <w:rPr>
          <w:rFonts w:hint="eastAsia" w:ascii="宋体" w:hAnsi="宋体" w:cs="宋体"/>
          <w:color w:val="auto"/>
          <w:szCs w:val="21"/>
        </w:rPr>
      </w:pPr>
      <w:r>
        <w:rPr>
          <w:rFonts w:hint="eastAsia" w:ascii="宋体" w:hAnsi="宋体" w:cs="宋体"/>
          <w:color w:val="auto"/>
          <w:szCs w:val="21"/>
        </w:rPr>
        <w:t>附录A（资料性附录）主要病虫害防治 ………………………………………………………………4</w:t>
      </w:r>
    </w:p>
    <w:p>
      <w:pPr>
        <w:spacing w:line="360" w:lineRule="auto"/>
        <w:jc w:val="distribute"/>
        <w:rPr>
          <w:rFonts w:hint="eastAsia" w:ascii="宋体" w:hAnsi="宋体" w:cs="宋体"/>
          <w:color w:val="auto"/>
          <w:szCs w:val="21"/>
        </w:rPr>
      </w:pPr>
      <w:r>
        <w:rPr>
          <w:rFonts w:hint="eastAsia" w:ascii="宋体" w:hAnsi="宋体" w:cs="宋体"/>
          <w:color w:val="auto"/>
          <w:szCs w:val="21"/>
        </w:rPr>
        <w:t>附录B（规范性附录）栽培档案 …………………………………………………………………</w:t>
      </w:r>
      <w:r>
        <w:rPr>
          <w:rFonts w:ascii="宋体" w:hAnsi="宋体" w:cs="宋体"/>
          <w:color w:val="auto"/>
          <w:szCs w:val="21"/>
        </w:rPr>
        <w:t>5</w:t>
      </w:r>
    </w:p>
    <w:p>
      <w:pPr>
        <w:rPr>
          <w:rFonts w:hint="eastAsia"/>
          <w:color w:val="auto"/>
        </w:rPr>
      </w:pPr>
    </w:p>
    <w:p>
      <w:pPr>
        <w:jc w:val="distribute"/>
        <w:rPr>
          <w:rFonts w:hint="eastAsia"/>
          <w:color w:val="auto"/>
          <w:sz w:val="28"/>
          <w:szCs w:val="28"/>
        </w:rPr>
      </w:pPr>
    </w:p>
    <w:p>
      <w:pPr>
        <w:jc w:val="distribute"/>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color w:val="auto"/>
        </w:rPr>
        <w:sectPr>
          <w:headerReference r:id="rId8" w:type="default"/>
          <w:footerReference r:id="rId10" w:type="default"/>
          <w:headerReference r:id="rId9" w:type="even"/>
          <w:footerReference r:id="rId11" w:type="even"/>
          <w:pgSz w:w="11906" w:h="16838"/>
          <w:pgMar w:top="1440" w:right="1418" w:bottom="1559" w:left="1418" w:header="851" w:footer="992" w:gutter="0"/>
          <w:pgNumType w:fmt="upperRoman" w:start="1"/>
          <w:cols w:space="720" w:num="1"/>
          <w:docGrid w:linePitch="312" w:charSpace="0"/>
        </w:sectPr>
      </w:pPr>
    </w:p>
    <w:p>
      <w:pPr>
        <w:pStyle w:val="29"/>
        <w:spacing w:before="0" w:after="0" w:line="600" w:lineRule="exact"/>
        <w:rPr>
          <w:rFonts w:hint="eastAsia"/>
          <w:color w:val="auto"/>
          <w:sz w:val="36"/>
          <w:szCs w:val="36"/>
        </w:rPr>
      </w:pPr>
    </w:p>
    <w:p>
      <w:pPr>
        <w:pStyle w:val="29"/>
        <w:spacing w:before="0" w:after="0" w:line="600" w:lineRule="exact"/>
        <w:rPr>
          <w:rFonts w:hint="eastAsia"/>
          <w:color w:val="auto"/>
          <w:szCs w:val="32"/>
        </w:rPr>
      </w:pPr>
      <w:r>
        <w:rPr>
          <w:rFonts w:hint="eastAsia"/>
          <w:color w:val="auto"/>
          <w:szCs w:val="32"/>
        </w:rPr>
        <w:t>前    言</w:t>
      </w:r>
    </w:p>
    <w:p>
      <w:pPr>
        <w:rPr>
          <w:rFonts w:hint="eastAsia"/>
          <w:color w:val="auto"/>
        </w:rPr>
      </w:pPr>
    </w:p>
    <w:p>
      <w:pPr>
        <w:tabs>
          <w:tab w:val="left" w:pos="7380"/>
        </w:tabs>
        <w:spacing w:line="360" w:lineRule="auto"/>
        <w:ind w:right="25" w:rightChars="12" w:firstLine="420" w:firstLineChars="200"/>
        <w:rPr>
          <w:rFonts w:hint="eastAsia" w:ascii="宋体" w:hAnsi="宋体"/>
          <w:color w:val="auto"/>
          <w:szCs w:val="21"/>
        </w:rPr>
      </w:pPr>
    </w:p>
    <w:p>
      <w:pPr>
        <w:tabs>
          <w:tab w:val="left" w:pos="7380"/>
        </w:tabs>
        <w:spacing w:line="360" w:lineRule="auto"/>
        <w:ind w:right="25" w:rightChars="12" w:firstLine="420" w:firstLineChars="200"/>
        <w:rPr>
          <w:rFonts w:hint="eastAsia" w:ascii="宋体" w:hAnsi="宋体"/>
          <w:color w:val="auto"/>
          <w:szCs w:val="21"/>
        </w:rPr>
      </w:pPr>
      <w:r>
        <w:rPr>
          <w:rFonts w:hint="eastAsia" w:ascii="宋体" w:hAnsi="宋体"/>
          <w:color w:val="auto"/>
          <w:szCs w:val="21"/>
        </w:rPr>
        <w:t>本本文件按照GB</w:t>
      </w:r>
      <w:r>
        <w:rPr>
          <w:rFonts w:ascii="宋体" w:hAnsi="宋体"/>
          <w:color w:val="auto"/>
          <w:szCs w:val="21"/>
        </w:rPr>
        <w:t>/T</w:t>
      </w:r>
      <w:r>
        <w:rPr>
          <w:rFonts w:hint="eastAsia" w:ascii="宋体" w:hAnsi="宋体"/>
          <w:color w:val="auto"/>
          <w:szCs w:val="21"/>
        </w:rPr>
        <w:t xml:space="preserve"> </w:t>
      </w:r>
      <w:r>
        <w:rPr>
          <w:rFonts w:ascii="宋体" w:hAnsi="宋体"/>
          <w:color w:val="auto"/>
          <w:szCs w:val="21"/>
        </w:rPr>
        <w:t>1.1-20</w:t>
      </w:r>
      <w:r>
        <w:rPr>
          <w:rFonts w:hint="eastAsia" w:ascii="宋体" w:hAnsi="宋体"/>
          <w:color w:val="auto"/>
          <w:szCs w:val="21"/>
        </w:rPr>
        <w:t>20给出的规则起草。</w:t>
      </w:r>
    </w:p>
    <w:p>
      <w:pPr>
        <w:tabs>
          <w:tab w:val="left" w:pos="7380"/>
        </w:tabs>
        <w:spacing w:line="360" w:lineRule="auto"/>
        <w:ind w:right="25" w:rightChars="12" w:firstLine="420" w:firstLineChars="200"/>
        <w:rPr>
          <w:rFonts w:hint="eastAsia" w:ascii="宋体" w:hAnsi="宋体"/>
          <w:color w:val="auto"/>
          <w:szCs w:val="21"/>
        </w:rPr>
      </w:pPr>
      <w:r>
        <w:rPr>
          <w:rFonts w:hint="eastAsia" w:ascii="宋体" w:hAnsi="宋体"/>
          <w:color w:val="auto"/>
          <w:szCs w:val="21"/>
        </w:rPr>
        <w:t>请注意本文件的某些内容可能涉及专利，本标准的发布机构不承担识别责任。</w:t>
      </w:r>
    </w:p>
    <w:p>
      <w:pPr>
        <w:tabs>
          <w:tab w:val="left" w:pos="7380"/>
        </w:tabs>
        <w:spacing w:line="360" w:lineRule="auto"/>
        <w:ind w:right="25" w:rightChars="12" w:firstLine="420" w:firstLineChars="200"/>
        <w:rPr>
          <w:rFonts w:hint="eastAsia" w:ascii="宋体" w:hAnsi="宋体"/>
          <w:color w:val="auto"/>
          <w:szCs w:val="21"/>
        </w:rPr>
      </w:pPr>
      <w:r>
        <w:rPr>
          <w:rFonts w:hint="eastAsia" w:ascii="宋体" w:hAnsi="宋体"/>
          <w:color w:val="auto"/>
          <w:szCs w:val="21"/>
        </w:rPr>
        <w:t>本文件由湖南省农业农村厅提出。</w:t>
      </w:r>
    </w:p>
    <w:p>
      <w:pPr>
        <w:tabs>
          <w:tab w:val="left" w:pos="7380"/>
        </w:tabs>
        <w:spacing w:line="360" w:lineRule="auto"/>
        <w:ind w:right="25" w:rightChars="12" w:firstLine="420" w:firstLineChars="200"/>
        <w:rPr>
          <w:rFonts w:hint="eastAsia" w:ascii="宋体" w:hAnsi="宋体"/>
          <w:color w:val="auto"/>
          <w:szCs w:val="21"/>
        </w:rPr>
      </w:pPr>
      <w:r>
        <w:rPr>
          <w:rFonts w:hint="eastAsia" w:ascii="宋体" w:hAnsi="宋体"/>
          <w:color w:val="auto"/>
          <w:szCs w:val="21"/>
        </w:rPr>
        <w:t>本文件由湖南省农业标准化技术委员会归口。</w:t>
      </w:r>
    </w:p>
    <w:p>
      <w:pPr>
        <w:tabs>
          <w:tab w:val="left" w:pos="7380"/>
        </w:tabs>
        <w:spacing w:line="360" w:lineRule="auto"/>
        <w:ind w:right="25" w:rightChars="12" w:firstLine="420" w:firstLineChars="200"/>
        <w:rPr>
          <w:rFonts w:hint="eastAsia" w:ascii="宋体" w:hAnsi="宋体"/>
          <w:color w:val="auto"/>
          <w:szCs w:val="21"/>
        </w:rPr>
      </w:pPr>
      <w:r>
        <w:rPr>
          <w:rFonts w:hint="eastAsia" w:ascii="宋体" w:hAnsi="宋体"/>
          <w:color w:val="auto"/>
          <w:szCs w:val="21"/>
        </w:rPr>
        <w:t>本文件起草单位：</w:t>
      </w:r>
      <w:r>
        <w:rPr>
          <w:rFonts w:hint="eastAsia" w:ascii="宋体" w:hAnsi="宋体"/>
          <w:color w:val="auto"/>
          <w:szCs w:val="21"/>
          <w:lang w:eastAsia="zh-CN"/>
        </w:rPr>
        <w:t>常德</w:t>
      </w:r>
      <w:r>
        <w:rPr>
          <w:rFonts w:hint="eastAsia" w:ascii="宋体" w:hAnsi="宋体"/>
          <w:color w:val="auto"/>
          <w:szCs w:val="21"/>
        </w:rPr>
        <w:t>职业技术学院、常德市农林科学研究院、常德市农学会、湖南春露农业开发有限公司、常德常德市农业农村局、常德市老科学技术工作者协会、常德市老科协农业分会。</w:t>
      </w:r>
    </w:p>
    <w:p>
      <w:pPr>
        <w:tabs>
          <w:tab w:val="left" w:pos="7380"/>
        </w:tabs>
        <w:spacing w:line="360" w:lineRule="auto"/>
        <w:ind w:right="25" w:rightChars="12"/>
        <w:rPr>
          <w:rFonts w:hint="eastAsia" w:ascii="宋体" w:hAnsi="宋体" w:eastAsia="宋体"/>
          <w:color w:val="auto"/>
          <w:szCs w:val="21"/>
          <w:lang w:eastAsia="zh-CN"/>
        </w:rPr>
      </w:pPr>
      <w:r>
        <w:rPr>
          <w:rFonts w:hint="eastAsia" w:ascii="宋体" w:hAnsi="宋体"/>
          <w:color w:val="auto"/>
          <w:szCs w:val="21"/>
        </w:rPr>
        <w:t>本文件主要起草人：徐曼、张忠武、吴仁明、王朝晖、顾振华、</w:t>
      </w:r>
      <w:r>
        <w:rPr>
          <w:rFonts w:hint="eastAsia"/>
          <w:color w:val="auto"/>
          <w:szCs w:val="21"/>
          <w:lang w:eastAsia="zh-CN"/>
        </w:rPr>
        <w:t>孙信成、</w:t>
      </w:r>
      <w:r>
        <w:rPr>
          <w:rFonts w:hint="eastAsia" w:ascii="宋体" w:hAnsi="宋体"/>
          <w:color w:val="auto"/>
          <w:szCs w:val="21"/>
        </w:rPr>
        <w:t>步洪凤、</w:t>
      </w:r>
      <w:r>
        <w:rPr>
          <w:rFonts w:hint="eastAsia"/>
          <w:color w:val="auto"/>
          <w:szCs w:val="21"/>
          <w:lang w:eastAsia="zh-CN"/>
        </w:rPr>
        <w:t>杨连勇、黄琳、蒋万、康杰、陈位平、冷丽萍、何岩、彭元群、薛波、王桢、段赞赞、黄庆、肖鑫、丁立君、乐</w:t>
      </w:r>
      <w:r>
        <w:rPr>
          <w:rFonts w:hint="eastAsia" w:ascii="宋体" w:hAnsi="宋体"/>
          <w:color w:val="auto"/>
          <w:szCs w:val="21"/>
          <w:lang w:eastAsia="zh-CN"/>
        </w:rPr>
        <w:t>熹子、周耀武、雷慧兰、</w:t>
      </w:r>
      <w:r>
        <w:rPr>
          <w:rFonts w:hint="eastAsia" w:ascii="宋体" w:hAnsi="宋体"/>
          <w:color w:val="auto"/>
          <w:szCs w:val="21"/>
        </w:rPr>
        <w:t>张文斗、</w:t>
      </w:r>
      <w:r>
        <w:rPr>
          <w:rFonts w:hint="eastAsia" w:ascii="宋体" w:hAnsi="宋体"/>
          <w:color w:val="auto"/>
          <w:szCs w:val="21"/>
          <w:lang w:eastAsia="zh-CN"/>
        </w:rPr>
        <w:t>罗金梅、</w:t>
      </w:r>
      <w:r>
        <w:rPr>
          <w:rFonts w:hint="eastAsia"/>
          <w:color w:val="auto"/>
          <w:szCs w:val="21"/>
        </w:rPr>
        <w:t>邓正春、</w:t>
      </w:r>
      <w:r>
        <w:rPr>
          <w:rFonts w:hint="eastAsia" w:ascii="宋体" w:hAnsi="宋体"/>
          <w:color w:val="auto"/>
          <w:szCs w:val="21"/>
          <w:lang w:eastAsia="zh-CN"/>
        </w:rPr>
        <w:t>朱明玉、杨宇、</w:t>
      </w:r>
      <w:r>
        <w:rPr>
          <w:rFonts w:hint="eastAsia" w:ascii="宋体" w:hAnsi="宋体"/>
          <w:color w:val="auto"/>
          <w:szCs w:val="21"/>
        </w:rPr>
        <w:t>邓家惠、王中美</w:t>
      </w:r>
      <w:r>
        <w:rPr>
          <w:rFonts w:hint="eastAsia" w:ascii="宋体" w:hAnsi="宋体"/>
          <w:color w:val="auto"/>
          <w:szCs w:val="21"/>
          <w:lang w:eastAsia="zh-CN"/>
        </w:rPr>
        <w:t>。</w:t>
      </w:r>
    </w:p>
    <w:p>
      <w:pPr>
        <w:tabs>
          <w:tab w:val="left" w:pos="7380"/>
        </w:tabs>
        <w:spacing w:line="360" w:lineRule="auto"/>
        <w:ind w:right="25" w:rightChars="12" w:firstLine="420" w:firstLineChars="200"/>
        <w:rPr>
          <w:rFonts w:hint="eastAsia" w:ascii="宋体" w:hAnsi="宋体" w:eastAsia="宋体"/>
          <w:color w:val="auto"/>
          <w:szCs w:val="21"/>
          <w:lang w:eastAsia="zh-CN"/>
        </w:rPr>
      </w:pPr>
    </w:p>
    <w:p>
      <w:pPr>
        <w:tabs>
          <w:tab w:val="left" w:pos="7380"/>
        </w:tabs>
        <w:spacing w:line="360" w:lineRule="auto"/>
        <w:ind w:right="25" w:rightChars="12" w:firstLine="420" w:firstLineChars="200"/>
        <w:rPr>
          <w:rFonts w:hint="eastAsia" w:ascii="宋体" w:hAnsi="宋体"/>
          <w:color w:val="auto"/>
          <w:szCs w:val="21"/>
        </w:rPr>
      </w:pPr>
    </w:p>
    <w:p>
      <w:pPr>
        <w:rPr>
          <w:rFonts w:hint="eastAsia"/>
          <w:color w:val="auto"/>
        </w:rPr>
      </w:pPr>
    </w:p>
    <w:p>
      <w:pPr>
        <w:rPr>
          <w:rFonts w:hint="eastAsia"/>
          <w:color w:val="auto"/>
        </w:rPr>
      </w:pPr>
    </w:p>
    <w:p>
      <w:pPr>
        <w:rPr>
          <w:rFonts w:hint="eastAsia"/>
          <w:color w:val="auto"/>
        </w:rPr>
      </w:pPr>
    </w:p>
    <w:p>
      <w:pPr>
        <w:spacing w:before="120" w:beforeLines="50" w:after="120" w:afterLines="50"/>
        <w:jc w:val="center"/>
        <w:rPr>
          <w:rFonts w:hint="eastAsia" w:ascii="黑体" w:hAnsi="宋体" w:eastAsia="黑体"/>
          <w:b/>
          <w:color w:val="auto"/>
          <w:sz w:val="32"/>
          <w:szCs w:val="32"/>
        </w:rPr>
      </w:pPr>
    </w:p>
    <w:p>
      <w:pPr>
        <w:spacing w:before="120" w:beforeLines="50" w:after="120" w:afterLines="50"/>
        <w:jc w:val="center"/>
        <w:rPr>
          <w:rFonts w:hint="eastAsia" w:ascii="黑体" w:hAnsi="宋体" w:eastAsia="黑体"/>
          <w:b/>
          <w:color w:val="auto"/>
          <w:sz w:val="32"/>
          <w:szCs w:val="32"/>
        </w:rPr>
      </w:pPr>
    </w:p>
    <w:p>
      <w:pPr>
        <w:spacing w:before="120" w:beforeLines="50" w:after="120" w:afterLines="50"/>
        <w:jc w:val="center"/>
        <w:rPr>
          <w:rFonts w:hint="eastAsia" w:ascii="黑体" w:hAnsi="宋体" w:eastAsia="黑体"/>
          <w:b/>
          <w:color w:val="auto"/>
          <w:sz w:val="32"/>
          <w:szCs w:val="32"/>
        </w:rPr>
      </w:pPr>
    </w:p>
    <w:p>
      <w:pPr>
        <w:spacing w:before="120" w:beforeLines="50" w:after="120" w:afterLines="50"/>
        <w:jc w:val="center"/>
        <w:rPr>
          <w:rFonts w:hint="eastAsia" w:ascii="黑体" w:hAnsi="宋体" w:eastAsia="黑体"/>
          <w:b/>
          <w:color w:val="auto"/>
          <w:sz w:val="32"/>
          <w:szCs w:val="32"/>
        </w:rPr>
      </w:pPr>
    </w:p>
    <w:p>
      <w:pPr>
        <w:spacing w:before="120" w:beforeLines="50" w:after="120" w:afterLines="50"/>
        <w:jc w:val="center"/>
        <w:rPr>
          <w:rFonts w:hint="eastAsia" w:ascii="黑体" w:hAnsi="宋体" w:eastAsia="黑体"/>
          <w:b/>
          <w:color w:val="auto"/>
          <w:sz w:val="32"/>
          <w:szCs w:val="32"/>
        </w:rPr>
      </w:pPr>
    </w:p>
    <w:p>
      <w:pPr>
        <w:spacing w:line="700" w:lineRule="exact"/>
        <w:rPr>
          <w:rFonts w:hint="eastAsia" w:ascii="华文中宋" w:hAnsi="华文中宋" w:eastAsia="华文中宋"/>
          <w:b/>
          <w:color w:val="auto"/>
          <w:sz w:val="44"/>
          <w:szCs w:val="44"/>
        </w:rPr>
      </w:pPr>
    </w:p>
    <w:p>
      <w:pPr>
        <w:spacing w:line="700" w:lineRule="exact"/>
        <w:jc w:val="center"/>
        <w:rPr>
          <w:rFonts w:hint="eastAsia" w:ascii="华文中宋" w:hAnsi="华文中宋" w:eastAsia="华文中宋"/>
          <w:b/>
          <w:color w:val="auto"/>
          <w:sz w:val="44"/>
          <w:szCs w:val="44"/>
        </w:rPr>
      </w:pPr>
    </w:p>
    <w:p>
      <w:pPr>
        <w:spacing w:line="700" w:lineRule="exact"/>
        <w:jc w:val="center"/>
        <w:rPr>
          <w:rFonts w:hint="eastAsia" w:ascii="华文中宋" w:hAnsi="华文中宋" w:eastAsia="华文中宋"/>
          <w:b/>
          <w:color w:val="auto"/>
          <w:sz w:val="44"/>
          <w:szCs w:val="44"/>
        </w:rPr>
      </w:pPr>
    </w:p>
    <w:p>
      <w:pPr>
        <w:spacing w:line="700" w:lineRule="exact"/>
        <w:jc w:val="center"/>
        <w:rPr>
          <w:rFonts w:ascii="华文中宋" w:hAnsi="华文中宋" w:eastAsia="华文中宋"/>
          <w:b/>
          <w:color w:val="auto"/>
          <w:sz w:val="44"/>
          <w:szCs w:val="44"/>
        </w:rPr>
        <w:sectPr>
          <w:footerReference r:id="rId13" w:type="default"/>
          <w:headerReference r:id="rId12" w:type="even"/>
          <w:pgSz w:w="11906" w:h="16838"/>
          <w:pgMar w:top="1440" w:right="1418" w:bottom="1559" w:left="1418" w:header="851" w:footer="992" w:gutter="0"/>
          <w:pgNumType w:fmt="upperRoman"/>
          <w:cols w:space="720" w:num="1"/>
          <w:docGrid w:linePitch="312" w:charSpace="0"/>
        </w:sectPr>
      </w:pPr>
    </w:p>
    <w:p>
      <w:pPr>
        <w:spacing w:line="120" w:lineRule="atLeast"/>
        <w:jc w:val="center"/>
        <w:rPr>
          <w:rFonts w:hint="eastAsia" w:ascii="黑体" w:eastAsia="黑体"/>
          <w:color w:val="auto"/>
          <w:sz w:val="32"/>
          <w:szCs w:val="32"/>
        </w:rPr>
      </w:pPr>
    </w:p>
    <w:p>
      <w:pPr>
        <w:spacing w:line="120" w:lineRule="atLeast"/>
        <w:jc w:val="center"/>
        <w:rPr>
          <w:rFonts w:hint="eastAsia" w:ascii="黑体" w:eastAsia="黑体"/>
          <w:color w:val="auto"/>
          <w:sz w:val="32"/>
          <w:szCs w:val="32"/>
        </w:rPr>
      </w:pPr>
      <w:r>
        <w:rPr>
          <w:rFonts w:hint="eastAsia" w:ascii="黑体" w:eastAsia="黑体"/>
          <w:color w:val="auto"/>
          <w:sz w:val="32"/>
          <w:szCs w:val="32"/>
        </w:rPr>
        <w:t>番茄大棚秋延后水肥一体化栽培技术规程</w:t>
      </w:r>
    </w:p>
    <w:p>
      <w:pPr>
        <w:spacing w:line="700" w:lineRule="exact"/>
        <w:jc w:val="center"/>
        <w:rPr>
          <w:rFonts w:hint="eastAsia" w:ascii="黑体" w:hAnsi="华文中宋" w:eastAsia="黑体"/>
          <w:b/>
          <w:color w:val="auto"/>
          <w:sz w:val="44"/>
          <w:szCs w:val="44"/>
        </w:rPr>
      </w:pPr>
    </w:p>
    <w:p>
      <w:pPr>
        <w:spacing w:line="380" w:lineRule="exact"/>
        <w:jc w:val="left"/>
        <w:rPr>
          <w:rFonts w:hint="eastAsia" w:ascii="黑体" w:hAnsi="宋体" w:eastAsia="黑体"/>
          <w:color w:val="auto"/>
          <w:szCs w:val="21"/>
        </w:rPr>
      </w:pPr>
      <w:r>
        <w:rPr>
          <w:rFonts w:hint="eastAsia" w:ascii="黑体" w:hAnsi="宋体" w:eastAsia="黑体"/>
          <w:color w:val="auto"/>
          <w:szCs w:val="21"/>
        </w:rPr>
        <w:t>1  范围</w:t>
      </w:r>
    </w:p>
    <w:p>
      <w:pPr>
        <w:spacing w:line="380" w:lineRule="exact"/>
        <w:jc w:val="left"/>
        <w:rPr>
          <w:rFonts w:hint="eastAsia" w:ascii="黑体" w:hAnsi="宋体" w:eastAsia="黑体"/>
          <w:b/>
          <w:color w:val="auto"/>
          <w:szCs w:val="21"/>
        </w:rPr>
      </w:pPr>
    </w:p>
    <w:p>
      <w:pPr>
        <w:spacing w:line="380" w:lineRule="exact"/>
        <w:ind w:firstLine="420" w:firstLineChars="200"/>
        <w:rPr>
          <w:rFonts w:hint="eastAsia" w:ascii="宋体" w:hAnsi="宋体"/>
          <w:color w:val="auto"/>
          <w:szCs w:val="21"/>
        </w:rPr>
      </w:pPr>
      <w:r>
        <w:rPr>
          <w:rFonts w:hint="eastAsia" w:ascii="宋体" w:hAnsi="宋体"/>
          <w:color w:val="auto"/>
          <w:szCs w:val="21"/>
        </w:rPr>
        <w:t>本标准规定了番茄大棚秋延后水肥一体化栽培的术语和定义、</w:t>
      </w:r>
      <w:r>
        <w:rPr>
          <w:rFonts w:hint="eastAsia" w:ascii="宋体" w:hAnsi="宋体" w:cs="宋体"/>
          <w:color w:val="auto"/>
          <w:szCs w:val="21"/>
          <w:lang w:eastAsia="zh-CN"/>
        </w:rPr>
        <w:t>设备条件、</w:t>
      </w:r>
      <w:r>
        <w:rPr>
          <w:rFonts w:hint="eastAsia" w:ascii="宋体" w:hAnsi="宋体" w:cs="宋体"/>
          <w:color w:val="auto"/>
          <w:szCs w:val="21"/>
          <w:lang w:val="en-US" w:eastAsia="zh-CN"/>
        </w:rPr>
        <w:t>水肥耦合设定、</w:t>
      </w:r>
      <w:r>
        <w:rPr>
          <w:rFonts w:hint="eastAsia" w:ascii="宋体" w:hAnsi="宋体"/>
          <w:color w:val="auto"/>
          <w:szCs w:val="21"/>
        </w:rPr>
        <w:t>品种选择、</w:t>
      </w:r>
      <w:r>
        <w:rPr>
          <w:rFonts w:hint="eastAsia" w:ascii="宋体" w:hAnsi="宋体" w:cs="宋体"/>
          <w:color w:val="auto"/>
          <w:szCs w:val="21"/>
        </w:rPr>
        <w:t>播种育苗</w:t>
      </w:r>
      <w:r>
        <w:rPr>
          <w:rFonts w:hint="eastAsia" w:ascii="宋体" w:hAnsi="宋体"/>
          <w:color w:val="auto"/>
          <w:szCs w:val="21"/>
        </w:rPr>
        <w:t>、</w:t>
      </w:r>
      <w:r>
        <w:rPr>
          <w:rFonts w:hint="eastAsia" w:ascii="宋体" w:hAnsi="宋体" w:cs="宋体"/>
          <w:color w:val="auto"/>
          <w:szCs w:val="21"/>
        </w:rPr>
        <w:t>整地</w:t>
      </w:r>
      <w:r>
        <w:rPr>
          <w:rFonts w:hint="eastAsia" w:ascii="宋体" w:hAnsi="宋体" w:cs="宋体"/>
          <w:color w:val="auto"/>
          <w:szCs w:val="21"/>
          <w:lang w:eastAsia="zh-CN"/>
        </w:rPr>
        <w:t>铺滴灌带、</w:t>
      </w:r>
      <w:r>
        <w:rPr>
          <w:rFonts w:hint="eastAsia" w:ascii="宋体" w:hAnsi="宋体" w:cs="宋体"/>
          <w:color w:val="auto"/>
          <w:szCs w:val="21"/>
        </w:rPr>
        <w:t>定植移栽</w:t>
      </w:r>
      <w:r>
        <w:rPr>
          <w:rFonts w:hint="eastAsia" w:ascii="宋体" w:hAnsi="宋体" w:cs="宋体"/>
          <w:color w:val="auto"/>
          <w:szCs w:val="21"/>
          <w:lang w:eastAsia="zh-CN"/>
        </w:rPr>
        <w:t>、</w:t>
      </w:r>
      <w:r>
        <w:rPr>
          <w:rFonts w:hint="eastAsia" w:ascii="宋体" w:hAnsi="宋体"/>
          <w:color w:val="auto"/>
          <w:szCs w:val="21"/>
        </w:rPr>
        <w:t>田间管理、病虫害防治、采收等技术内容。</w:t>
      </w:r>
    </w:p>
    <w:p>
      <w:pPr>
        <w:spacing w:line="380" w:lineRule="exact"/>
        <w:ind w:firstLine="420" w:firstLineChars="200"/>
        <w:rPr>
          <w:rFonts w:hint="eastAsia" w:ascii="宋体" w:hAnsi="宋体"/>
          <w:color w:val="auto"/>
          <w:szCs w:val="21"/>
        </w:rPr>
      </w:pPr>
      <w:r>
        <w:rPr>
          <w:rFonts w:hint="eastAsia" w:ascii="宋体" w:hAnsi="宋体"/>
          <w:color w:val="auto"/>
          <w:szCs w:val="21"/>
        </w:rPr>
        <w:t>本标准适用于湖南省番茄大棚秋延后水肥一体化栽培。</w:t>
      </w:r>
    </w:p>
    <w:p>
      <w:pPr>
        <w:spacing w:line="380" w:lineRule="exact"/>
        <w:ind w:firstLine="420" w:firstLineChars="200"/>
        <w:rPr>
          <w:rFonts w:hint="eastAsia" w:ascii="宋体" w:hAnsi="宋体"/>
          <w:color w:val="auto"/>
          <w:szCs w:val="21"/>
        </w:rPr>
      </w:pPr>
    </w:p>
    <w:p>
      <w:pPr>
        <w:spacing w:line="380" w:lineRule="exact"/>
        <w:jc w:val="left"/>
        <w:rPr>
          <w:rFonts w:hint="eastAsia" w:ascii="黑体" w:hAnsi="宋体" w:eastAsia="黑体"/>
          <w:color w:val="auto"/>
          <w:szCs w:val="21"/>
        </w:rPr>
      </w:pPr>
      <w:r>
        <w:rPr>
          <w:rFonts w:hint="eastAsia" w:ascii="黑体" w:hAnsi="宋体" w:eastAsia="黑体"/>
          <w:color w:val="auto"/>
          <w:szCs w:val="21"/>
        </w:rPr>
        <w:t>2  规范性引用文件</w:t>
      </w:r>
    </w:p>
    <w:p>
      <w:pPr>
        <w:spacing w:line="380" w:lineRule="exact"/>
        <w:jc w:val="left"/>
        <w:rPr>
          <w:rFonts w:hint="eastAsia" w:ascii="黑体" w:hAnsi="宋体" w:eastAsia="黑体"/>
          <w:b/>
          <w:color w:val="auto"/>
          <w:szCs w:val="21"/>
        </w:rPr>
      </w:pPr>
    </w:p>
    <w:p>
      <w:pPr>
        <w:spacing w:line="400" w:lineRule="exact"/>
        <w:ind w:firstLine="420" w:firstLineChars="200"/>
        <w:rPr>
          <w:rFonts w:hint="eastAsia" w:ascii="宋体" w:hAnsi="宋体" w:cs="Arial"/>
          <w:color w:val="auto"/>
          <w:kern w:val="0"/>
          <w:szCs w:val="21"/>
          <w:lang w:eastAsia="zh-Hans"/>
        </w:rPr>
      </w:pPr>
      <w:r>
        <w:rPr>
          <w:rFonts w:hint="eastAsia" w:ascii="宋体" w:hAnsi="宋体" w:cs="Arial"/>
          <w:color w:val="auto"/>
          <w:kern w:val="0"/>
          <w:szCs w:val="21"/>
          <w:lang w:eastAsia="zh-Hans"/>
        </w:rPr>
        <w:t>下列文件对于本标准的应用是必不可少的。凡是注日期的引用文件，仅所注日期的版本适用于本标准。凡是不注日期的引用文件，其最新版本（包括所有的修改单）适用于本标准。</w:t>
      </w:r>
    </w:p>
    <w:p>
      <w:pPr>
        <w:spacing w:line="400" w:lineRule="exact"/>
        <w:ind w:firstLine="420" w:firstLineChars="200"/>
        <w:rPr>
          <w:rFonts w:hint="eastAsia" w:ascii="宋体" w:hAnsi="宋体" w:eastAsia="宋体" w:cs="Arial"/>
          <w:color w:val="auto"/>
          <w:kern w:val="0"/>
          <w:szCs w:val="21"/>
          <w:lang w:eastAsia="zh-Hans"/>
        </w:rPr>
      </w:pPr>
      <w:r>
        <w:rPr>
          <w:rFonts w:hint="eastAsia" w:ascii="宋体" w:hAnsi="宋体" w:eastAsia="宋体" w:cs="Arial"/>
          <w:color w:val="auto"/>
          <w:kern w:val="0"/>
          <w:szCs w:val="21"/>
          <w:lang w:eastAsia="zh-Hans"/>
        </w:rPr>
        <w:t>GB 5084 农田灌溉水质标准</w:t>
      </w:r>
    </w:p>
    <w:p>
      <w:pPr>
        <w:spacing w:line="400" w:lineRule="exact"/>
        <w:ind w:firstLine="420" w:firstLineChars="200"/>
        <w:rPr>
          <w:rFonts w:hint="eastAsia" w:ascii="宋体" w:hAnsi="宋体" w:eastAsia="宋体" w:cs="Arial"/>
          <w:color w:val="auto"/>
          <w:kern w:val="0"/>
          <w:szCs w:val="21"/>
          <w:lang w:eastAsia="zh-Hans"/>
        </w:rPr>
      </w:pPr>
      <w:r>
        <w:rPr>
          <w:rFonts w:hint="eastAsia" w:ascii="宋体" w:hAnsi="宋体" w:cs="Arial"/>
          <w:color w:val="auto"/>
          <w:kern w:val="0"/>
          <w:szCs w:val="21"/>
          <w:lang w:eastAsia="zh-Hans"/>
        </w:rPr>
        <w:t>GB/T 8321农药合理使用</w:t>
      </w:r>
      <w:r>
        <w:rPr>
          <w:rFonts w:hint="eastAsia" w:ascii="宋体" w:hAnsi="宋体" w:eastAsia="宋体" w:cs="Arial"/>
          <w:color w:val="auto"/>
          <w:kern w:val="0"/>
          <w:szCs w:val="21"/>
          <w:lang w:eastAsia="zh-Hans"/>
        </w:rPr>
        <w:t>准则</w:t>
      </w:r>
    </w:p>
    <w:p>
      <w:pPr>
        <w:spacing w:line="400" w:lineRule="exact"/>
        <w:ind w:firstLine="420" w:firstLineChars="200"/>
        <w:rPr>
          <w:rFonts w:hint="eastAsia" w:ascii="宋体" w:hAnsi="宋体" w:eastAsia="宋体" w:cs="Arial"/>
          <w:color w:val="auto"/>
          <w:kern w:val="0"/>
          <w:szCs w:val="21"/>
          <w:lang w:eastAsia="zh-Hans"/>
        </w:rPr>
      </w:pPr>
      <w:r>
        <w:rPr>
          <w:rFonts w:hint="eastAsia" w:ascii="宋体" w:hAnsi="宋体" w:eastAsia="宋体" w:cs="Arial"/>
          <w:color w:val="auto"/>
          <w:kern w:val="0"/>
          <w:szCs w:val="21"/>
          <w:lang w:eastAsia="zh-Hans"/>
        </w:rPr>
        <w:t>GB/T 19165 日光温室和塑料大棚结构与性能要求</w:t>
      </w:r>
    </w:p>
    <w:p>
      <w:pPr>
        <w:spacing w:line="400" w:lineRule="exact"/>
        <w:ind w:firstLine="420" w:firstLineChars="200"/>
        <w:rPr>
          <w:rFonts w:hint="eastAsia" w:ascii="宋体" w:hAnsi="宋体" w:eastAsia="宋体" w:cs="Arial"/>
          <w:color w:val="auto"/>
          <w:kern w:val="0"/>
          <w:szCs w:val="21"/>
          <w:lang w:eastAsia="zh-Hans"/>
        </w:rPr>
      </w:pPr>
      <w:r>
        <w:rPr>
          <w:rFonts w:hint="eastAsia" w:ascii="宋体" w:hAnsi="宋体" w:eastAsia="宋体" w:cs="Arial"/>
          <w:color w:val="auto"/>
          <w:kern w:val="0"/>
          <w:szCs w:val="21"/>
          <w:lang w:eastAsia="zh-Hans"/>
        </w:rPr>
        <w:t>NY 525 有机肥料</w:t>
      </w:r>
    </w:p>
    <w:p>
      <w:pPr>
        <w:spacing w:line="400" w:lineRule="exact"/>
        <w:ind w:firstLine="420" w:firstLineChars="200"/>
        <w:rPr>
          <w:rFonts w:hint="eastAsia" w:ascii="宋体" w:hAnsi="宋体" w:eastAsia="宋体" w:cs="Arial"/>
          <w:color w:val="auto"/>
          <w:kern w:val="0"/>
          <w:szCs w:val="21"/>
          <w:lang w:eastAsia="zh-Hans"/>
        </w:rPr>
      </w:pPr>
      <w:r>
        <w:rPr>
          <w:rFonts w:hint="eastAsia" w:ascii="宋体" w:hAnsi="宋体" w:eastAsia="宋体" w:cs="Arial"/>
          <w:color w:val="auto"/>
          <w:kern w:val="0"/>
          <w:szCs w:val="21"/>
          <w:lang w:eastAsia="zh-Hans"/>
        </w:rPr>
        <w:t>NY/T 2623 灌溉施肥技术规范</w:t>
      </w:r>
    </w:p>
    <w:p>
      <w:pPr>
        <w:spacing w:line="400" w:lineRule="exact"/>
        <w:ind w:firstLine="420" w:firstLineChars="200"/>
        <w:rPr>
          <w:rFonts w:hint="eastAsia" w:ascii="宋体" w:hAnsi="宋体" w:eastAsia="宋体" w:cs="Arial"/>
          <w:color w:val="auto"/>
          <w:kern w:val="0"/>
          <w:szCs w:val="21"/>
          <w:lang w:eastAsia="zh-Hans"/>
        </w:rPr>
      </w:pPr>
      <w:r>
        <w:rPr>
          <w:rFonts w:hint="eastAsia" w:ascii="宋体" w:hAnsi="宋体" w:eastAsia="宋体" w:cs="Arial"/>
          <w:color w:val="auto"/>
          <w:kern w:val="0"/>
          <w:szCs w:val="21"/>
          <w:lang w:eastAsia="zh-Hans"/>
        </w:rPr>
        <w:t>NY 5010无公害食品蔬菜产地环境条件</w:t>
      </w:r>
    </w:p>
    <w:p>
      <w:pPr>
        <w:spacing w:line="400" w:lineRule="exact"/>
        <w:ind w:firstLine="420" w:firstLineChars="200"/>
        <w:rPr>
          <w:rFonts w:hint="eastAsia" w:ascii="宋体" w:hAnsi="宋体" w:eastAsia="宋体" w:cs="Arial"/>
          <w:color w:val="auto"/>
          <w:kern w:val="0"/>
          <w:szCs w:val="21"/>
          <w:lang w:eastAsia="zh-Hans"/>
        </w:rPr>
      </w:pPr>
    </w:p>
    <w:p>
      <w:pPr>
        <w:spacing w:line="380" w:lineRule="exact"/>
        <w:jc w:val="left"/>
        <w:rPr>
          <w:rFonts w:hint="eastAsia" w:ascii="黑体" w:hAnsi="宋体" w:eastAsia="黑体"/>
          <w:color w:val="auto"/>
          <w:szCs w:val="21"/>
        </w:rPr>
      </w:pPr>
      <w:r>
        <w:rPr>
          <w:rFonts w:hint="eastAsia" w:ascii="黑体" w:hAnsi="宋体" w:eastAsia="黑体"/>
          <w:color w:val="auto"/>
          <w:szCs w:val="21"/>
        </w:rPr>
        <w:t>3  术语和定义</w:t>
      </w:r>
    </w:p>
    <w:p>
      <w:pPr>
        <w:spacing w:line="400" w:lineRule="exact"/>
        <w:rPr>
          <w:rFonts w:hint="eastAsia" w:ascii="宋体" w:hAnsi="宋体"/>
          <w:color w:val="auto"/>
          <w:szCs w:val="21"/>
        </w:rPr>
      </w:pPr>
    </w:p>
    <w:p>
      <w:pPr>
        <w:spacing w:line="400" w:lineRule="exact"/>
        <w:ind w:firstLine="420" w:firstLineChars="200"/>
        <w:rPr>
          <w:rFonts w:hint="eastAsia" w:hAnsi="宋体"/>
          <w:bCs/>
          <w:color w:val="auto"/>
          <w:szCs w:val="21"/>
        </w:rPr>
      </w:pPr>
      <w:r>
        <w:rPr>
          <w:rFonts w:hint="eastAsia" w:hAnsi="宋体"/>
          <w:bCs/>
          <w:color w:val="auto"/>
          <w:szCs w:val="21"/>
        </w:rPr>
        <w:t>下列术语和定义适用于本文件。</w:t>
      </w:r>
    </w:p>
    <w:p>
      <w:pPr>
        <w:spacing w:line="400" w:lineRule="exact"/>
        <w:ind w:firstLine="420" w:firstLineChars="200"/>
        <w:rPr>
          <w:rFonts w:hint="eastAsia" w:hAnsi="宋体"/>
          <w:bCs/>
          <w:color w:val="auto"/>
          <w:szCs w:val="21"/>
        </w:rPr>
      </w:pPr>
    </w:p>
    <w:p>
      <w:pPr>
        <w:spacing w:line="400" w:lineRule="exact"/>
        <w:rPr>
          <w:rFonts w:hint="eastAsia" w:ascii="黑体" w:hAnsi="黑体" w:eastAsia="黑体" w:cs="黑体"/>
          <w:bCs/>
          <w:color w:val="auto"/>
          <w:szCs w:val="21"/>
          <w:lang w:val="en-US" w:eastAsia="zh-CN"/>
        </w:rPr>
      </w:pPr>
      <w:r>
        <w:rPr>
          <w:rFonts w:hint="eastAsia" w:ascii="黑体" w:hAnsi="黑体" w:eastAsia="黑体" w:cs="黑体"/>
          <w:bCs/>
          <w:color w:val="auto"/>
          <w:szCs w:val="21"/>
          <w:lang w:val="en-US" w:eastAsia="zh-CN"/>
        </w:rPr>
        <w:t>3.1</w:t>
      </w:r>
    </w:p>
    <w:p>
      <w:pPr>
        <w:spacing w:line="400" w:lineRule="exact"/>
        <w:ind w:firstLine="420" w:firstLineChars="200"/>
        <w:rPr>
          <w:rFonts w:hint="eastAsia" w:ascii="黑体" w:hAnsi="黑体" w:eastAsia="黑体" w:cs="黑体"/>
          <w:bCs/>
          <w:color w:val="auto"/>
          <w:szCs w:val="21"/>
          <w:lang w:val="en-US" w:eastAsia="zh-CN"/>
        </w:rPr>
      </w:pPr>
      <w:r>
        <w:rPr>
          <w:rFonts w:hint="eastAsia" w:ascii="黑体" w:hAnsi="黑体" w:eastAsia="黑体" w:cs="黑体"/>
          <w:bCs/>
          <w:color w:val="auto"/>
          <w:szCs w:val="21"/>
        </w:rPr>
        <w:t>秋延后栽培</w:t>
      </w:r>
      <w:r>
        <w:rPr>
          <w:rFonts w:hint="eastAsia" w:ascii="黑体" w:hAnsi="黑体" w:eastAsia="黑体" w:cs="黑体"/>
          <w:bCs/>
          <w:color w:val="auto"/>
          <w:szCs w:val="21"/>
          <w:lang w:val="en-US" w:eastAsia="zh-CN"/>
        </w:rPr>
        <w:t xml:space="preserve"> Late autumn cultivation</w:t>
      </w:r>
    </w:p>
    <w:p>
      <w:pPr>
        <w:spacing w:line="400" w:lineRule="exact"/>
        <w:ind w:firstLine="420" w:firstLineChars="200"/>
        <w:rPr>
          <w:rFonts w:hint="eastAsia" w:hAnsi="宋体"/>
          <w:color w:val="auto"/>
          <w:kern w:val="0"/>
          <w:szCs w:val="28"/>
        </w:rPr>
      </w:pPr>
      <w:r>
        <w:rPr>
          <w:rFonts w:hint="eastAsia" w:hAnsi="宋体"/>
          <w:bCs/>
          <w:color w:val="auto"/>
          <w:szCs w:val="21"/>
        </w:rPr>
        <w:t>指利用钢架大棚、竹木棚、水泥棚等设施，覆盖大棚膜，通过调节棚内气候因子，如温度、光照、水分等，延长蔬菜供应期的技术措施。</w:t>
      </w:r>
    </w:p>
    <w:p>
      <w:pPr>
        <w:spacing w:line="400" w:lineRule="exact"/>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3.2</w:t>
      </w:r>
    </w:p>
    <w:p>
      <w:pPr>
        <w:spacing w:line="400" w:lineRule="exact"/>
        <w:ind w:firstLine="420" w:firstLineChars="200"/>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水肥一体化 Integration of water and fertilizer</w:t>
      </w:r>
    </w:p>
    <w:p>
      <w:pPr>
        <w:keepNext w:val="0"/>
        <w:keepLines w:val="0"/>
        <w:widowControl/>
        <w:suppressLineNumbers w:val="0"/>
        <w:ind w:firstLine="420" w:firstLineChars="200"/>
        <w:jc w:val="left"/>
        <w:rPr>
          <w:rFonts w:hint="eastAsia" w:ascii="宋体" w:hAnsi="宋体" w:eastAsia="宋体" w:cs="宋体"/>
          <w:color w:val="auto"/>
        </w:rPr>
      </w:pPr>
      <w:r>
        <w:rPr>
          <w:rFonts w:hint="eastAsia" w:ascii="宋体" w:hAnsi="宋体" w:eastAsia="宋体" w:cs="宋体"/>
          <w:i w:val="0"/>
          <w:caps w:val="0"/>
          <w:color w:val="auto"/>
          <w:spacing w:val="0"/>
          <w:kern w:val="0"/>
          <w:sz w:val="21"/>
          <w:szCs w:val="21"/>
          <w:shd w:val="clear" w:color="auto" w:fill="FFFFFF"/>
          <w:lang w:val="en-US" w:eastAsia="zh-CN" w:bidi="ar"/>
        </w:rPr>
        <w:t>根据土壤养分含量及作物种类的需肥规律和特点，借助压力系统，将肥料配兑成肥液同灌溉水一起，通过可控管道系统输送给作物根际水分和肥料的一种农业生产管理技术。</w:t>
      </w:r>
    </w:p>
    <w:p>
      <w:pPr>
        <w:spacing w:line="400" w:lineRule="exact"/>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3.3</w:t>
      </w:r>
    </w:p>
    <w:p>
      <w:pPr>
        <w:spacing w:line="400" w:lineRule="exact"/>
        <w:ind w:firstLine="420" w:firstLineChars="200"/>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田间持水量 field capacity</w:t>
      </w:r>
    </w:p>
    <w:p>
      <w:pPr>
        <w:spacing w:line="400" w:lineRule="exact"/>
        <w:ind w:firstLine="420" w:firstLineChars="200"/>
        <w:rPr>
          <w:rFonts w:hint="default" w:ascii="宋体" w:hAnsi="宋体"/>
          <w:color w:val="auto"/>
          <w:szCs w:val="21"/>
          <w:lang w:val="en-US" w:eastAsia="zh-CN"/>
        </w:rPr>
      </w:pPr>
      <w:r>
        <w:rPr>
          <w:rFonts w:hint="default" w:ascii="宋体" w:hAnsi="宋体"/>
          <w:color w:val="auto"/>
          <w:szCs w:val="21"/>
          <w:lang w:val="en-US" w:eastAsia="zh-CN"/>
        </w:rPr>
        <w:t>在水分自由下渗且无蒸发条件下，经充分灌水或降雨后一定时间内，土壤所能稳定维持的最高土壤水含量，即毛管悬着水达到最大时的土壤含水量</w:t>
      </w:r>
      <w:r>
        <w:rPr>
          <w:rFonts w:hint="eastAsia" w:ascii="宋体" w:hAnsi="宋体"/>
          <w:color w:val="auto"/>
          <w:szCs w:val="21"/>
          <w:lang w:val="en-US" w:eastAsia="zh-CN"/>
        </w:rPr>
        <w:t>。</w:t>
      </w:r>
    </w:p>
    <w:p>
      <w:pPr>
        <w:spacing w:line="380" w:lineRule="exact"/>
        <w:jc w:val="left"/>
        <w:rPr>
          <w:rFonts w:hint="eastAsia" w:ascii="黑体" w:hAnsi="宋体" w:eastAsia="黑体"/>
          <w:color w:val="auto"/>
          <w:szCs w:val="21"/>
          <w:lang w:eastAsia="zh-CN"/>
        </w:rPr>
      </w:pPr>
      <w:r>
        <w:rPr>
          <w:rFonts w:hint="eastAsia" w:ascii="黑体" w:hAnsi="宋体" w:eastAsia="黑体"/>
          <w:color w:val="auto"/>
          <w:szCs w:val="21"/>
        </w:rPr>
        <w:t xml:space="preserve">4  </w:t>
      </w:r>
      <w:r>
        <w:rPr>
          <w:rFonts w:hint="eastAsia" w:ascii="黑体" w:hAnsi="宋体" w:eastAsia="黑体"/>
          <w:color w:val="auto"/>
          <w:szCs w:val="21"/>
          <w:lang w:eastAsia="zh-CN"/>
        </w:rPr>
        <w:t>设备条件</w:t>
      </w:r>
    </w:p>
    <w:p>
      <w:pPr>
        <w:spacing w:line="400" w:lineRule="exact"/>
        <w:ind w:firstLine="420" w:firstLineChars="200"/>
        <w:rPr>
          <w:rFonts w:hint="default"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大棚构造应符合</w:t>
      </w:r>
      <w:r>
        <w:rPr>
          <w:rFonts w:hint="eastAsia" w:ascii="宋体" w:hAnsi="宋体" w:eastAsia="宋体" w:cs="Arial"/>
          <w:color w:val="auto"/>
          <w:kern w:val="0"/>
          <w:szCs w:val="21"/>
          <w:lang w:eastAsia="zh-Hans"/>
        </w:rPr>
        <w:t>GB/T 19165</w:t>
      </w:r>
      <w:r>
        <w:rPr>
          <w:rFonts w:hint="eastAsia" w:ascii="宋体" w:hAnsi="宋体" w:eastAsia="宋体" w:cs="Times New Roman"/>
          <w:color w:val="auto"/>
          <w:szCs w:val="21"/>
          <w:lang w:val="en-US" w:eastAsia="zh-CN"/>
        </w:rPr>
        <w:t>的技术要求；番茄水肥一体化的系统设计符合NY/T 2623中系统布设的技术要求。</w:t>
      </w:r>
    </w:p>
    <w:p>
      <w:pPr>
        <w:spacing w:line="380" w:lineRule="exact"/>
        <w:jc w:val="left"/>
        <w:rPr>
          <w:rFonts w:hint="default" w:ascii="黑体" w:hAnsi="宋体" w:eastAsia="黑体"/>
          <w:color w:val="auto"/>
          <w:szCs w:val="21"/>
          <w:lang w:val="en-US" w:eastAsia="zh-CN"/>
        </w:rPr>
      </w:pPr>
      <w:r>
        <w:rPr>
          <w:rFonts w:hint="eastAsia" w:ascii="黑体" w:hAnsi="宋体" w:eastAsia="黑体"/>
          <w:color w:val="auto"/>
          <w:szCs w:val="21"/>
          <w:lang w:val="en-US" w:eastAsia="zh-CN"/>
        </w:rPr>
        <w:t>5 水肥耦合设定</w:t>
      </w:r>
    </w:p>
    <w:p>
      <w:pPr>
        <w:spacing w:line="380" w:lineRule="exact"/>
        <w:jc w:val="left"/>
        <w:rPr>
          <w:rFonts w:hint="default" w:ascii="黑体" w:hAnsi="宋体" w:eastAsia="黑体"/>
          <w:color w:val="auto"/>
          <w:szCs w:val="21"/>
          <w:lang w:val="en-US" w:eastAsia="zh-CN"/>
        </w:rPr>
      </w:pPr>
      <w:r>
        <w:rPr>
          <w:rFonts w:hint="eastAsia" w:ascii="黑体" w:hAnsi="宋体" w:eastAsia="黑体"/>
          <w:color w:val="auto"/>
          <w:szCs w:val="21"/>
          <w:lang w:val="en-US" w:eastAsia="zh-CN"/>
        </w:rPr>
        <w:t>5.1需水量</w:t>
      </w:r>
    </w:p>
    <w:p>
      <w:pPr>
        <w:spacing w:line="40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 xml:space="preserve">番茄水肥一体化每亩（667 </w:t>
      </w:r>
      <w:r>
        <w:rPr>
          <w:rFonts w:hint="eastAsia" w:ascii="宋体" w:hAnsi="宋体" w:cs="Times New Roman"/>
          <w:color w:val="auto"/>
          <w:szCs w:val="21"/>
          <w:lang w:val="en-US" w:eastAsia="zh-CN"/>
        </w:rPr>
        <w:t>m2</w:t>
      </w:r>
      <w:r>
        <w:rPr>
          <w:rFonts w:hint="eastAsia" w:ascii="宋体" w:hAnsi="宋体" w:eastAsia="宋体" w:cs="Times New Roman"/>
          <w:color w:val="auto"/>
          <w:szCs w:val="21"/>
          <w:lang w:val="en-US" w:eastAsia="zh-CN"/>
        </w:rPr>
        <w:t>）总需水量为</w:t>
      </w:r>
      <w:r>
        <w:rPr>
          <w:rFonts w:hint="eastAsia" w:ascii="宋体" w:hAnsi="宋体" w:cs="Times New Roman"/>
          <w:color w:val="auto"/>
          <w:szCs w:val="21"/>
          <w:lang w:val="en-US" w:eastAsia="zh-CN"/>
        </w:rPr>
        <w:t>(</w:t>
      </w:r>
      <w:r>
        <w:rPr>
          <w:rFonts w:hint="eastAsia" w:ascii="宋体" w:hAnsi="宋体" w:eastAsia="宋体" w:cs="Times New Roman"/>
          <w:color w:val="auto"/>
          <w:szCs w:val="21"/>
          <w:lang w:val="en-US" w:eastAsia="zh-CN"/>
        </w:rPr>
        <w:t>50 ～80</w:t>
      </w:r>
      <w:r>
        <w:rPr>
          <w:rFonts w:hint="eastAsia" w:ascii="宋体" w:hAnsi="宋体" w:cs="Times New Roman"/>
          <w:color w:val="auto"/>
          <w:szCs w:val="21"/>
          <w:lang w:val="en-US" w:eastAsia="zh-CN"/>
        </w:rPr>
        <w:t>)</w:t>
      </w:r>
      <w:r>
        <w:rPr>
          <w:rFonts w:hint="eastAsia" w:ascii="宋体" w:hAnsi="宋体" w:eastAsia="宋体" w:cs="Times New Roman"/>
          <w:color w:val="auto"/>
          <w:szCs w:val="21"/>
          <w:lang w:val="en-US" w:eastAsia="zh-CN"/>
        </w:rPr>
        <w:t xml:space="preserve"> </w:t>
      </w:r>
      <w:r>
        <w:rPr>
          <w:rFonts w:hint="eastAsia" w:ascii="宋体" w:hAnsi="宋体" w:cs="Times New Roman"/>
          <w:color w:val="auto"/>
          <w:szCs w:val="21"/>
          <w:lang w:val="en-US" w:eastAsia="zh-CN"/>
        </w:rPr>
        <w:t>m3</w:t>
      </w:r>
      <w:r>
        <w:rPr>
          <w:rFonts w:hint="eastAsia" w:ascii="宋体" w:hAnsi="宋体" w:eastAsia="宋体" w:cs="Times New Roman"/>
          <w:color w:val="auto"/>
          <w:szCs w:val="21"/>
          <w:lang w:val="en-US" w:eastAsia="zh-CN"/>
        </w:rPr>
        <w:t>，水质应符合GB 5084的要求，单次适宜灌水量用下列公式计算：</w:t>
      </w:r>
    </w:p>
    <w:p>
      <w:pPr>
        <w:spacing w:line="380" w:lineRule="exact"/>
        <w:jc w:val="left"/>
        <w:rPr>
          <w:rFonts w:hint="eastAsia" w:ascii="黑体" w:hAnsi="宋体" w:eastAsia="黑体"/>
          <w:color w:val="auto"/>
          <w:szCs w:val="21"/>
          <w:lang w:eastAsia="zh-CN"/>
        </w:rPr>
      </w:pPr>
    </w:p>
    <w:p>
      <w:pPr>
        <w:spacing w:line="240" w:lineRule="auto"/>
        <w:jc w:val="center"/>
        <w:rPr>
          <w:rFonts w:hint="default" w:ascii="黑体" w:hAnsi="宋体" w:eastAsia="黑体"/>
          <w:color w:val="auto"/>
          <w:sz w:val="28"/>
          <w:szCs w:val="28"/>
          <w:lang w:val="en-US" w:eastAsia="zh-CN"/>
        </w:rPr>
      </w:pPr>
      <w:r>
        <w:rPr>
          <w:rFonts w:hint="eastAsia" w:hAnsi="DejaVu Math TeX Gyre"/>
          <w:i w:val="0"/>
          <w:color w:val="auto"/>
          <w:szCs w:val="21"/>
          <w:lang w:val="en-US" w:eastAsia="zh-CN"/>
        </w:rPr>
        <w:t>W=</w:t>
      </w:r>
      <m:oMath>
        <m:f>
          <m:fPr>
            <m:ctrlPr>
              <w:rPr>
                <w:rFonts w:hint="eastAsia" w:ascii="DejaVu Math TeX Gyre" w:hAnsi="DejaVu Math TeX Gyre" w:eastAsiaTheme="minorEastAsia" w:cstheme="minorEastAsia"/>
                <w:i/>
                <w:color w:val="auto"/>
                <w:sz w:val="28"/>
                <w:szCs w:val="28"/>
              </w:rPr>
            </m:ctrlPr>
          </m:fPr>
          <m:num>
            <m:r>
              <m:rPr/>
              <w:rPr>
                <w:rFonts w:hint="eastAsia" w:ascii="DejaVu Math TeX Gyre" w:hAnsi="DejaVu Math TeX Gyre" w:eastAsiaTheme="minorEastAsia" w:cstheme="minorEastAsia"/>
                <w:color w:val="auto"/>
                <w:sz w:val="28"/>
                <w:szCs w:val="28"/>
                <w:lang w:val="en-US" w:eastAsia="zh-CN"/>
              </w:rPr>
              <m:t>p×ℎ×r×(</m:t>
            </m:r>
            <m:sSub>
              <m:sSubPr>
                <m:ctrlPr>
                  <w:rPr>
                    <w:rFonts w:hint="eastAsia" w:ascii="DejaVu Math TeX Gyre" w:hAnsi="DejaVu Math TeX Gyre" w:eastAsiaTheme="minorEastAsia" w:cstheme="minorEastAsia"/>
                    <w:i/>
                    <w:color w:val="auto"/>
                    <w:sz w:val="28"/>
                    <w:szCs w:val="28"/>
                    <w:lang w:val="en-US" w:eastAsia="zh-CN"/>
                  </w:rPr>
                </m:ctrlPr>
              </m:sSubPr>
              <m:e>
                <m:r>
                  <m:rPr/>
                  <w:rPr>
                    <w:rFonts w:hint="eastAsia" w:ascii="DejaVu Math TeX Gyre" w:hAnsi="DejaVu Math TeX Gyre" w:eastAsiaTheme="minorEastAsia" w:cstheme="minorEastAsia"/>
                    <w:color w:val="auto"/>
                    <w:sz w:val="28"/>
                    <w:szCs w:val="28"/>
                    <w:lang w:val="en-US" w:eastAsia="zh-CN"/>
                  </w:rPr>
                  <m:t>θ</m:t>
                </m:r>
                <m:ctrlPr>
                  <w:rPr>
                    <w:rFonts w:hint="eastAsia" w:ascii="DejaVu Math TeX Gyre" w:hAnsi="DejaVu Math TeX Gyre" w:eastAsiaTheme="minorEastAsia" w:cstheme="minorEastAsia"/>
                    <w:i/>
                    <w:color w:val="auto"/>
                    <w:sz w:val="28"/>
                    <w:szCs w:val="28"/>
                    <w:lang w:val="en-US" w:eastAsia="zh-CN"/>
                  </w:rPr>
                </m:ctrlPr>
              </m:e>
              <m:sub>
                <m:r>
                  <m:rPr/>
                  <w:rPr>
                    <w:rFonts w:hint="eastAsia" w:ascii="DejaVu Math TeX Gyre" w:hAnsi="DejaVu Math TeX Gyre" w:eastAsiaTheme="minorEastAsia" w:cstheme="minorEastAsia"/>
                    <w:color w:val="auto"/>
                    <w:sz w:val="28"/>
                    <w:szCs w:val="28"/>
                    <w:lang w:val="en-US" w:eastAsia="zh-CN"/>
                  </w:rPr>
                  <m:t>max</m:t>
                </m:r>
                <m:ctrlPr>
                  <w:rPr>
                    <w:rFonts w:hint="eastAsia" w:ascii="DejaVu Math TeX Gyre" w:hAnsi="DejaVu Math TeX Gyre" w:eastAsiaTheme="minorEastAsia" w:cstheme="minorEastAsia"/>
                    <w:i/>
                    <w:color w:val="auto"/>
                    <w:sz w:val="28"/>
                    <w:szCs w:val="28"/>
                    <w:lang w:val="en-US" w:eastAsia="zh-CN"/>
                  </w:rPr>
                </m:ctrlPr>
              </m:sub>
            </m:sSub>
            <m:r>
              <m:rPr/>
              <w:rPr>
                <w:rFonts w:hint="eastAsia" w:ascii="DejaVu Math TeX Gyre" w:hAnsi="DejaVu Math TeX Gyre" w:eastAsiaTheme="minorEastAsia" w:cstheme="minorEastAsia"/>
                <w:color w:val="auto"/>
                <w:sz w:val="28"/>
                <w:szCs w:val="28"/>
                <w:lang w:val="en-US" w:eastAsia="zh-CN"/>
              </w:rPr>
              <m:t>−</m:t>
            </m:r>
            <m:sSub>
              <m:sSubPr>
                <m:ctrlPr>
                  <w:rPr>
                    <w:rFonts w:hint="eastAsia" w:ascii="DejaVu Math TeX Gyre" w:hAnsi="DejaVu Math TeX Gyre" w:eastAsiaTheme="minorEastAsia" w:cstheme="minorEastAsia"/>
                    <w:i/>
                    <w:color w:val="auto"/>
                    <w:sz w:val="28"/>
                    <w:szCs w:val="28"/>
                    <w:lang w:val="en-US" w:eastAsia="zh-CN"/>
                  </w:rPr>
                </m:ctrlPr>
              </m:sSubPr>
              <m:e>
                <m:r>
                  <m:rPr/>
                  <w:rPr>
                    <w:rFonts w:hint="eastAsia" w:ascii="DejaVu Math TeX Gyre" w:hAnsi="DejaVu Math TeX Gyre" w:eastAsiaTheme="minorEastAsia" w:cstheme="minorEastAsia"/>
                    <w:color w:val="auto"/>
                    <w:sz w:val="28"/>
                    <w:szCs w:val="28"/>
                    <w:lang w:val="en-US" w:eastAsia="zh-CN"/>
                  </w:rPr>
                  <m:t>θ</m:t>
                </m:r>
                <m:ctrlPr>
                  <w:rPr>
                    <w:rFonts w:hint="eastAsia" w:ascii="DejaVu Math TeX Gyre" w:hAnsi="DejaVu Math TeX Gyre" w:eastAsiaTheme="minorEastAsia" w:cstheme="minorEastAsia"/>
                    <w:i/>
                    <w:color w:val="auto"/>
                    <w:sz w:val="28"/>
                    <w:szCs w:val="28"/>
                    <w:lang w:val="en-US" w:eastAsia="zh-CN"/>
                  </w:rPr>
                </m:ctrlPr>
              </m:e>
              <m:sub>
                <m:r>
                  <m:rPr/>
                  <w:rPr>
                    <w:rFonts w:hint="eastAsia" w:ascii="DejaVu Math TeX Gyre" w:hAnsi="DejaVu Math TeX Gyre" w:eastAsiaTheme="minorEastAsia" w:cstheme="minorEastAsia"/>
                    <w:color w:val="auto"/>
                    <w:sz w:val="28"/>
                    <w:szCs w:val="28"/>
                    <w:lang w:val="en-US" w:eastAsia="zh-CN"/>
                  </w:rPr>
                  <m:t>min/pre</m:t>
                </m:r>
                <m:ctrlPr>
                  <w:rPr>
                    <w:rFonts w:hint="eastAsia" w:ascii="DejaVu Math TeX Gyre" w:hAnsi="DejaVu Math TeX Gyre" w:eastAsiaTheme="minorEastAsia" w:cstheme="minorEastAsia"/>
                    <w:i/>
                    <w:color w:val="auto"/>
                    <w:sz w:val="28"/>
                    <w:szCs w:val="28"/>
                    <w:lang w:val="en-US" w:eastAsia="zh-CN"/>
                  </w:rPr>
                </m:ctrlPr>
              </m:sub>
            </m:sSub>
            <m:r>
              <m:rPr/>
              <w:rPr>
                <w:rFonts w:hint="eastAsia" w:ascii="DejaVu Math TeX Gyre" w:hAnsi="DejaVu Math TeX Gyre" w:eastAsiaTheme="minorEastAsia" w:cstheme="minorEastAsia"/>
                <w:color w:val="auto"/>
                <w:sz w:val="28"/>
                <w:szCs w:val="28"/>
                <w:lang w:val="en-US" w:eastAsia="zh-CN"/>
              </w:rPr>
              <m:t>)</m:t>
            </m:r>
            <m:ctrlPr>
              <w:rPr>
                <w:rFonts w:hint="eastAsia" w:ascii="DejaVu Math TeX Gyre" w:hAnsi="DejaVu Math TeX Gyre" w:eastAsiaTheme="minorEastAsia" w:cstheme="minorEastAsia"/>
                <w:i/>
                <w:color w:val="auto"/>
                <w:sz w:val="28"/>
                <w:szCs w:val="28"/>
              </w:rPr>
            </m:ctrlPr>
          </m:num>
          <m:den>
            <m:r>
              <m:rPr/>
              <w:rPr>
                <w:rFonts w:hint="eastAsia" w:ascii="DejaVu Math TeX Gyre" w:hAnsi="DejaVu Math TeX Gyre" w:eastAsiaTheme="minorEastAsia" w:cstheme="minorEastAsia"/>
                <w:color w:val="auto"/>
                <w:sz w:val="28"/>
                <w:szCs w:val="28"/>
              </w:rPr>
              <m:t>η</m:t>
            </m:r>
            <m:r>
              <m:rPr/>
              <w:rPr>
                <w:rFonts w:hint="eastAsia" w:ascii="DejaVu Math TeX Gyre" w:hAnsi="DejaVu Math TeX Gyre" w:eastAsiaTheme="minorEastAsia" w:cstheme="minorEastAsia"/>
                <w:color w:val="auto"/>
                <w:sz w:val="28"/>
                <w:szCs w:val="28"/>
                <w:lang w:val="en-US" w:eastAsia="zh-CN"/>
              </w:rPr>
              <m:t>×1000</m:t>
            </m:r>
            <m:ctrlPr>
              <w:rPr>
                <w:rFonts w:hint="eastAsia" w:ascii="DejaVu Math TeX Gyre" w:hAnsi="DejaVu Math TeX Gyre" w:eastAsiaTheme="minorEastAsia" w:cstheme="minorEastAsia"/>
                <w:i/>
                <w:color w:val="auto"/>
                <w:sz w:val="28"/>
                <w:szCs w:val="28"/>
              </w:rPr>
            </m:ctrlPr>
          </m:den>
        </m:f>
        <m:r>
          <m:rPr/>
          <w:rPr>
            <w:rFonts w:hint="eastAsia" w:ascii="DejaVu Math TeX Gyre" w:hAnsi="DejaVu Math TeX Gyre" w:eastAsiaTheme="minorEastAsia" w:cstheme="minorEastAsia"/>
            <w:color w:val="auto"/>
            <w:sz w:val="28"/>
            <w:szCs w:val="28"/>
            <w:lang w:val="en-US" w:eastAsia="zh-CN"/>
          </w:rPr>
          <m:t>×</m:t>
        </m:r>
      </m:oMath>
      <w:r>
        <w:rPr>
          <w:rFonts w:hint="eastAsia" w:hAnsi="DejaVu Math TeX Gyre" w:eastAsia="汉仪细圆B5" w:cs="汉仪细圆B5"/>
          <w:i w:val="0"/>
          <w:color w:val="auto"/>
          <w:sz w:val="28"/>
          <w:szCs w:val="28"/>
          <w:lang w:val="en-US" w:eastAsia="zh-CN"/>
        </w:rPr>
        <w:t>667</w:t>
      </w:r>
    </w:p>
    <w:p>
      <w:pPr>
        <w:spacing w:line="40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式中：</w:t>
      </w:r>
    </w:p>
    <w:p>
      <w:pPr>
        <w:spacing w:line="40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 xml:space="preserve">W——番茄一次亩（667 </w:t>
      </w:r>
      <w:r>
        <w:rPr>
          <w:rFonts w:hint="eastAsia" w:ascii="宋体" w:hAnsi="宋体" w:cs="Times New Roman"/>
          <w:color w:val="auto"/>
          <w:szCs w:val="21"/>
          <w:lang w:val="en-US" w:eastAsia="zh-CN"/>
        </w:rPr>
        <w:t>m2</w:t>
      </w:r>
      <w:r>
        <w:rPr>
          <w:rFonts w:hint="eastAsia" w:ascii="宋体" w:hAnsi="宋体" w:eastAsia="宋体" w:cs="Times New Roman"/>
          <w:color w:val="auto"/>
          <w:szCs w:val="21"/>
          <w:lang w:val="en-US" w:eastAsia="zh-CN"/>
        </w:rPr>
        <w:t>）灌水量（</w:t>
      </w:r>
      <w:r>
        <w:rPr>
          <w:rFonts w:hint="eastAsia" w:ascii="宋体" w:hAnsi="宋体" w:cs="Times New Roman"/>
          <w:color w:val="auto"/>
          <w:szCs w:val="21"/>
          <w:lang w:val="en-US" w:eastAsia="zh-CN"/>
        </w:rPr>
        <w:t>m3</w:t>
      </w:r>
      <w:r>
        <w:rPr>
          <w:rFonts w:hint="eastAsia" w:ascii="宋体" w:hAnsi="宋体" w:eastAsia="宋体" w:cs="Times New Roman"/>
          <w:color w:val="auto"/>
          <w:szCs w:val="21"/>
          <w:lang w:val="en-US" w:eastAsia="zh-CN"/>
        </w:rPr>
        <w:t>）；</w:t>
      </w:r>
    </w:p>
    <w:p>
      <w:pPr>
        <w:spacing w:line="40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p——土壤湿润比（%）；</w:t>
      </w:r>
    </w:p>
    <w:p>
      <w:pPr>
        <w:spacing w:line="40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h——计划灌溉深度（</w:t>
      </w:r>
      <w:r>
        <w:rPr>
          <w:rFonts w:hint="eastAsia" w:ascii="宋体" w:hAnsi="宋体" w:cs="Times New Roman"/>
          <w:color w:val="auto"/>
          <w:szCs w:val="21"/>
          <w:lang w:val="en-US" w:eastAsia="zh-CN"/>
        </w:rPr>
        <w:t>mm</w:t>
      </w:r>
      <w:r>
        <w:rPr>
          <w:rFonts w:hint="eastAsia" w:ascii="宋体" w:hAnsi="宋体" w:eastAsia="宋体" w:cs="Times New Roman"/>
          <w:color w:val="auto"/>
          <w:szCs w:val="21"/>
          <w:lang w:val="en-US" w:eastAsia="zh-CN"/>
        </w:rPr>
        <w:t>）；</w:t>
      </w:r>
    </w:p>
    <w:p>
      <w:pPr>
        <w:spacing w:line="40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γ——土壤容重（密度）与水容重（密度）之比；</w:t>
      </w:r>
    </w:p>
    <w:p>
      <w:pPr>
        <w:spacing w:line="40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θ</w:t>
      </w:r>
      <w:r>
        <w:rPr>
          <w:rFonts w:hint="eastAsia" w:ascii="宋体" w:hAnsi="宋体" w:eastAsia="宋体" w:cs="Times New Roman"/>
          <w:color w:val="auto"/>
          <w:szCs w:val="21"/>
          <w:vertAlign w:val="subscript"/>
          <w:lang w:val="en-US" w:eastAsia="zh-CN"/>
        </w:rPr>
        <w:t>max</w:t>
      </w:r>
      <w:r>
        <w:rPr>
          <w:rFonts w:hint="eastAsia" w:ascii="宋体" w:hAnsi="宋体" w:eastAsia="宋体" w:cs="Times New Roman"/>
          <w:color w:val="auto"/>
          <w:szCs w:val="21"/>
          <w:lang w:val="en-US" w:eastAsia="zh-CN"/>
        </w:rPr>
        <w:t>——适宜土壤重量含水量上限（%）；</w:t>
      </w:r>
    </w:p>
    <w:p>
      <w:pPr>
        <w:spacing w:line="40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θ</w:t>
      </w:r>
      <w:r>
        <w:rPr>
          <w:rFonts w:hint="eastAsia" w:ascii="宋体" w:hAnsi="宋体" w:eastAsia="宋体" w:cs="Times New Roman"/>
          <w:color w:val="auto"/>
          <w:szCs w:val="21"/>
          <w:vertAlign w:val="subscript"/>
          <w:lang w:val="en-US" w:eastAsia="zh-CN"/>
        </w:rPr>
        <w:t>min/pre</w:t>
      </w:r>
      <w:r>
        <w:rPr>
          <w:rFonts w:hint="eastAsia" w:ascii="宋体" w:hAnsi="宋体" w:eastAsia="宋体" w:cs="Times New Roman"/>
          <w:color w:val="auto"/>
          <w:szCs w:val="21"/>
          <w:lang w:val="en-US" w:eastAsia="zh-CN"/>
        </w:rPr>
        <w:t>——适宜土壤重量含水量下限或当前土壤重量含水量（%）；</w:t>
      </w:r>
    </w:p>
    <w:p>
      <w:pPr>
        <w:spacing w:line="40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η——灌溉水利用系数。</w:t>
      </w:r>
    </w:p>
    <w:p>
      <w:pPr>
        <w:spacing w:line="40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番茄常规宽畦两行栽培模式下，土壤湿润比一般为55%～65%。苗期灌溉深度为</w:t>
      </w:r>
      <w:r>
        <w:rPr>
          <w:rFonts w:hint="eastAsia" w:ascii="宋体" w:hAnsi="宋体" w:cs="Times New Roman"/>
          <w:color w:val="auto"/>
          <w:szCs w:val="21"/>
          <w:lang w:val="en-US" w:eastAsia="zh-CN"/>
        </w:rPr>
        <w:t>（</w:t>
      </w:r>
      <w:r>
        <w:rPr>
          <w:rFonts w:hint="eastAsia" w:ascii="宋体" w:hAnsi="宋体" w:eastAsia="宋体" w:cs="Times New Roman"/>
          <w:color w:val="auto"/>
          <w:szCs w:val="21"/>
          <w:lang w:val="en-US" w:eastAsia="zh-CN"/>
        </w:rPr>
        <w:t xml:space="preserve">150 ～200 </w:t>
      </w:r>
      <w:r>
        <w:rPr>
          <w:rFonts w:hint="eastAsia" w:ascii="宋体" w:hAnsi="宋体" w:cs="Times New Roman"/>
          <w:color w:val="auto"/>
          <w:szCs w:val="21"/>
          <w:lang w:val="en-US" w:eastAsia="zh-CN"/>
        </w:rPr>
        <w:t>）mm</w:t>
      </w:r>
      <w:r>
        <w:rPr>
          <w:rFonts w:hint="eastAsia" w:ascii="宋体" w:hAnsi="宋体" w:eastAsia="宋体" w:cs="Times New Roman"/>
          <w:color w:val="auto"/>
          <w:szCs w:val="21"/>
          <w:lang w:val="en-US" w:eastAsia="zh-CN"/>
        </w:rPr>
        <w:t>，开花结果成熟期灌溉深度为</w:t>
      </w:r>
      <w:r>
        <w:rPr>
          <w:rFonts w:hint="eastAsia" w:ascii="宋体" w:hAnsi="宋体" w:cs="Times New Roman"/>
          <w:color w:val="auto"/>
          <w:szCs w:val="21"/>
          <w:lang w:val="en-US" w:eastAsia="zh-CN"/>
        </w:rPr>
        <w:t>（</w:t>
      </w:r>
      <w:r>
        <w:rPr>
          <w:rFonts w:hint="eastAsia" w:ascii="宋体" w:hAnsi="宋体" w:eastAsia="宋体" w:cs="Times New Roman"/>
          <w:color w:val="auto"/>
          <w:szCs w:val="21"/>
          <w:lang w:val="en-US" w:eastAsia="zh-CN"/>
        </w:rPr>
        <w:t>300 ～400</w:t>
      </w:r>
      <w:r>
        <w:rPr>
          <w:rFonts w:hint="eastAsia" w:ascii="宋体" w:hAnsi="宋体" w:cs="Times New Roman"/>
          <w:color w:val="auto"/>
          <w:szCs w:val="21"/>
          <w:lang w:val="en-US" w:eastAsia="zh-CN"/>
        </w:rPr>
        <w:t>）</w:t>
      </w:r>
      <w:r>
        <w:rPr>
          <w:rFonts w:hint="eastAsia" w:ascii="宋体" w:hAnsi="宋体" w:eastAsia="宋体" w:cs="Times New Roman"/>
          <w:color w:val="auto"/>
          <w:szCs w:val="21"/>
          <w:lang w:val="en-US" w:eastAsia="zh-CN"/>
        </w:rPr>
        <w:t xml:space="preserve"> </w:t>
      </w:r>
      <w:r>
        <w:rPr>
          <w:rFonts w:hint="eastAsia" w:ascii="宋体" w:hAnsi="宋体" w:cs="Times New Roman"/>
          <w:color w:val="auto"/>
          <w:szCs w:val="21"/>
          <w:lang w:val="en-US" w:eastAsia="zh-CN"/>
        </w:rPr>
        <w:t>mm</w:t>
      </w:r>
      <w:r>
        <w:rPr>
          <w:rFonts w:hint="eastAsia" w:ascii="宋体" w:hAnsi="宋体" w:eastAsia="宋体" w:cs="Times New Roman"/>
          <w:color w:val="auto"/>
          <w:szCs w:val="21"/>
          <w:lang w:val="en-US" w:eastAsia="zh-CN"/>
        </w:rPr>
        <w:t>。土壤重量含水量可由田间持水量换算，各类土壤水分灌溉参考值参见DB33/T 2070。适宜土壤重量含水量上限控制在田间持水量的85%，下限控制在田间持水量的50%；苗期适宜的土壤重量含水量为田间持水量的55%～65%，开花坐果期为田间持水量的70%～80%，果实采收期为田间持水量的60%～70%。番茄设施地灌溉水利用系数宜取值0.9。</w:t>
      </w:r>
    </w:p>
    <w:p>
      <w:pPr>
        <w:spacing w:line="400" w:lineRule="exact"/>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5.2 需肥量</w:t>
      </w:r>
    </w:p>
    <w:p>
      <w:pPr>
        <w:spacing w:line="40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 xml:space="preserve">每生产1000 </w:t>
      </w:r>
      <w:r>
        <w:rPr>
          <w:rFonts w:hint="eastAsia" w:ascii="宋体" w:hAnsi="宋体" w:cs="Times New Roman"/>
          <w:color w:val="auto"/>
          <w:szCs w:val="21"/>
          <w:lang w:val="en-US" w:eastAsia="zh-CN"/>
        </w:rPr>
        <w:t>kg</w:t>
      </w:r>
      <w:r>
        <w:rPr>
          <w:rFonts w:hint="eastAsia" w:ascii="宋体" w:hAnsi="宋体" w:eastAsia="宋体" w:cs="Times New Roman"/>
          <w:color w:val="auto"/>
          <w:szCs w:val="21"/>
          <w:lang w:val="en-US" w:eastAsia="zh-CN"/>
        </w:rPr>
        <w:t>番茄需要吸收氮（N）</w:t>
      </w:r>
      <w:r>
        <w:rPr>
          <w:rFonts w:hint="eastAsia" w:ascii="宋体" w:hAnsi="宋体" w:cs="Times New Roman"/>
          <w:color w:val="auto"/>
          <w:szCs w:val="21"/>
          <w:lang w:val="en-US" w:eastAsia="zh-CN"/>
        </w:rPr>
        <w:t>（</w:t>
      </w:r>
      <w:r>
        <w:rPr>
          <w:rFonts w:hint="eastAsia" w:ascii="宋体" w:hAnsi="宋体" w:eastAsia="宋体" w:cs="Times New Roman"/>
          <w:color w:val="auto"/>
          <w:szCs w:val="21"/>
          <w:lang w:val="en-US" w:eastAsia="zh-CN"/>
        </w:rPr>
        <w:t xml:space="preserve">2.1 ～3.9 </w:t>
      </w:r>
      <w:r>
        <w:rPr>
          <w:rFonts w:hint="eastAsia" w:ascii="宋体" w:hAnsi="宋体" w:cs="Times New Roman"/>
          <w:color w:val="auto"/>
          <w:szCs w:val="21"/>
          <w:lang w:val="en-US" w:eastAsia="zh-CN"/>
        </w:rPr>
        <w:t>）kg</w:t>
      </w:r>
      <w:r>
        <w:rPr>
          <w:rFonts w:hint="eastAsia" w:ascii="宋体" w:hAnsi="宋体" w:eastAsia="宋体" w:cs="Times New Roman"/>
          <w:color w:val="auto"/>
          <w:szCs w:val="21"/>
          <w:lang w:val="en-US" w:eastAsia="zh-CN"/>
        </w:rPr>
        <w:t>，磷（以P2O5计）</w:t>
      </w:r>
      <w:r>
        <w:rPr>
          <w:rFonts w:hint="eastAsia" w:ascii="宋体" w:hAnsi="宋体" w:cs="Times New Roman"/>
          <w:color w:val="auto"/>
          <w:szCs w:val="21"/>
          <w:lang w:val="en-US" w:eastAsia="zh-CN"/>
        </w:rPr>
        <w:t>（</w:t>
      </w:r>
      <w:r>
        <w:rPr>
          <w:rFonts w:hint="eastAsia" w:ascii="宋体" w:hAnsi="宋体" w:eastAsia="宋体" w:cs="Times New Roman"/>
          <w:color w:val="auto"/>
          <w:szCs w:val="21"/>
          <w:lang w:val="en-US" w:eastAsia="zh-CN"/>
        </w:rPr>
        <w:t xml:space="preserve">0.6 ～1.2 </w:t>
      </w:r>
      <w:r>
        <w:rPr>
          <w:rFonts w:hint="eastAsia" w:ascii="宋体" w:hAnsi="宋体" w:cs="Times New Roman"/>
          <w:color w:val="auto"/>
          <w:szCs w:val="21"/>
          <w:lang w:val="en-US" w:eastAsia="zh-CN"/>
        </w:rPr>
        <w:t>）kg</w:t>
      </w:r>
      <w:r>
        <w:rPr>
          <w:rFonts w:hint="eastAsia" w:ascii="宋体" w:hAnsi="宋体" w:eastAsia="宋体" w:cs="Times New Roman"/>
          <w:color w:val="auto"/>
          <w:szCs w:val="21"/>
          <w:lang w:val="en-US" w:eastAsia="zh-CN"/>
        </w:rPr>
        <w:t>，钾（以K2O计）</w:t>
      </w:r>
      <w:r>
        <w:rPr>
          <w:rFonts w:hint="eastAsia" w:ascii="宋体" w:hAnsi="宋体" w:cs="Times New Roman"/>
          <w:color w:val="auto"/>
          <w:szCs w:val="21"/>
          <w:lang w:val="en-US" w:eastAsia="zh-CN"/>
        </w:rPr>
        <w:t>（</w:t>
      </w:r>
      <w:r>
        <w:rPr>
          <w:rFonts w:hint="eastAsia" w:ascii="宋体" w:hAnsi="宋体" w:eastAsia="宋体" w:cs="Times New Roman"/>
          <w:color w:val="auto"/>
          <w:szCs w:val="21"/>
          <w:lang w:val="en-US" w:eastAsia="zh-CN"/>
        </w:rPr>
        <w:t xml:space="preserve">3.7 ～5.3 </w:t>
      </w:r>
      <w:r>
        <w:rPr>
          <w:rFonts w:hint="eastAsia" w:ascii="宋体" w:hAnsi="宋体" w:cs="Times New Roman"/>
          <w:color w:val="auto"/>
          <w:szCs w:val="21"/>
          <w:lang w:val="en-US" w:eastAsia="zh-CN"/>
        </w:rPr>
        <w:t>）kg</w:t>
      </w:r>
      <w:r>
        <w:rPr>
          <w:rFonts w:hint="eastAsia" w:ascii="宋体" w:hAnsi="宋体" w:eastAsia="宋体" w:cs="Times New Roman"/>
          <w:color w:val="auto"/>
          <w:szCs w:val="21"/>
          <w:lang w:val="en-US" w:eastAsia="zh-CN"/>
        </w:rPr>
        <w:t>，钙（以CaO计）</w:t>
      </w:r>
      <w:r>
        <w:rPr>
          <w:rFonts w:hint="eastAsia" w:ascii="宋体" w:hAnsi="宋体" w:cs="Times New Roman"/>
          <w:color w:val="auto"/>
          <w:szCs w:val="21"/>
          <w:lang w:val="en-US" w:eastAsia="zh-CN"/>
        </w:rPr>
        <w:t>（</w:t>
      </w:r>
      <w:r>
        <w:rPr>
          <w:rFonts w:hint="eastAsia" w:ascii="宋体" w:hAnsi="宋体" w:eastAsia="宋体" w:cs="Times New Roman"/>
          <w:color w:val="auto"/>
          <w:szCs w:val="21"/>
          <w:lang w:val="en-US" w:eastAsia="zh-CN"/>
        </w:rPr>
        <w:t xml:space="preserve">2.5 ～4.2 </w:t>
      </w:r>
      <w:r>
        <w:rPr>
          <w:rFonts w:hint="eastAsia" w:ascii="宋体" w:hAnsi="宋体" w:cs="Times New Roman"/>
          <w:color w:val="auto"/>
          <w:szCs w:val="21"/>
          <w:lang w:val="en-US" w:eastAsia="zh-CN"/>
        </w:rPr>
        <w:t>）kg</w:t>
      </w:r>
      <w:r>
        <w:rPr>
          <w:rFonts w:hint="eastAsia" w:ascii="宋体" w:hAnsi="宋体" w:eastAsia="宋体" w:cs="Times New Roman"/>
          <w:color w:val="auto"/>
          <w:szCs w:val="21"/>
          <w:lang w:val="en-US" w:eastAsia="zh-CN"/>
        </w:rPr>
        <w:t>，镁（以MgO计）</w:t>
      </w:r>
      <w:r>
        <w:rPr>
          <w:rFonts w:hint="eastAsia" w:ascii="宋体" w:hAnsi="宋体" w:cs="Times New Roman"/>
          <w:color w:val="auto"/>
          <w:szCs w:val="21"/>
          <w:lang w:val="en-US" w:eastAsia="zh-CN"/>
        </w:rPr>
        <w:t>（</w:t>
      </w:r>
      <w:r>
        <w:rPr>
          <w:rFonts w:hint="eastAsia" w:ascii="宋体" w:hAnsi="宋体" w:eastAsia="宋体" w:cs="Times New Roman"/>
          <w:color w:val="auto"/>
          <w:szCs w:val="21"/>
          <w:lang w:val="en-US" w:eastAsia="zh-CN"/>
        </w:rPr>
        <w:t>0.3 ～0.9</w:t>
      </w:r>
      <w:r>
        <w:rPr>
          <w:rFonts w:hint="eastAsia" w:ascii="宋体" w:hAnsi="宋体" w:cs="Times New Roman"/>
          <w:color w:val="auto"/>
          <w:szCs w:val="21"/>
          <w:lang w:val="en-US" w:eastAsia="zh-CN"/>
        </w:rPr>
        <w:t>）</w:t>
      </w:r>
      <w:r>
        <w:rPr>
          <w:rFonts w:hint="eastAsia" w:ascii="宋体" w:hAnsi="宋体" w:eastAsia="宋体" w:cs="Times New Roman"/>
          <w:color w:val="auto"/>
          <w:szCs w:val="21"/>
          <w:lang w:val="en-US" w:eastAsia="zh-CN"/>
        </w:rPr>
        <w:t xml:space="preserve"> </w:t>
      </w:r>
      <w:r>
        <w:rPr>
          <w:rFonts w:hint="eastAsia" w:ascii="宋体" w:hAnsi="宋体" w:cs="Times New Roman"/>
          <w:color w:val="auto"/>
          <w:szCs w:val="21"/>
          <w:lang w:val="en-US" w:eastAsia="zh-CN"/>
        </w:rPr>
        <w:t>kg</w:t>
      </w:r>
      <w:r>
        <w:rPr>
          <w:rFonts w:hint="eastAsia" w:ascii="宋体" w:hAnsi="宋体" w:eastAsia="宋体" w:cs="Times New Roman"/>
          <w:color w:val="auto"/>
          <w:szCs w:val="21"/>
          <w:lang w:val="en-US" w:eastAsia="zh-CN"/>
        </w:rPr>
        <w:t>。</w:t>
      </w:r>
    </w:p>
    <w:p>
      <w:pPr>
        <w:spacing w:line="380" w:lineRule="exact"/>
        <w:jc w:val="left"/>
        <w:rPr>
          <w:rFonts w:hint="eastAsia" w:ascii="黑体" w:hAnsi="宋体" w:eastAsia="黑体"/>
          <w:color w:val="auto"/>
          <w:szCs w:val="21"/>
          <w:lang w:val="en-US" w:eastAsia="zh-CN"/>
        </w:rPr>
      </w:pPr>
      <w:r>
        <w:rPr>
          <w:rFonts w:hint="eastAsia" w:ascii="黑体" w:hAnsi="宋体" w:eastAsia="黑体"/>
          <w:color w:val="auto"/>
          <w:szCs w:val="21"/>
          <w:lang w:val="en-US" w:eastAsia="zh-CN"/>
        </w:rPr>
        <w:t>5.3水肥耦合</w:t>
      </w:r>
    </w:p>
    <w:p>
      <w:pPr>
        <w:spacing w:line="400" w:lineRule="exact"/>
        <w:ind w:firstLine="420" w:firstLineChars="200"/>
        <w:rPr>
          <w:rFonts w:hint="default"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番茄水肥一体化以滴灌形式为主，生育中后期也可采用喷施形式补充植株对钙、镁、硼等中、微量元素的生理需求。番茄水肥一体化总体要求符合DB 33/T 2070的相关规定，肥料选择应符合DB33/T 2070的规定。滴灌浓度控制在0.2%～0.5%，喷施浓度为0.1%～0.2%，或根据水溶肥料产品说明书确定稀释倍数。一般肥料溶液的电导率（EC值）应控制在3 毫西门子/厘米以下。</w:t>
      </w:r>
    </w:p>
    <w:p>
      <w:pPr>
        <w:spacing w:line="380" w:lineRule="exact"/>
        <w:jc w:val="left"/>
        <w:rPr>
          <w:rFonts w:hint="eastAsia" w:ascii="黑体" w:hAnsi="宋体" w:eastAsia="黑体"/>
          <w:color w:val="auto"/>
          <w:szCs w:val="21"/>
        </w:rPr>
      </w:pPr>
    </w:p>
    <w:p>
      <w:pPr>
        <w:spacing w:line="380" w:lineRule="exact"/>
        <w:jc w:val="left"/>
        <w:rPr>
          <w:rFonts w:hint="eastAsia" w:ascii="黑体" w:hAnsi="宋体" w:eastAsia="黑体"/>
          <w:color w:val="auto"/>
          <w:szCs w:val="21"/>
        </w:rPr>
      </w:pPr>
      <w:r>
        <w:rPr>
          <w:rFonts w:hint="eastAsia" w:ascii="黑体" w:hAnsi="宋体" w:eastAsia="黑体"/>
          <w:color w:val="auto"/>
          <w:szCs w:val="21"/>
          <w:lang w:val="en-US" w:eastAsia="zh-CN"/>
        </w:rPr>
        <w:t xml:space="preserve">6 </w:t>
      </w:r>
      <w:r>
        <w:rPr>
          <w:rFonts w:hint="eastAsia" w:ascii="黑体" w:hAnsi="宋体" w:eastAsia="黑体"/>
          <w:color w:val="auto"/>
          <w:szCs w:val="21"/>
        </w:rPr>
        <w:t>品种选择</w:t>
      </w:r>
    </w:p>
    <w:p>
      <w:pPr>
        <w:spacing w:line="380" w:lineRule="exact"/>
        <w:jc w:val="left"/>
        <w:rPr>
          <w:rFonts w:hint="eastAsia" w:ascii="黑体" w:hAnsi="宋体" w:eastAsia="黑体"/>
          <w:color w:val="auto"/>
          <w:szCs w:val="21"/>
        </w:rPr>
      </w:pPr>
    </w:p>
    <w:p>
      <w:pPr>
        <w:spacing w:line="380" w:lineRule="exact"/>
        <w:ind w:firstLine="420" w:firstLineChars="200"/>
        <w:jc w:val="left"/>
        <w:rPr>
          <w:rFonts w:hAnsi="宋体"/>
          <w:bCs/>
          <w:color w:val="auto"/>
          <w:szCs w:val="21"/>
        </w:rPr>
      </w:pPr>
      <w:r>
        <w:rPr>
          <w:rFonts w:hint="eastAsia" w:hAnsi="宋体"/>
          <w:bCs/>
          <w:color w:val="auto"/>
          <w:szCs w:val="21"/>
        </w:rPr>
        <w:t>选择品质优、抗病性强、耐高温的中晚熟粉红果品种为宜，主要品种有魁冠V6、棚友、粉都高产王等。</w:t>
      </w:r>
    </w:p>
    <w:p>
      <w:pPr>
        <w:spacing w:line="380" w:lineRule="exact"/>
        <w:jc w:val="left"/>
        <w:rPr>
          <w:rFonts w:hint="eastAsia" w:hAnsi="宋体"/>
          <w:bCs/>
          <w:color w:val="auto"/>
          <w:szCs w:val="21"/>
        </w:rPr>
      </w:pPr>
    </w:p>
    <w:p>
      <w:pPr>
        <w:spacing w:line="380" w:lineRule="exact"/>
        <w:jc w:val="left"/>
        <w:rPr>
          <w:rFonts w:hint="eastAsia" w:ascii="黑体" w:hAnsi="宋体" w:eastAsia="黑体"/>
          <w:color w:val="auto"/>
          <w:szCs w:val="21"/>
        </w:rPr>
      </w:pPr>
      <w:r>
        <w:rPr>
          <w:rFonts w:hint="eastAsia" w:ascii="黑体" w:hAnsi="宋体" w:eastAsia="黑体"/>
          <w:color w:val="auto"/>
          <w:szCs w:val="21"/>
          <w:lang w:val="en-US" w:eastAsia="zh-CN"/>
        </w:rPr>
        <w:t>7</w:t>
      </w:r>
      <w:r>
        <w:rPr>
          <w:rFonts w:hint="eastAsia" w:ascii="黑体" w:hAnsi="宋体" w:eastAsia="黑体"/>
          <w:color w:val="auto"/>
          <w:szCs w:val="21"/>
        </w:rPr>
        <w:t xml:space="preserve">  播种育苗</w:t>
      </w:r>
    </w:p>
    <w:p>
      <w:pPr>
        <w:spacing w:line="380" w:lineRule="exact"/>
        <w:jc w:val="left"/>
        <w:rPr>
          <w:rFonts w:hint="eastAsia" w:ascii="黑体" w:hAnsi="宋体" w:eastAsia="黑体"/>
          <w:color w:val="auto"/>
          <w:szCs w:val="21"/>
        </w:rPr>
      </w:pPr>
    </w:p>
    <w:p>
      <w:pPr>
        <w:spacing w:line="380" w:lineRule="exact"/>
        <w:jc w:val="left"/>
        <w:rPr>
          <w:rFonts w:hint="eastAsia" w:ascii="黑体" w:hAnsi="宋体" w:eastAsia="黑体"/>
          <w:color w:val="auto"/>
          <w:szCs w:val="21"/>
        </w:rPr>
      </w:pPr>
      <w:r>
        <w:rPr>
          <w:rFonts w:hint="eastAsia" w:ascii="黑体" w:hAnsi="宋体" w:eastAsia="黑体"/>
          <w:color w:val="auto"/>
          <w:szCs w:val="21"/>
          <w:lang w:val="en-US" w:eastAsia="zh-CN"/>
        </w:rPr>
        <w:t>7</w:t>
      </w:r>
      <w:r>
        <w:rPr>
          <w:rFonts w:hint="eastAsia" w:ascii="黑体" w:hAnsi="宋体" w:eastAsia="黑体"/>
          <w:color w:val="auto"/>
          <w:szCs w:val="21"/>
        </w:rPr>
        <w:t>.1  种子处理</w:t>
      </w:r>
    </w:p>
    <w:p>
      <w:pPr>
        <w:spacing w:line="400" w:lineRule="exact"/>
        <w:ind w:firstLine="420" w:firstLineChars="200"/>
        <w:rPr>
          <w:rFonts w:hint="eastAsia" w:ascii="宋体" w:hAnsi="宋体"/>
          <w:color w:val="auto"/>
          <w:szCs w:val="21"/>
        </w:rPr>
      </w:pPr>
      <w:r>
        <w:rPr>
          <w:rFonts w:hint="eastAsia" w:hAnsi="宋体"/>
          <w:bCs/>
          <w:color w:val="auto"/>
          <w:szCs w:val="21"/>
        </w:rPr>
        <w:t>将种子用清水浸泡（5~6）h，然后用0.1% 的高锰酸钾溶液浸泡（10~15）min，再用清水清洗干净后播种。</w:t>
      </w:r>
    </w:p>
    <w:p>
      <w:pPr>
        <w:spacing w:line="380" w:lineRule="exact"/>
        <w:jc w:val="left"/>
        <w:rPr>
          <w:rFonts w:hint="eastAsia" w:ascii="黑体" w:hAnsi="宋体" w:eastAsia="黑体"/>
          <w:color w:val="auto"/>
          <w:szCs w:val="21"/>
        </w:rPr>
      </w:pPr>
      <w:r>
        <w:rPr>
          <w:rFonts w:hint="eastAsia" w:ascii="黑体" w:hAnsi="宋体" w:eastAsia="黑体"/>
          <w:color w:val="auto"/>
          <w:szCs w:val="21"/>
          <w:lang w:val="en-US" w:eastAsia="zh-CN"/>
        </w:rPr>
        <w:t>7</w:t>
      </w:r>
      <w:r>
        <w:rPr>
          <w:rFonts w:hint="eastAsia" w:ascii="黑体" w:hAnsi="宋体" w:eastAsia="黑体"/>
          <w:color w:val="auto"/>
          <w:szCs w:val="21"/>
        </w:rPr>
        <w:t>.</w:t>
      </w:r>
      <w:r>
        <w:rPr>
          <w:rFonts w:ascii="黑体" w:hAnsi="宋体" w:eastAsia="黑体"/>
          <w:color w:val="auto"/>
          <w:szCs w:val="21"/>
        </w:rPr>
        <w:t>2</w:t>
      </w:r>
      <w:r>
        <w:rPr>
          <w:rFonts w:hint="eastAsia" w:ascii="黑体" w:hAnsi="宋体" w:eastAsia="黑体"/>
          <w:color w:val="auto"/>
          <w:szCs w:val="21"/>
        </w:rPr>
        <w:t xml:space="preserve">  穴盘育苗</w:t>
      </w:r>
    </w:p>
    <w:p>
      <w:pPr>
        <w:spacing w:line="400" w:lineRule="exact"/>
        <w:ind w:firstLine="420" w:firstLineChars="200"/>
        <w:rPr>
          <w:rFonts w:hint="eastAsia" w:ascii="宋体" w:hAnsi="宋体"/>
          <w:color w:val="auto"/>
          <w:szCs w:val="21"/>
        </w:rPr>
      </w:pPr>
      <w:r>
        <w:rPr>
          <w:rFonts w:hint="eastAsia" w:hAnsi="宋体"/>
          <w:bCs/>
          <w:color w:val="auto"/>
          <w:szCs w:val="21"/>
        </w:rPr>
        <w:t>采用穴盘一次成苗技术育苗，穴盘规格用50或72孔。将配制好的育苗专用基质或营养土装入穴盘中，盘要装八成满，每个孔装的基质或营养土要一样，同时将装好基质或营养土的（4~5）盘垂直放在一起，上面放一空盘两手平放均匀轻压，深度约0.5 cm。</w:t>
      </w:r>
    </w:p>
    <w:p>
      <w:pPr>
        <w:spacing w:line="380" w:lineRule="exact"/>
        <w:jc w:val="left"/>
        <w:rPr>
          <w:rFonts w:hint="eastAsia" w:ascii="黑体" w:hAnsi="宋体" w:eastAsia="黑体"/>
          <w:color w:val="auto"/>
          <w:szCs w:val="21"/>
        </w:rPr>
      </w:pPr>
      <w:r>
        <w:rPr>
          <w:rFonts w:hint="eastAsia" w:ascii="黑体" w:hAnsi="宋体" w:eastAsia="黑体"/>
          <w:color w:val="auto"/>
          <w:szCs w:val="21"/>
          <w:lang w:val="en-US" w:eastAsia="zh-CN"/>
        </w:rPr>
        <w:t>7</w:t>
      </w:r>
      <w:r>
        <w:rPr>
          <w:rFonts w:hint="eastAsia" w:ascii="黑体" w:hAnsi="宋体" w:eastAsia="黑体"/>
          <w:color w:val="auto"/>
          <w:szCs w:val="21"/>
        </w:rPr>
        <w:t>.</w:t>
      </w:r>
      <w:r>
        <w:rPr>
          <w:rFonts w:ascii="黑体" w:hAnsi="宋体" w:eastAsia="黑体"/>
          <w:color w:val="auto"/>
          <w:szCs w:val="21"/>
        </w:rPr>
        <w:t>3</w:t>
      </w:r>
      <w:r>
        <w:rPr>
          <w:rFonts w:hint="eastAsia" w:ascii="黑体" w:hAnsi="宋体" w:eastAsia="黑体"/>
          <w:color w:val="auto"/>
          <w:szCs w:val="21"/>
        </w:rPr>
        <w:t xml:space="preserve">  适期播种</w:t>
      </w:r>
    </w:p>
    <w:p>
      <w:pPr>
        <w:spacing w:line="400" w:lineRule="exact"/>
        <w:ind w:firstLine="420" w:firstLineChars="200"/>
        <w:rPr>
          <w:rFonts w:hint="eastAsia" w:hAnsi="宋体"/>
          <w:bCs/>
          <w:color w:val="auto"/>
          <w:szCs w:val="21"/>
        </w:rPr>
      </w:pPr>
      <w:r>
        <w:rPr>
          <w:rFonts w:hint="eastAsia" w:hAnsi="宋体"/>
          <w:bCs/>
          <w:color w:val="auto"/>
          <w:szCs w:val="21"/>
        </w:rPr>
        <w:t>播种时间为5 月中下旬至6 月上旬，苗龄（25~30 ）</w:t>
      </w:r>
      <w:r>
        <w:rPr>
          <w:rFonts w:hAnsi="宋体"/>
          <w:bCs/>
          <w:color w:val="auto"/>
          <w:szCs w:val="21"/>
        </w:rPr>
        <w:t>d</w:t>
      </w:r>
      <w:r>
        <w:rPr>
          <w:rFonts w:hint="eastAsia" w:hAnsi="宋体"/>
          <w:bCs/>
          <w:color w:val="auto"/>
          <w:szCs w:val="21"/>
        </w:rPr>
        <w:t>，播种前苗床先浇足底水，水下渗后每穴点播2 粒种子，播种后用基质或营养土覆盖穴盘，厚度与穴盘格室相平为宜。</w:t>
      </w:r>
    </w:p>
    <w:p>
      <w:pPr>
        <w:spacing w:line="380" w:lineRule="exact"/>
        <w:jc w:val="left"/>
        <w:rPr>
          <w:rFonts w:hint="eastAsia" w:ascii="黑体" w:hAnsi="宋体" w:eastAsia="黑体"/>
          <w:color w:val="auto"/>
          <w:szCs w:val="21"/>
        </w:rPr>
      </w:pPr>
      <w:r>
        <w:rPr>
          <w:rFonts w:hint="eastAsia" w:ascii="黑体" w:hAnsi="宋体" w:eastAsia="黑体"/>
          <w:color w:val="auto"/>
          <w:szCs w:val="21"/>
          <w:lang w:val="en-US" w:eastAsia="zh-CN"/>
        </w:rPr>
        <w:t>7</w:t>
      </w:r>
      <w:r>
        <w:rPr>
          <w:rFonts w:hint="eastAsia" w:ascii="黑体" w:hAnsi="宋体" w:eastAsia="黑体"/>
          <w:color w:val="auto"/>
          <w:szCs w:val="21"/>
        </w:rPr>
        <w:t>.</w:t>
      </w:r>
      <w:r>
        <w:rPr>
          <w:rFonts w:ascii="黑体" w:hAnsi="宋体" w:eastAsia="黑体"/>
          <w:color w:val="auto"/>
          <w:szCs w:val="21"/>
        </w:rPr>
        <w:t>4</w:t>
      </w:r>
      <w:r>
        <w:rPr>
          <w:rFonts w:hint="eastAsia" w:ascii="黑体" w:hAnsi="宋体" w:eastAsia="黑体"/>
          <w:color w:val="auto"/>
          <w:szCs w:val="21"/>
        </w:rPr>
        <w:t xml:space="preserve">  苗床管理</w:t>
      </w:r>
    </w:p>
    <w:p>
      <w:pPr>
        <w:spacing w:line="400" w:lineRule="exact"/>
        <w:ind w:firstLine="420" w:firstLineChars="200"/>
        <w:rPr>
          <w:rFonts w:hint="eastAsia" w:hAnsi="宋体"/>
          <w:bCs/>
          <w:color w:val="auto"/>
          <w:szCs w:val="21"/>
        </w:rPr>
      </w:pPr>
      <w:r>
        <w:rPr>
          <w:rFonts w:hint="eastAsia" w:hAnsi="宋体"/>
          <w:bCs/>
          <w:color w:val="auto"/>
          <w:szCs w:val="21"/>
        </w:rPr>
        <w:t>在苗床管理上要做好“三防”，即防高温、防雨淋、防病虫，培育出健壮优质壮苗。</w:t>
      </w:r>
    </w:p>
    <w:p>
      <w:pPr>
        <w:spacing w:line="400" w:lineRule="exact"/>
        <w:rPr>
          <w:rFonts w:hint="eastAsia" w:hAnsi="宋体"/>
          <w:bCs/>
          <w:color w:val="auto"/>
          <w:szCs w:val="21"/>
        </w:rPr>
      </w:pPr>
      <w:r>
        <w:rPr>
          <w:rFonts w:hint="eastAsia" w:hAnsi="宋体"/>
          <w:bCs/>
          <w:color w:val="auto"/>
          <w:szCs w:val="21"/>
        </w:rPr>
        <w:t>5.4.1 遮荫降温。播种后要及时用遮阳网或树枝进行遮阴（8~10）h。苗出齐后逐渐减少遮阴时间，定植前（7~10）</w:t>
      </w:r>
      <w:r>
        <w:rPr>
          <w:rFonts w:hAnsi="宋体"/>
          <w:bCs/>
          <w:color w:val="auto"/>
          <w:szCs w:val="21"/>
        </w:rPr>
        <w:t>d</w:t>
      </w:r>
      <w:r>
        <w:rPr>
          <w:rFonts w:hint="eastAsia" w:hAnsi="宋体"/>
          <w:bCs/>
          <w:color w:val="auto"/>
          <w:szCs w:val="21"/>
        </w:rPr>
        <w:t>不再遮阴，使秧苗接受强光照射。</w:t>
      </w:r>
    </w:p>
    <w:p>
      <w:pPr>
        <w:spacing w:line="400" w:lineRule="exact"/>
        <w:rPr>
          <w:rFonts w:hint="eastAsia" w:hAnsi="宋体"/>
          <w:bCs/>
          <w:color w:val="auto"/>
          <w:szCs w:val="21"/>
        </w:rPr>
      </w:pPr>
      <w:r>
        <w:rPr>
          <w:rFonts w:hint="eastAsia" w:hAnsi="宋体"/>
          <w:bCs/>
          <w:color w:val="auto"/>
          <w:szCs w:val="21"/>
        </w:rPr>
        <w:t>5.4.2  避免雨淋。幼苗生长过程当中要及时注意天气变化，如遇阴雨天气要及时在苗床上搭上防雨棚。</w:t>
      </w:r>
    </w:p>
    <w:p>
      <w:pPr>
        <w:spacing w:line="400" w:lineRule="exact"/>
        <w:rPr>
          <w:rFonts w:hint="eastAsia" w:hAnsi="宋体"/>
          <w:bCs/>
          <w:color w:val="auto"/>
          <w:szCs w:val="21"/>
        </w:rPr>
      </w:pPr>
      <w:r>
        <w:rPr>
          <w:rFonts w:hint="eastAsia" w:hAnsi="宋体"/>
          <w:bCs/>
          <w:color w:val="auto"/>
          <w:szCs w:val="21"/>
        </w:rPr>
        <w:t>5.4.3 预防蚜虫。苗床如发现蚜虫危害，可喷洒10% 吡虫啉可湿性粉剂3000倍液，或者在苗床上覆盖防虫网。</w:t>
      </w:r>
    </w:p>
    <w:p>
      <w:pPr>
        <w:spacing w:line="400" w:lineRule="exact"/>
        <w:rPr>
          <w:rFonts w:hint="eastAsia" w:hAnsi="宋体"/>
          <w:bCs/>
          <w:color w:val="auto"/>
          <w:szCs w:val="21"/>
        </w:rPr>
      </w:pPr>
      <w:r>
        <w:rPr>
          <w:rFonts w:hint="eastAsia" w:hAnsi="宋体"/>
          <w:bCs/>
          <w:color w:val="auto"/>
          <w:szCs w:val="21"/>
        </w:rPr>
        <w:t>5.4.4 及时定苗。幼苗（1~2）片真叶时拔除苗床内杂苗、弱苗、病苗，并对空穴内进行补栽，保证每穴有一株健壮苗子。</w:t>
      </w:r>
    </w:p>
    <w:p>
      <w:pPr>
        <w:spacing w:line="400" w:lineRule="exact"/>
        <w:rPr>
          <w:rFonts w:hint="eastAsia" w:hAnsi="宋体"/>
          <w:bCs/>
          <w:color w:val="auto"/>
          <w:szCs w:val="21"/>
        </w:rPr>
      </w:pPr>
      <w:r>
        <w:rPr>
          <w:rFonts w:hint="eastAsia" w:hAnsi="宋体"/>
          <w:bCs/>
          <w:color w:val="auto"/>
          <w:szCs w:val="21"/>
        </w:rPr>
        <w:t>5.4.5 适时浇水。出苗后根据苗床干湿情况适时浇水，浇水宜在清晨和傍晚时进行。</w:t>
      </w:r>
    </w:p>
    <w:p>
      <w:pPr>
        <w:spacing w:line="400" w:lineRule="exact"/>
        <w:ind w:firstLine="420" w:firstLineChars="200"/>
        <w:rPr>
          <w:rFonts w:hint="eastAsia" w:ascii="宋体" w:hAnsi="宋体"/>
          <w:color w:val="auto"/>
          <w:szCs w:val="21"/>
        </w:rPr>
      </w:pPr>
    </w:p>
    <w:p>
      <w:pPr>
        <w:spacing w:line="380" w:lineRule="exact"/>
        <w:jc w:val="left"/>
        <w:rPr>
          <w:rFonts w:hint="eastAsia" w:ascii="黑体" w:hAnsi="宋体" w:eastAsia="黑体"/>
          <w:color w:val="auto"/>
          <w:szCs w:val="21"/>
          <w:lang w:eastAsia="zh-CN"/>
        </w:rPr>
      </w:pPr>
      <w:r>
        <w:rPr>
          <w:rFonts w:hint="eastAsia" w:ascii="黑体" w:hAnsi="宋体" w:eastAsia="黑体"/>
          <w:color w:val="auto"/>
          <w:szCs w:val="21"/>
          <w:lang w:val="en-US" w:eastAsia="zh-CN"/>
        </w:rPr>
        <w:t>8</w:t>
      </w:r>
      <w:r>
        <w:rPr>
          <w:rFonts w:hint="eastAsia" w:ascii="黑体" w:hAnsi="宋体" w:eastAsia="黑体"/>
          <w:color w:val="auto"/>
          <w:szCs w:val="21"/>
        </w:rPr>
        <w:t xml:space="preserve">  整地</w:t>
      </w:r>
      <w:r>
        <w:rPr>
          <w:rFonts w:hint="eastAsia" w:ascii="黑体" w:hAnsi="宋体" w:eastAsia="黑体"/>
          <w:color w:val="auto"/>
          <w:szCs w:val="21"/>
          <w:lang w:eastAsia="zh-CN"/>
        </w:rPr>
        <w:t>铺滴灌带</w:t>
      </w:r>
    </w:p>
    <w:p>
      <w:pPr>
        <w:spacing w:line="380" w:lineRule="exact"/>
        <w:jc w:val="left"/>
        <w:rPr>
          <w:rFonts w:hint="eastAsia" w:ascii="黑体" w:hAnsi="宋体" w:eastAsia="黑体"/>
          <w:color w:val="auto"/>
          <w:szCs w:val="21"/>
        </w:rPr>
      </w:pPr>
    </w:p>
    <w:p>
      <w:pPr>
        <w:spacing w:line="400" w:lineRule="exact"/>
        <w:ind w:firstLine="420" w:firstLineChars="200"/>
        <w:rPr>
          <w:rFonts w:hAnsi="宋体"/>
          <w:bCs/>
          <w:color w:val="auto"/>
          <w:szCs w:val="21"/>
        </w:rPr>
      </w:pPr>
      <w:r>
        <w:rPr>
          <w:rFonts w:hint="eastAsia" w:hAnsi="宋体"/>
          <w:bCs/>
          <w:color w:val="auto"/>
          <w:szCs w:val="21"/>
        </w:rPr>
        <w:t>前茬作物收获后要清除田间和大棚周边的残枝、落叶、残根、杂草及废旧地膜等，带出田外进行深埋处理，对土壤进行耕翻暴晒。结合最后一次整地，每公顷施充分腐熟的农家肥67500 kg、三元复合肥1800 kg、硫酸钾180 kg。沿大棚方向起垄，按照两垄中心距1.2 m 起垄，即垄间距0.7 m，垄宽0.5 m，垄高（10~15）cm</w:t>
      </w:r>
      <w:r>
        <w:rPr>
          <w:rFonts w:hint="eastAsia" w:hAnsi="宋体"/>
          <w:bCs/>
          <w:color w:val="auto"/>
          <w:szCs w:val="21"/>
          <w:lang w:eastAsia="zh-CN"/>
        </w:rPr>
        <w:t>；平整土面后，沿栽培垄延伸方向在中央铺</w:t>
      </w:r>
      <w:r>
        <w:rPr>
          <w:rFonts w:hint="eastAsia" w:hAnsi="宋体"/>
          <w:bCs/>
          <w:color w:val="auto"/>
          <w:szCs w:val="21"/>
          <w:lang w:val="en-US" w:eastAsia="zh-CN"/>
        </w:rPr>
        <w:t>1根滴灌带，并与输水系统连通。</w:t>
      </w:r>
      <w:r>
        <w:rPr>
          <w:rFonts w:hint="eastAsia" w:hAnsi="宋体"/>
          <w:bCs/>
          <w:color w:val="auto"/>
          <w:szCs w:val="21"/>
        </w:rPr>
        <w:t>起垄后盖</w:t>
      </w:r>
      <w:r>
        <w:rPr>
          <w:rFonts w:hint="eastAsia" w:hAnsi="宋体"/>
          <w:bCs/>
          <w:color w:val="auto"/>
          <w:szCs w:val="21"/>
          <w:lang w:eastAsia="zh-CN"/>
        </w:rPr>
        <w:t>（</w:t>
      </w:r>
      <w:r>
        <w:rPr>
          <w:rFonts w:hint="eastAsia" w:hAnsi="宋体"/>
          <w:bCs/>
          <w:color w:val="auto"/>
          <w:szCs w:val="21"/>
        </w:rPr>
        <w:t xml:space="preserve">70~80 </w:t>
      </w:r>
      <w:r>
        <w:rPr>
          <w:rFonts w:hint="eastAsia" w:hAnsi="宋体"/>
          <w:bCs/>
          <w:color w:val="auto"/>
          <w:szCs w:val="21"/>
          <w:lang w:eastAsia="zh-CN"/>
        </w:rPr>
        <w:t>）</w:t>
      </w:r>
      <w:r>
        <w:rPr>
          <w:rFonts w:hint="eastAsia" w:hAnsi="宋体"/>
          <w:bCs/>
          <w:color w:val="auto"/>
          <w:szCs w:val="21"/>
        </w:rPr>
        <w:t>cm宽地膜。</w:t>
      </w:r>
    </w:p>
    <w:p>
      <w:pPr>
        <w:spacing w:line="400" w:lineRule="exact"/>
        <w:rPr>
          <w:rFonts w:ascii="黑体" w:hAnsi="宋体" w:eastAsia="黑体"/>
          <w:color w:val="auto"/>
          <w:szCs w:val="21"/>
        </w:rPr>
      </w:pPr>
    </w:p>
    <w:p>
      <w:pPr>
        <w:spacing w:line="400" w:lineRule="exact"/>
        <w:rPr>
          <w:rFonts w:ascii="黑体" w:hAnsi="宋体" w:eastAsia="黑体"/>
          <w:color w:val="auto"/>
          <w:szCs w:val="21"/>
        </w:rPr>
      </w:pPr>
      <w:r>
        <w:rPr>
          <w:rFonts w:hint="eastAsia" w:ascii="黑体" w:hAnsi="宋体" w:eastAsia="黑体"/>
          <w:color w:val="auto"/>
          <w:szCs w:val="21"/>
          <w:lang w:val="en-US" w:eastAsia="zh-CN"/>
        </w:rPr>
        <w:t>9</w:t>
      </w:r>
      <w:r>
        <w:rPr>
          <w:rFonts w:hint="eastAsia" w:ascii="黑体" w:hAnsi="宋体" w:eastAsia="黑体"/>
          <w:color w:val="auto"/>
          <w:szCs w:val="21"/>
        </w:rPr>
        <w:t xml:space="preserve">  定植移栽</w:t>
      </w:r>
    </w:p>
    <w:p>
      <w:pPr>
        <w:spacing w:line="400" w:lineRule="exact"/>
        <w:ind w:firstLine="420" w:firstLineChars="200"/>
        <w:rPr>
          <w:rFonts w:ascii="宋体" w:hAnsi="宋体"/>
          <w:color w:val="auto"/>
          <w:szCs w:val="21"/>
        </w:rPr>
      </w:pPr>
    </w:p>
    <w:p>
      <w:pPr>
        <w:spacing w:line="400" w:lineRule="exact"/>
        <w:ind w:firstLine="420" w:firstLineChars="200"/>
        <w:rPr>
          <w:rFonts w:hAnsi="宋体"/>
          <w:bCs/>
          <w:color w:val="auto"/>
          <w:szCs w:val="21"/>
        </w:rPr>
      </w:pPr>
      <w:r>
        <w:rPr>
          <w:rFonts w:hint="eastAsia" w:hAnsi="宋体"/>
          <w:bCs/>
          <w:color w:val="auto"/>
          <w:szCs w:val="21"/>
        </w:rPr>
        <w:t>6 月中下旬秧苗达到（6~7）片叶时定植，每垄定植两行，株距45 cm，每公顷定植36900 株。定植时浇足定植水，水下渗后用细土封住定植口。</w:t>
      </w:r>
    </w:p>
    <w:p>
      <w:pPr>
        <w:spacing w:line="400" w:lineRule="exact"/>
        <w:rPr>
          <w:rFonts w:ascii="黑体" w:hAnsi="宋体" w:eastAsia="黑体"/>
          <w:color w:val="auto"/>
          <w:szCs w:val="21"/>
        </w:rPr>
      </w:pPr>
    </w:p>
    <w:p>
      <w:pPr>
        <w:spacing w:line="400" w:lineRule="exact"/>
        <w:rPr>
          <w:rFonts w:ascii="黑体" w:hAnsi="宋体" w:eastAsia="黑体"/>
          <w:color w:val="auto"/>
          <w:szCs w:val="21"/>
        </w:rPr>
      </w:pPr>
      <w:r>
        <w:rPr>
          <w:rFonts w:hint="eastAsia" w:ascii="黑体" w:hAnsi="宋体" w:eastAsia="黑体"/>
          <w:color w:val="auto"/>
          <w:szCs w:val="21"/>
          <w:lang w:val="en-US" w:eastAsia="zh-CN"/>
        </w:rPr>
        <w:t>10</w:t>
      </w:r>
      <w:r>
        <w:rPr>
          <w:rFonts w:hint="eastAsia" w:ascii="黑体" w:hAnsi="宋体" w:eastAsia="黑体"/>
          <w:color w:val="auto"/>
          <w:szCs w:val="21"/>
        </w:rPr>
        <w:t xml:space="preserve">  田间管理</w:t>
      </w:r>
    </w:p>
    <w:p>
      <w:pPr>
        <w:spacing w:line="400" w:lineRule="exact"/>
        <w:ind w:firstLine="420" w:firstLineChars="200"/>
        <w:rPr>
          <w:rFonts w:ascii="宋体" w:hAnsi="宋体"/>
          <w:color w:val="auto"/>
          <w:szCs w:val="21"/>
        </w:rPr>
      </w:pPr>
    </w:p>
    <w:p>
      <w:pPr>
        <w:spacing w:line="380" w:lineRule="exact"/>
        <w:jc w:val="left"/>
        <w:rPr>
          <w:rFonts w:hint="eastAsia" w:ascii="黑体" w:hAnsi="宋体" w:eastAsia="黑体"/>
          <w:color w:val="auto"/>
          <w:szCs w:val="21"/>
        </w:rPr>
      </w:pPr>
      <w:r>
        <w:rPr>
          <w:rFonts w:hint="eastAsia" w:ascii="黑体" w:hAnsi="宋体" w:eastAsia="黑体"/>
          <w:color w:val="auto"/>
          <w:szCs w:val="21"/>
          <w:lang w:val="en-US" w:eastAsia="zh-CN"/>
        </w:rPr>
        <w:t>10</w:t>
      </w:r>
      <w:r>
        <w:rPr>
          <w:rFonts w:hint="eastAsia" w:ascii="黑体" w:hAnsi="宋体" w:eastAsia="黑体"/>
          <w:color w:val="auto"/>
          <w:szCs w:val="21"/>
        </w:rPr>
        <w:t>.</w:t>
      </w:r>
      <w:r>
        <w:rPr>
          <w:rFonts w:ascii="黑体" w:hAnsi="宋体" w:eastAsia="黑体"/>
          <w:color w:val="auto"/>
          <w:szCs w:val="21"/>
        </w:rPr>
        <w:t>1</w:t>
      </w:r>
      <w:r>
        <w:rPr>
          <w:rFonts w:hint="eastAsia" w:ascii="黑体" w:hAnsi="宋体" w:eastAsia="黑体"/>
          <w:color w:val="auto"/>
          <w:szCs w:val="21"/>
        </w:rPr>
        <w:t xml:space="preserve">  植株调整</w:t>
      </w:r>
    </w:p>
    <w:p>
      <w:pPr>
        <w:spacing w:line="400" w:lineRule="exact"/>
        <w:ind w:firstLine="420" w:firstLineChars="200"/>
        <w:rPr>
          <w:rFonts w:hAnsi="宋体"/>
          <w:bCs/>
          <w:color w:val="auto"/>
          <w:szCs w:val="21"/>
        </w:rPr>
      </w:pPr>
      <w:r>
        <w:rPr>
          <w:rFonts w:hint="eastAsia" w:hAnsi="宋体"/>
          <w:bCs/>
          <w:color w:val="auto"/>
          <w:szCs w:val="21"/>
        </w:rPr>
        <w:t>栽植缓苗后及时进行搭架，架以直排架为好，搭架后及时绑蔓，位置在花序下（1~2）片叶下。采用单杆整枝方式，即只留主蔓，其余侧蔓（3~5）cm 时全部摘除。一般每株番茄留（3~4）穗果，定植早的番茄，每株留4 穗果，迟的留3 穗果，每穗果留（3~4）个果，其余的在果实长到（1~2） cm时及早疏除，最后一穗果上面留2 片叶摘心。</w:t>
      </w:r>
    </w:p>
    <w:p>
      <w:pPr>
        <w:spacing w:line="380" w:lineRule="exact"/>
        <w:jc w:val="left"/>
        <w:rPr>
          <w:rFonts w:hint="eastAsia" w:ascii="黑体" w:hAnsi="宋体" w:eastAsia="黑体"/>
          <w:color w:val="auto"/>
          <w:szCs w:val="21"/>
        </w:rPr>
      </w:pPr>
      <w:r>
        <w:rPr>
          <w:rFonts w:hint="eastAsia" w:ascii="黑体" w:hAnsi="宋体" w:eastAsia="黑体"/>
          <w:color w:val="auto"/>
          <w:szCs w:val="21"/>
          <w:lang w:val="en-US" w:eastAsia="zh-CN"/>
        </w:rPr>
        <w:t>10</w:t>
      </w:r>
      <w:r>
        <w:rPr>
          <w:rFonts w:hint="eastAsia" w:ascii="黑体" w:hAnsi="宋体" w:eastAsia="黑体"/>
          <w:color w:val="auto"/>
          <w:szCs w:val="21"/>
        </w:rPr>
        <w:t>.</w:t>
      </w:r>
      <w:r>
        <w:rPr>
          <w:rFonts w:ascii="黑体" w:hAnsi="宋体" w:eastAsia="黑体"/>
          <w:color w:val="auto"/>
          <w:szCs w:val="21"/>
        </w:rPr>
        <w:t>2</w:t>
      </w:r>
      <w:r>
        <w:rPr>
          <w:rFonts w:hint="eastAsia" w:ascii="黑体" w:hAnsi="宋体" w:eastAsia="黑体"/>
          <w:color w:val="auto"/>
          <w:szCs w:val="21"/>
        </w:rPr>
        <w:t xml:space="preserve">  水肥管理</w:t>
      </w:r>
    </w:p>
    <w:p>
      <w:pPr>
        <w:spacing w:line="380" w:lineRule="exact"/>
        <w:jc w:val="left"/>
        <w:rPr>
          <w:rFonts w:hint="eastAsia" w:ascii="黑体" w:hAnsi="宋体" w:eastAsia="黑体"/>
          <w:color w:val="auto"/>
          <w:szCs w:val="21"/>
          <w:lang w:val="en-US" w:eastAsia="zh-CN"/>
        </w:rPr>
      </w:pPr>
      <w:r>
        <w:rPr>
          <w:rFonts w:hint="eastAsia" w:ascii="黑体" w:hAnsi="宋体" w:eastAsia="黑体"/>
          <w:color w:val="auto"/>
          <w:szCs w:val="21"/>
          <w:lang w:val="en-US" w:eastAsia="zh-CN"/>
        </w:rPr>
        <w:t>10.2.1 还苗期</w:t>
      </w:r>
    </w:p>
    <w:p>
      <w:pPr>
        <w:spacing w:line="400" w:lineRule="exact"/>
        <w:ind w:firstLine="420" w:firstLineChars="200"/>
        <w:rPr>
          <w:rFonts w:hint="eastAsia" w:hAnsi="宋体" w:eastAsia="宋体"/>
          <w:bCs/>
          <w:color w:val="auto"/>
          <w:szCs w:val="21"/>
        </w:rPr>
      </w:pPr>
      <w:r>
        <w:rPr>
          <w:rFonts w:hint="eastAsia" w:hAnsi="宋体" w:eastAsia="宋体"/>
          <w:bCs/>
          <w:color w:val="auto"/>
          <w:szCs w:val="21"/>
        </w:rPr>
        <w:t xml:space="preserve">整地后铺设滴灌管，覆盖地膜，进行番茄定植。定植后浇一次透水，定植成活至第一花序现蕾，田间持水量保持在55%～65%。施用高氮型水溶肥（N:P2O5:K2O =1:0.4:0.5），每亩（667 </w:t>
      </w:r>
      <w:r>
        <w:rPr>
          <w:rFonts w:hint="eastAsia" w:hAnsi="宋体"/>
          <w:bCs/>
          <w:color w:val="auto"/>
          <w:szCs w:val="21"/>
          <w:lang w:eastAsia="zh-CN"/>
        </w:rPr>
        <w:t>m2</w:t>
      </w:r>
      <w:r>
        <w:rPr>
          <w:rFonts w:hint="eastAsia" w:hAnsi="宋体" w:eastAsia="宋体"/>
          <w:bCs/>
          <w:color w:val="auto"/>
          <w:szCs w:val="21"/>
        </w:rPr>
        <w:t xml:space="preserve">）施肥折纯量（指换算成纯N、P2O5、K2O的总量，下同）1.5 </w:t>
      </w:r>
      <w:r>
        <w:rPr>
          <w:rFonts w:hint="eastAsia" w:hAnsi="宋体"/>
          <w:bCs/>
          <w:color w:val="auto"/>
          <w:szCs w:val="21"/>
          <w:lang w:eastAsia="zh-CN"/>
        </w:rPr>
        <w:t>kg</w:t>
      </w:r>
      <w:r>
        <w:rPr>
          <w:rFonts w:hint="eastAsia" w:hAnsi="宋体" w:eastAsia="宋体"/>
          <w:bCs/>
          <w:color w:val="auto"/>
          <w:szCs w:val="21"/>
        </w:rPr>
        <w:t>，共1 次，滴灌浓度控制在0.2%～0.4%。</w:t>
      </w:r>
    </w:p>
    <w:p>
      <w:pPr>
        <w:spacing w:line="380" w:lineRule="exact"/>
        <w:jc w:val="left"/>
        <w:rPr>
          <w:rFonts w:hint="eastAsia" w:ascii="黑体" w:hAnsi="宋体" w:eastAsia="黑体"/>
          <w:color w:val="auto"/>
          <w:szCs w:val="21"/>
          <w:lang w:val="en-US" w:eastAsia="zh-CN"/>
        </w:rPr>
      </w:pPr>
      <w:r>
        <w:rPr>
          <w:rFonts w:hint="eastAsia" w:ascii="黑体" w:hAnsi="宋体" w:eastAsia="黑体"/>
          <w:color w:val="auto"/>
          <w:szCs w:val="21"/>
          <w:lang w:val="en-US" w:eastAsia="zh-CN"/>
        </w:rPr>
        <w:t>10.2.2 开花期</w:t>
      </w:r>
    </w:p>
    <w:p>
      <w:pPr>
        <w:spacing w:line="400" w:lineRule="exact"/>
        <w:ind w:firstLine="420" w:firstLineChars="200"/>
        <w:rPr>
          <w:rFonts w:hint="eastAsia" w:ascii="黑体" w:hAnsi="宋体" w:eastAsia="黑体"/>
          <w:color w:val="auto"/>
          <w:szCs w:val="21"/>
        </w:rPr>
      </w:pPr>
      <w:r>
        <w:rPr>
          <w:rFonts w:hint="eastAsia" w:hAnsi="宋体" w:eastAsia="宋体"/>
          <w:bCs/>
          <w:color w:val="auto"/>
          <w:szCs w:val="21"/>
        </w:rPr>
        <w:t xml:space="preserve">第一花序现蕾至第一花序坐果，适当控水，田间持水量保持在60%～75%。施用氮钾平衡型水溶肥（N:P2O5:K2O =1:0.5:1），每亩（667 </w:t>
      </w:r>
      <w:r>
        <w:rPr>
          <w:rFonts w:hint="eastAsia" w:hAnsi="宋体"/>
          <w:bCs/>
          <w:color w:val="auto"/>
          <w:szCs w:val="21"/>
          <w:lang w:eastAsia="zh-CN"/>
        </w:rPr>
        <w:t>m2</w:t>
      </w:r>
      <w:r>
        <w:rPr>
          <w:rFonts w:hint="eastAsia" w:hAnsi="宋体" w:eastAsia="宋体"/>
          <w:bCs/>
          <w:color w:val="auto"/>
          <w:szCs w:val="21"/>
        </w:rPr>
        <w:t xml:space="preserve">）施肥折纯量为1.5 </w:t>
      </w:r>
      <w:r>
        <w:rPr>
          <w:rFonts w:hint="eastAsia" w:hAnsi="宋体"/>
          <w:bCs/>
          <w:color w:val="auto"/>
          <w:szCs w:val="21"/>
          <w:lang w:eastAsia="zh-CN"/>
        </w:rPr>
        <w:t>kg</w:t>
      </w:r>
      <w:r>
        <w:rPr>
          <w:rFonts w:hint="eastAsia" w:hAnsi="宋体" w:eastAsia="宋体"/>
          <w:bCs/>
          <w:color w:val="auto"/>
          <w:szCs w:val="21"/>
        </w:rPr>
        <w:t>，共1 次，滴灌浓度控制在0.2%～0.4%。</w:t>
      </w:r>
    </w:p>
    <w:p>
      <w:pPr>
        <w:spacing w:line="380" w:lineRule="exact"/>
        <w:jc w:val="left"/>
        <w:rPr>
          <w:rFonts w:hint="eastAsia" w:ascii="黑体" w:hAnsi="宋体" w:eastAsia="黑体"/>
          <w:color w:val="auto"/>
          <w:szCs w:val="21"/>
          <w:lang w:val="en-US" w:eastAsia="zh-CN"/>
        </w:rPr>
      </w:pPr>
      <w:r>
        <w:rPr>
          <w:rFonts w:hint="eastAsia" w:ascii="黑体" w:hAnsi="宋体" w:eastAsia="黑体"/>
          <w:color w:val="auto"/>
          <w:szCs w:val="21"/>
          <w:lang w:val="en-US" w:eastAsia="zh-CN"/>
        </w:rPr>
        <w:t>10.2.3 彭大期</w:t>
      </w:r>
    </w:p>
    <w:p>
      <w:pPr>
        <w:spacing w:line="400" w:lineRule="exact"/>
        <w:ind w:firstLine="420" w:firstLineChars="200"/>
        <w:rPr>
          <w:rFonts w:hint="eastAsia" w:hAnsi="宋体" w:eastAsia="宋体"/>
          <w:bCs/>
          <w:color w:val="auto"/>
          <w:szCs w:val="21"/>
        </w:rPr>
      </w:pPr>
      <w:r>
        <w:rPr>
          <w:rFonts w:hint="eastAsia" w:hAnsi="宋体" w:eastAsia="宋体"/>
          <w:bCs/>
          <w:color w:val="auto"/>
          <w:szCs w:val="21"/>
        </w:rPr>
        <w:t xml:space="preserve">第一花序坐果后膨大至采收，适量灌水，田间持水量保持在70%～80%。交替施用高钾型（N:P2O5:K2O =1:0.8:2）和平衡型（N:P2O5:K2O =1:0.5:1）水溶肥。冬春设施栽培番茄每亩（667 </w:t>
      </w:r>
      <w:r>
        <w:rPr>
          <w:rFonts w:hint="eastAsia" w:hAnsi="宋体"/>
          <w:bCs/>
          <w:color w:val="auto"/>
          <w:szCs w:val="21"/>
          <w:lang w:eastAsia="zh-CN"/>
        </w:rPr>
        <w:t>m2</w:t>
      </w:r>
      <w:r>
        <w:rPr>
          <w:rFonts w:hint="eastAsia" w:hAnsi="宋体" w:eastAsia="宋体"/>
          <w:bCs/>
          <w:color w:val="auto"/>
          <w:szCs w:val="21"/>
        </w:rPr>
        <w:t xml:space="preserve">）每次施肥折纯量5 </w:t>
      </w:r>
      <w:r>
        <w:rPr>
          <w:rFonts w:hint="eastAsia" w:hAnsi="宋体"/>
          <w:bCs/>
          <w:color w:val="auto"/>
          <w:szCs w:val="21"/>
          <w:lang w:eastAsia="zh-CN"/>
        </w:rPr>
        <w:t>kg</w:t>
      </w:r>
      <w:r>
        <w:rPr>
          <w:rFonts w:hint="eastAsia" w:hAnsi="宋体" w:eastAsia="宋体"/>
          <w:bCs/>
          <w:color w:val="auto"/>
          <w:szCs w:val="21"/>
        </w:rPr>
        <w:t>，每</w:t>
      </w:r>
      <w:r>
        <w:rPr>
          <w:rFonts w:hint="eastAsia" w:hAnsi="宋体"/>
          <w:bCs/>
          <w:color w:val="auto"/>
          <w:szCs w:val="21"/>
          <w:lang w:eastAsia="zh-CN"/>
        </w:rPr>
        <w:t>（</w:t>
      </w:r>
      <w:r>
        <w:rPr>
          <w:rFonts w:hint="eastAsia" w:hAnsi="宋体" w:eastAsia="宋体"/>
          <w:bCs/>
          <w:color w:val="auto"/>
          <w:szCs w:val="21"/>
        </w:rPr>
        <w:t>15 ～20</w:t>
      </w:r>
      <w:r>
        <w:rPr>
          <w:rFonts w:hint="eastAsia" w:hAnsi="宋体"/>
          <w:bCs/>
          <w:color w:val="auto"/>
          <w:szCs w:val="21"/>
          <w:lang w:eastAsia="zh-CN"/>
        </w:rPr>
        <w:t>）</w:t>
      </w:r>
      <w:r>
        <w:rPr>
          <w:rFonts w:hint="eastAsia" w:hAnsi="宋体" w:eastAsia="宋体"/>
          <w:bCs/>
          <w:color w:val="auto"/>
          <w:szCs w:val="21"/>
        </w:rPr>
        <w:t xml:space="preserve"> </w:t>
      </w:r>
      <w:r>
        <w:rPr>
          <w:rFonts w:hint="eastAsia" w:hAnsi="宋体"/>
          <w:bCs/>
          <w:color w:val="auto"/>
          <w:szCs w:val="21"/>
          <w:lang w:eastAsia="zh-CN"/>
        </w:rPr>
        <w:t>d</w:t>
      </w:r>
      <w:r>
        <w:rPr>
          <w:rFonts w:hint="eastAsia" w:hAnsi="宋体" w:eastAsia="宋体"/>
          <w:bCs/>
          <w:color w:val="auto"/>
          <w:szCs w:val="21"/>
        </w:rPr>
        <w:t>一次，共</w:t>
      </w:r>
      <w:r>
        <w:rPr>
          <w:rFonts w:hint="eastAsia" w:hAnsi="宋体"/>
          <w:bCs/>
          <w:color w:val="auto"/>
          <w:szCs w:val="21"/>
          <w:lang w:eastAsia="zh-CN"/>
        </w:rPr>
        <w:t>（</w:t>
      </w:r>
      <w:r>
        <w:rPr>
          <w:rFonts w:hint="eastAsia" w:hAnsi="宋体" w:eastAsia="宋体"/>
          <w:bCs/>
          <w:color w:val="auto"/>
          <w:szCs w:val="21"/>
        </w:rPr>
        <w:t>2 ～3</w:t>
      </w:r>
      <w:r>
        <w:rPr>
          <w:rFonts w:hint="eastAsia" w:hAnsi="宋体"/>
          <w:bCs/>
          <w:color w:val="auto"/>
          <w:szCs w:val="21"/>
          <w:lang w:eastAsia="zh-CN"/>
        </w:rPr>
        <w:t>）</w:t>
      </w:r>
      <w:r>
        <w:rPr>
          <w:rFonts w:hint="eastAsia" w:hAnsi="宋体" w:eastAsia="宋体"/>
          <w:bCs/>
          <w:color w:val="auto"/>
          <w:szCs w:val="21"/>
        </w:rPr>
        <w:t xml:space="preserve"> 次；秋延后设施栽培番茄每亩（667 </w:t>
      </w:r>
      <w:r>
        <w:rPr>
          <w:rFonts w:hint="eastAsia" w:hAnsi="宋体"/>
          <w:bCs/>
          <w:color w:val="auto"/>
          <w:szCs w:val="21"/>
          <w:lang w:eastAsia="zh-CN"/>
        </w:rPr>
        <w:t>m2</w:t>
      </w:r>
      <w:r>
        <w:rPr>
          <w:rFonts w:hint="eastAsia" w:hAnsi="宋体" w:eastAsia="宋体"/>
          <w:bCs/>
          <w:color w:val="auto"/>
          <w:szCs w:val="21"/>
        </w:rPr>
        <w:t xml:space="preserve">）每次施肥折纯量2 </w:t>
      </w:r>
      <w:r>
        <w:rPr>
          <w:rFonts w:hint="eastAsia" w:hAnsi="宋体"/>
          <w:bCs/>
          <w:color w:val="auto"/>
          <w:szCs w:val="21"/>
          <w:lang w:eastAsia="zh-CN"/>
        </w:rPr>
        <w:t>kg</w:t>
      </w:r>
      <w:r>
        <w:rPr>
          <w:rFonts w:hint="eastAsia" w:hAnsi="宋体" w:eastAsia="宋体"/>
          <w:bCs/>
          <w:color w:val="auto"/>
          <w:szCs w:val="21"/>
        </w:rPr>
        <w:t>，每</w:t>
      </w:r>
      <w:r>
        <w:rPr>
          <w:rFonts w:hint="eastAsia" w:hAnsi="宋体"/>
          <w:bCs/>
          <w:color w:val="auto"/>
          <w:szCs w:val="21"/>
          <w:lang w:eastAsia="zh-CN"/>
        </w:rPr>
        <w:t>（</w:t>
      </w:r>
      <w:r>
        <w:rPr>
          <w:rFonts w:hint="eastAsia" w:hAnsi="宋体" w:eastAsia="宋体"/>
          <w:bCs/>
          <w:color w:val="auto"/>
          <w:szCs w:val="21"/>
        </w:rPr>
        <w:t xml:space="preserve">10 ～15 </w:t>
      </w:r>
      <w:r>
        <w:rPr>
          <w:rFonts w:hint="eastAsia" w:hAnsi="宋体"/>
          <w:bCs/>
          <w:color w:val="auto"/>
          <w:szCs w:val="21"/>
          <w:lang w:eastAsia="zh-CN"/>
        </w:rPr>
        <w:t>）d</w:t>
      </w:r>
      <w:r>
        <w:rPr>
          <w:rFonts w:hint="eastAsia" w:hAnsi="宋体" w:eastAsia="宋体"/>
          <w:bCs/>
          <w:color w:val="auto"/>
          <w:szCs w:val="21"/>
        </w:rPr>
        <w:t>一次，共</w:t>
      </w:r>
      <w:r>
        <w:rPr>
          <w:rFonts w:hint="eastAsia" w:hAnsi="宋体"/>
          <w:bCs/>
          <w:color w:val="auto"/>
          <w:szCs w:val="21"/>
          <w:lang w:eastAsia="zh-CN"/>
        </w:rPr>
        <w:t>（</w:t>
      </w:r>
      <w:r>
        <w:rPr>
          <w:rFonts w:hint="eastAsia" w:hAnsi="宋体" w:eastAsia="宋体"/>
          <w:bCs/>
          <w:color w:val="auto"/>
          <w:szCs w:val="21"/>
        </w:rPr>
        <w:t xml:space="preserve">3 ～4 </w:t>
      </w:r>
      <w:r>
        <w:rPr>
          <w:rFonts w:hint="eastAsia" w:hAnsi="宋体"/>
          <w:bCs/>
          <w:color w:val="auto"/>
          <w:szCs w:val="21"/>
          <w:lang w:eastAsia="zh-CN"/>
        </w:rPr>
        <w:t>）</w:t>
      </w:r>
      <w:r>
        <w:rPr>
          <w:rFonts w:hint="eastAsia" w:hAnsi="宋体" w:eastAsia="宋体"/>
          <w:bCs/>
          <w:color w:val="auto"/>
          <w:szCs w:val="21"/>
        </w:rPr>
        <w:t>次。滴灌浓度控制在0.3%～0.5%。结合叶面喷施高钙型中微量元素肥料，每</w:t>
      </w:r>
      <w:r>
        <w:rPr>
          <w:rFonts w:hint="eastAsia" w:hAnsi="宋体"/>
          <w:bCs/>
          <w:color w:val="auto"/>
          <w:szCs w:val="21"/>
          <w:lang w:eastAsia="zh-CN"/>
        </w:rPr>
        <w:t>（</w:t>
      </w:r>
      <w:r>
        <w:rPr>
          <w:rFonts w:hint="eastAsia" w:hAnsi="宋体" w:eastAsia="宋体"/>
          <w:bCs/>
          <w:color w:val="auto"/>
          <w:szCs w:val="21"/>
        </w:rPr>
        <w:t xml:space="preserve">15 ～20 </w:t>
      </w:r>
      <w:r>
        <w:rPr>
          <w:rFonts w:hint="eastAsia" w:hAnsi="宋体"/>
          <w:bCs/>
          <w:color w:val="auto"/>
          <w:szCs w:val="21"/>
          <w:lang w:eastAsia="zh-CN"/>
        </w:rPr>
        <w:t>）d</w:t>
      </w:r>
      <w:r>
        <w:rPr>
          <w:rFonts w:hint="eastAsia" w:hAnsi="宋体" w:eastAsia="宋体"/>
          <w:bCs/>
          <w:color w:val="auto"/>
          <w:szCs w:val="21"/>
        </w:rPr>
        <w:t>一次，共</w:t>
      </w:r>
      <w:r>
        <w:rPr>
          <w:rFonts w:hint="eastAsia" w:hAnsi="宋体"/>
          <w:bCs/>
          <w:color w:val="auto"/>
          <w:szCs w:val="21"/>
          <w:lang w:eastAsia="zh-CN"/>
        </w:rPr>
        <w:t>（</w:t>
      </w:r>
      <w:r>
        <w:rPr>
          <w:rFonts w:hint="eastAsia" w:hAnsi="宋体" w:eastAsia="宋体"/>
          <w:bCs/>
          <w:color w:val="auto"/>
          <w:szCs w:val="21"/>
        </w:rPr>
        <w:t>1 ～2</w:t>
      </w:r>
      <w:r>
        <w:rPr>
          <w:rFonts w:hint="eastAsia" w:hAnsi="宋体"/>
          <w:bCs/>
          <w:color w:val="auto"/>
          <w:szCs w:val="21"/>
          <w:lang w:eastAsia="zh-CN"/>
        </w:rPr>
        <w:t>）</w:t>
      </w:r>
      <w:r>
        <w:rPr>
          <w:rFonts w:hint="eastAsia" w:hAnsi="宋体" w:eastAsia="宋体"/>
          <w:bCs/>
          <w:color w:val="auto"/>
          <w:szCs w:val="21"/>
        </w:rPr>
        <w:t xml:space="preserve"> 次。</w:t>
      </w:r>
    </w:p>
    <w:p>
      <w:pPr>
        <w:spacing w:line="380" w:lineRule="exact"/>
        <w:jc w:val="left"/>
        <w:rPr>
          <w:rFonts w:hint="eastAsia" w:ascii="黑体" w:hAnsi="宋体" w:eastAsia="黑体"/>
          <w:color w:val="auto"/>
          <w:szCs w:val="21"/>
        </w:rPr>
      </w:pPr>
      <w:r>
        <w:rPr>
          <w:rFonts w:hint="eastAsia" w:ascii="黑体" w:hAnsi="宋体" w:eastAsia="黑体"/>
          <w:color w:val="auto"/>
          <w:szCs w:val="21"/>
          <w:lang w:val="en-US" w:eastAsia="zh-CN"/>
        </w:rPr>
        <w:t>10.2.4 采收期</w:t>
      </w:r>
    </w:p>
    <w:p>
      <w:pPr>
        <w:spacing w:line="400" w:lineRule="exact"/>
        <w:ind w:firstLine="420" w:firstLineChars="200"/>
        <w:rPr>
          <w:rFonts w:hint="eastAsia" w:hAnsi="宋体" w:eastAsia="宋体"/>
          <w:bCs/>
          <w:color w:val="auto"/>
          <w:szCs w:val="21"/>
        </w:rPr>
      </w:pPr>
      <w:r>
        <w:rPr>
          <w:rFonts w:hint="eastAsia" w:hAnsi="宋体" w:eastAsia="宋体"/>
          <w:bCs/>
          <w:color w:val="auto"/>
          <w:szCs w:val="21"/>
        </w:rPr>
        <w:t xml:space="preserve">第一花序果实开始采收至生产结束，适量灌水，田间持水量宜保持在60%～70%。每亩（667 </w:t>
      </w:r>
      <w:r>
        <w:rPr>
          <w:rFonts w:hint="eastAsia" w:hAnsi="宋体"/>
          <w:bCs/>
          <w:color w:val="auto"/>
          <w:szCs w:val="21"/>
          <w:lang w:eastAsia="zh-CN"/>
        </w:rPr>
        <w:t>m2</w:t>
      </w:r>
      <w:r>
        <w:rPr>
          <w:rFonts w:hint="eastAsia" w:hAnsi="宋体" w:eastAsia="宋体"/>
          <w:bCs/>
          <w:color w:val="auto"/>
          <w:szCs w:val="21"/>
        </w:rPr>
        <w:t xml:space="preserve">）每次施用高钾型水溶肥（N:P2O5:K2O=1:0.8:2）折纯量5 </w:t>
      </w:r>
      <w:r>
        <w:rPr>
          <w:rFonts w:hint="eastAsia" w:hAnsi="宋体"/>
          <w:bCs/>
          <w:color w:val="auto"/>
          <w:szCs w:val="21"/>
          <w:lang w:eastAsia="zh-CN"/>
        </w:rPr>
        <w:t>kg</w:t>
      </w:r>
      <w:r>
        <w:rPr>
          <w:rFonts w:hint="eastAsia" w:hAnsi="宋体" w:eastAsia="宋体"/>
          <w:bCs/>
          <w:color w:val="auto"/>
          <w:szCs w:val="21"/>
        </w:rPr>
        <w:t>，每</w:t>
      </w:r>
      <w:r>
        <w:rPr>
          <w:rFonts w:hint="eastAsia" w:hAnsi="宋体"/>
          <w:bCs/>
          <w:color w:val="auto"/>
          <w:szCs w:val="21"/>
          <w:lang w:eastAsia="zh-CN"/>
        </w:rPr>
        <w:t>（</w:t>
      </w:r>
      <w:r>
        <w:rPr>
          <w:rFonts w:hint="eastAsia" w:hAnsi="宋体" w:eastAsia="宋体"/>
          <w:bCs/>
          <w:color w:val="auto"/>
          <w:szCs w:val="21"/>
        </w:rPr>
        <w:t xml:space="preserve">10 ～15 </w:t>
      </w:r>
      <w:r>
        <w:rPr>
          <w:rFonts w:hint="eastAsia" w:hAnsi="宋体"/>
          <w:bCs/>
          <w:color w:val="auto"/>
          <w:szCs w:val="21"/>
          <w:lang w:eastAsia="zh-CN"/>
        </w:rPr>
        <w:t>）d</w:t>
      </w:r>
      <w:r>
        <w:rPr>
          <w:rFonts w:hint="eastAsia" w:hAnsi="宋体" w:eastAsia="宋体"/>
          <w:bCs/>
          <w:color w:val="auto"/>
          <w:szCs w:val="21"/>
        </w:rPr>
        <w:t>一次，至生产结束前</w:t>
      </w:r>
      <w:r>
        <w:rPr>
          <w:rFonts w:hint="eastAsia" w:hAnsi="宋体"/>
          <w:bCs/>
          <w:color w:val="auto"/>
          <w:szCs w:val="21"/>
          <w:lang w:eastAsia="zh-CN"/>
        </w:rPr>
        <w:t>（</w:t>
      </w:r>
      <w:r>
        <w:rPr>
          <w:rFonts w:hint="eastAsia" w:hAnsi="宋体" w:eastAsia="宋体"/>
          <w:bCs/>
          <w:color w:val="auto"/>
          <w:szCs w:val="21"/>
        </w:rPr>
        <w:t xml:space="preserve">10 ～15 </w:t>
      </w:r>
      <w:r>
        <w:rPr>
          <w:rFonts w:hint="eastAsia" w:hAnsi="宋体"/>
          <w:bCs/>
          <w:color w:val="auto"/>
          <w:szCs w:val="21"/>
          <w:lang w:eastAsia="zh-CN"/>
        </w:rPr>
        <w:t>）d</w:t>
      </w:r>
      <w:r>
        <w:rPr>
          <w:rFonts w:hint="eastAsia" w:hAnsi="宋体" w:eastAsia="宋体"/>
          <w:bCs/>
          <w:color w:val="auto"/>
          <w:szCs w:val="21"/>
        </w:rPr>
        <w:t>停止施肥，滴灌浓度控制在0.3%～0.5%，冬春设施栽培番茄共施肥</w:t>
      </w:r>
      <w:r>
        <w:rPr>
          <w:rFonts w:hint="eastAsia" w:hAnsi="宋体"/>
          <w:bCs/>
          <w:color w:val="auto"/>
          <w:szCs w:val="21"/>
          <w:lang w:eastAsia="zh-CN"/>
        </w:rPr>
        <w:t>（</w:t>
      </w:r>
      <w:r>
        <w:rPr>
          <w:rFonts w:hint="eastAsia" w:hAnsi="宋体" w:eastAsia="宋体"/>
          <w:bCs/>
          <w:color w:val="auto"/>
          <w:szCs w:val="21"/>
        </w:rPr>
        <w:t xml:space="preserve">5 ～6 </w:t>
      </w:r>
      <w:r>
        <w:rPr>
          <w:rFonts w:hint="eastAsia" w:hAnsi="宋体"/>
          <w:bCs/>
          <w:color w:val="auto"/>
          <w:szCs w:val="21"/>
          <w:lang w:eastAsia="zh-CN"/>
        </w:rPr>
        <w:t>）</w:t>
      </w:r>
      <w:r>
        <w:rPr>
          <w:rFonts w:hint="eastAsia" w:hAnsi="宋体" w:eastAsia="宋体"/>
          <w:bCs/>
          <w:color w:val="auto"/>
          <w:szCs w:val="21"/>
        </w:rPr>
        <w:t>次，秋延后设施栽培番茄共施肥</w:t>
      </w:r>
      <w:r>
        <w:rPr>
          <w:rFonts w:hint="eastAsia" w:hAnsi="宋体"/>
          <w:bCs/>
          <w:color w:val="auto"/>
          <w:szCs w:val="21"/>
          <w:lang w:eastAsia="zh-CN"/>
        </w:rPr>
        <w:t>（</w:t>
      </w:r>
      <w:r>
        <w:rPr>
          <w:rFonts w:hint="eastAsia" w:hAnsi="宋体" w:eastAsia="宋体"/>
          <w:bCs/>
          <w:color w:val="auto"/>
          <w:szCs w:val="21"/>
        </w:rPr>
        <w:t>2 ～3</w:t>
      </w:r>
      <w:r>
        <w:rPr>
          <w:rFonts w:hint="eastAsia" w:hAnsi="宋体"/>
          <w:bCs/>
          <w:color w:val="auto"/>
          <w:szCs w:val="21"/>
          <w:lang w:eastAsia="zh-CN"/>
        </w:rPr>
        <w:t>）</w:t>
      </w:r>
      <w:r>
        <w:rPr>
          <w:rFonts w:hint="eastAsia" w:hAnsi="宋体" w:eastAsia="宋体"/>
          <w:bCs/>
          <w:color w:val="auto"/>
          <w:szCs w:val="21"/>
        </w:rPr>
        <w:t xml:space="preserve"> 次。结合叶面喷施钙镁型水溶肥料，每</w:t>
      </w:r>
      <w:r>
        <w:rPr>
          <w:rFonts w:hint="eastAsia" w:hAnsi="宋体"/>
          <w:bCs/>
          <w:color w:val="auto"/>
          <w:szCs w:val="21"/>
          <w:lang w:eastAsia="zh-CN"/>
        </w:rPr>
        <w:t>（</w:t>
      </w:r>
      <w:r>
        <w:rPr>
          <w:rFonts w:hint="eastAsia" w:hAnsi="宋体" w:eastAsia="宋体"/>
          <w:bCs/>
          <w:color w:val="auto"/>
          <w:szCs w:val="21"/>
        </w:rPr>
        <w:t>15 ～20</w:t>
      </w:r>
      <w:r>
        <w:rPr>
          <w:rFonts w:hint="eastAsia" w:hAnsi="宋体"/>
          <w:bCs/>
          <w:color w:val="auto"/>
          <w:szCs w:val="21"/>
          <w:lang w:eastAsia="zh-CN"/>
        </w:rPr>
        <w:t>）d</w:t>
      </w:r>
      <w:r>
        <w:rPr>
          <w:rFonts w:hint="eastAsia" w:hAnsi="宋体" w:eastAsia="宋体"/>
          <w:bCs/>
          <w:color w:val="auto"/>
          <w:szCs w:val="21"/>
        </w:rPr>
        <w:t>一次，共2 次～3 次。</w:t>
      </w:r>
    </w:p>
    <w:p>
      <w:pPr>
        <w:spacing w:line="380" w:lineRule="exact"/>
        <w:jc w:val="left"/>
        <w:rPr>
          <w:rFonts w:hint="eastAsia" w:ascii="黑体" w:hAnsi="宋体" w:eastAsia="黑体"/>
          <w:color w:val="auto"/>
          <w:szCs w:val="21"/>
        </w:rPr>
      </w:pPr>
      <w:r>
        <w:rPr>
          <w:rFonts w:hint="eastAsia" w:ascii="黑体" w:hAnsi="宋体" w:eastAsia="黑体"/>
          <w:color w:val="auto"/>
          <w:szCs w:val="21"/>
          <w:lang w:val="en-US" w:eastAsia="zh-CN"/>
        </w:rPr>
        <w:t>10</w:t>
      </w:r>
      <w:r>
        <w:rPr>
          <w:rFonts w:hint="eastAsia" w:ascii="黑体" w:hAnsi="宋体" w:eastAsia="黑体"/>
          <w:color w:val="auto"/>
          <w:szCs w:val="21"/>
        </w:rPr>
        <w:t>.</w:t>
      </w:r>
      <w:r>
        <w:rPr>
          <w:rFonts w:ascii="黑体" w:hAnsi="宋体" w:eastAsia="黑体"/>
          <w:color w:val="auto"/>
          <w:szCs w:val="21"/>
        </w:rPr>
        <w:t>3</w:t>
      </w:r>
      <w:r>
        <w:rPr>
          <w:rFonts w:hint="eastAsia" w:ascii="黑体" w:hAnsi="宋体" w:eastAsia="黑体"/>
          <w:color w:val="auto"/>
          <w:szCs w:val="21"/>
        </w:rPr>
        <w:t xml:space="preserve">  温湿度控制</w:t>
      </w:r>
    </w:p>
    <w:p>
      <w:pPr>
        <w:spacing w:line="400" w:lineRule="exact"/>
        <w:ind w:firstLine="420" w:firstLineChars="200"/>
        <w:rPr>
          <w:rFonts w:hAnsi="宋体"/>
          <w:bCs/>
          <w:color w:val="auto"/>
          <w:szCs w:val="21"/>
        </w:rPr>
      </w:pPr>
      <w:r>
        <w:rPr>
          <w:rFonts w:hint="eastAsia" w:hAnsi="宋体"/>
          <w:bCs/>
          <w:color w:val="auto"/>
          <w:szCs w:val="21"/>
        </w:rPr>
        <w:t>进入10 月份以后，气温下降，昼夜温差加大，早晚要密闭大棚保温，午后进行通风排湿，使大棚内保持适宜的温湿度。</w:t>
      </w:r>
    </w:p>
    <w:p>
      <w:pPr>
        <w:spacing w:line="400" w:lineRule="exact"/>
        <w:rPr>
          <w:rFonts w:ascii="黑体" w:hAnsi="宋体" w:eastAsia="黑体"/>
          <w:color w:val="auto"/>
          <w:szCs w:val="21"/>
        </w:rPr>
      </w:pPr>
    </w:p>
    <w:p>
      <w:pPr>
        <w:spacing w:line="400" w:lineRule="exact"/>
        <w:rPr>
          <w:rFonts w:ascii="黑体" w:hAnsi="宋体" w:eastAsia="黑体"/>
          <w:color w:val="auto"/>
          <w:szCs w:val="21"/>
        </w:rPr>
      </w:pPr>
      <w:r>
        <w:rPr>
          <w:rFonts w:hint="eastAsia" w:ascii="黑体" w:hAnsi="宋体" w:eastAsia="黑体"/>
          <w:color w:val="auto"/>
          <w:szCs w:val="21"/>
          <w:lang w:val="en-US" w:eastAsia="zh-CN"/>
        </w:rPr>
        <w:t>11</w:t>
      </w:r>
      <w:r>
        <w:rPr>
          <w:rFonts w:hint="eastAsia" w:ascii="黑体" w:hAnsi="宋体" w:eastAsia="黑体"/>
          <w:color w:val="auto"/>
          <w:szCs w:val="21"/>
        </w:rPr>
        <w:t xml:space="preserve">  病虫害防治</w:t>
      </w:r>
    </w:p>
    <w:p>
      <w:pPr>
        <w:spacing w:line="400" w:lineRule="exact"/>
        <w:ind w:firstLine="420" w:firstLineChars="200"/>
        <w:rPr>
          <w:rFonts w:ascii="宋体" w:hAnsi="宋体"/>
          <w:color w:val="auto"/>
          <w:szCs w:val="21"/>
        </w:rPr>
      </w:pPr>
    </w:p>
    <w:p>
      <w:pPr>
        <w:spacing w:line="380" w:lineRule="exact"/>
        <w:jc w:val="left"/>
        <w:rPr>
          <w:rFonts w:hint="eastAsia" w:ascii="黑体" w:hAnsi="宋体" w:eastAsia="黑体"/>
          <w:color w:val="auto"/>
          <w:szCs w:val="21"/>
        </w:rPr>
      </w:pPr>
      <w:r>
        <w:rPr>
          <w:rFonts w:hint="eastAsia" w:ascii="黑体" w:hAnsi="宋体" w:eastAsia="黑体"/>
          <w:color w:val="auto"/>
          <w:szCs w:val="21"/>
          <w:lang w:val="en-US" w:eastAsia="zh-CN"/>
        </w:rPr>
        <w:t>11</w:t>
      </w:r>
      <w:r>
        <w:rPr>
          <w:rFonts w:hint="eastAsia" w:ascii="黑体" w:hAnsi="宋体" w:eastAsia="黑体"/>
          <w:color w:val="auto"/>
          <w:szCs w:val="21"/>
        </w:rPr>
        <w:t>.</w:t>
      </w:r>
      <w:r>
        <w:rPr>
          <w:rFonts w:ascii="黑体" w:hAnsi="宋体" w:eastAsia="黑体"/>
          <w:color w:val="auto"/>
          <w:szCs w:val="21"/>
        </w:rPr>
        <w:t>1</w:t>
      </w:r>
      <w:r>
        <w:rPr>
          <w:rFonts w:hint="eastAsia" w:ascii="黑体" w:hAnsi="宋体" w:eastAsia="黑体"/>
          <w:color w:val="auto"/>
          <w:szCs w:val="21"/>
        </w:rPr>
        <w:t xml:space="preserve">  农业防治</w:t>
      </w:r>
    </w:p>
    <w:p>
      <w:pPr>
        <w:spacing w:line="400" w:lineRule="exact"/>
        <w:ind w:firstLine="420" w:firstLineChars="200"/>
        <w:rPr>
          <w:rFonts w:hAnsi="宋体"/>
          <w:bCs/>
          <w:color w:val="auto"/>
          <w:szCs w:val="21"/>
        </w:rPr>
      </w:pPr>
      <w:r>
        <w:rPr>
          <w:rFonts w:hint="eastAsia" w:hAnsi="宋体"/>
          <w:bCs/>
          <w:color w:val="auto"/>
          <w:szCs w:val="21"/>
        </w:rPr>
        <w:t>及时清除田间病叶、病果、病枝，减少传染机会。及时清除基部老黄叶片，以利通风透光。</w:t>
      </w:r>
    </w:p>
    <w:p>
      <w:pPr>
        <w:spacing w:line="400" w:lineRule="exact"/>
        <w:rPr>
          <w:rFonts w:hAnsi="宋体"/>
          <w:bCs/>
          <w:color w:val="auto"/>
          <w:szCs w:val="21"/>
        </w:rPr>
      </w:pPr>
      <w:r>
        <w:rPr>
          <w:rFonts w:hint="eastAsia" w:ascii="黑体" w:hAnsi="宋体" w:eastAsia="黑体"/>
          <w:color w:val="auto"/>
          <w:szCs w:val="21"/>
          <w:lang w:val="en-US" w:eastAsia="zh-CN"/>
        </w:rPr>
        <w:t>11</w:t>
      </w:r>
      <w:r>
        <w:rPr>
          <w:rFonts w:hint="eastAsia" w:ascii="黑体" w:hAnsi="宋体" w:eastAsia="黑体"/>
          <w:color w:val="auto"/>
          <w:szCs w:val="21"/>
        </w:rPr>
        <w:t>.</w:t>
      </w:r>
      <w:r>
        <w:rPr>
          <w:rFonts w:ascii="黑体" w:hAnsi="宋体" w:eastAsia="黑体"/>
          <w:color w:val="auto"/>
          <w:szCs w:val="21"/>
        </w:rPr>
        <w:t>2</w:t>
      </w:r>
      <w:r>
        <w:rPr>
          <w:rFonts w:hint="eastAsia" w:ascii="黑体" w:hAnsi="宋体" w:eastAsia="黑体"/>
          <w:color w:val="auto"/>
          <w:szCs w:val="21"/>
        </w:rPr>
        <w:t xml:space="preserve">  物理防治</w:t>
      </w:r>
    </w:p>
    <w:p>
      <w:pPr>
        <w:spacing w:line="400" w:lineRule="exact"/>
        <w:ind w:firstLine="420" w:firstLineChars="200"/>
        <w:rPr>
          <w:rFonts w:hAnsi="宋体"/>
          <w:bCs/>
          <w:color w:val="auto"/>
          <w:szCs w:val="21"/>
        </w:rPr>
      </w:pPr>
      <w:r>
        <w:rPr>
          <w:rFonts w:hint="eastAsia" w:hAnsi="宋体"/>
          <w:bCs/>
          <w:color w:val="auto"/>
          <w:szCs w:val="21"/>
        </w:rPr>
        <w:t>在大棚内张挂黄色诱虫板，高度与番茄植株顶端相持平，每公顷挂（</w:t>
      </w:r>
      <w:r>
        <w:rPr>
          <w:rFonts w:hAnsi="宋体"/>
          <w:bCs/>
          <w:color w:val="auto"/>
          <w:szCs w:val="21"/>
        </w:rPr>
        <w:t>45</w:t>
      </w:r>
      <w:r>
        <w:rPr>
          <w:rFonts w:hint="eastAsia" w:hAnsi="宋体"/>
          <w:bCs/>
          <w:color w:val="auto"/>
          <w:szCs w:val="21"/>
        </w:rPr>
        <w:t>0~</w:t>
      </w:r>
      <w:r>
        <w:rPr>
          <w:rFonts w:hAnsi="宋体"/>
          <w:bCs/>
          <w:color w:val="auto"/>
          <w:szCs w:val="21"/>
        </w:rPr>
        <w:t>60</w:t>
      </w:r>
      <w:r>
        <w:rPr>
          <w:rFonts w:hint="eastAsia" w:hAnsi="宋体"/>
          <w:bCs/>
          <w:color w:val="auto"/>
          <w:szCs w:val="21"/>
        </w:rPr>
        <w:t>0）块。有条件的可在大棚两侧通风口装上防虫网，减少害虫进入。</w:t>
      </w:r>
    </w:p>
    <w:p>
      <w:pPr>
        <w:spacing w:line="400" w:lineRule="exact"/>
        <w:rPr>
          <w:rFonts w:hAnsi="宋体"/>
          <w:bCs/>
          <w:color w:val="auto"/>
          <w:szCs w:val="21"/>
        </w:rPr>
      </w:pPr>
      <w:r>
        <w:rPr>
          <w:rFonts w:hint="eastAsia" w:ascii="黑体" w:hAnsi="宋体" w:eastAsia="黑体"/>
          <w:color w:val="auto"/>
          <w:szCs w:val="21"/>
          <w:lang w:val="en-US" w:eastAsia="zh-CN"/>
        </w:rPr>
        <w:t>11</w:t>
      </w:r>
      <w:r>
        <w:rPr>
          <w:rFonts w:hint="eastAsia" w:ascii="黑体" w:hAnsi="宋体" w:eastAsia="黑体"/>
          <w:color w:val="auto"/>
          <w:szCs w:val="21"/>
        </w:rPr>
        <w:t>.</w:t>
      </w:r>
      <w:r>
        <w:rPr>
          <w:rFonts w:ascii="黑体" w:hAnsi="宋体" w:eastAsia="黑体"/>
          <w:color w:val="auto"/>
          <w:szCs w:val="21"/>
        </w:rPr>
        <w:t>3</w:t>
      </w:r>
      <w:r>
        <w:rPr>
          <w:rFonts w:hint="eastAsia" w:ascii="黑体" w:hAnsi="宋体" w:eastAsia="黑体"/>
          <w:color w:val="auto"/>
          <w:szCs w:val="21"/>
        </w:rPr>
        <w:t xml:space="preserve">  化学防治</w:t>
      </w:r>
    </w:p>
    <w:p>
      <w:pPr>
        <w:spacing w:line="400" w:lineRule="exact"/>
        <w:ind w:firstLine="420" w:firstLineChars="200"/>
        <w:rPr>
          <w:rFonts w:hint="eastAsia" w:hAnsi="宋体"/>
          <w:bCs/>
          <w:color w:val="auto"/>
          <w:szCs w:val="21"/>
        </w:rPr>
      </w:pPr>
      <w:r>
        <w:rPr>
          <w:rFonts w:hint="eastAsia" w:hAnsi="宋体"/>
          <w:bCs/>
          <w:color w:val="auto"/>
          <w:szCs w:val="21"/>
        </w:rPr>
        <w:t>病毒病：发病初期喷施20% 吗啉胍. 乙酸铜可湿性粉剂（400~500）倍液，或5% 菌毒清水剂400 倍液，每隔（7~10）d喷一次，连喷（2~3）次。</w:t>
      </w:r>
    </w:p>
    <w:p>
      <w:pPr>
        <w:spacing w:line="400" w:lineRule="exact"/>
        <w:ind w:firstLine="420" w:firstLineChars="200"/>
        <w:rPr>
          <w:rFonts w:hint="eastAsia" w:hAnsi="宋体"/>
          <w:bCs/>
          <w:color w:val="auto"/>
          <w:szCs w:val="21"/>
        </w:rPr>
      </w:pPr>
      <w:r>
        <w:rPr>
          <w:rFonts w:hint="eastAsia" w:hAnsi="宋体"/>
          <w:bCs/>
          <w:color w:val="auto"/>
          <w:szCs w:val="21"/>
        </w:rPr>
        <w:t>晚疫病：发现中心病株后立即进行药剂防治，可用58% 甲霜灵锰锌可湿性粉剂800 倍液，或50% 的异菌脲（扑海因）可湿性粉剂1000 倍液，或64% 的噁霜锰锌（杀毒矾）可湿性粉剂500 倍液进行均匀喷施，每隔（7~8）d一次，连喷（2~3）次。</w:t>
      </w:r>
    </w:p>
    <w:p>
      <w:pPr>
        <w:spacing w:line="400" w:lineRule="exact"/>
        <w:ind w:firstLine="420" w:firstLineChars="200"/>
        <w:rPr>
          <w:rFonts w:hAnsi="宋体"/>
          <w:bCs/>
          <w:color w:val="auto"/>
          <w:szCs w:val="21"/>
        </w:rPr>
      </w:pPr>
      <w:r>
        <w:rPr>
          <w:rFonts w:hint="eastAsia" w:hAnsi="宋体"/>
          <w:bCs/>
          <w:color w:val="auto"/>
          <w:szCs w:val="21"/>
        </w:rPr>
        <w:t>蚜虫：如发现有蚜虫，可用2.5% 溴氰菊脂乳油500 倍液，或者10% 的吡虫啉可湿性粉剂3000 倍液，或1.8% 阿维菌素乳油4000 倍液进行防治。</w:t>
      </w:r>
    </w:p>
    <w:p>
      <w:pPr>
        <w:spacing w:line="400" w:lineRule="exact"/>
        <w:rPr>
          <w:rFonts w:ascii="黑体" w:hAnsi="宋体" w:eastAsia="黑体"/>
          <w:color w:val="auto"/>
          <w:szCs w:val="21"/>
        </w:rPr>
      </w:pPr>
    </w:p>
    <w:p>
      <w:pPr>
        <w:spacing w:line="400" w:lineRule="exact"/>
        <w:rPr>
          <w:rFonts w:ascii="黑体" w:hAnsi="宋体" w:eastAsia="黑体"/>
          <w:color w:val="auto"/>
          <w:szCs w:val="21"/>
        </w:rPr>
      </w:pPr>
      <w:r>
        <w:rPr>
          <w:rFonts w:ascii="黑体" w:hAnsi="宋体" w:eastAsia="黑体"/>
          <w:color w:val="auto"/>
          <w:szCs w:val="21"/>
        </w:rPr>
        <w:t>1</w:t>
      </w:r>
      <w:r>
        <w:rPr>
          <w:rFonts w:hint="eastAsia" w:ascii="黑体" w:hAnsi="宋体" w:eastAsia="黑体"/>
          <w:color w:val="auto"/>
          <w:szCs w:val="21"/>
          <w:lang w:val="en-US" w:eastAsia="zh-CN"/>
        </w:rPr>
        <w:t>2</w:t>
      </w:r>
      <w:r>
        <w:rPr>
          <w:rFonts w:hint="eastAsia" w:ascii="黑体" w:hAnsi="宋体" w:eastAsia="黑体"/>
          <w:color w:val="auto"/>
          <w:szCs w:val="21"/>
        </w:rPr>
        <w:t xml:space="preserve">  采收</w:t>
      </w:r>
    </w:p>
    <w:p>
      <w:pPr>
        <w:spacing w:line="400" w:lineRule="exact"/>
        <w:ind w:firstLine="420" w:firstLineChars="200"/>
        <w:rPr>
          <w:rFonts w:ascii="宋体" w:hAnsi="宋体"/>
          <w:color w:val="auto"/>
          <w:szCs w:val="21"/>
        </w:rPr>
        <w:sectPr>
          <w:headerReference r:id="rId14" w:type="default"/>
          <w:footerReference r:id="rId15" w:type="default"/>
          <w:pgSz w:w="11906" w:h="16838"/>
          <w:pgMar w:top="1440" w:right="1418" w:bottom="1559" w:left="1418" w:header="851" w:footer="992" w:gutter="0"/>
          <w:cols w:space="720" w:num="1"/>
        </w:sectPr>
      </w:pPr>
      <w:r>
        <w:rPr>
          <w:rFonts w:hint="eastAsia" w:ascii="宋体" w:hAnsi="宋体"/>
          <w:color w:val="auto"/>
          <w:szCs w:val="21"/>
        </w:rPr>
        <w:t>秋延后大棚番茄一般于8月中下旬开始采收，10月中下旬收获结束。对还未转色成熟的番茄果实要及时采收，在室内覆盖棚膜进行堆放，避免果实受冻，待果实充分成熟后，挑选商品性好的果实进行销售。</w:t>
      </w:r>
    </w:p>
    <w:p>
      <w:pPr>
        <w:spacing w:line="400" w:lineRule="exact"/>
        <w:jc w:val="center"/>
        <w:rPr>
          <w:rFonts w:hint="eastAsia" w:ascii="黑体" w:hAnsi="黑体" w:eastAsia="黑体" w:cs="宋体-方正超大字符集"/>
          <w:color w:val="auto"/>
          <w:szCs w:val="21"/>
        </w:rPr>
      </w:pPr>
      <w:r>
        <w:rPr>
          <w:rFonts w:hint="eastAsia" w:ascii="黑体" w:hAnsi="黑体" w:eastAsia="黑体" w:cs="宋体-方正超大字符集"/>
          <w:color w:val="auto"/>
          <w:szCs w:val="21"/>
        </w:rPr>
        <w:t>附  录  A</w:t>
      </w:r>
    </w:p>
    <w:p>
      <w:pPr>
        <w:spacing w:line="400" w:lineRule="exact"/>
        <w:jc w:val="center"/>
        <w:rPr>
          <w:rFonts w:hint="eastAsia" w:ascii="黑体" w:hAnsi="黑体" w:eastAsia="黑体" w:cs="宋体-方正超大字符集"/>
          <w:color w:val="auto"/>
          <w:szCs w:val="21"/>
        </w:rPr>
      </w:pPr>
      <w:r>
        <w:rPr>
          <w:rFonts w:hint="eastAsia" w:ascii="黑体" w:hAnsi="黑体" w:eastAsia="黑体" w:cs="宋体-方正超大字符集"/>
          <w:color w:val="auto"/>
          <w:szCs w:val="21"/>
        </w:rPr>
        <w:t>（资料性目录）</w:t>
      </w:r>
    </w:p>
    <w:p>
      <w:pPr>
        <w:spacing w:line="400" w:lineRule="exact"/>
        <w:jc w:val="center"/>
        <w:rPr>
          <w:rFonts w:hint="eastAsia" w:ascii="黑体" w:hAnsi="黑体" w:eastAsia="黑体" w:cs="宋体-方正超大字符集"/>
          <w:color w:val="auto"/>
          <w:szCs w:val="21"/>
        </w:rPr>
      </w:pPr>
      <w:r>
        <w:rPr>
          <w:rFonts w:hint="eastAsia" w:ascii="黑体" w:hAnsi="黑体" w:eastAsia="黑体" w:cs="宋体-方正超大字符集"/>
          <w:color w:val="auto"/>
          <w:szCs w:val="21"/>
        </w:rPr>
        <w:t>大棚秋延后番茄主要病虫害防治</w:t>
      </w:r>
    </w:p>
    <w:p>
      <w:pPr>
        <w:spacing w:before="120" w:beforeLines="50" w:after="120" w:afterLines="50" w:line="560" w:lineRule="exact"/>
        <w:jc w:val="center"/>
        <w:rPr>
          <w:rFonts w:hint="eastAsia" w:ascii="黑体" w:hAnsi="黑体" w:eastAsia="黑体" w:cs="宋体-方正超大字符集"/>
          <w:color w:val="auto"/>
          <w:szCs w:val="21"/>
        </w:rPr>
      </w:pPr>
      <w:r>
        <w:rPr>
          <w:rFonts w:hint="eastAsia" w:ascii="黑体" w:hAnsi="黑体" w:eastAsia="黑体" w:cs="宋体-方正超大字符集"/>
          <w:color w:val="auto"/>
          <w:szCs w:val="21"/>
        </w:rPr>
        <w:t>表A</w:t>
      </w:r>
      <w:r>
        <w:rPr>
          <w:rFonts w:hint="eastAsia" w:ascii="宋体" w:hAnsi="宋体" w:cs="宋体"/>
          <w:b/>
          <w:color w:val="auto"/>
          <w:kern w:val="0"/>
          <w:szCs w:val="21"/>
        </w:rPr>
        <w:t xml:space="preserve">  </w:t>
      </w:r>
      <w:r>
        <w:rPr>
          <w:rFonts w:hint="eastAsia" w:ascii="黑体" w:hAnsi="黑体" w:eastAsia="黑体" w:cs="宋体-方正超大字符集"/>
          <w:color w:val="auto"/>
          <w:szCs w:val="21"/>
        </w:rPr>
        <w:t>番茄主要病虫害防治方法</w:t>
      </w:r>
    </w:p>
    <w:tbl>
      <w:tblPr>
        <w:tblStyle w:val="11"/>
        <w:tblW w:w="927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4"/>
        <w:gridCol w:w="1559"/>
        <w:gridCol w:w="3402"/>
        <w:gridCol w:w="1843"/>
        <w:gridCol w:w="709"/>
        <w:gridCol w:w="106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0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rFonts w:hint="eastAsia"/>
                <w:color w:val="auto"/>
                <w:sz w:val="18"/>
                <w:szCs w:val="18"/>
              </w:rPr>
              <w:t>项目</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rFonts w:hint="eastAsia"/>
                <w:color w:val="auto"/>
                <w:sz w:val="18"/>
                <w:szCs w:val="18"/>
              </w:rPr>
              <w:t>病虫害</w:t>
            </w:r>
          </w:p>
        </w:tc>
        <w:tc>
          <w:tcPr>
            <w:tcW w:w="3402"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rFonts w:hint="eastAsia"/>
                <w:color w:val="auto"/>
                <w:sz w:val="18"/>
                <w:szCs w:val="18"/>
              </w:rPr>
              <w:t>药剂、规格</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34" w:firstLineChars="19"/>
              <w:jc w:val="center"/>
              <w:rPr>
                <w:color w:val="auto"/>
                <w:sz w:val="18"/>
                <w:szCs w:val="18"/>
              </w:rPr>
            </w:pPr>
            <w:r>
              <w:rPr>
                <w:color w:val="auto"/>
                <w:sz w:val="18"/>
                <w:szCs w:val="18"/>
              </w:rPr>
              <w:t>使用方法</w:t>
            </w:r>
          </w:p>
        </w:tc>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rFonts w:hint="eastAsia"/>
                <w:color w:val="auto"/>
                <w:sz w:val="18"/>
                <w:szCs w:val="18"/>
              </w:rPr>
              <w:t>防治</w:t>
            </w:r>
            <w:r>
              <w:rPr>
                <w:color w:val="auto"/>
                <w:sz w:val="18"/>
                <w:szCs w:val="18"/>
              </w:rPr>
              <w:t>次数</w:t>
            </w:r>
          </w:p>
        </w:tc>
        <w:tc>
          <w:tcPr>
            <w:tcW w:w="1061"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安全间隔</w:t>
            </w:r>
            <w:r>
              <w:rPr>
                <w:rFonts w:hint="eastAsia"/>
                <w:color w:val="auto"/>
                <w:sz w:val="18"/>
                <w:szCs w:val="18"/>
              </w:rPr>
              <w:t>期</w:t>
            </w:r>
            <w:r>
              <w:rPr>
                <w:color w:val="auto"/>
                <w:sz w:val="18"/>
                <w:szCs w:val="18"/>
              </w:rPr>
              <w:t>（d）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04" w:type="dxa"/>
            <w:vMerge w:val="restart"/>
            <w:tcBorders>
              <w:top w:val="single" w:color="auto" w:sz="4" w:space="0"/>
              <w:left w:val="single" w:color="auto" w:sz="4" w:space="0"/>
              <w:right w:val="single" w:color="auto" w:sz="4" w:space="0"/>
            </w:tcBorders>
            <w:noWrap w:val="0"/>
            <w:vAlign w:val="center"/>
          </w:tcPr>
          <w:p>
            <w:pPr>
              <w:spacing w:line="260" w:lineRule="exact"/>
              <w:rPr>
                <w:color w:val="auto"/>
                <w:sz w:val="18"/>
                <w:szCs w:val="18"/>
              </w:rPr>
            </w:pPr>
            <w:r>
              <w:rPr>
                <w:rFonts w:hint="eastAsia"/>
                <w:color w:val="auto"/>
                <w:sz w:val="18"/>
                <w:szCs w:val="18"/>
              </w:rPr>
              <w:t>病害</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猝倒病</w:t>
            </w:r>
          </w:p>
        </w:tc>
        <w:tc>
          <w:tcPr>
            <w:tcW w:w="3402"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20%甲基立枯磷乳油</w:t>
            </w:r>
          </w:p>
          <w:p>
            <w:pPr>
              <w:spacing w:line="260" w:lineRule="exact"/>
              <w:jc w:val="center"/>
              <w:rPr>
                <w:color w:val="auto"/>
                <w:sz w:val="18"/>
                <w:szCs w:val="18"/>
              </w:rPr>
            </w:pPr>
            <w:r>
              <w:rPr>
                <w:color w:val="auto"/>
                <w:sz w:val="18"/>
                <w:szCs w:val="18"/>
              </w:rPr>
              <w:t>64％杀毒矾可湿性粉剂</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right="-94" w:rightChars="-45"/>
              <w:jc w:val="center"/>
              <w:rPr>
                <w:color w:val="auto"/>
                <w:sz w:val="18"/>
                <w:szCs w:val="18"/>
              </w:rPr>
            </w:pPr>
            <w:r>
              <w:rPr>
                <w:color w:val="auto"/>
                <w:sz w:val="18"/>
                <w:szCs w:val="18"/>
              </w:rPr>
              <w:t>1200倍液喷雾</w:t>
            </w:r>
          </w:p>
          <w:p>
            <w:pPr>
              <w:spacing w:line="260" w:lineRule="exact"/>
              <w:ind w:right="-94" w:rightChars="-45"/>
              <w:jc w:val="center"/>
              <w:rPr>
                <w:color w:val="auto"/>
                <w:sz w:val="18"/>
                <w:szCs w:val="18"/>
              </w:rPr>
            </w:pPr>
            <w:r>
              <w:rPr>
                <w:color w:val="auto"/>
                <w:sz w:val="18"/>
                <w:szCs w:val="18"/>
              </w:rPr>
              <w:t>600倍液喷雾</w:t>
            </w:r>
          </w:p>
        </w:tc>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3</w:t>
            </w:r>
          </w:p>
          <w:p>
            <w:pPr>
              <w:spacing w:line="260" w:lineRule="exact"/>
              <w:jc w:val="center"/>
              <w:rPr>
                <w:color w:val="auto"/>
                <w:sz w:val="18"/>
                <w:szCs w:val="18"/>
              </w:rPr>
            </w:pPr>
            <w:r>
              <w:rPr>
                <w:color w:val="auto"/>
                <w:sz w:val="18"/>
                <w:szCs w:val="18"/>
              </w:rPr>
              <w:t>3</w:t>
            </w:r>
          </w:p>
        </w:tc>
        <w:tc>
          <w:tcPr>
            <w:tcW w:w="1061"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7</w:t>
            </w:r>
          </w:p>
          <w:p>
            <w:pPr>
              <w:spacing w:line="260" w:lineRule="exact"/>
              <w:jc w:val="center"/>
              <w:rPr>
                <w:color w:val="auto"/>
                <w:sz w:val="18"/>
                <w:szCs w:val="18"/>
              </w:rPr>
            </w:pPr>
            <w:r>
              <w:rPr>
                <w:color w:val="auto"/>
                <w:sz w:val="18"/>
                <w:szCs w:val="18"/>
              </w:rPr>
              <w:t>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04" w:type="dxa"/>
            <w:vMerge w:val="continue"/>
            <w:tcBorders>
              <w:left w:val="single" w:color="auto" w:sz="4" w:space="0"/>
              <w:right w:val="single" w:color="auto" w:sz="4" w:space="0"/>
            </w:tcBorders>
            <w:noWrap w:val="0"/>
            <w:vAlign w:val="center"/>
          </w:tcPr>
          <w:p>
            <w:pPr>
              <w:spacing w:line="260" w:lineRule="exact"/>
              <w:jc w:val="center"/>
              <w:rPr>
                <w:color w:val="auto"/>
                <w:sz w:val="18"/>
                <w:szCs w:val="18"/>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细菌性角斑病</w:t>
            </w:r>
          </w:p>
        </w:tc>
        <w:tc>
          <w:tcPr>
            <w:tcW w:w="3402"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72%农用链霉素可湿性粉剂</w:t>
            </w:r>
          </w:p>
          <w:p>
            <w:pPr>
              <w:spacing w:line="260" w:lineRule="exact"/>
              <w:jc w:val="center"/>
              <w:rPr>
                <w:color w:val="auto"/>
                <w:sz w:val="18"/>
                <w:szCs w:val="18"/>
              </w:rPr>
            </w:pPr>
            <w:r>
              <w:rPr>
                <w:color w:val="auto"/>
                <w:sz w:val="18"/>
                <w:szCs w:val="18"/>
              </w:rPr>
              <w:t>70%敌克松可湿性粉剂</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4000倍液喷雾</w:t>
            </w:r>
          </w:p>
          <w:p>
            <w:pPr>
              <w:spacing w:line="260" w:lineRule="exact"/>
              <w:jc w:val="center"/>
              <w:rPr>
                <w:color w:val="auto"/>
                <w:sz w:val="18"/>
                <w:szCs w:val="18"/>
              </w:rPr>
            </w:pPr>
            <w:r>
              <w:rPr>
                <w:color w:val="auto"/>
                <w:sz w:val="18"/>
                <w:szCs w:val="18"/>
              </w:rPr>
              <w:t>1000倍液灌根</w:t>
            </w:r>
          </w:p>
        </w:tc>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3</w:t>
            </w:r>
          </w:p>
          <w:p>
            <w:pPr>
              <w:spacing w:line="260" w:lineRule="exact"/>
              <w:jc w:val="center"/>
              <w:rPr>
                <w:color w:val="auto"/>
                <w:sz w:val="18"/>
                <w:szCs w:val="18"/>
              </w:rPr>
            </w:pPr>
            <w:r>
              <w:rPr>
                <w:color w:val="auto"/>
                <w:sz w:val="18"/>
                <w:szCs w:val="18"/>
              </w:rPr>
              <w:t>3</w:t>
            </w:r>
          </w:p>
        </w:tc>
        <w:tc>
          <w:tcPr>
            <w:tcW w:w="1061"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7</w:t>
            </w:r>
          </w:p>
          <w:p>
            <w:pPr>
              <w:spacing w:line="260" w:lineRule="exact"/>
              <w:jc w:val="center"/>
              <w:rPr>
                <w:color w:val="auto"/>
                <w:sz w:val="18"/>
                <w:szCs w:val="18"/>
              </w:rPr>
            </w:pPr>
            <w:r>
              <w:rPr>
                <w:color w:val="auto"/>
                <w:sz w:val="18"/>
                <w:szCs w:val="18"/>
              </w:rPr>
              <w:t>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04" w:type="dxa"/>
            <w:vMerge w:val="continue"/>
            <w:tcBorders>
              <w:left w:val="single" w:color="auto" w:sz="4" w:space="0"/>
              <w:right w:val="single" w:color="auto" w:sz="4" w:space="0"/>
            </w:tcBorders>
            <w:noWrap w:val="0"/>
            <w:vAlign w:val="center"/>
          </w:tcPr>
          <w:p>
            <w:pPr>
              <w:spacing w:line="260" w:lineRule="exact"/>
              <w:jc w:val="center"/>
              <w:rPr>
                <w:color w:val="auto"/>
                <w:sz w:val="18"/>
                <w:szCs w:val="18"/>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灰霉病</w:t>
            </w:r>
          </w:p>
        </w:tc>
        <w:tc>
          <w:tcPr>
            <w:tcW w:w="3402"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shd w:val="clear" w:color="auto" w:fill="FFFFFF"/>
              </w:rPr>
            </w:pPr>
            <w:r>
              <w:rPr>
                <w:color w:val="auto"/>
                <w:sz w:val="18"/>
                <w:szCs w:val="18"/>
                <w:shd w:val="clear" w:color="auto" w:fill="FFFFFF"/>
              </w:rPr>
              <w:t>50%速克灵</w:t>
            </w:r>
            <w:r>
              <w:rPr>
                <w:color w:val="auto"/>
                <w:sz w:val="18"/>
                <w:szCs w:val="18"/>
              </w:rPr>
              <w:t>可湿性粉剂</w:t>
            </w:r>
          </w:p>
          <w:p>
            <w:pPr>
              <w:spacing w:line="260" w:lineRule="exact"/>
              <w:jc w:val="center"/>
              <w:rPr>
                <w:color w:val="auto"/>
                <w:sz w:val="18"/>
                <w:szCs w:val="18"/>
              </w:rPr>
            </w:pPr>
            <w:r>
              <w:rPr>
                <w:color w:val="auto"/>
                <w:sz w:val="18"/>
                <w:szCs w:val="18"/>
                <w:shd w:val="clear" w:color="auto" w:fill="FFFFFF"/>
              </w:rPr>
              <w:t>50%灰霉灵</w:t>
            </w:r>
            <w:r>
              <w:rPr>
                <w:color w:val="auto"/>
                <w:sz w:val="18"/>
                <w:szCs w:val="18"/>
              </w:rPr>
              <w:t>可湿性粉剂</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right="-94" w:rightChars="-45"/>
              <w:jc w:val="center"/>
              <w:rPr>
                <w:color w:val="auto"/>
                <w:sz w:val="18"/>
                <w:szCs w:val="18"/>
              </w:rPr>
            </w:pPr>
            <w:r>
              <w:rPr>
                <w:color w:val="auto"/>
                <w:sz w:val="18"/>
                <w:szCs w:val="18"/>
              </w:rPr>
              <w:t>1500倍液喷雾</w:t>
            </w:r>
          </w:p>
          <w:p>
            <w:pPr>
              <w:spacing w:line="260" w:lineRule="exact"/>
              <w:jc w:val="center"/>
              <w:rPr>
                <w:color w:val="auto"/>
                <w:sz w:val="18"/>
                <w:szCs w:val="18"/>
              </w:rPr>
            </w:pPr>
            <w:r>
              <w:rPr>
                <w:color w:val="auto"/>
                <w:sz w:val="18"/>
                <w:szCs w:val="18"/>
              </w:rPr>
              <w:t>500倍液喷雾</w:t>
            </w:r>
          </w:p>
        </w:tc>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3</w:t>
            </w:r>
          </w:p>
          <w:p>
            <w:pPr>
              <w:spacing w:line="260" w:lineRule="exact"/>
              <w:jc w:val="center"/>
              <w:rPr>
                <w:color w:val="auto"/>
                <w:sz w:val="18"/>
                <w:szCs w:val="18"/>
              </w:rPr>
            </w:pPr>
            <w:r>
              <w:rPr>
                <w:color w:val="auto"/>
                <w:sz w:val="18"/>
                <w:szCs w:val="18"/>
              </w:rPr>
              <w:t>3</w:t>
            </w:r>
          </w:p>
        </w:tc>
        <w:tc>
          <w:tcPr>
            <w:tcW w:w="1061"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7</w:t>
            </w:r>
          </w:p>
          <w:p>
            <w:pPr>
              <w:spacing w:line="260" w:lineRule="exact"/>
              <w:jc w:val="center"/>
              <w:rPr>
                <w:color w:val="auto"/>
                <w:sz w:val="18"/>
                <w:szCs w:val="18"/>
              </w:rPr>
            </w:pPr>
            <w:r>
              <w:rPr>
                <w:color w:val="auto"/>
                <w:sz w:val="18"/>
                <w:szCs w:val="18"/>
              </w:rPr>
              <w:t>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04" w:type="dxa"/>
            <w:vMerge w:val="continue"/>
            <w:tcBorders>
              <w:left w:val="single" w:color="auto" w:sz="4" w:space="0"/>
              <w:right w:val="single" w:color="auto" w:sz="4" w:space="0"/>
            </w:tcBorders>
            <w:noWrap w:val="0"/>
            <w:vAlign w:val="center"/>
          </w:tcPr>
          <w:p>
            <w:pPr>
              <w:spacing w:line="260" w:lineRule="exact"/>
              <w:jc w:val="center"/>
              <w:rPr>
                <w:color w:val="auto"/>
                <w:sz w:val="18"/>
                <w:szCs w:val="18"/>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疫病</w:t>
            </w:r>
          </w:p>
        </w:tc>
        <w:tc>
          <w:tcPr>
            <w:tcW w:w="3402"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40%乙膦铝粉剂</w:t>
            </w:r>
          </w:p>
          <w:p>
            <w:pPr>
              <w:spacing w:line="260" w:lineRule="exact"/>
              <w:jc w:val="center"/>
              <w:rPr>
                <w:color w:val="auto"/>
                <w:sz w:val="18"/>
                <w:szCs w:val="18"/>
              </w:rPr>
            </w:pPr>
            <w:r>
              <w:rPr>
                <w:color w:val="auto"/>
                <w:sz w:val="18"/>
                <w:szCs w:val="18"/>
              </w:rPr>
              <w:t>75%百菌清粉剂</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right="-94" w:rightChars="-45"/>
              <w:jc w:val="center"/>
              <w:rPr>
                <w:color w:val="auto"/>
                <w:sz w:val="18"/>
                <w:szCs w:val="18"/>
              </w:rPr>
            </w:pPr>
            <w:r>
              <w:rPr>
                <w:color w:val="auto"/>
                <w:sz w:val="18"/>
                <w:szCs w:val="18"/>
              </w:rPr>
              <w:t>300倍液喷雾</w:t>
            </w:r>
          </w:p>
          <w:p>
            <w:pPr>
              <w:spacing w:line="260" w:lineRule="exact"/>
              <w:jc w:val="center"/>
              <w:rPr>
                <w:color w:val="auto"/>
                <w:sz w:val="18"/>
                <w:szCs w:val="18"/>
              </w:rPr>
            </w:pPr>
            <w:r>
              <w:rPr>
                <w:color w:val="auto"/>
                <w:sz w:val="18"/>
                <w:szCs w:val="18"/>
              </w:rPr>
              <w:t>500倍液喷雾</w:t>
            </w:r>
          </w:p>
        </w:tc>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3</w:t>
            </w:r>
          </w:p>
          <w:p>
            <w:pPr>
              <w:spacing w:line="260" w:lineRule="exact"/>
              <w:jc w:val="center"/>
              <w:rPr>
                <w:color w:val="auto"/>
                <w:sz w:val="18"/>
                <w:szCs w:val="18"/>
              </w:rPr>
            </w:pPr>
            <w:r>
              <w:rPr>
                <w:color w:val="auto"/>
                <w:sz w:val="18"/>
                <w:szCs w:val="18"/>
              </w:rPr>
              <w:t>3</w:t>
            </w:r>
          </w:p>
        </w:tc>
        <w:tc>
          <w:tcPr>
            <w:tcW w:w="1061"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7</w:t>
            </w:r>
          </w:p>
          <w:p>
            <w:pPr>
              <w:spacing w:line="260" w:lineRule="exact"/>
              <w:jc w:val="center"/>
              <w:rPr>
                <w:color w:val="auto"/>
                <w:sz w:val="18"/>
                <w:szCs w:val="18"/>
              </w:rPr>
            </w:pPr>
            <w:r>
              <w:rPr>
                <w:color w:val="auto"/>
                <w:sz w:val="18"/>
                <w:szCs w:val="18"/>
              </w:rPr>
              <w:t>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04" w:type="dxa"/>
            <w:vMerge w:val="continue"/>
            <w:tcBorders>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病毒病</w:t>
            </w:r>
          </w:p>
        </w:tc>
        <w:tc>
          <w:tcPr>
            <w:tcW w:w="3402"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20%毒克星（病毒A）可湿性粉剂</w:t>
            </w:r>
          </w:p>
          <w:p>
            <w:pPr>
              <w:spacing w:line="260" w:lineRule="exact"/>
              <w:jc w:val="center"/>
              <w:rPr>
                <w:color w:val="auto"/>
                <w:sz w:val="18"/>
                <w:szCs w:val="18"/>
              </w:rPr>
            </w:pPr>
            <w:r>
              <w:rPr>
                <w:color w:val="auto"/>
                <w:sz w:val="18"/>
                <w:szCs w:val="18"/>
              </w:rPr>
              <w:t>5%菌毒清可湿性粉剂</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500倍液喷雾</w:t>
            </w:r>
          </w:p>
          <w:p>
            <w:pPr>
              <w:spacing w:line="260" w:lineRule="exact"/>
              <w:jc w:val="center"/>
              <w:rPr>
                <w:color w:val="auto"/>
                <w:sz w:val="18"/>
                <w:szCs w:val="18"/>
              </w:rPr>
            </w:pPr>
            <w:r>
              <w:rPr>
                <w:color w:val="auto"/>
                <w:sz w:val="18"/>
                <w:szCs w:val="18"/>
              </w:rPr>
              <w:t>300倍液喷雾</w:t>
            </w:r>
          </w:p>
        </w:tc>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3</w:t>
            </w:r>
          </w:p>
          <w:p>
            <w:pPr>
              <w:spacing w:line="260" w:lineRule="exact"/>
              <w:jc w:val="center"/>
              <w:rPr>
                <w:color w:val="auto"/>
                <w:sz w:val="18"/>
                <w:szCs w:val="18"/>
              </w:rPr>
            </w:pPr>
            <w:r>
              <w:rPr>
                <w:color w:val="auto"/>
                <w:sz w:val="18"/>
                <w:szCs w:val="18"/>
              </w:rPr>
              <w:t>3</w:t>
            </w:r>
          </w:p>
        </w:tc>
        <w:tc>
          <w:tcPr>
            <w:tcW w:w="1061"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7</w:t>
            </w:r>
          </w:p>
          <w:p>
            <w:pPr>
              <w:spacing w:line="260" w:lineRule="exact"/>
              <w:jc w:val="center"/>
              <w:rPr>
                <w:color w:val="auto"/>
                <w:sz w:val="18"/>
                <w:szCs w:val="18"/>
              </w:rPr>
            </w:pPr>
            <w:r>
              <w:rPr>
                <w:color w:val="auto"/>
                <w:sz w:val="18"/>
                <w:szCs w:val="18"/>
              </w:rPr>
              <w:t>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04" w:type="dxa"/>
            <w:vMerge w:val="restart"/>
            <w:tcBorders>
              <w:top w:val="single" w:color="auto" w:sz="4" w:space="0"/>
              <w:left w:val="single" w:color="auto" w:sz="4" w:space="0"/>
              <w:right w:val="single" w:color="auto" w:sz="4" w:space="0"/>
            </w:tcBorders>
            <w:noWrap w:val="0"/>
            <w:vAlign w:val="center"/>
          </w:tcPr>
          <w:p>
            <w:pPr>
              <w:spacing w:line="260" w:lineRule="exact"/>
              <w:jc w:val="center"/>
              <w:rPr>
                <w:color w:val="auto"/>
                <w:sz w:val="18"/>
                <w:szCs w:val="18"/>
              </w:rPr>
            </w:pPr>
            <w:r>
              <w:rPr>
                <w:rFonts w:hint="eastAsia"/>
                <w:color w:val="auto"/>
                <w:sz w:val="18"/>
                <w:szCs w:val="18"/>
              </w:rPr>
              <w:t>虫害</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蚜虫</w:t>
            </w:r>
          </w:p>
        </w:tc>
        <w:tc>
          <w:tcPr>
            <w:tcW w:w="3402"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10％吡虫啉可湿性粉剂</w:t>
            </w:r>
          </w:p>
          <w:p>
            <w:pPr>
              <w:spacing w:line="260" w:lineRule="exact"/>
              <w:jc w:val="center"/>
              <w:rPr>
                <w:color w:val="auto"/>
                <w:sz w:val="18"/>
                <w:szCs w:val="18"/>
              </w:rPr>
            </w:pPr>
            <w:r>
              <w:rPr>
                <w:color w:val="auto"/>
                <w:sz w:val="18"/>
                <w:szCs w:val="18"/>
              </w:rPr>
              <w:t>2.5%联苯菊酯乳油</w:t>
            </w:r>
          </w:p>
          <w:p>
            <w:pPr>
              <w:spacing w:line="260" w:lineRule="exact"/>
              <w:jc w:val="center"/>
              <w:rPr>
                <w:color w:val="auto"/>
                <w:sz w:val="18"/>
                <w:szCs w:val="18"/>
              </w:rPr>
            </w:pPr>
            <w:r>
              <w:rPr>
                <w:color w:val="auto"/>
                <w:sz w:val="18"/>
                <w:szCs w:val="18"/>
              </w:rPr>
              <w:t>2.5%高效氯氟氰菊酯乳油</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1000倍液喷雾</w:t>
            </w:r>
          </w:p>
          <w:p>
            <w:pPr>
              <w:spacing w:line="260" w:lineRule="exact"/>
              <w:jc w:val="center"/>
              <w:rPr>
                <w:color w:val="auto"/>
                <w:sz w:val="18"/>
                <w:szCs w:val="18"/>
              </w:rPr>
            </w:pPr>
            <w:r>
              <w:rPr>
                <w:color w:val="auto"/>
                <w:sz w:val="18"/>
                <w:szCs w:val="18"/>
              </w:rPr>
              <w:t>2000倍液喷雾</w:t>
            </w:r>
          </w:p>
          <w:p>
            <w:pPr>
              <w:spacing w:line="260" w:lineRule="exact"/>
              <w:jc w:val="center"/>
              <w:rPr>
                <w:color w:val="auto"/>
                <w:sz w:val="18"/>
                <w:szCs w:val="18"/>
              </w:rPr>
            </w:pPr>
            <w:r>
              <w:rPr>
                <w:color w:val="auto"/>
                <w:sz w:val="18"/>
                <w:szCs w:val="18"/>
              </w:rPr>
              <w:t>2000倍液喷雾</w:t>
            </w:r>
          </w:p>
        </w:tc>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2</w:t>
            </w:r>
          </w:p>
          <w:p>
            <w:pPr>
              <w:spacing w:line="260" w:lineRule="exact"/>
              <w:jc w:val="center"/>
              <w:rPr>
                <w:color w:val="auto"/>
                <w:sz w:val="18"/>
                <w:szCs w:val="18"/>
              </w:rPr>
            </w:pPr>
            <w:r>
              <w:rPr>
                <w:color w:val="auto"/>
                <w:sz w:val="18"/>
                <w:szCs w:val="18"/>
              </w:rPr>
              <w:t>3</w:t>
            </w:r>
          </w:p>
          <w:p>
            <w:pPr>
              <w:spacing w:line="260" w:lineRule="exact"/>
              <w:jc w:val="center"/>
              <w:rPr>
                <w:color w:val="auto"/>
                <w:sz w:val="18"/>
                <w:szCs w:val="18"/>
              </w:rPr>
            </w:pPr>
            <w:r>
              <w:rPr>
                <w:color w:val="auto"/>
                <w:sz w:val="18"/>
                <w:szCs w:val="18"/>
              </w:rPr>
              <w:t>3</w:t>
            </w:r>
          </w:p>
        </w:tc>
        <w:tc>
          <w:tcPr>
            <w:tcW w:w="1061"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7</w:t>
            </w:r>
          </w:p>
          <w:p>
            <w:pPr>
              <w:spacing w:line="260" w:lineRule="exact"/>
              <w:jc w:val="center"/>
              <w:rPr>
                <w:color w:val="auto"/>
                <w:sz w:val="18"/>
                <w:szCs w:val="18"/>
              </w:rPr>
            </w:pPr>
            <w:r>
              <w:rPr>
                <w:color w:val="auto"/>
                <w:sz w:val="18"/>
                <w:szCs w:val="18"/>
              </w:rPr>
              <w:t>7</w:t>
            </w:r>
          </w:p>
          <w:p>
            <w:pPr>
              <w:spacing w:line="260" w:lineRule="exact"/>
              <w:jc w:val="center"/>
              <w:rPr>
                <w:color w:val="auto"/>
                <w:sz w:val="18"/>
                <w:szCs w:val="18"/>
              </w:rPr>
            </w:pPr>
            <w:r>
              <w:rPr>
                <w:color w:val="auto"/>
                <w:sz w:val="18"/>
                <w:szCs w:val="18"/>
              </w:rPr>
              <w:t>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04" w:type="dxa"/>
            <w:vMerge w:val="continue"/>
            <w:tcBorders>
              <w:left w:val="single" w:color="auto" w:sz="4" w:space="0"/>
              <w:right w:val="single" w:color="auto" w:sz="4" w:space="0"/>
            </w:tcBorders>
            <w:noWrap w:val="0"/>
            <w:vAlign w:val="center"/>
          </w:tcPr>
          <w:p>
            <w:pPr>
              <w:spacing w:line="260" w:lineRule="exact"/>
              <w:jc w:val="center"/>
              <w:rPr>
                <w:color w:val="auto"/>
                <w:sz w:val="18"/>
                <w:szCs w:val="18"/>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美洲斑潜蝇</w:t>
            </w:r>
          </w:p>
        </w:tc>
        <w:tc>
          <w:tcPr>
            <w:tcW w:w="3402"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shd w:val="clear" w:color="auto" w:fill="FFFFFF"/>
              </w:rPr>
            </w:pPr>
            <w:r>
              <w:rPr>
                <w:color w:val="auto"/>
                <w:sz w:val="18"/>
                <w:szCs w:val="18"/>
                <w:shd w:val="clear" w:color="auto" w:fill="FFFFFF"/>
              </w:rPr>
              <w:t>48%乐斯本乳油</w:t>
            </w:r>
          </w:p>
          <w:p>
            <w:pPr>
              <w:spacing w:line="260" w:lineRule="exact"/>
              <w:jc w:val="center"/>
              <w:rPr>
                <w:color w:val="auto"/>
                <w:sz w:val="18"/>
                <w:szCs w:val="18"/>
              </w:rPr>
            </w:pPr>
            <w:r>
              <w:rPr>
                <w:color w:val="auto"/>
                <w:sz w:val="18"/>
                <w:szCs w:val="18"/>
                <w:shd w:val="clear" w:color="auto" w:fill="FFFFFF"/>
              </w:rPr>
              <w:t>10%氯氰菊酯乳油</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1000倍液喷雾</w:t>
            </w:r>
          </w:p>
          <w:p>
            <w:pPr>
              <w:spacing w:line="260" w:lineRule="exact"/>
              <w:jc w:val="center"/>
              <w:rPr>
                <w:color w:val="auto"/>
                <w:sz w:val="18"/>
                <w:szCs w:val="18"/>
              </w:rPr>
            </w:pPr>
            <w:r>
              <w:rPr>
                <w:color w:val="auto"/>
                <w:sz w:val="18"/>
                <w:szCs w:val="18"/>
              </w:rPr>
              <w:t>2000倍液喷雾</w:t>
            </w:r>
          </w:p>
        </w:tc>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3</w:t>
            </w:r>
          </w:p>
          <w:p>
            <w:pPr>
              <w:spacing w:line="260" w:lineRule="exact"/>
              <w:jc w:val="center"/>
              <w:rPr>
                <w:color w:val="auto"/>
                <w:sz w:val="18"/>
                <w:szCs w:val="18"/>
              </w:rPr>
            </w:pPr>
            <w:r>
              <w:rPr>
                <w:color w:val="auto"/>
                <w:sz w:val="18"/>
                <w:szCs w:val="18"/>
              </w:rPr>
              <w:t>3</w:t>
            </w:r>
          </w:p>
        </w:tc>
        <w:tc>
          <w:tcPr>
            <w:tcW w:w="1061"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7</w:t>
            </w:r>
          </w:p>
          <w:p>
            <w:pPr>
              <w:spacing w:line="260" w:lineRule="exact"/>
              <w:jc w:val="center"/>
              <w:rPr>
                <w:color w:val="auto"/>
                <w:sz w:val="18"/>
                <w:szCs w:val="18"/>
              </w:rPr>
            </w:pPr>
            <w:r>
              <w:rPr>
                <w:color w:val="auto"/>
                <w:sz w:val="18"/>
                <w:szCs w:val="18"/>
              </w:rPr>
              <w:t>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04" w:type="dxa"/>
            <w:vMerge w:val="continue"/>
            <w:tcBorders>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rFonts w:hint="eastAsia"/>
                <w:color w:val="auto"/>
                <w:sz w:val="18"/>
                <w:szCs w:val="18"/>
              </w:rPr>
              <w:t>白粉虱</w:t>
            </w:r>
          </w:p>
        </w:tc>
        <w:tc>
          <w:tcPr>
            <w:tcW w:w="3402"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2.5%高效氯氟氰菊酯乳油</w:t>
            </w:r>
          </w:p>
          <w:p>
            <w:pPr>
              <w:spacing w:line="260" w:lineRule="exact"/>
              <w:jc w:val="center"/>
              <w:rPr>
                <w:color w:val="auto"/>
                <w:sz w:val="18"/>
                <w:szCs w:val="18"/>
              </w:rPr>
            </w:pPr>
            <w:r>
              <w:rPr>
                <w:color w:val="auto"/>
                <w:sz w:val="18"/>
                <w:szCs w:val="18"/>
              </w:rPr>
              <w:t>10%氯氰菊酯乳油</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2000倍液喷雾</w:t>
            </w:r>
          </w:p>
          <w:p>
            <w:pPr>
              <w:spacing w:line="260" w:lineRule="exact"/>
              <w:jc w:val="center"/>
              <w:rPr>
                <w:color w:val="auto"/>
                <w:sz w:val="18"/>
                <w:szCs w:val="18"/>
              </w:rPr>
            </w:pPr>
            <w:r>
              <w:rPr>
                <w:color w:val="auto"/>
                <w:sz w:val="18"/>
                <w:szCs w:val="18"/>
              </w:rPr>
              <w:t>1500倍液喷雾</w:t>
            </w:r>
          </w:p>
        </w:tc>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3</w:t>
            </w:r>
          </w:p>
          <w:p>
            <w:pPr>
              <w:spacing w:line="260" w:lineRule="exact"/>
              <w:jc w:val="center"/>
              <w:rPr>
                <w:color w:val="auto"/>
                <w:sz w:val="18"/>
                <w:szCs w:val="18"/>
              </w:rPr>
            </w:pPr>
            <w:r>
              <w:rPr>
                <w:color w:val="auto"/>
                <w:sz w:val="18"/>
                <w:szCs w:val="18"/>
              </w:rPr>
              <w:t>3</w:t>
            </w:r>
          </w:p>
        </w:tc>
        <w:tc>
          <w:tcPr>
            <w:tcW w:w="1061"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color w:val="auto"/>
                <w:sz w:val="18"/>
                <w:szCs w:val="18"/>
              </w:rPr>
            </w:pPr>
            <w:r>
              <w:rPr>
                <w:color w:val="auto"/>
                <w:sz w:val="18"/>
                <w:szCs w:val="18"/>
              </w:rPr>
              <w:t>7</w:t>
            </w:r>
          </w:p>
          <w:p>
            <w:pPr>
              <w:spacing w:line="260" w:lineRule="exact"/>
              <w:jc w:val="center"/>
              <w:rPr>
                <w:color w:val="auto"/>
                <w:sz w:val="18"/>
                <w:szCs w:val="18"/>
              </w:rPr>
            </w:pPr>
            <w:r>
              <w:rPr>
                <w:color w:val="auto"/>
                <w:sz w:val="18"/>
                <w:szCs w:val="18"/>
              </w:rPr>
              <w:t>7</w:t>
            </w:r>
          </w:p>
        </w:tc>
      </w:tr>
    </w:tbl>
    <w:p>
      <w:pPr>
        <w:rPr>
          <w:rFonts w:hint="eastAsia" w:ascii="宋体" w:hAnsi="宋体"/>
          <w:color w:val="auto"/>
        </w:rPr>
      </w:pPr>
    </w:p>
    <w:p>
      <w:pPr>
        <w:spacing w:line="400" w:lineRule="exact"/>
        <w:jc w:val="center"/>
        <w:rPr>
          <w:rFonts w:hint="eastAsia" w:ascii="宋体" w:hAnsi="宋体" w:cs="宋体-方正超大字符集"/>
          <w:color w:val="auto"/>
          <w:sz w:val="24"/>
        </w:rPr>
      </w:pPr>
    </w:p>
    <w:p>
      <w:pPr>
        <w:spacing w:line="400" w:lineRule="exact"/>
        <w:jc w:val="center"/>
        <w:rPr>
          <w:rFonts w:ascii="黑体" w:hAnsi="黑体" w:eastAsia="黑体" w:cs="宋体-方正超大字符集"/>
          <w:color w:val="auto"/>
          <w:sz w:val="24"/>
        </w:rPr>
        <w:sectPr>
          <w:headerReference r:id="rId16" w:type="default"/>
          <w:footerReference r:id="rId18" w:type="default"/>
          <w:headerReference r:id="rId17" w:type="even"/>
          <w:footerReference r:id="rId19" w:type="even"/>
          <w:pgSz w:w="11906" w:h="16838"/>
          <w:pgMar w:top="1440" w:right="1418" w:bottom="1559" w:left="1418" w:header="851" w:footer="992" w:gutter="0"/>
          <w:cols w:space="720" w:num="1"/>
          <w:docGrid w:linePitch="312" w:charSpace="0"/>
        </w:sectPr>
      </w:pPr>
    </w:p>
    <w:p>
      <w:pPr>
        <w:tabs>
          <w:tab w:val="left" w:pos="2789"/>
          <w:tab w:val="center" w:pos="4594"/>
        </w:tabs>
        <w:spacing w:line="400" w:lineRule="exact"/>
        <w:jc w:val="left"/>
        <w:rPr>
          <w:rFonts w:hint="eastAsia" w:ascii="黑体" w:hAnsi="黑体" w:eastAsia="黑体" w:cs="宋体-方正超大字符集"/>
          <w:color w:val="auto"/>
          <w:szCs w:val="21"/>
        </w:rPr>
      </w:pPr>
      <w:r>
        <w:rPr>
          <w:rFonts w:hint="eastAsia" w:ascii="黑体" w:hAnsi="黑体" w:eastAsia="黑体" w:cs="宋体-方正超大字符集"/>
          <w:color w:val="auto"/>
          <w:szCs w:val="21"/>
          <w:lang w:eastAsia="zh-CN"/>
        </w:rPr>
        <w:tab/>
      </w:r>
      <w:r>
        <w:rPr>
          <w:rFonts w:hint="eastAsia" w:ascii="黑体" w:hAnsi="黑体" w:eastAsia="黑体" w:cs="宋体-方正超大字符集"/>
          <w:color w:val="auto"/>
          <w:szCs w:val="21"/>
          <w:lang w:eastAsia="zh-CN"/>
        </w:rPr>
        <w:tab/>
      </w:r>
      <w:r>
        <w:rPr>
          <w:rFonts w:hint="eastAsia" w:ascii="黑体" w:hAnsi="黑体" w:eastAsia="黑体" w:cs="宋体-方正超大字符集"/>
          <w:color w:val="auto"/>
          <w:szCs w:val="21"/>
        </w:rPr>
        <w:t>附  录  B</w:t>
      </w:r>
    </w:p>
    <w:p>
      <w:pPr>
        <w:spacing w:line="400" w:lineRule="exact"/>
        <w:jc w:val="center"/>
        <w:rPr>
          <w:rFonts w:hint="eastAsia" w:ascii="黑体" w:hAnsi="黑体" w:eastAsia="黑体" w:cs="宋体-方正超大字符集"/>
          <w:color w:val="auto"/>
          <w:szCs w:val="21"/>
        </w:rPr>
      </w:pPr>
      <w:r>
        <w:rPr>
          <w:rFonts w:hint="eastAsia" w:ascii="黑体" w:hAnsi="黑体" w:eastAsia="黑体" w:cs="宋体-方正超大字符集"/>
          <w:color w:val="auto"/>
          <w:szCs w:val="21"/>
        </w:rPr>
        <w:t>（规范性目录）</w:t>
      </w:r>
    </w:p>
    <w:p>
      <w:pPr>
        <w:spacing w:line="400" w:lineRule="exact"/>
        <w:jc w:val="center"/>
        <w:rPr>
          <w:rFonts w:hint="eastAsia" w:ascii="黑体" w:hAnsi="黑体" w:eastAsia="黑体" w:cs="宋体-方正超大字符集"/>
          <w:color w:val="auto"/>
          <w:szCs w:val="21"/>
        </w:rPr>
      </w:pPr>
      <w:r>
        <w:rPr>
          <w:rFonts w:hint="eastAsia" w:ascii="黑体" w:hAnsi="黑体" w:eastAsia="黑体" w:cs="宋体-方正超大字符集"/>
          <w:color w:val="auto"/>
          <w:szCs w:val="21"/>
        </w:rPr>
        <w:t>大棚秋延后番茄生产栽培档案</w:t>
      </w:r>
    </w:p>
    <w:p>
      <w:pPr>
        <w:spacing w:line="320" w:lineRule="exact"/>
        <w:jc w:val="center"/>
        <w:rPr>
          <w:rFonts w:hint="eastAsia" w:ascii="黑体" w:hAnsi="黑体" w:eastAsia="黑体" w:cs="宋体-方正超大字符集"/>
          <w:color w:val="auto"/>
          <w:szCs w:val="21"/>
        </w:rPr>
      </w:pPr>
      <w:r>
        <w:rPr>
          <w:rFonts w:hint="eastAsia" w:ascii="黑体" w:hAnsi="黑体" w:eastAsia="黑体" w:cs="宋体-方正超大字符集"/>
          <w:color w:val="auto"/>
          <w:szCs w:val="21"/>
        </w:rPr>
        <w:t>表B.1  农事活动记载表</w:t>
      </w:r>
    </w:p>
    <w:p>
      <w:pPr>
        <w:spacing w:line="320" w:lineRule="exact"/>
        <w:jc w:val="center"/>
        <w:rPr>
          <w:rFonts w:hint="eastAsia" w:ascii="黑体" w:hAnsi="黑体" w:eastAsia="黑体" w:cs="宋体-方正超大字符集"/>
          <w:color w:val="auto"/>
          <w:sz w:val="24"/>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722"/>
        <w:gridCol w:w="1806"/>
        <w:gridCol w:w="180"/>
        <w:gridCol w:w="1264"/>
        <w:gridCol w:w="181"/>
        <w:gridCol w:w="1083"/>
        <w:gridCol w:w="278"/>
        <w:gridCol w:w="986"/>
        <w:gridCol w:w="574"/>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553" w:type="dxa"/>
            <w:gridSpan w:val="2"/>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丘块名称</w:t>
            </w:r>
          </w:p>
        </w:tc>
        <w:tc>
          <w:tcPr>
            <w:tcW w:w="1806"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ascii="宋体" w:hAnsi="宋体" w:cs="宋体-方正超大字符集"/>
                <w:color w:val="auto"/>
                <w:sz w:val="18"/>
                <w:szCs w:val="18"/>
              </w:rPr>
            </w:pPr>
          </w:p>
        </w:tc>
        <w:tc>
          <w:tcPr>
            <w:tcW w:w="1625" w:type="dxa"/>
            <w:gridSpan w:val="3"/>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面积(</w:t>
            </w:r>
            <w:r>
              <w:rPr>
                <w:rFonts w:hint="eastAsia"/>
                <w:color w:val="auto"/>
                <w:sz w:val="18"/>
                <w:szCs w:val="18"/>
              </w:rPr>
              <w:t>hm</w:t>
            </w:r>
            <w:r>
              <w:rPr>
                <w:rFonts w:hint="eastAsia"/>
                <w:color w:val="auto"/>
                <w:sz w:val="18"/>
                <w:szCs w:val="18"/>
                <w:vertAlign w:val="superscript"/>
              </w:rPr>
              <w:t>2</w:t>
            </w:r>
            <w:r>
              <w:rPr>
                <w:rFonts w:hint="eastAsia" w:ascii="宋体" w:hAnsi="宋体" w:cs="宋体-方正超大字符集"/>
                <w:color w:val="auto"/>
                <w:sz w:val="18"/>
                <w:szCs w:val="18"/>
              </w:rPr>
              <w:t>)</w:t>
            </w:r>
          </w:p>
        </w:tc>
        <w:tc>
          <w:tcPr>
            <w:tcW w:w="1083"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ascii="宋体" w:hAnsi="宋体" w:cs="宋体-方正超大字符集"/>
                <w:color w:val="auto"/>
                <w:sz w:val="18"/>
                <w:szCs w:val="18"/>
              </w:rPr>
            </w:pP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品 种</w:t>
            </w:r>
          </w:p>
        </w:tc>
        <w:tc>
          <w:tcPr>
            <w:tcW w:w="1431" w:type="dxa"/>
            <w:gridSpan w:val="2"/>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ascii="宋体" w:hAnsi="宋体" w:cs="宋体-方正超大字符集"/>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3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序号</w:t>
            </w:r>
          </w:p>
        </w:tc>
        <w:tc>
          <w:tcPr>
            <w:tcW w:w="2708"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土壤种类、肥力、前茬作物</w:t>
            </w:r>
          </w:p>
        </w:tc>
        <w:tc>
          <w:tcPr>
            <w:tcW w:w="1264"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操作日期</w:t>
            </w:r>
          </w:p>
          <w:p>
            <w:pPr>
              <w:spacing w:line="28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(月、日)</w:t>
            </w:r>
          </w:p>
        </w:tc>
        <w:tc>
          <w:tcPr>
            <w:tcW w:w="1542"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操作内容与方法</w:t>
            </w:r>
          </w:p>
        </w:tc>
        <w:tc>
          <w:tcPr>
            <w:tcW w:w="15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完成情况及效果</w:t>
            </w:r>
          </w:p>
        </w:tc>
        <w:tc>
          <w:tcPr>
            <w:tcW w:w="857"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记载人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83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1</w:t>
            </w:r>
          </w:p>
        </w:tc>
        <w:tc>
          <w:tcPr>
            <w:tcW w:w="2708" w:type="dxa"/>
            <w:gridSpan w:val="3"/>
            <w:tcBorders>
              <w:top w:val="single" w:color="auto" w:sz="4" w:space="0"/>
              <w:left w:val="single" w:color="auto" w:sz="4" w:space="0"/>
              <w:bottom w:val="single" w:color="auto" w:sz="4" w:space="0"/>
              <w:right w:val="single" w:color="auto" w:sz="4" w:space="0"/>
            </w:tcBorders>
            <w:noWrap w:val="0"/>
            <w:vAlign w:val="top"/>
          </w:tcPr>
          <w:p>
            <w:pPr>
              <w:tabs>
                <w:tab w:val="left" w:pos="603"/>
              </w:tabs>
              <w:spacing w:line="440" w:lineRule="exact"/>
              <w:jc w:val="center"/>
              <w:rPr>
                <w:rFonts w:ascii="宋体" w:hAnsi="宋体" w:cs="宋体-方正超大字符集"/>
                <w:color w:val="auto"/>
                <w:sz w:val="18"/>
                <w:szCs w:val="18"/>
              </w:rPr>
            </w:pPr>
          </w:p>
        </w:tc>
        <w:tc>
          <w:tcPr>
            <w:tcW w:w="126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ascii="宋体" w:hAnsi="宋体" w:cs="宋体-方正超大字符集"/>
                <w:color w:val="auto"/>
                <w:sz w:val="18"/>
                <w:szCs w:val="18"/>
              </w:rPr>
            </w:pPr>
          </w:p>
        </w:tc>
        <w:tc>
          <w:tcPr>
            <w:tcW w:w="1542" w:type="dxa"/>
            <w:gridSpan w:val="3"/>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ascii="宋体" w:hAnsi="宋体" w:cs="宋体-方正超大字符集"/>
                <w:color w:val="auto"/>
                <w:sz w:val="18"/>
                <w:szCs w:val="18"/>
              </w:rPr>
            </w:pPr>
          </w:p>
        </w:tc>
        <w:tc>
          <w:tcPr>
            <w:tcW w:w="1560" w:type="dxa"/>
            <w:gridSpan w:val="2"/>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ascii="宋体" w:hAnsi="宋体" w:cs="宋体-方正超大字符集"/>
                <w:color w:val="auto"/>
                <w:sz w:val="18"/>
                <w:szCs w:val="18"/>
              </w:rPr>
            </w:pPr>
          </w:p>
        </w:tc>
        <w:tc>
          <w:tcPr>
            <w:tcW w:w="85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ascii="宋体" w:hAnsi="宋体" w:cs="宋体-方正超大字符集"/>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31"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2</w:t>
            </w:r>
          </w:p>
        </w:tc>
        <w:tc>
          <w:tcPr>
            <w:tcW w:w="2708" w:type="dxa"/>
            <w:gridSpan w:val="3"/>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ascii="宋体" w:hAnsi="宋体" w:cs="宋体-方正超大字符集"/>
                <w:color w:val="auto"/>
                <w:sz w:val="18"/>
                <w:szCs w:val="18"/>
              </w:rPr>
            </w:pPr>
          </w:p>
        </w:tc>
        <w:tc>
          <w:tcPr>
            <w:tcW w:w="126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ascii="宋体" w:hAnsi="宋体" w:cs="宋体-方正超大字符集"/>
                <w:color w:val="auto"/>
                <w:sz w:val="18"/>
                <w:szCs w:val="18"/>
              </w:rPr>
            </w:pPr>
          </w:p>
        </w:tc>
        <w:tc>
          <w:tcPr>
            <w:tcW w:w="1542" w:type="dxa"/>
            <w:gridSpan w:val="3"/>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ascii="宋体" w:hAnsi="宋体" w:cs="宋体-方正超大字符集"/>
                <w:color w:val="auto"/>
                <w:sz w:val="18"/>
                <w:szCs w:val="18"/>
              </w:rPr>
            </w:pPr>
          </w:p>
        </w:tc>
        <w:tc>
          <w:tcPr>
            <w:tcW w:w="1560" w:type="dxa"/>
            <w:gridSpan w:val="2"/>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ascii="宋体" w:hAnsi="宋体" w:cs="宋体-方正超大字符集"/>
                <w:color w:val="auto"/>
                <w:sz w:val="18"/>
                <w:szCs w:val="18"/>
              </w:rPr>
            </w:pPr>
          </w:p>
        </w:tc>
        <w:tc>
          <w:tcPr>
            <w:tcW w:w="85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ascii="宋体" w:hAnsi="宋体" w:cs="宋体-方正超大字符集"/>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831" w:type="dxa"/>
            <w:tcBorders>
              <w:top w:val="single" w:color="auto" w:sz="4" w:space="0"/>
              <w:left w:val="single" w:color="auto" w:sz="4" w:space="0"/>
              <w:bottom w:val="single" w:color="auto" w:sz="4" w:space="0"/>
              <w:right w:val="single" w:color="auto" w:sz="4" w:space="0"/>
            </w:tcBorders>
            <w:noWrap w:val="0"/>
            <w:vAlign w:val="top"/>
          </w:tcPr>
          <w:p>
            <w:pPr>
              <w:spacing w:line="320" w:lineRule="exact"/>
              <w:jc w:val="center"/>
              <w:rPr>
                <w:rFonts w:ascii="宋体" w:hAnsi="宋体" w:cs="宋体-方正超大字符集"/>
                <w:color w:val="auto"/>
                <w:szCs w:val="21"/>
              </w:rPr>
            </w:pPr>
            <w:r>
              <w:rPr>
                <w:rFonts w:hint="eastAsia" w:ascii="宋体" w:hAnsi="宋体" w:cs="宋体-方正超大字符集"/>
                <w:color w:val="auto"/>
                <w:szCs w:val="21"/>
              </w:rPr>
              <w:t>…</w:t>
            </w:r>
          </w:p>
        </w:tc>
        <w:tc>
          <w:tcPr>
            <w:tcW w:w="2708" w:type="dxa"/>
            <w:gridSpan w:val="3"/>
            <w:tcBorders>
              <w:top w:val="single" w:color="auto" w:sz="4" w:space="0"/>
              <w:left w:val="single" w:color="auto" w:sz="4" w:space="0"/>
              <w:bottom w:val="single" w:color="auto" w:sz="4" w:space="0"/>
              <w:right w:val="single" w:color="auto" w:sz="4" w:space="0"/>
            </w:tcBorders>
            <w:noWrap w:val="0"/>
            <w:vAlign w:val="top"/>
          </w:tcPr>
          <w:p>
            <w:pPr>
              <w:spacing w:line="320" w:lineRule="exact"/>
              <w:jc w:val="center"/>
              <w:rPr>
                <w:rFonts w:ascii="宋体" w:hAnsi="宋体" w:cs="宋体-方正超大字符集"/>
                <w:color w:val="auto"/>
                <w:szCs w:val="21"/>
              </w:rPr>
            </w:pPr>
          </w:p>
        </w:tc>
        <w:tc>
          <w:tcPr>
            <w:tcW w:w="1264" w:type="dxa"/>
            <w:tcBorders>
              <w:top w:val="single" w:color="auto" w:sz="4" w:space="0"/>
              <w:left w:val="single" w:color="auto" w:sz="4" w:space="0"/>
              <w:bottom w:val="single" w:color="auto" w:sz="4" w:space="0"/>
              <w:right w:val="single" w:color="auto" w:sz="4" w:space="0"/>
            </w:tcBorders>
            <w:noWrap w:val="0"/>
            <w:vAlign w:val="top"/>
          </w:tcPr>
          <w:p>
            <w:pPr>
              <w:spacing w:line="320" w:lineRule="exact"/>
              <w:jc w:val="center"/>
              <w:rPr>
                <w:rFonts w:ascii="宋体" w:hAnsi="宋体" w:cs="宋体-方正超大字符集"/>
                <w:color w:val="auto"/>
                <w:szCs w:val="21"/>
              </w:rPr>
            </w:pPr>
          </w:p>
        </w:tc>
        <w:tc>
          <w:tcPr>
            <w:tcW w:w="1542" w:type="dxa"/>
            <w:gridSpan w:val="3"/>
            <w:tcBorders>
              <w:top w:val="single" w:color="auto" w:sz="4" w:space="0"/>
              <w:left w:val="single" w:color="auto" w:sz="4" w:space="0"/>
              <w:bottom w:val="single" w:color="auto" w:sz="4" w:space="0"/>
              <w:right w:val="single" w:color="auto" w:sz="4" w:space="0"/>
            </w:tcBorders>
            <w:noWrap w:val="0"/>
            <w:vAlign w:val="top"/>
          </w:tcPr>
          <w:p>
            <w:pPr>
              <w:spacing w:line="320" w:lineRule="exact"/>
              <w:jc w:val="center"/>
              <w:rPr>
                <w:rFonts w:ascii="宋体" w:hAnsi="宋体" w:cs="宋体-方正超大字符集"/>
                <w:color w:val="auto"/>
                <w:szCs w:val="21"/>
              </w:rPr>
            </w:pPr>
          </w:p>
        </w:tc>
        <w:tc>
          <w:tcPr>
            <w:tcW w:w="1560" w:type="dxa"/>
            <w:gridSpan w:val="2"/>
            <w:tcBorders>
              <w:top w:val="single" w:color="auto" w:sz="4" w:space="0"/>
              <w:left w:val="single" w:color="auto" w:sz="4" w:space="0"/>
              <w:bottom w:val="single" w:color="auto" w:sz="4" w:space="0"/>
              <w:right w:val="single" w:color="auto" w:sz="4" w:space="0"/>
            </w:tcBorders>
            <w:noWrap w:val="0"/>
            <w:vAlign w:val="top"/>
          </w:tcPr>
          <w:p>
            <w:pPr>
              <w:spacing w:line="320" w:lineRule="exact"/>
              <w:jc w:val="center"/>
              <w:rPr>
                <w:rFonts w:ascii="宋体" w:hAnsi="宋体" w:cs="宋体-方正超大字符集"/>
                <w:color w:val="auto"/>
                <w:szCs w:val="21"/>
              </w:rPr>
            </w:pPr>
          </w:p>
        </w:tc>
        <w:tc>
          <w:tcPr>
            <w:tcW w:w="857" w:type="dxa"/>
            <w:tcBorders>
              <w:top w:val="single" w:color="auto" w:sz="4" w:space="0"/>
              <w:left w:val="single" w:color="auto" w:sz="4" w:space="0"/>
              <w:bottom w:val="single" w:color="auto" w:sz="4" w:space="0"/>
              <w:right w:val="single" w:color="auto" w:sz="4" w:space="0"/>
            </w:tcBorders>
            <w:noWrap w:val="0"/>
            <w:vAlign w:val="top"/>
          </w:tcPr>
          <w:p>
            <w:pPr>
              <w:spacing w:line="320" w:lineRule="exact"/>
              <w:jc w:val="center"/>
              <w:rPr>
                <w:rFonts w:ascii="宋体" w:hAnsi="宋体" w:cs="宋体-方正超大字符集"/>
                <w:color w:val="auto"/>
                <w:szCs w:val="21"/>
              </w:rPr>
            </w:pPr>
          </w:p>
        </w:tc>
      </w:tr>
    </w:tbl>
    <w:p>
      <w:pPr>
        <w:spacing w:line="320" w:lineRule="exact"/>
        <w:jc w:val="center"/>
        <w:rPr>
          <w:rFonts w:hint="eastAsia" w:ascii="黑体" w:hAnsi="黑体" w:eastAsia="黑体" w:cs="宋体-方正超大字符集"/>
          <w:color w:val="auto"/>
          <w:sz w:val="24"/>
        </w:rPr>
      </w:pPr>
    </w:p>
    <w:p>
      <w:pPr>
        <w:spacing w:line="320" w:lineRule="exact"/>
        <w:jc w:val="center"/>
        <w:rPr>
          <w:rFonts w:hint="eastAsia" w:ascii="黑体" w:hAnsi="黑体" w:eastAsia="黑体" w:cs="宋体-方正超大字符集"/>
          <w:color w:val="auto"/>
          <w:szCs w:val="21"/>
        </w:rPr>
      </w:pPr>
      <w:r>
        <w:rPr>
          <w:rFonts w:hint="eastAsia" w:ascii="黑体" w:hAnsi="黑体" w:eastAsia="黑体" w:cs="宋体-方正超大字符集"/>
          <w:color w:val="auto"/>
          <w:szCs w:val="21"/>
        </w:rPr>
        <w:t>表B.2 投入品使用记载表</w:t>
      </w:r>
    </w:p>
    <w:p>
      <w:pPr>
        <w:spacing w:line="320" w:lineRule="exact"/>
        <w:jc w:val="center"/>
        <w:rPr>
          <w:rFonts w:hint="eastAsia" w:ascii="黑体" w:hAnsi="黑体" w:eastAsia="黑体" w:cs="宋体-方正超大字符集"/>
          <w:color w:val="auto"/>
          <w:sz w:val="24"/>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158"/>
        <w:gridCol w:w="850"/>
        <w:gridCol w:w="851"/>
        <w:gridCol w:w="1417"/>
        <w:gridCol w:w="980"/>
        <w:gridCol w:w="1005"/>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丘块名称</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面积(</w:t>
            </w:r>
            <w:r>
              <w:rPr>
                <w:rFonts w:hint="eastAsia"/>
                <w:color w:val="auto"/>
                <w:sz w:val="18"/>
                <w:szCs w:val="18"/>
              </w:rPr>
              <w:t>hm</w:t>
            </w:r>
            <w:r>
              <w:rPr>
                <w:rFonts w:hint="eastAsia"/>
                <w:color w:val="auto"/>
                <w:sz w:val="18"/>
                <w:szCs w:val="18"/>
                <w:vertAlign w:val="superscript"/>
              </w:rPr>
              <w:t>2</w:t>
            </w:r>
            <w:r>
              <w:rPr>
                <w:rFonts w:hint="eastAsia" w:ascii="宋体" w:hAnsi="宋体" w:cs="宋体-方正超大字符集"/>
                <w:color w:val="auto"/>
                <w:sz w:val="18"/>
                <w:szCs w:val="18"/>
              </w:rPr>
              <w:t>)</w:t>
            </w:r>
          </w:p>
        </w:tc>
        <w:tc>
          <w:tcPr>
            <w:tcW w:w="98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c>
          <w:tcPr>
            <w:tcW w:w="100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品种</w:t>
            </w:r>
          </w:p>
        </w:tc>
        <w:tc>
          <w:tcPr>
            <w:tcW w:w="2126"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序号</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品名</w:t>
            </w: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种类</w:t>
            </w:r>
          </w:p>
        </w:tc>
        <w:tc>
          <w:tcPr>
            <w:tcW w:w="851"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来源</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使用日期</w:t>
            </w:r>
          </w:p>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(年-月-日)</w:t>
            </w:r>
          </w:p>
        </w:tc>
        <w:tc>
          <w:tcPr>
            <w:tcW w:w="98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用量</w:t>
            </w:r>
          </w:p>
        </w:tc>
        <w:tc>
          <w:tcPr>
            <w:tcW w:w="100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方法</w:t>
            </w: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效果</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记载人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1</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c>
          <w:tcPr>
            <w:tcW w:w="851"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c>
          <w:tcPr>
            <w:tcW w:w="98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c>
          <w:tcPr>
            <w:tcW w:w="100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2</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c>
          <w:tcPr>
            <w:tcW w:w="851"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c>
          <w:tcPr>
            <w:tcW w:w="98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c>
          <w:tcPr>
            <w:tcW w:w="100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Cs w:val="21"/>
              </w:rPr>
            </w:pPr>
            <w:r>
              <w:rPr>
                <w:rFonts w:hint="eastAsia" w:ascii="宋体" w:hAnsi="宋体" w:cs="宋体-方正超大字符集"/>
                <w:color w:val="auto"/>
                <w:szCs w:val="21"/>
              </w:rPr>
              <w:t>…</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Cs w:val="21"/>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Cs w:val="21"/>
              </w:rPr>
            </w:pPr>
          </w:p>
        </w:tc>
        <w:tc>
          <w:tcPr>
            <w:tcW w:w="98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Cs w:val="21"/>
              </w:rPr>
            </w:pPr>
          </w:p>
        </w:tc>
        <w:tc>
          <w:tcPr>
            <w:tcW w:w="100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Cs w:val="21"/>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Cs w:val="21"/>
              </w:rPr>
            </w:pPr>
          </w:p>
        </w:tc>
      </w:tr>
    </w:tbl>
    <w:p>
      <w:pPr>
        <w:jc w:val="center"/>
        <w:rPr>
          <w:rFonts w:hint="eastAsia" w:ascii="宋体-方正超大字符集" w:hAnsi="宋体-方正超大字符集" w:eastAsia="宋体-方正超大字符集" w:cs="宋体-方正超大字符集"/>
          <w:color w:val="auto"/>
          <w:sz w:val="24"/>
        </w:rPr>
      </w:pPr>
    </w:p>
    <w:p>
      <w:pPr>
        <w:spacing w:line="320" w:lineRule="exact"/>
        <w:ind w:firstLine="3045" w:firstLineChars="1450"/>
        <w:rPr>
          <w:rFonts w:hint="eastAsia" w:ascii="黑体" w:hAnsi="黑体" w:eastAsia="黑体" w:cs="宋体-方正超大字符集"/>
          <w:color w:val="auto"/>
          <w:szCs w:val="21"/>
        </w:rPr>
      </w:pPr>
      <w:r>
        <w:rPr>
          <w:rFonts w:hint="eastAsia" w:ascii="黑体" w:hAnsi="黑体" w:eastAsia="黑体" w:cs="宋体-方正超大字符集"/>
          <w:color w:val="auto"/>
          <w:szCs w:val="21"/>
        </w:rPr>
        <w:t>表B.3  物候期记载表</w:t>
      </w:r>
    </w:p>
    <w:p>
      <w:pPr>
        <w:spacing w:line="320" w:lineRule="exact"/>
        <w:ind w:firstLine="3480" w:firstLineChars="1450"/>
        <w:jc w:val="left"/>
        <w:rPr>
          <w:rFonts w:hint="eastAsia" w:ascii="黑体" w:hAnsi="黑体" w:eastAsia="黑体" w:cs="宋体-方正超大字符集"/>
          <w:color w:val="auto"/>
          <w:sz w:val="24"/>
        </w:rPr>
      </w:pPr>
      <w:r>
        <w:rPr>
          <w:rFonts w:hint="eastAsia" w:ascii="黑体" w:hAnsi="黑体" w:eastAsia="黑体" w:cs="宋体-方正超大字符集"/>
          <w:color w:val="auto"/>
          <w:sz w:val="24"/>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4"/>
        <w:gridCol w:w="1744"/>
        <w:gridCol w:w="1744"/>
        <w:gridCol w:w="1744"/>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3488" w:type="dxa"/>
            <w:gridSpan w:val="2"/>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面积(</w:t>
            </w:r>
            <w:r>
              <w:rPr>
                <w:rFonts w:hint="eastAsia"/>
                <w:color w:val="auto"/>
                <w:sz w:val="18"/>
                <w:szCs w:val="18"/>
              </w:rPr>
              <w:t>hm</w:t>
            </w:r>
            <w:r>
              <w:rPr>
                <w:rFonts w:hint="eastAsia"/>
                <w:color w:val="auto"/>
                <w:sz w:val="18"/>
                <w:szCs w:val="18"/>
                <w:vertAlign w:val="superscript"/>
              </w:rPr>
              <w:t>2</w:t>
            </w:r>
            <w:r>
              <w:rPr>
                <w:rFonts w:hint="eastAsia" w:ascii="宋体" w:hAnsi="宋体" w:cs="宋体-方正超大字符集"/>
                <w:color w:val="auto"/>
                <w:sz w:val="18"/>
                <w:szCs w:val="18"/>
              </w:rPr>
              <w:t>)</w:t>
            </w:r>
          </w:p>
        </w:tc>
        <w:tc>
          <w:tcPr>
            <w:tcW w:w="1744"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ascii="宋体" w:hAnsi="宋体" w:cs="宋体-方正超大字符集"/>
                <w:color w:val="auto"/>
                <w:sz w:val="18"/>
                <w:szCs w:val="18"/>
              </w:rPr>
            </w:pPr>
          </w:p>
        </w:tc>
        <w:tc>
          <w:tcPr>
            <w:tcW w:w="1744"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品种</w:t>
            </w:r>
          </w:p>
        </w:tc>
        <w:tc>
          <w:tcPr>
            <w:tcW w:w="1779"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ascii="宋体" w:hAnsi="宋体" w:cs="宋体-方正超大字符集"/>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育苗期</w:t>
            </w:r>
          </w:p>
          <w:p>
            <w:pPr>
              <w:spacing w:line="400" w:lineRule="exact"/>
              <w:jc w:val="center"/>
              <w:rPr>
                <w:rFonts w:ascii="宋体" w:hAnsi="宋体" w:cs="宋体-方正超大字符集"/>
                <w:color w:val="auto"/>
                <w:szCs w:val="21"/>
              </w:rPr>
            </w:pPr>
            <w:r>
              <w:rPr>
                <w:rFonts w:hint="eastAsia" w:ascii="宋体" w:hAnsi="宋体" w:cs="宋体-方正超大字符集"/>
                <w:color w:val="auto"/>
                <w:sz w:val="18"/>
                <w:szCs w:val="18"/>
              </w:rPr>
              <w:t>(年-月-日)</w:t>
            </w:r>
          </w:p>
        </w:tc>
        <w:tc>
          <w:tcPr>
            <w:tcW w:w="174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移栽期</w:t>
            </w:r>
          </w:p>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(年-月-日)</w:t>
            </w:r>
          </w:p>
        </w:tc>
        <w:tc>
          <w:tcPr>
            <w:tcW w:w="174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始穗期</w:t>
            </w:r>
          </w:p>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(年-月-日)</w:t>
            </w:r>
          </w:p>
        </w:tc>
        <w:tc>
          <w:tcPr>
            <w:tcW w:w="174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收割期</w:t>
            </w:r>
          </w:p>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(年-月-日)</w:t>
            </w:r>
          </w:p>
        </w:tc>
        <w:tc>
          <w:tcPr>
            <w:tcW w:w="17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 w:val="18"/>
                <w:szCs w:val="18"/>
              </w:rPr>
            </w:pPr>
            <w:r>
              <w:rPr>
                <w:rFonts w:hint="eastAsia" w:ascii="宋体" w:hAnsi="宋体" w:cs="宋体-方正超大字符集"/>
                <w:color w:val="auto"/>
                <w:sz w:val="18"/>
                <w:szCs w:val="18"/>
              </w:rPr>
              <w:t>记载人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74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Cs w:val="21"/>
              </w:rPr>
            </w:pPr>
          </w:p>
        </w:tc>
        <w:tc>
          <w:tcPr>
            <w:tcW w:w="174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Cs w:val="21"/>
              </w:rPr>
            </w:pPr>
          </w:p>
        </w:tc>
        <w:tc>
          <w:tcPr>
            <w:tcW w:w="174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Cs w:val="21"/>
              </w:rPr>
            </w:pPr>
          </w:p>
        </w:tc>
        <w:tc>
          <w:tcPr>
            <w:tcW w:w="174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Cs w:val="21"/>
              </w:rPr>
            </w:pPr>
          </w:p>
        </w:tc>
        <w:tc>
          <w:tcPr>
            <w:tcW w:w="17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方正超大字符集"/>
                <w:color w:val="auto"/>
                <w:szCs w:val="21"/>
              </w:rPr>
            </w:pPr>
          </w:p>
        </w:tc>
      </w:tr>
    </w:tbl>
    <w:p>
      <w:pPr>
        <w:spacing w:line="360" w:lineRule="exact"/>
        <w:ind w:firstLine="421" w:firstLineChars="200"/>
        <w:rPr>
          <w:rFonts w:hint="eastAsia" w:ascii="宋体" w:hAnsi="宋体"/>
          <w:b/>
          <w:color w:val="auto"/>
          <w:szCs w:val="21"/>
        </w:rPr>
      </w:pPr>
      <w:r>
        <w:rPr>
          <w:rFonts w:hint="eastAsia" w:ascii="宋体" w:hAnsi="宋体"/>
          <w:b/>
          <w:color w:val="auto"/>
          <w:szCs w:val="21"/>
        </w:rPr>
        <w:t xml:space="preserve">                            </w:t>
      </w:r>
    </w:p>
    <w:p>
      <w:pPr>
        <w:spacing w:line="360" w:lineRule="exact"/>
        <w:ind w:firstLine="421" w:firstLineChars="200"/>
        <w:rPr>
          <w:rFonts w:ascii="Bauhaus 93" w:hAnsi="Bauhaus 93" w:eastAsia="方正粗黑宋简体"/>
          <w:color w:val="auto"/>
          <w:szCs w:val="21"/>
          <w:u w:val="single"/>
        </w:rPr>
      </w:pPr>
      <w:r>
        <w:rPr>
          <w:rFonts w:hint="eastAsia" w:ascii="宋体" w:hAnsi="宋体"/>
          <w:b/>
          <w:color w:val="auto"/>
          <w:szCs w:val="21"/>
        </w:rPr>
        <w:t xml:space="preserve">                          </w:t>
      </w:r>
      <w:r>
        <w:rPr>
          <w:rFonts w:ascii="Bauhaus 93" w:hAnsi="Bauhaus 93" w:eastAsia="方正粗黑宋简体"/>
          <w:color w:val="auto"/>
          <w:szCs w:val="21"/>
          <w:u w:val="single"/>
        </w:rPr>
        <w:t xml:space="preserve">                      </w:t>
      </w:r>
    </w:p>
    <w:p>
      <w:pPr>
        <w:spacing w:line="360" w:lineRule="exact"/>
        <w:ind w:firstLine="420" w:firstLineChars="200"/>
        <w:rPr>
          <w:rFonts w:hint="eastAsia" w:ascii="宋体" w:hAnsi="宋体"/>
          <w:color w:val="auto"/>
          <w:szCs w:val="21"/>
          <w:u w:val="single"/>
        </w:rPr>
      </w:pPr>
    </w:p>
    <w:p>
      <w:pPr>
        <w:spacing w:line="380" w:lineRule="exact"/>
        <w:rPr>
          <w:rFonts w:hint="eastAsia" w:ascii="宋体" w:hAnsi="宋体"/>
          <w:b/>
          <w:color w:val="auto"/>
          <w:szCs w:val="21"/>
        </w:rPr>
      </w:pPr>
    </w:p>
    <w:sectPr>
      <w:headerReference r:id="rId20" w:type="default"/>
      <w:footerReference r:id="rId21" w:type="default"/>
      <w:pgSz w:w="11906" w:h="16838"/>
      <w:pgMar w:top="1440" w:right="1418" w:bottom="1559"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粗黑宋简体">
    <w:altName w:val="方正书宋_GBK"/>
    <w:panose1 w:val="02000000000000000000"/>
    <w:charset w:val="00"/>
    <w:family w:val="auto"/>
    <w:pitch w:val="default"/>
    <w:sig w:usb0="00000000" w:usb1="00000000" w:usb2="00000012" w:usb3="00000000" w:csb0="00040001" w:csb1="00000000"/>
  </w:font>
  <w:font w:name="Microsoft JhengHei">
    <w:altName w:val="方正书宋_GBK"/>
    <w:panose1 w:val="020B0604030504040204"/>
    <w:charset w:val="88"/>
    <w:family w:val="swiss"/>
    <w:pitch w:val="default"/>
    <w:sig w:usb0="00000000" w:usb1="00000000" w:usb2="00000016" w:usb3="00000000" w:csb0="00100009" w:csb1="00000000"/>
  </w:font>
  <w:font w:name="华文中宋">
    <w:altName w:val="汉仪中宋简"/>
    <w:panose1 w:val="02010600040101010101"/>
    <w:charset w:val="86"/>
    <w:family w:val="auto"/>
    <w:pitch w:val="default"/>
    <w:sig w:usb0="00000000" w:usb1="00000000" w:usb2="00000000" w:usb3="00000000" w:csb0="0004009F" w:csb1="DFD70000"/>
  </w:font>
  <w:font w:name="DejaVu Math TeX Gyre">
    <w:panose1 w:val="02000503000000000000"/>
    <w:charset w:val="00"/>
    <w:family w:val="auto"/>
    <w:pitch w:val="default"/>
    <w:sig w:usb0="A10000EF" w:usb1="4201F9EE" w:usb2="02000000" w:usb3="00000000" w:csb0="60000193" w:csb1="0DD40000"/>
  </w:font>
  <w:font w:name="汉仪细圆B5">
    <w:panose1 w:val="02010600000101010101"/>
    <w:charset w:val="88"/>
    <w:family w:val="auto"/>
    <w:pitch w:val="default"/>
    <w:sig w:usb0="00000001" w:usb1="080E0800" w:usb2="00000002" w:usb3="00000000" w:csb0="00100000" w:csb1="00000000"/>
  </w:font>
  <w:font w:name="宋体-方正超大字符集">
    <w:altName w:val="方正书宋_GBK"/>
    <w:panose1 w:val="00000000000000000000"/>
    <w:charset w:val="00"/>
    <w:family w:val="script"/>
    <w:pitch w:val="default"/>
    <w:sig w:usb0="00000000" w:usb1="00000000" w:usb2="00000010" w:usb3="00000000" w:csb0="00040000" w:csb1="00000000"/>
  </w:font>
  <w:font w:name="Bauhaus 93">
    <w:altName w:val="汉仪叶叶相思体简"/>
    <w:panose1 w:val="04030905020B02020C02"/>
    <w:charset w:val="00"/>
    <w:family w:val="decorative"/>
    <w:pitch w:val="default"/>
    <w:sig w:usb0="00000000" w:usb1="00000000" w:usb2="00000000" w:usb3="00000000" w:csb0="0000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汉仪中宋简">
    <w:panose1 w:val="02010600000101010101"/>
    <w:charset w:val="86"/>
    <w:family w:val="auto"/>
    <w:pitch w:val="default"/>
    <w:sig w:usb0="00000001" w:usb1="080E0800" w:usb2="00000002" w:usb3="00000000" w:csb0="00040000" w:csb1="00000000"/>
  </w:font>
  <w:font w:name="汉仪叶叶相思体简">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firstLine="360"/>
      <w:jc w:val="right"/>
    </w:pPr>
    <w:r>
      <mc:AlternateContent>
        <mc:Choice Requires="wps">
          <w:drawing>
            <wp:anchor distT="0" distB="0" distL="114300" distR="114300" simplePos="0" relativeHeight="251665408" behindDoc="0" locked="0" layoutInCell="1" allowOverlap="1">
              <wp:simplePos x="0" y="0"/>
              <wp:positionH relativeFrom="margin">
                <wp:posOffset>5447030</wp:posOffset>
              </wp:positionH>
              <wp:positionV relativeFrom="paragraph">
                <wp:posOffset>-26670</wp:posOffset>
              </wp:positionV>
              <wp:extent cx="57785" cy="131445"/>
              <wp:effectExtent l="0" t="0" r="0" b="0"/>
              <wp:wrapNone/>
              <wp:docPr id="7" name="文本框 1"/>
              <wp:cNvGraphicFramePr/>
              <a:graphic xmlns:a="http://schemas.openxmlformats.org/drawingml/2006/main">
                <a:graphicData uri="http://schemas.microsoft.com/office/word/2010/wordprocessingShape">
                  <wps:wsp>
                    <wps:cNvSpPr txBox="true"/>
                    <wps:spPr>
                      <a:xfrm>
                        <a:off x="0" y="0"/>
                        <a:ext cx="57785" cy="131445"/>
                      </a:xfrm>
                      <a:prstGeom prst="rect">
                        <a:avLst/>
                      </a:prstGeom>
                      <a:noFill/>
                      <a:ln w="15875">
                        <a:noFill/>
                      </a:ln>
                    </wps:spPr>
                    <wps:txbx>
                      <w:txbxContent>
                        <w:p>
                          <w:pPr>
                            <w:pStyle w:val="7"/>
                            <w:rPr>
                              <w:rStyle w:val="14"/>
                            </w:rPr>
                          </w:pPr>
                          <w:r>
                            <w:t>5</w:t>
                          </w:r>
                        </w:p>
                      </w:txbxContent>
                    </wps:txbx>
                    <wps:bodyPr wrap="none" lIns="0" tIns="0" rIns="0" bIns="0" upright="false">
                      <a:spAutoFit/>
                    </wps:bodyPr>
                  </wps:wsp>
                </a:graphicData>
              </a:graphic>
            </wp:anchor>
          </w:drawing>
        </mc:Choice>
        <mc:Fallback>
          <w:pict>
            <v:shape id="文本框 1" o:spid="_x0000_s1026" o:spt="202" type="#_x0000_t202" style="position:absolute;left:0pt;margin-left:428.9pt;margin-top:-2.1pt;height:10.35pt;width:4.55pt;mso-position-horizontal-relative:margin;mso-wrap-style:none;z-index:251665408;mso-width-relative:page;mso-height-relative:page;" filled="f" stroked="f" coordsize="21600,21600" o:gfxdata="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FgAAAGRycy9QSwECFAAUAAAACACHTuJAMZNsw9kAAAAJAQAADwAAAAAAAAAB&#10;ACAAAAA4AAAAZHJzL2Rvd25yZXYueG1sUEsBAhQAFAAAAAgAh07iQEaaDf/AAQAAWQMAAA4AAAAA&#10;AAAAAQAgAAAAPgEAAGRycy9lMm9Eb2MueG1sUEsFBgAAAAAGAAYAWQEAAHAFAAAAAA==&#10;">
              <v:fill on="f" focussize="0,0"/>
              <v:stroke on="f" weight="1.25pt"/>
              <v:imagedata o:title=""/>
              <o:lock v:ext="edit" aspectratio="f"/>
              <v:textbox inset="0mm,0mm,0mm,0mm" style="mso-fit-shape-to-text:t;">
                <w:txbxContent>
                  <w:p>
                    <w:pPr>
                      <w:pStyle w:val="7"/>
                      <w:rPr>
                        <w:rStyle w:val="14"/>
                      </w:rPr>
                    </w:pPr>
                    <w:r>
                      <w:t>5</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firstLine="360"/>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7"/>
                            <w:rPr>
                              <w:rStyle w:val="14"/>
                            </w:rPr>
                          </w:pPr>
                          <w:r>
                            <w:fldChar w:fldCharType="begin"/>
                          </w:r>
                          <w:r>
                            <w:rPr>
                              <w:rStyle w:val="14"/>
                            </w:rPr>
                            <w:instrText xml:space="preserve">PAGE  </w:instrText>
                          </w:r>
                          <w:r>
                            <w:fldChar w:fldCharType="separate"/>
                          </w:r>
                          <w:r>
                            <w:rPr>
                              <w:rStyle w:val="14"/>
                            </w:rPr>
                            <w:t>II</w:t>
                          </w:r>
                          <w:r>
                            <w:fldChar w:fldCharType="end"/>
                          </w:r>
                        </w:p>
                      </w:txbxContent>
                    </wps:txbx>
                    <wps:bodyPr wrap="none" lIns="0" tIns="0" rIns="0" bIns="0" upright="false">
                      <a:spAutoFit/>
                    </wps:bodyPr>
                  </wps:wsp>
                </a:graphicData>
              </a:graphic>
            </wp:anchor>
          </w:drawing>
        </mc:Choice>
        <mc:Fallback>
          <w:pict>
            <v:shape id="文本框 7"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BYAAABkcnMvUEsBAhQAFAAAAAgAh07iQGhpgkvTAAAABQEAAA8AAAAAAAAAAQAgAAAAOAAA&#10;AGRycy9kb3ducmV2LnhtbFBLAQIUABQAAAAIAIdO4kBboFqAvgEAAFwDAAAOAAAAAAAAAAEAIAAA&#10;ADgBAABkcnMvZTJvRG9jLnhtbFBLBQYAAAAABgAGAFkBAABoBQAAAAA=&#10;">
              <v:fill on="f" focussize="0,0"/>
              <v:stroke on="f" weight="1.25pt"/>
              <v:imagedata o:title=""/>
              <o:lock v:ext="edit" aspectratio="f"/>
              <v:textbox inset="0mm,0mm,0mm,0mm" style="mso-fit-shape-to-text:t;">
                <w:txbxContent>
                  <w:p>
                    <w:pPr>
                      <w:pStyle w:val="7"/>
                      <w:rPr>
                        <w:rStyle w:val="14"/>
                      </w:rPr>
                    </w:pPr>
                    <w:r>
                      <w:fldChar w:fldCharType="begin"/>
                    </w:r>
                    <w:r>
                      <w:rPr>
                        <w:rStyle w:val="14"/>
                      </w:rPr>
                      <w:instrText xml:space="preserve">PAGE  </w:instrText>
                    </w:r>
                    <w:r>
                      <w:fldChar w:fldCharType="separate"/>
                    </w:r>
                    <w:r>
                      <w:rPr>
                        <w:rStyle w:val="14"/>
                      </w:rPr>
                      <w:t>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rPr>
        <w:rStyle w:val="14"/>
      </w:rPr>
    </w:pPr>
    <w:r>
      <w:fldChar w:fldCharType="begin"/>
    </w:r>
    <w:r>
      <w:rPr>
        <w:rStyle w:val="14"/>
      </w:rPr>
      <w:instrText xml:space="preserve">PAGE  </w:instrText>
    </w:r>
    <w:r>
      <w:fldChar w:fldCharType="separate"/>
    </w:r>
    <w:r>
      <w:rPr>
        <w:rStyle w:val="14"/>
      </w:rPr>
      <w:t>1</w:t>
    </w:r>
    <w:r>
      <w:fldChar w:fldCharType="end"/>
    </w:r>
  </w:p>
  <w:p>
    <w:pPr>
      <w:pStyle w:val="7"/>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firstLine="360"/>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7"/>
                            <w:rPr>
                              <w:rStyle w:val="14"/>
                            </w:rPr>
                          </w:pPr>
                          <w:r>
                            <w:fldChar w:fldCharType="begin"/>
                          </w:r>
                          <w:r>
                            <w:rPr>
                              <w:rStyle w:val="14"/>
                            </w:rPr>
                            <w:instrText xml:space="preserve">PAGE  </w:instrText>
                          </w:r>
                          <w:r>
                            <w:fldChar w:fldCharType="separate"/>
                          </w:r>
                          <w:r>
                            <w:rPr>
                              <w:rStyle w:val="14"/>
                            </w:rPr>
                            <w:t>I</w:t>
                          </w:r>
                          <w:r>
                            <w:fldChar w:fldCharType="end"/>
                          </w:r>
                        </w:p>
                      </w:txbxContent>
                    </wps:txbx>
                    <wps:bodyPr wrap="none" lIns="0" tIns="0" rIns="0" bIns="0" upright="false">
                      <a:spAutoFit/>
                    </wps:bodyPr>
                  </wps:wsp>
                </a:graphicData>
              </a:graphic>
            </wp:anchor>
          </w:drawing>
        </mc:Choice>
        <mc:Fallback>
          <w:pict>
            <v:shape id="文本框 4"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FgAAAGRycy9QSwECFAAUAAAACACHTuJAaGmCS9MAAAAFAQAADwAAAAAAAAABACAAAAA4AAAA&#10;ZHJzL2Rvd25yZXYueG1sUEsBAhQAFAAAAAgAh07iQKKI5Tq9AQAAXAMAAA4AAAAAAAAAAQAgAAAA&#10;OAEAAGRycy9lMm9Eb2MueG1sUEsFBgAAAAAGAAYAWQEAAGcFAAAAAA==&#10;">
              <v:fill on="f" focussize="0,0"/>
              <v:stroke on="f" weight="1.25pt"/>
              <v:imagedata o:title=""/>
              <o:lock v:ext="edit" aspectratio="f"/>
              <v:textbox inset="0mm,0mm,0mm,0mm" style="mso-fit-shape-to-text:t;">
                <w:txbxContent>
                  <w:p>
                    <w:pPr>
                      <w:pStyle w:val="7"/>
                      <w:rPr>
                        <w:rStyle w:val="14"/>
                      </w:rPr>
                    </w:pPr>
                    <w:r>
                      <w:fldChar w:fldCharType="begin"/>
                    </w:r>
                    <w:r>
                      <w:rPr>
                        <w:rStyle w:val="14"/>
                      </w:rPr>
                      <w:instrText xml:space="preserve">PAGE  </w:instrText>
                    </w:r>
                    <w:r>
                      <w:fldChar w:fldCharType="separate"/>
                    </w:r>
                    <w:r>
                      <w:rPr>
                        <w:rStyle w:val="14"/>
                      </w:rP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7"/>
                            <w:jc w:val="right"/>
                            <w:rPr>
                              <w:rStyle w:val="14"/>
                            </w:rPr>
                          </w:pPr>
                          <w:r>
                            <w:fldChar w:fldCharType="begin"/>
                          </w:r>
                          <w:r>
                            <w:rPr>
                              <w:rStyle w:val="14"/>
                            </w:rPr>
                            <w:instrText xml:space="preserve">PAGE  </w:instrText>
                          </w:r>
                          <w:r>
                            <w:fldChar w:fldCharType="separate"/>
                          </w:r>
                          <w:r>
                            <w:rPr>
                              <w:rStyle w:val="14"/>
                            </w:rPr>
                            <w:t>II</w:t>
                          </w:r>
                          <w:r>
                            <w:fldChar w:fldCharType="end"/>
                          </w:r>
                        </w:p>
                      </w:txbxContent>
                    </wps:txbx>
                    <wps:bodyPr wrap="none" lIns="0" tIns="0" rIns="0" bIns="0" upright="false">
                      <a:spAutoFit/>
                    </wps:bodyPr>
                  </wps:wsp>
                </a:graphicData>
              </a:graphic>
            </wp:anchor>
          </w:drawing>
        </mc:Choice>
        <mc:Fallback>
          <w:pict>
            <v:shape id="文本框 5"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FgAAAGRycy9QSwECFAAUAAAACACHTuJAaGmCS9MAAAAFAQAADwAAAAAAAAABACAAAAA4AAAA&#10;ZHJzL2Rvd25yZXYueG1sUEsBAhQAFAAAAAgAh07iQF7ZN1m9AQAAXAMAAA4AAAAAAAAAAQAgAAAA&#10;OAEAAGRycy9lMm9Eb2MueG1sUEsFBgAAAAAGAAYAWQEAAGcFAAAAAA==&#10;">
              <v:fill on="f" focussize="0,0"/>
              <v:stroke on="f" weight="1.25pt"/>
              <v:imagedata o:title=""/>
              <o:lock v:ext="edit" aspectratio="f"/>
              <v:textbox inset="0mm,0mm,0mm,0mm" style="mso-fit-shape-to-text:t;">
                <w:txbxContent>
                  <w:p>
                    <w:pPr>
                      <w:pStyle w:val="7"/>
                      <w:jc w:val="right"/>
                      <w:rPr>
                        <w:rStyle w:val="14"/>
                      </w:rPr>
                    </w:pPr>
                    <w:r>
                      <w:fldChar w:fldCharType="begin"/>
                    </w:r>
                    <w:r>
                      <w:rPr>
                        <w:rStyle w:val="14"/>
                      </w:rPr>
                      <w:instrText xml:space="preserve">PAGE  </w:instrText>
                    </w:r>
                    <w:r>
                      <w:fldChar w:fldCharType="separate"/>
                    </w:r>
                    <w:r>
                      <w:rPr>
                        <w:rStyle w:val="14"/>
                      </w:rPr>
                      <w:t>II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firstLine="360"/>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7"/>
                            <w:rPr>
                              <w:rStyle w:val="14"/>
                            </w:rPr>
                          </w:pPr>
                          <w:r>
                            <w:fldChar w:fldCharType="begin"/>
                          </w:r>
                          <w:r>
                            <w:rPr>
                              <w:rStyle w:val="14"/>
                            </w:rPr>
                            <w:instrText xml:space="preserve">PAGE  </w:instrText>
                          </w:r>
                          <w:r>
                            <w:fldChar w:fldCharType="separate"/>
                          </w:r>
                          <w:r>
                            <w:rPr>
                              <w:rStyle w:val="14"/>
                            </w:rPr>
                            <w:t>II</w:t>
                          </w:r>
                          <w:r>
                            <w:fldChar w:fldCharType="end"/>
                          </w:r>
                        </w:p>
                      </w:txbxContent>
                    </wps:txbx>
                    <wps:bodyPr wrap="none" lIns="0" tIns="0" rIns="0" bIns="0" upright="false">
                      <a:spAutoFit/>
                    </wps:bodyPr>
                  </wps:wsp>
                </a:graphicData>
              </a:graphic>
            </wp:anchor>
          </w:drawing>
        </mc:Choice>
        <mc:Fallback>
          <w:pict>
            <v:shape id="文本框 4"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FgAAAGRycy9QSwECFAAUAAAACACHTuJAaGmCS9MAAAAFAQAADwAAAAAAAAABACAAAAA4AAAA&#10;ZHJzL2Rvd25yZXYueG1sUEsBAhQAFAAAAAgAh07iQG0jVii9AQAAXAMAAA4AAAAAAAAAAQAgAAAA&#10;OAEAAGRycy9lMm9Eb2MueG1sUEsFBgAAAAAGAAYAWQEAAGcFAAAAAA==&#10;">
              <v:fill on="f" focussize="0,0"/>
              <v:stroke on="f" weight="1.25pt"/>
              <v:imagedata o:title=""/>
              <o:lock v:ext="edit" aspectratio="f"/>
              <v:textbox inset="0mm,0mm,0mm,0mm" style="mso-fit-shape-to-text:t;">
                <w:txbxContent>
                  <w:p>
                    <w:pPr>
                      <w:pStyle w:val="7"/>
                      <w:rPr>
                        <w:rStyle w:val="14"/>
                      </w:rPr>
                    </w:pPr>
                    <w:r>
                      <w:fldChar w:fldCharType="begin"/>
                    </w:r>
                    <w:r>
                      <w:rPr>
                        <w:rStyle w:val="14"/>
                      </w:rPr>
                      <w:instrText xml:space="preserve">PAGE  </w:instrText>
                    </w:r>
                    <w:r>
                      <w:fldChar w:fldCharType="separate"/>
                    </w:r>
                    <w:r>
                      <w:rPr>
                        <w:rStyle w:val="14"/>
                      </w:rPr>
                      <w:t>II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pPr>
    <w:r>
      <w:rPr>
        <w:rFonts w:hint="eastAsia"/>
      </w:rPr>
      <w:t>3</w:t>
    </w:r>
  </w:p>
  <w:p>
    <w:pPr>
      <w:pStyle w:val="7"/>
      <w:ind w:right="360" w:firstLine="360"/>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firstLine="360"/>
      <w:jc w:val="right"/>
    </w:pPr>
    <w:r>
      <mc:AlternateContent>
        <mc:Choice Requires="wps">
          <w:drawing>
            <wp:anchor distT="0" distB="0" distL="114300" distR="114300" simplePos="0" relativeHeight="251664384" behindDoc="0" locked="0" layoutInCell="1" allowOverlap="1">
              <wp:simplePos x="0" y="0"/>
              <wp:positionH relativeFrom="margin">
                <wp:posOffset>-635</wp:posOffset>
              </wp:positionH>
              <wp:positionV relativeFrom="paragraph">
                <wp:posOffset>-55245</wp:posOffset>
              </wp:positionV>
              <wp:extent cx="57785" cy="131445"/>
              <wp:effectExtent l="0" t="0" r="0" b="0"/>
              <wp:wrapNone/>
              <wp:docPr id="6" name="文本框 1"/>
              <wp:cNvGraphicFramePr/>
              <a:graphic xmlns:a="http://schemas.openxmlformats.org/drawingml/2006/main">
                <a:graphicData uri="http://schemas.microsoft.com/office/word/2010/wordprocessingShape">
                  <wps:wsp>
                    <wps:cNvSpPr txBox="true"/>
                    <wps:spPr>
                      <a:xfrm>
                        <a:off x="0" y="0"/>
                        <a:ext cx="57785" cy="131445"/>
                      </a:xfrm>
                      <a:prstGeom prst="rect">
                        <a:avLst/>
                      </a:prstGeom>
                      <a:noFill/>
                      <a:ln w="15875">
                        <a:noFill/>
                      </a:ln>
                    </wps:spPr>
                    <wps:txbx>
                      <w:txbxContent>
                        <w:p>
                          <w:pPr>
                            <w:pStyle w:val="7"/>
                            <w:rPr>
                              <w:rStyle w:val="14"/>
                            </w:rPr>
                          </w:pPr>
                          <w:r>
                            <w:t>4</w:t>
                          </w:r>
                        </w:p>
                      </w:txbxContent>
                    </wps:txbx>
                    <wps:bodyPr wrap="none" lIns="0" tIns="0" rIns="0" bIns="0" upright="false">
                      <a:spAutoFit/>
                    </wps:bodyPr>
                  </wps:wsp>
                </a:graphicData>
              </a:graphic>
            </wp:anchor>
          </w:drawing>
        </mc:Choice>
        <mc:Fallback>
          <w:pict>
            <v:shape id="文本框 1" o:spid="_x0000_s1026" o:spt="202" type="#_x0000_t202" style="position:absolute;left:0pt;margin-left:-0.05pt;margin-top:-4.35pt;height:10.35pt;width:4.55pt;mso-position-horizontal-relative:margin;mso-wrap-style:none;z-index:251664384;mso-width-relative:page;mso-height-relative:page;" filled="f" stroked="f" coordsize="21600,21600" o:gfxdata="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WAAAAZHJzL1BLAQIUABQAAAAIAIdO4kALehjw1QAAAAUBAAAPAAAAAAAAAAEAIAAA&#10;ADgAAABkcnMvZG93bnJldi54bWxQSwECFAAUAAAACACHTuJAKyW/wsABAABZAwAADgAAAAAAAAAB&#10;ACAAAAA6AQAAZHJzL2Uyb0RvYy54bWxQSwUGAAAAAAYABgBZAQAAbAUAAAAA&#10;">
              <v:fill on="f" focussize="0,0"/>
              <v:stroke on="f" weight="1.25pt"/>
              <v:imagedata o:title=""/>
              <o:lock v:ext="edit" aspectratio="f"/>
              <v:textbox inset="0mm,0mm,0mm,0mm" style="mso-fit-shape-to-text:t;">
                <w:txbxContent>
                  <w:p>
                    <w:pPr>
                      <w:pStyle w:val="7"/>
                      <w:rPr>
                        <w:rStyle w:val="14"/>
                      </w:rPr>
                    </w:pPr>
                    <w:r>
                      <w:t>4</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7"/>
                            <w:rPr>
                              <w:rStyle w:val="14"/>
                            </w:rPr>
                          </w:pPr>
                          <w:r>
                            <w:fldChar w:fldCharType="begin"/>
                          </w:r>
                          <w:r>
                            <w:rPr>
                              <w:rStyle w:val="14"/>
                            </w:rPr>
                            <w:instrText xml:space="preserve">PAGE  </w:instrText>
                          </w:r>
                          <w:r>
                            <w:fldChar w:fldCharType="separate"/>
                          </w:r>
                          <w:r>
                            <w:rPr>
                              <w:rStyle w:val="14"/>
                            </w:rPr>
                            <w:t>- 6 -</w:t>
                          </w:r>
                          <w:r>
                            <w:fldChar w:fldCharType="end"/>
                          </w:r>
                        </w:p>
                      </w:txbxContent>
                    </wps:txbx>
                    <wps:bodyPr wrap="none" lIns="0" tIns="0" rIns="0" bIns="0" upright="false">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WAAAAZHJzL1BLAQIUABQAAAAIAIdO4kBoaYJL0wAAAAUBAAAPAAAAAAAAAAEAIAAAADgAAABk&#10;cnMvZG93bnJldi54bWxQSwECFAAUAAAACACHTuJAc9lf0rwBAABcAwAADgAAAAAAAAABACAAAAA4&#10;AQAAZHJzL2Uyb0RvYy54bWxQSwUGAAAAAAYABgBZAQAAZgUAAAAA&#10;">
              <v:fill on="f" focussize="0,0"/>
              <v:stroke on="f" weight="1.25pt"/>
              <v:imagedata o:title=""/>
              <o:lock v:ext="edit" aspectratio="f"/>
              <v:textbox inset="0mm,0mm,0mm,0mm" style="mso-fit-shape-to-text:t;">
                <w:txbxContent>
                  <w:p>
                    <w:pPr>
                      <w:pStyle w:val="7"/>
                      <w:rPr>
                        <w:rStyle w:val="14"/>
                      </w:rPr>
                    </w:pPr>
                    <w:r>
                      <w:fldChar w:fldCharType="begin"/>
                    </w:r>
                    <w:r>
                      <w:rPr>
                        <w:rStyle w:val="14"/>
                      </w:rPr>
                      <w:instrText xml:space="preserve">PAGE  </w:instrText>
                    </w:r>
                    <w:r>
                      <w:fldChar w:fldCharType="separate"/>
                    </w:r>
                    <w:r>
                      <w:rPr>
                        <w:rStyle w:val="14"/>
                      </w:rPr>
                      <w:t>- 6 -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ascii="黑体" w:eastAsia="黑体"/>
      </w:rPr>
    </w:pPr>
    <w:r>
      <w:rPr>
        <w:rFonts w:hint="eastAsia" w:ascii="黑体" w:eastAsia="黑体"/>
      </w:rPr>
      <w:t>ICS 65.020.20</w:t>
    </w:r>
  </w:p>
  <w:p>
    <w:pPr>
      <w:rPr>
        <w:rFonts w:hint="default" w:ascii="黑体" w:eastAsia="黑体"/>
        <w:lang w:val="en-US" w:eastAsia="zh-CN"/>
      </w:rPr>
    </w:pPr>
    <w:r>
      <w:rPr>
        <w:rFonts w:hint="eastAsia" w:ascii="黑体" w:eastAsia="黑体"/>
        <w:lang w:val="en-US" w:eastAsia="zh-CN"/>
      </w:rPr>
      <w:t xml:space="preserve">CCS </w:t>
    </w:r>
    <w:r>
      <w:rPr>
        <w:rFonts w:hint="eastAsia" w:ascii="黑体" w:eastAsia="黑体"/>
      </w:rPr>
      <w:t xml:space="preserve">B </w:t>
    </w:r>
    <w:r>
      <w:rPr>
        <w:rFonts w:hint="eastAsia" w:ascii="黑体" w:eastAsia="黑体"/>
        <w:lang w:val="en-US" w:eastAsia="zh-CN"/>
      </w:rPr>
      <w:t>35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ascii="黑体" w:eastAsia="黑体"/>
      </w:rPr>
    </w:pPr>
    <w:r>
      <w:rPr>
        <w:rFonts w:hint="eastAsia" w:ascii="黑体" w:eastAsia="黑体"/>
      </w:rPr>
      <w:t>ICS 65.020.20</w:t>
    </w:r>
  </w:p>
  <w:p>
    <w:pPr>
      <w:rPr>
        <w:rFonts w:hint="eastAsia"/>
      </w:rPr>
    </w:pPr>
    <w:r>
      <w:rPr>
        <w:rFonts w:hint="eastAsia"/>
      </w:rPr>
      <w:t>B 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hint="eastAsia" w:eastAsia="宋体"/>
        <w:lang w:eastAsia="zh-CN"/>
      </w:rPr>
    </w:pPr>
    <w:r>
      <w:rPr>
        <w:rFonts w:hint="eastAsia"/>
      </w:rPr>
      <w:t>DB43/T  0000</w:t>
    </w:r>
    <w:r>
      <w:rPr>
        <w:rFonts w:hint="eastAsia" w:ascii="方正粗黑宋简体" w:hAnsi="方正粗黑宋简体" w:eastAsia="方正粗黑宋简体"/>
      </w:rPr>
      <w:t>—</w:t>
    </w:r>
    <w:r>
      <w:rPr>
        <w:rFonts w:hint="eastAsia"/>
      </w:rPr>
      <w:t>202</w:t>
    </w:r>
    <w:r>
      <w:rPr>
        <w:rFonts w:hint="eastAsia"/>
        <w:lang w:val="en-US" w:eastAsia="zh-CN"/>
      </w:rPr>
      <w:t>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420" w:firstLine="7035" w:firstLineChars="3350"/>
    </w:pPr>
    <w:r>
      <w:rPr>
        <w:rFonts w:hint="eastAsia"/>
      </w:rPr>
      <w:t xml:space="preserve">DB43/T0000-2019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420" w:firstLine="7035" w:firstLineChars="3350"/>
      <w:jc w:val="center"/>
    </w:pPr>
    <w:r>
      <w:rPr>
        <w:rFonts w:hint="eastAsia"/>
      </w:rPr>
      <w:t>DB43/T0000-2019</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hint="eastAsia" w:eastAsia="宋体"/>
        <w:lang w:eastAsia="zh-CN"/>
      </w:rPr>
    </w:pPr>
    <w:r>
      <w:rPr>
        <w:rFonts w:hint="eastAsia"/>
      </w:rPr>
      <w:t>DB43/T  0000</w:t>
    </w:r>
    <w:r>
      <w:rPr>
        <w:rFonts w:hint="eastAsia" w:ascii="方正粗黑宋简体" w:hAnsi="方正粗黑宋简体" w:eastAsia="方正粗黑宋简体"/>
      </w:rPr>
      <w:t>—</w:t>
    </w:r>
    <w:r>
      <w:rPr>
        <w:rFonts w:hint="eastAsia"/>
      </w:rPr>
      <w:t>202</w:t>
    </w:r>
    <w:r>
      <w:rPr>
        <w:rFonts w:hint="eastAsia"/>
        <w:lang w:val="en-US" w:eastAsia="zh-CN"/>
      </w:rPr>
      <w:t>2</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rPr>
        <w:rFonts w:hint="eastAsia" w:eastAsia="宋体"/>
        <w:lang w:eastAsia="zh-CN"/>
      </w:rPr>
    </w:pPr>
    <w:r>
      <w:rPr>
        <w:rFonts w:hint="eastAsia"/>
      </w:rPr>
      <w:t>DB43/T  0000</w:t>
    </w:r>
    <w:r>
      <w:rPr>
        <w:rFonts w:hint="eastAsia" w:ascii="方正粗黑宋简体" w:hAnsi="方正粗黑宋简体" w:eastAsia="方正粗黑宋简体"/>
      </w:rPr>
      <w:t>—</w:t>
    </w:r>
    <w:r>
      <w:rPr>
        <w:rFonts w:hint="eastAsia"/>
      </w:rPr>
      <w:t>202</w:t>
    </w:r>
    <w:r>
      <w:rPr>
        <w:rFonts w:hint="eastAsia"/>
        <w:lang w:val="en-US" w:eastAsia="zh-CN"/>
      </w:rPr>
      <w:t>2</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r>
      <w:rPr>
        <w:rFonts w:hint="eastAsia"/>
      </w:rPr>
      <w:t>DB43/T  0000-2019</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hint="eastAsia"/>
      </w:rPr>
    </w:pPr>
    <w:r>
      <w:rPr>
        <w:rFonts w:hint="eastAsia"/>
      </w:rPr>
      <w:t>DB43/T  0000</w:t>
    </w:r>
    <w:r>
      <w:rPr>
        <w:rFonts w:hint="eastAsia" w:ascii="方正粗黑宋简体" w:hAnsi="方正粗黑宋简体" w:eastAsia="方正粗黑宋简体"/>
      </w:rPr>
      <w:t>—</w:t>
    </w:r>
    <w:r>
      <w:rPr>
        <w:rFonts w:hint="eastAsia"/>
      </w:rPr>
      <w:t>2020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true"/>
  <w:characterSpacingControl w:val="compressPunctuation"/>
  <w:doNotValidateAgainstSchema/>
  <w:doNotDemarcateInvalidXml/>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27B"/>
    <w:rsid w:val="000076EB"/>
    <w:rsid w:val="00034D79"/>
    <w:rsid w:val="00042189"/>
    <w:rsid w:val="00044745"/>
    <w:rsid w:val="00054FCA"/>
    <w:rsid w:val="000641A2"/>
    <w:rsid w:val="0006584E"/>
    <w:rsid w:val="00070860"/>
    <w:rsid w:val="0007442C"/>
    <w:rsid w:val="0007675D"/>
    <w:rsid w:val="00077A13"/>
    <w:rsid w:val="000800CD"/>
    <w:rsid w:val="00083B0A"/>
    <w:rsid w:val="00086874"/>
    <w:rsid w:val="00091BE6"/>
    <w:rsid w:val="00094150"/>
    <w:rsid w:val="000969AF"/>
    <w:rsid w:val="000A30CA"/>
    <w:rsid w:val="000A39F8"/>
    <w:rsid w:val="000A416D"/>
    <w:rsid w:val="000B3693"/>
    <w:rsid w:val="000C2BC1"/>
    <w:rsid w:val="000C56E4"/>
    <w:rsid w:val="000D0D08"/>
    <w:rsid w:val="000D2252"/>
    <w:rsid w:val="000D2380"/>
    <w:rsid w:val="000D44C9"/>
    <w:rsid w:val="000D64FB"/>
    <w:rsid w:val="000D7D38"/>
    <w:rsid w:val="000E0034"/>
    <w:rsid w:val="000E63AB"/>
    <w:rsid w:val="000F4D27"/>
    <w:rsid w:val="000F53AB"/>
    <w:rsid w:val="00101BFA"/>
    <w:rsid w:val="001034CB"/>
    <w:rsid w:val="001037F9"/>
    <w:rsid w:val="00110432"/>
    <w:rsid w:val="00112876"/>
    <w:rsid w:val="001178D4"/>
    <w:rsid w:val="00121FAF"/>
    <w:rsid w:val="00122AFF"/>
    <w:rsid w:val="00123F0F"/>
    <w:rsid w:val="00124307"/>
    <w:rsid w:val="001256C2"/>
    <w:rsid w:val="00131D2E"/>
    <w:rsid w:val="001337E5"/>
    <w:rsid w:val="00134F39"/>
    <w:rsid w:val="00135409"/>
    <w:rsid w:val="0014051F"/>
    <w:rsid w:val="00141220"/>
    <w:rsid w:val="001417C3"/>
    <w:rsid w:val="00157230"/>
    <w:rsid w:val="0016064E"/>
    <w:rsid w:val="001607DB"/>
    <w:rsid w:val="00166D5C"/>
    <w:rsid w:val="00170067"/>
    <w:rsid w:val="00170286"/>
    <w:rsid w:val="0017220E"/>
    <w:rsid w:val="00176771"/>
    <w:rsid w:val="00177E22"/>
    <w:rsid w:val="00181BFE"/>
    <w:rsid w:val="00184392"/>
    <w:rsid w:val="00197CBD"/>
    <w:rsid w:val="001A0605"/>
    <w:rsid w:val="001A38A8"/>
    <w:rsid w:val="001B1DFB"/>
    <w:rsid w:val="001B712F"/>
    <w:rsid w:val="001B75C9"/>
    <w:rsid w:val="001C4BCF"/>
    <w:rsid w:val="001D02E4"/>
    <w:rsid w:val="001D62F9"/>
    <w:rsid w:val="001D6799"/>
    <w:rsid w:val="001E32F5"/>
    <w:rsid w:val="001F1D62"/>
    <w:rsid w:val="001F3223"/>
    <w:rsid w:val="001F7543"/>
    <w:rsid w:val="00204DD6"/>
    <w:rsid w:val="002054A5"/>
    <w:rsid w:val="00206F9E"/>
    <w:rsid w:val="002107AD"/>
    <w:rsid w:val="00210FE1"/>
    <w:rsid w:val="00211182"/>
    <w:rsid w:val="002113DB"/>
    <w:rsid w:val="00213E9B"/>
    <w:rsid w:val="00215B69"/>
    <w:rsid w:val="00231BFA"/>
    <w:rsid w:val="0023298C"/>
    <w:rsid w:val="002342EF"/>
    <w:rsid w:val="00243590"/>
    <w:rsid w:val="00255368"/>
    <w:rsid w:val="002567B6"/>
    <w:rsid w:val="0026048E"/>
    <w:rsid w:val="002605DD"/>
    <w:rsid w:val="00266A72"/>
    <w:rsid w:val="00266E52"/>
    <w:rsid w:val="00271E28"/>
    <w:rsid w:val="00275E42"/>
    <w:rsid w:val="00276F39"/>
    <w:rsid w:val="00277E9D"/>
    <w:rsid w:val="00280704"/>
    <w:rsid w:val="00287427"/>
    <w:rsid w:val="00293409"/>
    <w:rsid w:val="00293F42"/>
    <w:rsid w:val="002A30A4"/>
    <w:rsid w:val="002A3C76"/>
    <w:rsid w:val="002A5EE0"/>
    <w:rsid w:val="002B2EF1"/>
    <w:rsid w:val="002B3A63"/>
    <w:rsid w:val="002B4271"/>
    <w:rsid w:val="002B6E7B"/>
    <w:rsid w:val="002B78A6"/>
    <w:rsid w:val="002C10D4"/>
    <w:rsid w:val="002C5959"/>
    <w:rsid w:val="002D4127"/>
    <w:rsid w:val="002D74D7"/>
    <w:rsid w:val="002E17CB"/>
    <w:rsid w:val="002F14F4"/>
    <w:rsid w:val="002F2A42"/>
    <w:rsid w:val="002F53B2"/>
    <w:rsid w:val="00303A3E"/>
    <w:rsid w:val="00305A75"/>
    <w:rsid w:val="00312DCC"/>
    <w:rsid w:val="003130B0"/>
    <w:rsid w:val="0032318A"/>
    <w:rsid w:val="00325555"/>
    <w:rsid w:val="0032653F"/>
    <w:rsid w:val="00334E6C"/>
    <w:rsid w:val="00335393"/>
    <w:rsid w:val="00340286"/>
    <w:rsid w:val="00342FA4"/>
    <w:rsid w:val="00343543"/>
    <w:rsid w:val="003457D9"/>
    <w:rsid w:val="00347F5C"/>
    <w:rsid w:val="00355879"/>
    <w:rsid w:val="00366FBC"/>
    <w:rsid w:val="003709F3"/>
    <w:rsid w:val="00372CA6"/>
    <w:rsid w:val="003759ED"/>
    <w:rsid w:val="00376073"/>
    <w:rsid w:val="00383CFC"/>
    <w:rsid w:val="003869EA"/>
    <w:rsid w:val="00393301"/>
    <w:rsid w:val="003961D4"/>
    <w:rsid w:val="003A1FBA"/>
    <w:rsid w:val="003A20AC"/>
    <w:rsid w:val="003A5164"/>
    <w:rsid w:val="003B020C"/>
    <w:rsid w:val="003B2371"/>
    <w:rsid w:val="003B23A7"/>
    <w:rsid w:val="003B2672"/>
    <w:rsid w:val="003B2904"/>
    <w:rsid w:val="003B2ACD"/>
    <w:rsid w:val="003B6390"/>
    <w:rsid w:val="003C050F"/>
    <w:rsid w:val="003C29AD"/>
    <w:rsid w:val="003C3397"/>
    <w:rsid w:val="003C79A7"/>
    <w:rsid w:val="003D2DE2"/>
    <w:rsid w:val="003D35D2"/>
    <w:rsid w:val="003D3F12"/>
    <w:rsid w:val="003D588D"/>
    <w:rsid w:val="003E5E8D"/>
    <w:rsid w:val="003E79F4"/>
    <w:rsid w:val="003E7EAE"/>
    <w:rsid w:val="003F2F66"/>
    <w:rsid w:val="003F4B1C"/>
    <w:rsid w:val="003F4D95"/>
    <w:rsid w:val="003F670E"/>
    <w:rsid w:val="00401217"/>
    <w:rsid w:val="004038FF"/>
    <w:rsid w:val="00407ACB"/>
    <w:rsid w:val="0041230F"/>
    <w:rsid w:val="00416F78"/>
    <w:rsid w:val="00417CCF"/>
    <w:rsid w:val="00420F5E"/>
    <w:rsid w:val="00421A37"/>
    <w:rsid w:val="00422EAE"/>
    <w:rsid w:val="00425C9D"/>
    <w:rsid w:val="0043125F"/>
    <w:rsid w:val="00431748"/>
    <w:rsid w:val="0043503F"/>
    <w:rsid w:val="00440E93"/>
    <w:rsid w:val="0045298C"/>
    <w:rsid w:val="00456A4C"/>
    <w:rsid w:val="00456C11"/>
    <w:rsid w:val="0045709C"/>
    <w:rsid w:val="004613E0"/>
    <w:rsid w:val="00462555"/>
    <w:rsid w:val="00464AFF"/>
    <w:rsid w:val="004706A5"/>
    <w:rsid w:val="004743D0"/>
    <w:rsid w:val="00476E0F"/>
    <w:rsid w:val="0048490D"/>
    <w:rsid w:val="00484FDA"/>
    <w:rsid w:val="00490404"/>
    <w:rsid w:val="00491F26"/>
    <w:rsid w:val="00493442"/>
    <w:rsid w:val="004A1DFE"/>
    <w:rsid w:val="004A22F3"/>
    <w:rsid w:val="004A27FA"/>
    <w:rsid w:val="004A4C5E"/>
    <w:rsid w:val="004B10E3"/>
    <w:rsid w:val="004B1303"/>
    <w:rsid w:val="004B4AB9"/>
    <w:rsid w:val="004C0E55"/>
    <w:rsid w:val="004C51E4"/>
    <w:rsid w:val="004C5494"/>
    <w:rsid w:val="004C5871"/>
    <w:rsid w:val="004D5BA3"/>
    <w:rsid w:val="004D71B1"/>
    <w:rsid w:val="004E2837"/>
    <w:rsid w:val="004E2868"/>
    <w:rsid w:val="004E366B"/>
    <w:rsid w:val="004E3D0A"/>
    <w:rsid w:val="004E57B0"/>
    <w:rsid w:val="004E626A"/>
    <w:rsid w:val="004F17A2"/>
    <w:rsid w:val="004F2B55"/>
    <w:rsid w:val="004F4567"/>
    <w:rsid w:val="005008E6"/>
    <w:rsid w:val="005022E8"/>
    <w:rsid w:val="00503335"/>
    <w:rsid w:val="00504BB6"/>
    <w:rsid w:val="00505193"/>
    <w:rsid w:val="0050792C"/>
    <w:rsid w:val="005150E5"/>
    <w:rsid w:val="005163E7"/>
    <w:rsid w:val="00522D15"/>
    <w:rsid w:val="0053021A"/>
    <w:rsid w:val="00531FFB"/>
    <w:rsid w:val="005332BB"/>
    <w:rsid w:val="0053777D"/>
    <w:rsid w:val="0054340A"/>
    <w:rsid w:val="0054657A"/>
    <w:rsid w:val="00547B57"/>
    <w:rsid w:val="00550BAE"/>
    <w:rsid w:val="00554759"/>
    <w:rsid w:val="005620A2"/>
    <w:rsid w:val="00580F2E"/>
    <w:rsid w:val="0058328D"/>
    <w:rsid w:val="00591F72"/>
    <w:rsid w:val="00592C9B"/>
    <w:rsid w:val="005A0515"/>
    <w:rsid w:val="005A205D"/>
    <w:rsid w:val="005B0411"/>
    <w:rsid w:val="005B3EBF"/>
    <w:rsid w:val="005B51E9"/>
    <w:rsid w:val="005B674D"/>
    <w:rsid w:val="005C023B"/>
    <w:rsid w:val="005C234F"/>
    <w:rsid w:val="005D1528"/>
    <w:rsid w:val="005D239F"/>
    <w:rsid w:val="005D477C"/>
    <w:rsid w:val="005D49C8"/>
    <w:rsid w:val="005D6C39"/>
    <w:rsid w:val="005E2284"/>
    <w:rsid w:val="005E41A5"/>
    <w:rsid w:val="005E6F94"/>
    <w:rsid w:val="005F64F8"/>
    <w:rsid w:val="005F6CBA"/>
    <w:rsid w:val="005F72BC"/>
    <w:rsid w:val="006005ED"/>
    <w:rsid w:val="00600A34"/>
    <w:rsid w:val="00606196"/>
    <w:rsid w:val="006121E5"/>
    <w:rsid w:val="00623257"/>
    <w:rsid w:val="006243D1"/>
    <w:rsid w:val="00626241"/>
    <w:rsid w:val="00634FC4"/>
    <w:rsid w:val="006359B0"/>
    <w:rsid w:val="00635DE9"/>
    <w:rsid w:val="00637FEB"/>
    <w:rsid w:val="00644D8C"/>
    <w:rsid w:val="006514AA"/>
    <w:rsid w:val="00651822"/>
    <w:rsid w:val="00652265"/>
    <w:rsid w:val="00653164"/>
    <w:rsid w:val="00654FED"/>
    <w:rsid w:val="00655D56"/>
    <w:rsid w:val="00656B8F"/>
    <w:rsid w:val="00657AA2"/>
    <w:rsid w:val="006707B5"/>
    <w:rsid w:val="00672E57"/>
    <w:rsid w:val="006739F5"/>
    <w:rsid w:val="00681EBE"/>
    <w:rsid w:val="00686F06"/>
    <w:rsid w:val="00695210"/>
    <w:rsid w:val="00695B21"/>
    <w:rsid w:val="006A4237"/>
    <w:rsid w:val="006A7293"/>
    <w:rsid w:val="006A78BE"/>
    <w:rsid w:val="006B774E"/>
    <w:rsid w:val="006C0508"/>
    <w:rsid w:val="006C5290"/>
    <w:rsid w:val="006D4E19"/>
    <w:rsid w:val="006D5C45"/>
    <w:rsid w:val="006D7807"/>
    <w:rsid w:val="006E01B7"/>
    <w:rsid w:val="006E08F9"/>
    <w:rsid w:val="006E1937"/>
    <w:rsid w:val="006E258C"/>
    <w:rsid w:val="006E3E3B"/>
    <w:rsid w:val="006E5B85"/>
    <w:rsid w:val="006E6977"/>
    <w:rsid w:val="006F4015"/>
    <w:rsid w:val="006F548F"/>
    <w:rsid w:val="006F5ED5"/>
    <w:rsid w:val="00701733"/>
    <w:rsid w:val="00702B25"/>
    <w:rsid w:val="00703305"/>
    <w:rsid w:val="00703855"/>
    <w:rsid w:val="0071112E"/>
    <w:rsid w:val="00714A33"/>
    <w:rsid w:val="00722CA6"/>
    <w:rsid w:val="00724854"/>
    <w:rsid w:val="00730B03"/>
    <w:rsid w:val="00730EAD"/>
    <w:rsid w:val="007333EB"/>
    <w:rsid w:val="00735A32"/>
    <w:rsid w:val="00737F4E"/>
    <w:rsid w:val="00740B1B"/>
    <w:rsid w:val="0074241A"/>
    <w:rsid w:val="007428B3"/>
    <w:rsid w:val="00744753"/>
    <w:rsid w:val="00744C24"/>
    <w:rsid w:val="00744CB4"/>
    <w:rsid w:val="007519FF"/>
    <w:rsid w:val="00760233"/>
    <w:rsid w:val="007615E9"/>
    <w:rsid w:val="00762A00"/>
    <w:rsid w:val="0076333B"/>
    <w:rsid w:val="007638B0"/>
    <w:rsid w:val="00765357"/>
    <w:rsid w:val="00770708"/>
    <w:rsid w:val="00770D91"/>
    <w:rsid w:val="00772517"/>
    <w:rsid w:val="00787955"/>
    <w:rsid w:val="00790177"/>
    <w:rsid w:val="00794D80"/>
    <w:rsid w:val="00796DFC"/>
    <w:rsid w:val="007A4C88"/>
    <w:rsid w:val="007B25E9"/>
    <w:rsid w:val="007B5A81"/>
    <w:rsid w:val="007C3A6F"/>
    <w:rsid w:val="007C644C"/>
    <w:rsid w:val="007D2912"/>
    <w:rsid w:val="007E300D"/>
    <w:rsid w:val="00802DA7"/>
    <w:rsid w:val="0080728B"/>
    <w:rsid w:val="008078BA"/>
    <w:rsid w:val="00810D39"/>
    <w:rsid w:val="008152DF"/>
    <w:rsid w:val="00816A49"/>
    <w:rsid w:val="00824BEE"/>
    <w:rsid w:val="00824F22"/>
    <w:rsid w:val="008253B7"/>
    <w:rsid w:val="0083209B"/>
    <w:rsid w:val="00833248"/>
    <w:rsid w:val="00846C59"/>
    <w:rsid w:val="00852A35"/>
    <w:rsid w:val="00854DB6"/>
    <w:rsid w:val="008571CB"/>
    <w:rsid w:val="00860D3D"/>
    <w:rsid w:val="00866E37"/>
    <w:rsid w:val="00871912"/>
    <w:rsid w:val="008736F5"/>
    <w:rsid w:val="00882DAB"/>
    <w:rsid w:val="0089014E"/>
    <w:rsid w:val="00896E0E"/>
    <w:rsid w:val="008A4FDD"/>
    <w:rsid w:val="008C3428"/>
    <w:rsid w:val="008C3A98"/>
    <w:rsid w:val="008C6C19"/>
    <w:rsid w:val="008D23BC"/>
    <w:rsid w:val="008D260F"/>
    <w:rsid w:val="008E116A"/>
    <w:rsid w:val="008E2F6A"/>
    <w:rsid w:val="008E6F8B"/>
    <w:rsid w:val="008E72E9"/>
    <w:rsid w:val="008F0E4A"/>
    <w:rsid w:val="009027FE"/>
    <w:rsid w:val="0090520C"/>
    <w:rsid w:val="00905D0B"/>
    <w:rsid w:val="009126B5"/>
    <w:rsid w:val="00912C10"/>
    <w:rsid w:val="009141BF"/>
    <w:rsid w:val="00922A8A"/>
    <w:rsid w:val="0093062B"/>
    <w:rsid w:val="009317E0"/>
    <w:rsid w:val="009338A3"/>
    <w:rsid w:val="00935BC8"/>
    <w:rsid w:val="00936ABA"/>
    <w:rsid w:val="0094363A"/>
    <w:rsid w:val="00960EC9"/>
    <w:rsid w:val="00977E90"/>
    <w:rsid w:val="009820DE"/>
    <w:rsid w:val="009835E2"/>
    <w:rsid w:val="00985D74"/>
    <w:rsid w:val="00986310"/>
    <w:rsid w:val="00987686"/>
    <w:rsid w:val="0099263A"/>
    <w:rsid w:val="009961A4"/>
    <w:rsid w:val="009969B5"/>
    <w:rsid w:val="009A026B"/>
    <w:rsid w:val="009A19FE"/>
    <w:rsid w:val="009A2DFD"/>
    <w:rsid w:val="009A2F08"/>
    <w:rsid w:val="009A488E"/>
    <w:rsid w:val="009B1C09"/>
    <w:rsid w:val="009B2837"/>
    <w:rsid w:val="009B2CFF"/>
    <w:rsid w:val="009B556F"/>
    <w:rsid w:val="009C12C4"/>
    <w:rsid w:val="009C25E7"/>
    <w:rsid w:val="009C5713"/>
    <w:rsid w:val="009C6B24"/>
    <w:rsid w:val="009D0129"/>
    <w:rsid w:val="009D021F"/>
    <w:rsid w:val="009D3FEF"/>
    <w:rsid w:val="009D48BF"/>
    <w:rsid w:val="009D4D1F"/>
    <w:rsid w:val="009D6239"/>
    <w:rsid w:val="009D7655"/>
    <w:rsid w:val="009E17A5"/>
    <w:rsid w:val="009F129A"/>
    <w:rsid w:val="009F392A"/>
    <w:rsid w:val="009F52A1"/>
    <w:rsid w:val="00A04645"/>
    <w:rsid w:val="00A0526A"/>
    <w:rsid w:val="00A05FDA"/>
    <w:rsid w:val="00A07FAF"/>
    <w:rsid w:val="00A11D2E"/>
    <w:rsid w:val="00A127B7"/>
    <w:rsid w:val="00A13AAF"/>
    <w:rsid w:val="00A223BD"/>
    <w:rsid w:val="00A3137A"/>
    <w:rsid w:val="00A31D9B"/>
    <w:rsid w:val="00A3400F"/>
    <w:rsid w:val="00A40E74"/>
    <w:rsid w:val="00A4133E"/>
    <w:rsid w:val="00A46844"/>
    <w:rsid w:val="00A5014F"/>
    <w:rsid w:val="00A5641B"/>
    <w:rsid w:val="00A64FFC"/>
    <w:rsid w:val="00A756FB"/>
    <w:rsid w:val="00A77C5D"/>
    <w:rsid w:val="00A801D8"/>
    <w:rsid w:val="00A81E75"/>
    <w:rsid w:val="00A84479"/>
    <w:rsid w:val="00A972E1"/>
    <w:rsid w:val="00A97B89"/>
    <w:rsid w:val="00AA045B"/>
    <w:rsid w:val="00AA1E64"/>
    <w:rsid w:val="00AA2A63"/>
    <w:rsid w:val="00AA3B74"/>
    <w:rsid w:val="00AA4457"/>
    <w:rsid w:val="00AA7265"/>
    <w:rsid w:val="00AA7B14"/>
    <w:rsid w:val="00AA7C15"/>
    <w:rsid w:val="00AB1B15"/>
    <w:rsid w:val="00AB4A39"/>
    <w:rsid w:val="00AB5FF7"/>
    <w:rsid w:val="00AB6D16"/>
    <w:rsid w:val="00AB7546"/>
    <w:rsid w:val="00AB7F52"/>
    <w:rsid w:val="00AC0C96"/>
    <w:rsid w:val="00AC4FF5"/>
    <w:rsid w:val="00AC5C41"/>
    <w:rsid w:val="00AC6F00"/>
    <w:rsid w:val="00AD4C21"/>
    <w:rsid w:val="00AE1F10"/>
    <w:rsid w:val="00AE43D4"/>
    <w:rsid w:val="00AF0F2F"/>
    <w:rsid w:val="00B0185B"/>
    <w:rsid w:val="00B050DF"/>
    <w:rsid w:val="00B1287B"/>
    <w:rsid w:val="00B1491B"/>
    <w:rsid w:val="00B14D8C"/>
    <w:rsid w:val="00B244CC"/>
    <w:rsid w:val="00B27830"/>
    <w:rsid w:val="00B33865"/>
    <w:rsid w:val="00B35B5C"/>
    <w:rsid w:val="00B40DCA"/>
    <w:rsid w:val="00B44324"/>
    <w:rsid w:val="00B51C47"/>
    <w:rsid w:val="00B53091"/>
    <w:rsid w:val="00B542A0"/>
    <w:rsid w:val="00B543E4"/>
    <w:rsid w:val="00B56CF2"/>
    <w:rsid w:val="00B56E2A"/>
    <w:rsid w:val="00B6052C"/>
    <w:rsid w:val="00B60EFD"/>
    <w:rsid w:val="00B61124"/>
    <w:rsid w:val="00B65520"/>
    <w:rsid w:val="00B71A5F"/>
    <w:rsid w:val="00B72B82"/>
    <w:rsid w:val="00B72BD3"/>
    <w:rsid w:val="00B74CC9"/>
    <w:rsid w:val="00B84ACA"/>
    <w:rsid w:val="00B9090C"/>
    <w:rsid w:val="00B936A6"/>
    <w:rsid w:val="00BA05DB"/>
    <w:rsid w:val="00BA526A"/>
    <w:rsid w:val="00BA594A"/>
    <w:rsid w:val="00BA5A53"/>
    <w:rsid w:val="00BA5CC9"/>
    <w:rsid w:val="00BA7B97"/>
    <w:rsid w:val="00BA7DFA"/>
    <w:rsid w:val="00BB111C"/>
    <w:rsid w:val="00BB1421"/>
    <w:rsid w:val="00BB311F"/>
    <w:rsid w:val="00BB441E"/>
    <w:rsid w:val="00BB46F3"/>
    <w:rsid w:val="00BC2876"/>
    <w:rsid w:val="00BC5D79"/>
    <w:rsid w:val="00BD0AC5"/>
    <w:rsid w:val="00BD21C7"/>
    <w:rsid w:val="00BD3C90"/>
    <w:rsid w:val="00BE5422"/>
    <w:rsid w:val="00BF515F"/>
    <w:rsid w:val="00C01E2F"/>
    <w:rsid w:val="00C037E9"/>
    <w:rsid w:val="00C04CC9"/>
    <w:rsid w:val="00C10269"/>
    <w:rsid w:val="00C123F6"/>
    <w:rsid w:val="00C16D16"/>
    <w:rsid w:val="00C23574"/>
    <w:rsid w:val="00C26D92"/>
    <w:rsid w:val="00C307CF"/>
    <w:rsid w:val="00C33F68"/>
    <w:rsid w:val="00C34B8D"/>
    <w:rsid w:val="00C3685B"/>
    <w:rsid w:val="00C36B71"/>
    <w:rsid w:val="00C41E09"/>
    <w:rsid w:val="00C459BD"/>
    <w:rsid w:val="00C460EF"/>
    <w:rsid w:val="00C5489F"/>
    <w:rsid w:val="00C55FF1"/>
    <w:rsid w:val="00C62E9B"/>
    <w:rsid w:val="00C64301"/>
    <w:rsid w:val="00C67472"/>
    <w:rsid w:val="00C679C1"/>
    <w:rsid w:val="00C7009C"/>
    <w:rsid w:val="00C71971"/>
    <w:rsid w:val="00C73B96"/>
    <w:rsid w:val="00C7466D"/>
    <w:rsid w:val="00C74F65"/>
    <w:rsid w:val="00C87984"/>
    <w:rsid w:val="00C87CDD"/>
    <w:rsid w:val="00C9177C"/>
    <w:rsid w:val="00C91917"/>
    <w:rsid w:val="00C9408F"/>
    <w:rsid w:val="00C94ADC"/>
    <w:rsid w:val="00C96727"/>
    <w:rsid w:val="00C97ACF"/>
    <w:rsid w:val="00CA1C97"/>
    <w:rsid w:val="00CB012D"/>
    <w:rsid w:val="00CB4E29"/>
    <w:rsid w:val="00CC479E"/>
    <w:rsid w:val="00CC4BB4"/>
    <w:rsid w:val="00CC772B"/>
    <w:rsid w:val="00CE13C8"/>
    <w:rsid w:val="00CE4A3B"/>
    <w:rsid w:val="00CE4EF9"/>
    <w:rsid w:val="00CE612E"/>
    <w:rsid w:val="00CF330A"/>
    <w:rsid w:val="00D04FD7"/>
    <w:rsid w:val="00D06611"/>
    <w:rsid w:val="00D0688E"/>
    <w:rsid w:val="00D10AB6"/>
    <w:rsid w:val="00D13E11"/>
    <w:rsid w:val="00D16CCC"/>
    <w:rsid w:val="00D1737D"/>
    <w:rsid w:val="00D228B8"/>
    <w:rsid w:val="00D24FAC"/>
    <w:rsid w:val="00D30E40"/>
    <w:rsid w:val="00D341D1"/>
    <w:rsid w:val="00D364C4"/>
    <w:rsid w:val="00D4012D"/>
    <w:rsid w:val="00D41AD6"/>
    <w:rsid w:val="00D43BE7"/>
    <w:rsid w:val="00D47580"/>
    <w:rsid w:val="00D50A93"/>
    <w:rsid w:val="00D5452C"/>
    <w:rsid w:val="00D5496C"/>
    <w:rsid w:val="00D560DD"/>
    <w:rsid w:val="00D60DCB"/>
    <w:rsid w:val="00D63C52"/>
    <w:rsid w:val="00D63F25"/>
    <w:rsid w:val="00D66A54"/>
    <w:rsid w:val="00D703D8"/>
    <w:rsid w:val="00D70E06"/>
    <w:rsid w:val="00D71A54"/>
    <w:rsid w:val="00D77A30"/>
    <w:rsid w:val="00D80BA1"/>
    <w:rsid w:val="00D82F6F"/>
    <w:rsid w:val="00D877CE"/>
    <w:rsid w:val="00D9061B"/>
    <w:rsid w:val="00D96793"/>
    <w:rsid w:val="00DA1DD8"/>
    <w:rsid w:val="00DB0954"/>
    <w:rsid w:val="00DB7420"/>
    <w:rsid w:val="00DC2B27"/>
    <w:rsid w:val="00DC47D2"/>
    <w:rsid w:val="00DD0892"/>
    <w:rsid w:val="00DD3470"/>
    <w:rsid w:val="00DD3D20"/>
    <w:rsid w:val="00DD3D5B"/>
    <w:rsid w:val="00DD3E99"/>
    <w:rsid w:val="00DD74D1"/>
    <w:rsid w:val="00DD7986"/>
    <w:rsid w:val="00DE33EB"/>
    <w:rsid w:val="00DE3BBD"/>
    <w:rsid w:val="00DE79A5"/>
    <w:rsid w:val="00DF2DF8"/>
    <w:rsid w:val="00DF2F98"/>
    <w:rsid w:val="00E042BA"/>
    <w:rsid w:val="00E051ED"/>
    <w:rsid w:val="00E11DE0"/>
    <w:rsid w:val="00E24DCD"/>
    <w:rsid w:val="00E2682C"/>
    <w:rsid w:val="00E305FE"/>
    <w:rsid w:val="00E33303"/>
    <w:rsid w:val="00E46EBD"/>
    <w:rsid w:val="00E542A1"/>
    <w:rsid w:val="00E55BAB"/>
    <w:rsid w:val="00E55C79"/>
    <w:rsid w:val="00E560CC"/>
    <w:rsid w:val="00E61804"/>
    <w:rsid w:val="00E6512C"/>
    <w:rsid w:val="00E72338"/>
    <w:rsid w:val="00E805CC"/>
    <w:rsid w:val="00E837D2"/>
    <w:rsid w:val="00E838F0"/>
    <w:rsid w:val="00E83B3F"/>
    <w:rsid w:val="00E84B58"/>
    <w:rsid w:val="00E87AE9"/>
    <w:rsid w:val="00E906F3"/>
    <w:rsid w:val="00E9072B"/>
    <w:rsid w:val="00E913F1"/>
    <w:rsid w:val="00E93290"/>
    <w:rsid w:val="00E9425B"/>
    <w:rsid w:val="00E94A5F"/>
    <w:rsid w:val="00E97327"/>
    <w:rsid w:val="00E97AC7"/>
    <w:rsid w:val="00EA0FDE"/>
    <w:rsid w:val="00EA17CE"/>
    <w:rsid w:val="00EA37BA"/>
    <w:rsid w:val="00EA4DA4"/>
    <w:rsid w:val="00EB214E"/>
    <w:rsid w:val="00EB4B9E"/>
    <w:rsid w:val="00EB6EF7"/>
    <w:rsid w:val="00EC4BB5"/>
    <w:rsid w:val="00EC5DDE"/>
    <w:rsid w:val="00ED1188"/>
    <w:rsid w:val="00ED14F1"/>
    <w:rsid w:val="00ED5D91"/>
    <w:rsid w:val="00ED751A"/>
    <w:rsid w:val="00EE3B6B"/>
    <w:rsid w:val="00EE456E"/>
    <w:rsid w:val="00EE5346"/>
    <w:rsid w:val="00EF41BD"/>
    <w:rsid w:val="00EF5E70"/>
    <w:rsid w:val="00EF603C"/>
    <w:rsid w:val="00F01C04"/>
    <w:rsid w:val="00F04EB4"/>
    <w:rsid w:val="00F065E3"/>
    <w:rsid w:val="00F12100"/>
    <w:rsid w:val="00F20453"/>
    <w:rsid w:val="00F23D72"/>
    <w:rsid w:val="00F24CE8"/>
    <w:rsid w:val="00F27F6F"/>
    <w:rsid w:val="00F352B2"/>
    <w:rsid w:val="00F35FB8"/>
    <w:rsid w:val="00F36377"/>
    <w:rsid w:val="00F43F37"/>
    <w:rsid w:val="00F468EB"/>
    <w:rsid w:val="00F56E61"/>
    <w:rsid w:val="00F60A42"/>
    <w:rsid w:val="00F60A80"/>
    <w:rsid w:val="00F60AC3"/>
    <w:rsid w:val="00F6311F"/>
    <w:rsid w:val="00F64BA6"/>
    <w:rsid w:val="00F66F51"/>
    <w:rsid w:val="00F672BC"/>
    <w:rsid w:val="00F70461"/>
    <w:rsid w:val="00F70E94"/>
    <w:rsid w:val="00F75084"/>
    <w:rsid w:val="00F755BC"/>
    <w:rsid w:val="00F76650"/>
    <w:rsid w:val="00F76B1E"/>
    <w:rsid w:val="00F81F74"/>
    <w:rsid w:val="00F84CE1"/>
    <w:rsid w:val="00F867D0"/>
    <w:rsid w:val="00F91000"/>
    <w:rsid w:val="00F92840"/>
    <w:rsid w:val="00FA0DEC"/>
    <w:rsid w:val="00FA1925"/>
    <w:rsid w:val="00FB1D10"/>
    <w:rsid w:val="00FB2A30"/>
    <w:rsid w:val="00FC3644"/>
    <w:rsid w:val="00FC4D76"/>
    <w:rsid w:val="00FD1345"/>
    <w:rsid w:val="00FD3817"/>
    <w:rsid w:val="00FD3D79"/>
    <w:rsid w:val="00FD6C2D"/>
    <w:rsid w:val="00FE63FF"/>
    <w:rsid w:val="00FE64E0"/>
    <w:rsid w:val="00FF4FDD"/>
    <w:rsid w:val="00FF59D9"/>
    <w:rsid w:val="0100126A"/>
    <w:rsid w:val="02B81885"/>
    <w:rsid w:val="072239C3"/>
    <w:rsid w:val="08633FCF"/>
    <w:rsid w:val="09EF4DDA"/>
    <w:rsid w:val="0B6C304D"/>
    <w:rsid w:val="18DA1B38"/>
    <w:rsid w:val="1F1E3599"/>
    <w:rsid w:val="235B390E"/>
    <w:rsid w:val="25480F3B"/>
    <w:rsid w:val="2A675D74"/>
    <w:rsid w:val="2BF1995D"/>
    <w:rsid w:val="2DA354EC"/>
    <w:rsid w:val="39CF6382"/>
    <w:rsid w:val="3EE250BA"/>
    <w:rsid w:val="3FFD2122"/>
    <w:rsid w:val="44B71CCD"/>
    <w:rsid w:val="51D058C8"/>
    <w:rsid w:val="52424902"/>
    <w:rsid w:val="54411E49"/>
    <w:rsid w:val="54AA0532"/>
    <w:rsid w:val="58664B17"/>
    <w:rsid w:val="5A893E36"/>
    <w:rsid w:val="5C96D022"/>
    <w:rsid w:val="5D165AA1"/>
    <w:rsid w:val="5DFFEC14"/>
    <w:rsid w:val="657E0A92"/>
    <w:rsid w:val="69E179C2"/>
    <w:rsid w:val="6EFA1CA3"/>
    <w:rsid w:val="77E83245"/>
    <w:rsid w:val="799ADA66"/>
    <w:rsid w:val="7ABC786B"/>
    <w:rsid w:val="7FE43061"/>
    <w:rsid w:val="7FF7EF29"/>
    <w:rsid w:val="ED8FF67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annotation text"/>
    <w:basedOn w:val="1"/>
    <w:link w:val="18"/>
    <w:qFormat/>
    <w:uiPriority w:val="99"/>
    <w:pPr>
      <w:jc w:val="left"/>
    </w:pPr>
  </w:style>
  <w:style w:type="paragraph" w:styleId="4">
    <w:name w:val="Plain Text"/>
    <w:basedOn w:val="1"/>
    <w:qFormat/>
    <w:uiPriority w:val="0"/>
    <w:rPr>
      <w:rFonts w:ascii="宋体" w:hAnsi="Courier New" w:cs="Courier New"/>
      <w:szCs w:val="21"/>
    </w:rPr>
  </w:style>
  <w:style w:type="paragraph" w:styleId="5">
    <w:name w:val="Date"/>
    <w:basedOn w:val="1"/>
    <w:next w:val="1"/>
    <w:qFormat/>
    <w:uiPriority w:val="0"/>
    <w:pPr>
      <w:ind w:leftChars="2500"/>
    </w:pPr>
  </w:style>
  <w:style w:type="paragraph" w:styleId="6">
    <w:name w:val="Balloon Text"/>
    <w:basedOn w:val="1"/>
    <w:link w:val="19"/>
    <w:qFormat/>
    <w:uiPriority w:val="0"/>
    <w:rPr>
      <w:sz w:val="18"/>
      <w:szCs w:val="18"/>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10">
    <w:name w:val="Normal (Web)"/>
    <w:basedOn w:val="1"/>
    <w:qFormat/>
    <w:uiPriority w:val="99"/>
    <w:pPr>
      <w:widowControl/>
      <w:spacing w:before="100" w:beforeLines="0" w:beforeAutospacing="1" w:after="100" w:afterLines="0" w:afterAutospacing="1"/>
      <w:jc w:val="left"/>
    </w:pPr>
    <w:rPr>
      <w:rFonts w:ascii="宋体" w:hAnsi="宋体" w:cs="宋体"/>
      <w:kern w:val="0"/>
      <w:sz w:val="24"/>
    </w:rPr>
  </w:style>
  <w:style w:type="character" w:styleId="13">
    <w:name w:val="Strong"/>
    <w:qFormat/>
    <w:uiPriority w:val="0"/>
    <w:rPr>
      <w:b/>
      <w:bCs/>
    </w:rPr>
  </w:style>
  <w:style w:type="character" w:styleId="14">
    <w:name w:val="page number"/>
    <w:basedOn w:val="12"/>
    <w:qFormat/>
    <w:uiPriority w:val="0"/>
  </w:style>
  <w:style w:type="character" w:styleId="15">
    <w:name w:val="Emphasis"/>
    <w:qFormat/>
    <w:uiPriority w:val="20"/>
    <w:rPr>
      <w:color w:val="CC0000"/>
    </w:rPr>
  </w:style>
  <w:style w:type="character" w:styleId="16">
    <w:name w:val="Hyperlink"/>
    <w:unhideWhenUsed/>
    <w:qFormat/>
    <w:uiPriority w:val="99"/>
    <w:rPr>
      <w:color w:val="0000CC"/>
      <w:u w:val="single"/>
    </w:rPr>
  </w:style>
  <w:style w:type="character" w:styleId="17">
    <w:name w:val="annotation reference"/>
    <w:qFormat/>
    <w:uiPriority w:val="0"/>
    <w:rPr>
      <w:sz w:val="21"/>
      <w:szCs w:val="21"/>
    </w:rPr>
  </w:style>
  <w:style w:type="character" w:customStyle="1" w:styleId="18">
    <w:name w:val="批注文字 Char"/>
    <w:link w:val="3"/>
    <w:qFormat/>
    <w:uiPriority w:val="99"/>
    <w:rPr>
      <w:kern w:val="2"/>
      <w:sz w:val="21"/>
      <w:szCs w:val="24"/>
    </w:rPr>
  </w:style>
  <w:style w:type="character" w:customStyle="1" w:styleId="19">
    <w:name w:val="批注框文本 Char"/>
    <w:link w:val="6"/>
    <w:qFormat/>
    <w:uiPriority w:val="0"/>
    <w:rPr>
      <w:kern w:val="2"/>
      <w:sz w:val="18"/>
      <w:szCs w:val="18"/>
    </w:rPr>
  </w:style>
  <w:style w:type="character" w:customStyle="1" w:styleId="20">
    <w:name w:val="页脚 Char"/>
    <w:link w:val="7"/>
    <w:qFormat/>
    <w:uiPriority w:val="99"/>
    <w:rPr>
      <w:kern w:val="2"/>
      <w:sz w:val="18"/>
      <w:szCs w:val="18"/>
    </w:rPr>
  </w:style>
  <w:style w:type="character" w:customStyle="1" w:styleId="21">
    <w:name w:val="页眉 Char"/>
    <w:link w:val="8"/>
    <w:qFormat/>
    <w:uiPriority w:val="99"/>
    <w:rPr>
      <w:kern w:val="2"/>
      <w:sz w:val="18"/>
      <w:szCs w:val="18"/>
    </w:rPr>
  </w:style>
  <w:style w:type="character" w:customStyle="1" w:styleId="22">
    <w:name w:val="apple-converted-space"/>
    <w:basedOn w:val="12"/>
    <w:qFormat/>
    <w:uiPriority w:val="0"/>
  </w:style>
  <w:style w:type="character" w:customStyle="1" w:styleId="23">
    <w:name w:val="high-light-bg4"/>
    <w:basedOn w:val="12"/>
    <w:qFormat/>
    <w:uiPriority w:val="0"/>
  </w:style>
  <w:style w:type="character" w:customStyle="1" w:styleId="24">
    <w:name w:val="发布"/>
    <w:qFormat/>
    <w:uiPriority w:val="0"/>
    <w:rPr>
      <w:rFonts w:hint="eastAsia" w:ascii="黑体" w:eastAsia="黑体"/>
      <w:spacing w:val="22"/>
      <w:w w:val="100"/>
      <w:position w:val="3"/>
      <w:sz w:val="28"/>
    </w:rPr>
  </w:style>
  <w:style w:type="character" w:customStyle="1" w:styleId="25">
    <w:name w:val="ca-01"/>
    <w:qFormat/>
    <w:uiPriority w:val="0"/>
    <w:rPr>
      <w:rFonts w:hint="eastAsia" w:ascii="宋体" w:hAnsi="宋体" w:eastAsia="宋体"/>
      <w:sz w:val="32"/>
      <w:szCs w:val="32"/>
    </w:rPr>
  </w:style>
  <w:style w:type="paragraph" w:customStyle="1" w:styleId="26">
    <w:name w:val="三级条标题"/>
    <w:basedOn w:val="27"/>
    <w:next w:val="1"/>
    <w:qFormat/>
    <w:uiPriority w:val="0"/>
    <w:pPr>
      <w:numPr>
        <w:ilvl w:val="0"/>
        <w:numId w:val="0"/>
      </w:numPr>
      <w:outlineLvl w:val="4"/>
    </w:pPr>
  </w:style>
  <w:style w:type="paragraph" w:customStyle="1" w:styleId="27">
    <w:name w:val="二级条标题"/>
    <w:basedOn w:val="28"/>
    <w:next w:val="1"/>
    <w:qFormat/>
    <w:uiPriority w:val="0"/>
    <w:pPr>
      <w:numPr>
        <w:ilvl w:val="0"/>
        <w:numId w:val="0"/>
      </w:numPr>
      <w:ind w:left="525"/>
      <w:outlineLvl w:val="3"/>
    </w:pPr>
  </w:style>
  <w:style w:type="paragraph" w:customStyle="1" w:styleId="28">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29">
    <w:name w:val="前言、引言标题"/>
    <w:next w:val="1"/>
    <w:qFormat/>
    <w:uiPriority w:val="0"/>
    <w:pPr>
      <w:shd w:val="clear" w:color="auto" w:fill="FFFFFF"/>
      <w:spacing w:before="640" w:after="560"/>
      <w:jc w:val="center"/>
      <w:outlineLvl w:val="0"/>
    </w:pPr>
    <w:rPr>
      <w:rFonts w:ascii="黑体" w:hAnsi="Times New Roman" w:eastAsia="黑体" w:cs="Times New Roman"/>
      <w:sz w:val="32"/>
      <w:lang w:val="en-US" w:eastAsia="zh-CN" w:bidi="ar-SA"/>
    </w:rPr>
  </w:style>
  <w:style w:type="paragraph" w:customStyle="1" w:styleId="30">
    <w:name w:val="实施日期"/>
    <w:basedOn w:val="1"/>
    <w:qFormat/>
    <w:uiPriority w:val="0"/>
    <w:pPr>
      <w:widowControl/>
      <w:jc w:val="right"/>
    </w:pPr>
    <w:rPr>
      <w:rFonts w:eastAsia="黑体"/>
      <w:kern w:val="0"/>
      <w:sz w:val="28"/>
      <w:szCs w:val="20"/>
    </w:rPr>
  </w:style>
  <w:style w:type="paragraph" w:customStyle="1" w:styleId="31">
    <w:name w:val="ordinary-output target-output"/>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32">
    <w:name w:val="图表脚注"/>
    <w:next w:val="1"/>
    <w:qFormat/>
    <w:uiPriority w:val="0"/>
    <w:pPr>
      <w:ind w:leftChars="200" w:hangingChars="100"/>
      <w:jc w:val="both"/>
    </w:pPr>
    <w:rPr>
      <w:rFonts w:ascii="宋体" w:hAnsi="Times New Roman" w:eastAsia="宋体" w:cs="Times New Roman"/>
      <w:sz w:val="18"/>
      <w:lang w:val="en-US" w:eastAsia="zh-CN" w:bidi="ar-SA"/>
    </w:rPr>
  </w:style>
  <w:style w:type="paragraph" w:customStyle="1" w:styleId="33">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4">
    <w:name w:val="章标题"/>
    <w:next w:val="1"/>
    <w:qFormat/>
    <w:uiPriority w:val="0"/>
    <w:pPr>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35">
    <w:name w:val="pa-0"/>
    <w:basedOn w:val="1"/>
    <w:qFormat/>
    <w:uiPriority w:val="0"/>
    <w:pPr>
      <w:widowControl/>
      <w:spacing w:line="360" w:lineRule="atLeas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MSCD龙帝国技术社区 Htpp://Bbs.Mscode.Cc</Company>
  <Pages>9</Pages>
  <Words>650</Words>
  <Characters>3709</Characters>
  <Lines>30</Lines>
  <Paragraphs>8</Paragraphs>
  <TotalTime>6</TotalTime>
  <ScaleCrop>false</ScaleCrop>
  <LinksUpToDate>false</LinksUpToDate>
  <CharactersWithSpaces>4351</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2019-08-02T21:31:00Z</dcterms:created>
  <dc:creator>微软用户</dc:creator>
  <cp:lastModifiedBy>张忠武</cp:lastModifiedBy>
  <cp:lastPrinted>2019-11-26T18:09:00Z</cp:lastPrinted>
  <dcterms:modified xsi:type="dcterms:W3CDTF">2022-07-23T16:42:47Z</dcterms:modified>
  <dc:title>DB43</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