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4"/>
        <w:framePr w:wrap="around"/>
        <w:rPr>
          <w:rStyle w:val="14"/>
          <w:rFonts w:hint="eastAsia" w:ascii="宋体" w:hAnsi="宋体" w:eastAsia="宋体"/>
          <w:b/>
          <w:sz w:val="44"/>
          <w:szCs w:val="44"/>
        </w:rPr>
      </w:pPr>
    </w:p>
    <w:p>
      <w:pPr>
        <w:pStyle w:val="34"/>
        <w:framePr w:wrap="around"/>
        <w:rPr>
          <w:rStyle w:val="14"/>
          <w:rFonts w:ascii="宋体" w:hAnsi="宋体" w:eastAsia="宋体"/>
          <w:b/>
          <w:sz w:val="44"/>
          <w:szCs w:val="44"/>
        </w:rPr>
      </w:pPr>
    </w:p>
    <w:p>
      <w:pPr>
        <w:pStyle w:val="34"/>
        <w:framePr w:wrap="around"/>
        <w:rPr>
          <w:rStyle w:val="14"/>
          <w:rFonts w:ascii="楷体_GB2312" w:hAnsi="宋体" w:eastAsia="楷体_GB2312"/>
          <w:sz w:val="44"/>
          <w:szCs w:val="44"/>
        </w:rPr>
      </w:pPr>
    </w:p>
    <w:p>
      <w:pPr>
        <w:pStyle w:val="34"/>
        <w:framePr w:wrap="around"/>
        <w:rPr>
          <w:rStyle w:val="14"/>
          <w:rFonts w:ascii="楷体_GB2312" w:hAnsi="宋体" w:eastAsia="楷体_GB2312"/>
          <w:b/>
          <w:bCs/>
          <w:sz w:val="44"/>
          <w:szCs w:val="44"/>
        </w:rPr>
      </w:pPr>
    </w:p>
    <w:p>
      <w:pPr>
        <w:pStyle w:val="34"/>
        <w:framePr w:wrap="around"/>
        <w:rPr>
          <w:rStyle w:val="14"/>
          <w:rFonts w:ascii="宋体" w:hAnsi="宋体" w:eastAsia="宋体" w:cs="宋体"/>
          <w:b/>
          <w:bCs/>
          <w:sz w:val="44"/>
          <w:szCs w:val="44"/>
        </w:rPr>
      </w:pPr>
      <w:r>
        <w:rPr>
          <w:rStyle w:val="14"/>
          <w:rFonts w:ascii="宋体" w:hAnsi="宋体" w:eastAsia="宋体" w:cs="宋体"/>
          <w:b/>
          <w:bCs/>
          <w:sz w:val="44"/>
          <w:szCs w:val="44"/>
        </w:rPr>
        <w:t>湖南省地方标准</w:t>
      </w:r>
    </w:p>
    <w:p>
      <w:pPr>
        <w:pStyle w:val="34"/>
        <w:framePr w:wrap="around"/>
        <w:rPr>
          <w:rStyle w:val="14"/>
          <w:rFonts w:ascii="宋体" w:hAnsi="宋体" w:eastAsia="宋体" w:cs="宋体"/>
          <w:b/>
          <w:bCs/>
          <w:sz w:val="44"/>
          <w:szCs w:val="44"/>
        </w:rPr>
      </w:pPr>
      <w:r>
        <w:rPr>
          <w:rStyle w:val="14"/>
          <w:rFonts w:ascii="宋体" w:hAnsi="宋体" w:eastAsia="宋体" w:cs="宋体"/>
          <w:b/>
          <w:bCs/>
          <w:sz w:val="44"/>
          <w:szCs w:val="44"/>
        </w:rPr>
        <w:t>《湖南自然保护地北斗边界定标点测量及界碑监控规范》</w:t>
      </w:r>
    </w:p>
    <w:p>
      <w:pPr>
        <w:pStyle w:val="34"/>
        <w:framePr w:wrap="around"/>
        <w:jc w:val="both"/>
        <w:rPr>
          <w:rStyle w:val="14"/>
          <w:rFonts w:ascii="宋体" w:hAnsi="宋体" w:eastAsia="宋体"/>
          <w:b/>
          <w:sz w:val="44"/>
          <w:szCs w:val="44"/>
        </w:rPr>
      </w:pPr>
    </w:p>
    <w:p>
      <w:pPr>
        <w:pStyle w:val="34"/>
        <w:framePr w:wrap="around"/>
        <w:jc w:val="both"/>
        <w:rPr>
          <w:rStyle w:val="14"/>
          <w:rFonts w:ascii="宋体" w:hAnsi="宋体" w:eastAsia="宋体"/>
          <w:b/>
          <w:sz w:val="44"/>
          <w:szCs w:val="44"/>
        </w:rPr>
      </w:pPr>
    </w:p>
    <w:p>
      <w:pPr>
        <w:pStyle w:val="34"/>
        <w:framePr w:wrap="around"/>
        <w:rPr>
          <w:rStyle w:val="14"/>
          <w:rFonts w:ascii="宋体" w:hAnsi="宋体" w:eastAsia="宋体" w:cs="宋体"/>
          <w:b/>
          <w:bCs/>
          <w:sz w:val="44"/>
          <w:szCs w:val="44"/>
        </w:rPr>
      </w:pPr>
      <w:r>
        <w:rPr>
          <w:rStyle w:val="14"/>
          <w:rFonts w:ascii="宋体" w:hAnsi="宋体" w:eastAsia="宋体" w:cs="宋体"/>
          <w:b/>
          <w:bCs/>
          <w:sz w:val="44"/>
          <w:szCs w:val="44"/>
        </w:rPr>
        <w:t>编 制 说 明</w:t>
      </w:r>
    </w:p>
    <w:p>
      <w:pPr>
        <w:pStyle w:val="34"/>
        <w:framePr w:wrap="around"/>
        <w:rPr>
          <w:rStyle w:val="14"/>
          <w:rFonts w:ascii="宋体" w:hAnsi="宋体" w:eastAsia="宋体"/>
          <w:sz w:val="36"/>
          <w:szCs w:val="36"/>
        </w:rPr>
      </w:pPr>
    </w:p>
    <w:p>
      <w:pPr>
        <w:pStyle w:val="34"/>
        <w:framePr w:wrap="around"/>
        <w:rPr>
          <w:rStyle w:val="14"/>
          <w:rFonts w:ascii="宋体" w:hAnsi="宋体" w:eastAsia="宋体"/>
          <w:sz w:val="36"/>
          <w:szCs w:val="36"/>
        </w:rPr>
      </w:pPr>
    </w:p>
    <w:p>
      <w:pPr>
        <w:pStyle w:val="34"/>
        <w:framePr w:wrap="around"/>
        <w:rPr>
          <w:rStyle w:val="14"/>
          <w:rFonts w:ascii="宋体" w:hAnsi="宋体" w:eastAsia="宋体"/>
          <w:sz w:val="36"/>
          <w:szCs w:val="36"/>
        </w:rPr>
      </w:pPr>
    </w:p>
    <w:p>
      <w:pPr>
        <w:pStyle w:val="34"/>
        <w:framePr w:wrap="around"/>
        <w:rPr>
          <w:rStyle w:val="14"/>
          <w:rFonts w:ascii="宋体" w:hAnsi="宋体" w:eastAsia="宋体"/>
          <w:sz w:val="36"/>
          <w:szCs w:val="36"/>
        </w:rPr>
      </w:pPr>
    </w:p>
    <w:p>
      <w:pPr>
        <w:pStyle w:val="34"/>
        <w:framePr w:wrap="around"/>
        <w:rPr>
          <w:rStyle w:val="14"/>
          <w:rFonts w:ascii="宋体" w:hAnsi="宋体" w:eastAsia="宋体"/>
          <w:sz w:val="36"/>
          <w:szCs w:val="36"/>
        </w:rPr>
      </w:pPr>
    </w:p>
    <w:p>
      <w:pPr>
        <w:pStyle w:val="34"/>
        <w:framePr w:wrap="around"/>
        <w:rPr>
          <w:rStyle w:val="14"/>
          <w:rFonts w:ascii="宋体" w:hAnsi="宋体" w:eastAsia="宋体"/>
          <w:sz w:val="36"/>
          <w:szCs w:val="36"/>
        </w:rPr>
      </w:pPr>
    </w:p>
    <w:p>
      <w:pPr>
        <w:pStyle w:val="34"/>
        <w:framePr w:wrap="around"/>
        <w:rPr>
          <w:rStyle w:val="14"/>
          <w:rFonts w:ascii="宋体" w:hAnsi="宋体" w:eastAsia="宋体"/>
          <w:sz w:val="36"/>
          <w:szCs w:val="36"/>
        </w:rPr>
      </w:pPr>
    </w:p>
    <w:p>
      <w:pPr>
        <w:pStyle w:val="34"/>
        <w:framePr w:wrap="around"/>
        <w:rPr>
          <w:rStyle w:val="14"/>
          <w:rFonts w:ascii="楷体_GB2312" w:hAnsi="宋体" w:eastAsia="楷体_GB2312"/>
          <w:szCs w:val="52"/>
        </w:rPr>
      </w:pPr>
      <w:r>
        <w:rPr>
          <w:rStyle w:val="14"/>
          <w:rFonts w:ascii="宋体" w:hAnsi="宋体" w:eastAsia="宋体"/>
          <w:sz w:val="28"/>
          <w:szCs w:val="28"/>
        </w:rPr>
        <w:t>2022年7月15日</w:t>
      </w:r>
      <w:r>
        <w:rPr>
          <w:rStyle w:val="14"/>
          <w:rFonts w:ascii="楷体_GB2312" w:hAnsi="宋体" w:eastAsia="楷体_GB2312"/>
          <w:szCs w:val="52"/>
        </w:rPr>
        <w:br w:type="textWrapping"/>
      </w:r>
    </w:p>
    <w:p>
      <w:pPr>
        <w:pStyle w:val="34"/>
        <w:framePr w:wrap="around"/>
        <w:rPr>
          <w:rStyle w:val="14"/>
          <w:rFonts w:ascii="宋体" w:hAnsi="宋体" w:eastAsia="宋体"/>
          <w:sz w:val="28"/>
          <w:szCs w:val="28"/>
        </w:rPr>
      </w:pPr>
    </w:p>
    <w:p>
      <w:pPr>
        <w:ind w:firstLine="562" w:firstLineChars="200"/>
        <w:rPr>
          <w:rStyle w:val="14"/>
          <w:rFonts w:ascii="宋体" w:hAnsi="宋体"/>
          <w:b/>
          <w:sz w:val="28"/>
          <w:szCs w:val="28"/>
        </w:rPr>
      </w:pPr>
      <w:r>
        <w:rPr>
          <w:rStyle w:val="14"/>
          <w:rFonts w:ascii="宋体" w:hAnsi="宋体"/>
          <w:b/>
          <w:sz w:val="28"/>
          <w:szCs w:val="28"/>
        </w:rPr>
        <w:t>一、标准制订与立项情况</w:t>
      </w:r>
    </w:p>
    <w:p>
      <w:pPr>
        <w:ind w:firstLine="562" w:firstLineChars="200"/>
        <w:rPr>
          <w:rStyle w:val="14"/>
          <w:rFonts w:ascii="仿宋_GB2312" w:hAnsi="仿宋_GB2312" w:eastAsia="仿宋_GB2312"/>
          <w:b/>
          <w:sz w:val="28"/>
          <w:szCs w:val="28"/>
        </w:rPr>
      </w:pPr>
      <w:r>
        <w:rPr>
          <w:rStyle w:val="14"/>
          <w:rFonts w:ascii="仿宋_GB2312" w:hAnsi="仿宋_GB2312" w:eastAsia="仿宋_GB2312"/>
          <w:b/>
          <w:sz w:val="28"/>
          <w:szCs w:val="28"/>
        </w:rPr>
        <w:t>1、标准制订情况：</w:t>
      </w:r>
    </w:p>
    <w:p>
      <w:pPr>
        <w:ind w:firstLine="560" w:firstLineChars="200"/>
        <w:rPr>
          <w:rStyle w:val="14"/>
          <w:rFonts w:ascii="仿宋_GB2312" w:hAnsi="仿宋_GB2312" w:eastAsia="仿宋_GB2312" w:cs="仿宋_GB2312"/>
          <w:bCs/>
          <w:sz w:val="28"/>
          <w:szCs w:val="28"/>
        </w:rPr>
      </w:pPr>
      <w:r>
        <w:rPr>
          <w:rStyle w:val="14"/>
          <w:rFonts w:ascii="仿宋_GB2312" w:hAnsi="仿宋_GB2312" w:eastAsia="仿宋_GB2312" w:cs="仿宋_GB2312"/>
          <w:bCs/>
          <w:sz w:val="28"/>
          <w:szCs w:val="28"/>
        </w:rPr>
        <w:t>标准名称：湖南自然保护地北斗边界定标点测量及界碑监控规范</w:t>
      </w:r>
    </w:p>
    <w:p>
      <w:pPr>
        <w:ind w:firstLine="560" w:firstLineChars="200"/>
        <w:rPr>
          <w:rStyle w:val="14"/>
          <w:rFonts w:ascii="仿宋_GB2312" w:hAnsi="仿宋_GB2312" w:eastAsia="仿宋_GB2312" w:cs="仿宋_GB2312"/>
          <w:bCs/>
          <w:sz w:val="28"/>
          <w:szCs w:val="28"/>
        </w:rPr>
      </w:pPr>
      <w:r>
        <w:rPr>
          <w:rStyle w:val="14"/>
          <w:rFonts w:ascii="仿宋_GB2312" w:hAnsi="仿宋_GB2312" w:eastAsia="仿宋_GB2312" w:cs="仿宋_GB2312"/>
          <w:bCs/>
          <w:sz w:val="28"/>
          <w:szCs w:val="28"/>
        </w:rPr>
        <w:t>标准立项文件：</w:t>
      </w:r>
      <w:r>
        <w:rPr>
          <w:rStyle w:val="14"/>
          <w:rFonts w:hint="eastAsia" w:ascii="仿宋_GB2312" w:hAnsi="仿宋_GB2312" w:eastAsia="仿宋_GB2312" w:cs="仿宋_GB2312"/>
          <w:bCs/>
          <w:sz w:val="28"/>
          <w:szCs w:val="28"/>
        </w:rPr>
        <w:t>湘市监标函【2021】33号《湖南省市场监督管理局关于下达2021年第一批地方标准制修订项目计划的通知》</w:t>
      </w:r>
      <w:r>
        <w:rPr>
          <w:rStyle w:val="14"/>
          <w:rFonts w:ascii="仿宋_GB2312" w:hAnsi="仿宋_GB2312" w:eastAsia="仿宋_GB2312" w:cs="仿宋_GB2312"/>
          <w:bCs/>
          <w:sz w:val="28"/>
          <w:szCs w:val="28"/>
        </w:rPr>
        <w:t xml:space="preserve"> </w:t>
      </w:r>
    </w:p>
    <w:p>
      <w:pPr>
        <w:ind w:firstLine="560" w:firstLineChars="200"/>
        <w:rPr>
          <w:rStyle w:val="14"/>
          <w:rFonts w:ascii="仿宋_GB2312" w:hAnsi="仿宋_GB2312" w:eastAsia="仿宋_GB2312" w:cs="仿宋_GB2312"/>
          <w:bCs/>
          <w:sz w:val="28"/>
          <w:szCs w:val="28"/>
        </w:rPr>
      </w:pPr>
      <w:r>
        <w:rPr>
          <w:rStyle w:val="14"/>
          <w:rFonts w:ascii="仿宋_GB2312" w:hAnsi="仿宋_GB2312" w:eastAsia="仿宋_GB2312" w:cs="仿宋_GB2312"/>
          <w:bCs/>
          <w:sz w:val="28"/>
          <w:szCs w:val="28"/>
        </w:rPr>
        <w:t>起草单位：湖南北斗微芯产业发展有限公司</w:t>
      </w:r>
    </w:p>
    <w:p>
      <w:pPr>
        <w:ind w:firstLine="560" w:firstLineChars="200"/>
        <w:rPr>
          <w:rStyle w:val="14"/>
          <w:rFonts w:ascii="仿宋_GB2312" w:hAnsi="仿宋_GB2312" w:eastAsia="仿宋_GB2312" w:cs="仿宋_GB2312"/>
          <w:bCs/>
          <w:sz w:val="28"/>
          <w:szCs w:val="28"/>
        </w:rPr>
      </w:pPr>
      <w:r>
        <w:rPr>
          <w:rStyle w:val="14"/>
          <w:rFonts w:ascii="仿宋_GB2312" w:hAnsi="仿宋_GB2312" w:eastAsia="仿宋_GB2312" w:cs="仿宋_GB2312"/>
          <w:bCs/>
          <w:sz w:val="28"/>
          <w:szCs w:val="28"/>
        </w:rPr>
        <w:t>协作起草单位：湖南省林业科学院、湖南林科达信息科技有限公司、湖南北斗微芯数据科技有限公司</w:t>
      </w:r>
    </w:p>
    <w:p>
      <w:pPr>
        <w:ind w:firstLine="560" w:firstLineChars="200"/>
        <w:rPr>
          <w:rStyle w:val="14"/>
          <w:rFonts w:ascii="仿宋_GB2312" w:hAnsi="仿宋_GB2312" w:eastAsia="仿宋_GB2312" w:cs="仿宋_GB2312"/>
          <w:bCs/>
          <w:color w:val="auto"/>
          <w:sz w:val="28"/>
          <w:szCs w:val="28"/>
        </w:rPr>
      </w:pPr>
      <w:r>
        <w:rPr>
          <w:rStyle w:val="14"/>
          <w:rFonts w:ascii="仿宋_GB2312" w:hAnsi="仿宋_GB2312" w:eastAsia="仿宋_GB2312" w:cs="仿宋_GB2312"/>
          <w:bCs/>
          <w:color w:val="auto"/>
          <w:sz w:val="28"/>
          <w:szCs w:val="28"/>
        </w:rPr>
        <w:t>主要起草人：甘雨、杨世忠、赵星宇、王正军</w:t>
      </w:r>
    </w:p>
    <w:p>
      <w:pPr>
        <w:spacing w:line="360" w:lineRule="auto"/>
        <w:ind w:firstLine="562" w:firstLineChars="200"/>
        <w:rPr>
          <w:rStyle w:val="14"/>
          <w:rFonts w:ascii="仿宋_GB2312" w:hAnsi="仿宋_GB2312" w:eastAsia="仿宋_GB2312"/>
          <w:b/>
          <w:color w:val="auto"/>
          <w:sz w:val="28"/>
          <w:szCs w:val="28"/>
        </w:rPr>
      </w:pPr>
      <w:r>
        <w:rPr>
          <w:rStyle w:val="14"/>
          <w:rFonts w:ascii="仿宋_GB2312" w:hAnsi="仿宋_GB2312" w:eastAsia="仿宋_GB2312"/>
          <w:b/>
          <w:color w:val="auto"/>
          <w:sz w:val="28"/>
          <w:szCs w:val="28"/>
        </w:rPr>
        <w:t>2、标准立项情况：</w:t>
      </w:r>
    </w:p>
    <w:p>
      <w:pPr>
        <w:spacing w:line="360" w:lineRule="auto"/>
        <w:ind w:firstLine="560" w:firstLineChars="200"/>
        <w:rPr>
          <w:rStyle w:val="14"/>
          <w:rFonts w:hint="eastAsia" w:ascii="仿宋_GB2312" w:hAnsi="仿宋_GB2312" w:eastAsia="仿宋_GB2312" w:cs="仿宋_GB2312"/>
          <w:bCs/>
          <w:color w:val="auto"/>
          <w:sz w:val="28"/>
          <w:szCs w:val="28"/>
        </w:rPr>
      </w:pPr>
      <w:r>
        <w:rPr>
          <w:rStyle w:val="14"/>
          <w:rFonts w:hint="eastAsia" w:ascii="仿宋_GB2312" w:hAnsi="仿宋_GB2312" w:eastAsia="仿宋_GB2312" w:cs="仿宋_GB2312"/>
          <w:bCs/>
          <w:color w:val="auto"/>
          <w:sz w:val="28"/>
          <w:szCs w:val="28"/>
        </w:rPr>
        <w:t>自然保护地勘界立标是依法依规开展保护管理的最基础性工作，形成相关各方认可、准确清晰的边界，有助于推动自然保护地规范化建设和精细化管理，确保自然保护地执法监督有据可依。自然保护地的勘界立标以往以人工测量方法为主、GPS卫星测量为主，北斗作为自主安全可控的卫星系统，相比GPS具有安全性、可用性、连续性都多方面的优势，且北斗集成了短报文通信功能，可以在移动蜂窝网络盲区进行通信。相比传统人工测量，北斗定位测量技术可以直接获取定标点的三维坐标，快速实现边界线的测绘，利用北斗位移监控技术可实现对界碑等关键地物的连续不间断监控，加强边界管理的信息化自动化。</w:t>
      </w:r>
    </w:p>
    <w:p>
      <w:pPr>
        <w:spacing w:line="360" w:lineRule="auto"/>
        <w:ind w:firstLine="562" w:firstLineChars="200"/>
        <w:rPr>
          <w:rStyle w:val="14"/>
          <w:rFonts w:ascii="宋体" w:hAnsi="宋体"/>
          <w:b/>
          <w:color w:val="auto"/>
          <w:sz w:val="28"/>
          <w:szCs w:val="28"/>
        </w:rPr>
      </w:pPr>
      <w:r>
        <w:rPr>
          <w:rStyle w:val="14"/>
          <w:rFonts w:ascii="宋体" w:hAnsi="宋体"/>
          <w:b/>
          <w:color w:val="auto"/>
          <w:sz w:val="28"/>
          <w:szCs w:val="28"/>
        </w:rPr>
        <w:t>二、标准编制原则和依据</w:t>
      </w:r>
    </w:p>
    <w:p>
      <w:pPr>
        <w:ind w:firstLine="560" w:firstLineChars="200"/>
        <w:rPr>
          <w:rStyle w:val="14"/>
          <w:rFonts w:ascii="仿宋_GB2312" w:hAnsi="仿宋_GB2312" w:eastAsia="仿宋_GB2312"/>
          <w:b/>
          <w:color w:val="auto"/>
          <w:sz w:val="28"/>
          <w:szCs w:val="28"/>
        </w:rPr>
      </w:pPr>
      <w:r>
        <w:rPr>
          <w:rStyle w:val="14"/>
          <w:rFonts w:ascii="仿宋_GB2312" w:hAnsi="仿宋_GB2312" w:eastAsia="仿宋_GB2312"/>
          <w:color w:val="auto"/>
          <w:sz w:val="28"/>
          <w:szCs w:val="28"/>
        </w:rPr>
        <w:t>1</w:t>
      </w:r>
      <w:r>
        <w:rPr>
          <w:rStyle w:val="14"/>
          <w:rFonts w:ascii="仿宋_GB2312" w:hAnsi="仿宋_GB2312" w:eastAsia="仿宋_GB2312"/>
          <w:b/>
          <w:color w:val="auto"/>
          <w:sz w:val="28"/>
          <w:szCs w:val="28"/>
        </w:rPr>
        <w:t>．本标准在制定中应遵循以下基本原则：</w:t>
      </w:r>
    </w:p>
    <w:p>
      <w:pPr>
        <w:spacing w:before="156" w:line="360" w:lineRule="auto"/>
        <w:ind w:firstLine="560" w:firstLineChars="200"/>
        <w:rPr>
          <w:rStyle w:val="14"/>
          <w:rFonts w:ascii="仿宋_GB2312" w:hAnsi="仿宋_GB2312" w:eastAsia="仿宋_GB2312"/>
          <w:color w:val="auto"/>
          <w:sz w:val="28"/>
          <w:szCs w:val="28"/>
        </w:rPr>
      </w:pPr>
      <w:r>
        <w:rPr>
          <w:rStyle w:val="14"/>
          <w:rFonts w:ascii="仿宋_GB2312" w:hAnsi="仿宋_GB2312" w:eastAsia="仿宋_GB2312"/>
          <w:color w:val="auto"/>
          <w:sz w:val="28"/>
          <w:szCs w:val="28"/>
        </w:rPr>
        <w:t>a）本标准编写格式应符合GB/T 1.1-2020《标准化工作导则 第1部分：标准化文件的结构和起草规则》等标准的规定。</w:t>
      </w:r>
    </w:p>
    <w:p>
      <w:pPr>
        <w:ind w:firstLine="560" w:firstLineChars="200"/>
        <w:rPr>
          <w:rStyle w:val="14"/>
          <w:rFonts w:ascii="仿宋_GB2312" w:hAnsi="仿宋_GB2312" w:eastAsia="仿宋_GB2312"/>
          <w:color w:val="auto"/>
          <w:sz w:val="28"/>
          <w:szCs w:val="28"/>
        </w:rPr>
      </w:pPr>
      <w:r>
        <w:rPr>
          <w:rStyle w:val="14"/>
          <w:rFonts w:ascii="仿宋_GB2312" w:hAnsi="仿宋_GB2312" w:eastAsia="仿宋_GB2312"/>
          <w:color w:val="auto"/>
          <w:sz w:val="28"/>
          <w:szCs w:val="28"/>
        </w:rPr>
        <w:t>b）本标准要与国家的</w:t>
      </w:r>
      <w:r>
        <w:rPr>
          <w:rStyle w:val="14"/>
          <w:rFonts w:hint="eastAsia" w:ascii="仿宋_GB2312" w:hAnsi="仿宋_GB2312" w:eastAsia="仿宋_GB2312"/>
          <w:color w:val="auto"/>
          <w:sz w:val="28"/>
          <w:szCs w:val="28"/>
        </w:rPr>
        <w:t>测绘</w:t>
      </w:r>
      <w:r>
        <w:rPr>
          <w:rStyle w:val="14"/>
          <w:rFonts w:ascii="仿宋_GB2312" w:hAnsi="仿宋_GB2312" w:eastAsia="仿宋_GB2312"/>
          <w:color w:val="auto"/>
          <w:sz w:val="28"/>
          <w:szCs w:val="28"/>
        </w:rPr>
        <w:t>政策、</w:t>
      </w:r>
      <w:r>
        <w:rPr>
          <w:rStyle w:val="14"/>
          <w:rFonts w:hint="eastAsia" w:ascii="仿宋_GB2312" w:hAnsi="仿宋_GB2312" w:eastAsia="仿宋_GB2312"/>
          <w:color w:val="auto"/>
          <w:sz w:val="28"/>
          <w:szCs w:val="28"/>
        </w:rPr>
        <w:t>自然保护地</w:t>
      </w:r>
      <w:r>
        <w:rPr>
          <w:rStyle w:val="14"/>
          <w:rFonts w:ascii="仿宋_GB2312" w:hAnsi="仿宋_GB2312" w:eastAsia="仿宋_GB2312"/>
          <w:color w:val="auto"/>
          <w:sz w:val="28"/>
          <w:szCs w:val="28"/>
        </w:rPr>
        <w:t>政策等相一致；</w:t>
      </w:r>
    </w:p>
    <w:p>
      <w:pPr>
        <w:ind w:firstLine="560" w:firstLineChars="200"/>
        <w:rPr>
          <w:rStyle w:val="14"/>
          <w:rFonts w:ascii="仿宋_GB2312" w:hAnsi="仿宋_GB2312" w:eastAsia="仿宋_GB2312"/>
          <w:color w:val="auto"/>
          <w:sz w:val="28"/>
          <w:szCs w:val="28"/>
        </w:rPr>
      </w:pPr>
      <w:r>
        <w:rPr>
          <w:rStyle w:val="14"/>
          <w:rFonts w:ascii="仿宋_GB2312" w:hAnsi="仿宋_GB2312" w:eastAsia="仿宋_GB2312"/>
          <w:color w:val="auto"/>
          <w:sz w:val="28"/>
          <w:szCs w:val="28"/>
        </w:rPr>
        <w:t>c）本标准要与已颁布实施的相关标准进行衔接；</w:t>
      </w:r>
    </w:p>
    <w:p>
      <w:pPr>
        <w:ind w:firstLine="560" w:firstLineChars="200"/>
        <w:rPr>
          <w:rStyle w:val="14"/>
          <w:rFonts w:ascii="仿宋_GB2312" w:hAnsi="仿宋_GB2312" w:eastAsia="仿宋_GB2312"/>
          <w:color w:val="auto"/>
          <w:sz w:val="28"/>
          <w:szCs w:val="28"/>
        </w:rPr>
      </w:pPr>
      <w:r>
        <w:rPr>
          <w:rStyle w:val="14"/>
          <w:rFonts w:ascii="仿宋_GB2312" w:hAnsi="仿宋_GB2312" w:eastAsia="仿宋_GB2312"/>
          <w:color w:val="auto"/>
          <w:sz w:val="28"/>
          <w:szCs w:val="28"/>
        </w:rPr>
        <w:t>d）本标准规定的技术内容及要求应科学、合理，具有适用性和可操作性。</w:t>
      </w:r>
    </w:p>
    <w:p>
      <w:pPr>
        <w:rPr>
          <w:rStyle w:val="14"/>
          <w:rFonts w:ascii="仿宋_GB2312" w:hAnsi="仿宋_GB2312" w:eastAsia="仿宋_GB2312"/>
          <w:b/>
          <w:color w:val="auto"/>
          <w:sz w:val="28"/>
          <w:szCs w:val="28"/>
        </w:rPr>
      </w:pPr>
      <w:r>
        <w:rPr>
          <w:rStyle w:val="14"/>
          <w:rFonts w:ascii="仿宋_GB2312" w:hAnsi="仿宋_GB2312" w:eastAsia="仿宋_GB2312"/>
          <w:b/>
          <w:color w:val="auto"/>
          <w:sz w:val="28"/>
          <w:szCs w:val="28"/>
        </w:rPr>
        <w:t>2. 本标准编写的依据：</w:t>
      </w:r>
    </w:p>
    <w:p>
      <w:pPr>
        <w:pStyle w:val="25"/>
        <w:ind w:firstLine="560"/>
        <w:rPr>
          <w:rStyle w:val="14"/>
          <w:rFonts w:ascii="仿宋_GB2312" w:hAnsi="仿宋_GB2312" w:eastAsia="仿宋_GB2312"/>
          <w:color w:val="auto"/>
          <w:sz w:val="28"/>
          <w:szCs w:val="28"/>
        </w:rPr>
      </w:pPr>
      <w:r>
        <w:rPr>
          <w:rStyle w:val="14"/>
          <w:rFonts w:ascii="仿宋_GB2312" w:hAnsi="仿宋_GB2312" w:eastAsia="仿宋_GB2312"/>
          <w:color w:val="auto"/>
          <w:kern w:val="2"/>
          <w:sz w:val="28"/>
          <w:szCs w:val="28"/>
        </w:rPr>
        <w:t>在本标准编写过程中，严格按照GB/T 1.1-2020《标准化工作导则 第1部分：标准化文件的结构和起草规则》的规定起草。同时参考了</w:t>
      </w:r>
      <w:r>
        <w:rPr>
          <w:rStyle w:val="14"/>
          <w:rFonts w:hint="eastAsia" w:ascii="仿宋_GB2312" w:hAnsi="仿宋_GB2312" w:eastAsia="仿宋_GB2312"/>
          <w:color w:val="auto"/>
          <w:sz w:val="28"/>
          <w:szCs w:val="28"/>
        </w:rPr>
        <w:t>GB/T 18314-2009 《全球定位系统（GPS）测量规范》、GB/T 39267-2020 《北斗卫星导航术语》、GB/T 20257 《国家基本比例尺地图图式》、GB/T 18316-2008 《数字测绘成果质量检查与验收》、GB/T 19710-2005 《地理信息 元数据》、GB/T 20399-2006 《自然保护区总体规划技术规程》、GB/T 35822-2018 《自然保护区功能区划技术规程》、LY/T 1953-2011 《自然保护区设施标识规范》、CH/T 2009-2010 《全球定位系统实时动态测量（RTK）技术规范》、DB43/T 1599-2019 《湖南省网络RTK测量技术规范》</w:t>
      </w:r>
      <w:r>
        <w:rPr>
          <w:rStyle w:val="14"/>
          <w:rFonts w:ascii="仿宋_GB2312" w:hAnsi="仿宋_GB2312" w:eastAsia="仿宋_GB2312"/>
          <w:color w:val="auto"/>
          <w:kern w:val="2"/>
          <w:sz w:val="28"/>
          <w:szCs w:val="28"/>
        </w:rPr>
        <w:t>的有关规定和相关技术材料。</w:t>
      </w:r>
    </w:p>
    <w:p>
      <w:pPr>
        <w:ind w:firstLine="562" w:firstLineChars="200"/>
        <w:rPr>
          <w:rStyle w:val="14"/>
          <w:rFonts w:ascii="宋体" w:hAnsi="宋体"/>
          <w:b/>
          <w:color w:val="auto"/>
          <w:sz w:val="28"/>
          <w:szCs w:val="28"/>
        </w:rPr>
      </w:pPr>
      <w:r>
        <w:rPr>
          <w:rStyle w:val="14"/>
          <w:rFonts w:ascii="宋体" w:hAnsi="宋体"/>
          <w:b/>
          <w:color w:val="auto"/>
          <w:sz w:val="28"/>
          <w:szCs w:val="28"/>
        </w:rPr>
        <w:t>三、标准制定工作过程</w:t>
      </w:r>
    </w:p>
    <w:p>
      <w:pPr>
        <w:pStyle w:val="35"/>
        <w:ind w:firstLine="560" w:firstLineChars="200"/>
        <w:rPr>
          <w:rStyle w:val="14"/>
          <w:rFonts w:ascii="仿宋_GB2312" w:hAnsi="仿宋_GB2312" w:eastAsia="仿宋_GB2312"/>
          <w:color w:val="auto"/>
          <w:kern w:val="2"/>
          <w:sz w:val="28"/>
          <w:szCs w:val="28"/>
        </w:rPr>
      </w:pPr>
      <w:r>
        <w:rPr>
          <w:rStyle w:val="14"/>
          <w:rFonts w:ascii="仿宋_GB2312" w:hAnsi="仿宋_GB2312" w:eastAsia="仿宋_GB2312"/>
          <w:color w:val="auto"/>
          <w:kern w:val="2"/>
          <w:sz w:val="28"/>
          <w:szCs w:val="28"/>
        </w:rPr>
        <w:t>自接受起草任务以来，项目内部召开了工作部署会议，确定了协作单位、起草队伍、项目负责人、进度安排以及总体的要求，为标准制定工作的顺利开展提供了保障。</w:t>
      </w:r>
    </w:p>
    <w:p>
      <w:pPr>
        <w:pStyle w:val="35"/>
        <w:ind w:firstLine="560" w:firstLineChars="200"/>
        <w:rPr>
          <w:rStyle w:val="14"/>
          <w:rFonts w:ascii="仿宋_GB2312" w:hAnsi="仿宋_GB2312" w:eastAsia="仿宋_GB2312"/>
          <w:color w:val="auto"/>
          <w:kern w:val="2"/>
          <w:sz w:val="28"/>
          <w:szCs w:val="28"/>
        </w:rPr>
      </w:pPr>
      <w:r>
        <w:rPr>
          <w:rStyle w:val="14"/>
          <w:rFonts w:ascii="仿宋_GB2312" w:hAnsi="仿宋_GB2312" w:eastAsia="仿宋_GB2312"/>
          <w:color w:val="auto"/>
          <w:kern w:val="2"/>
          <w:sz w:val="28"/>
          <w:szCs w:val="28"/>
        </w:rPr>
        <w:t>结合我省</w:t>
      </w:r>
      <w:r>
        <w:rPr>
          <w:rStyle w:val="14"/>
          <w:rFonts w:hint="eastAsia" w:ascii="仿宋_GB2312" w:hAnsi="仿宋_GB2312" w:eastAsia="仿宋_GB2312"/>
          <w:color w:val="auto"/>
          <w:kern w:val="2"/>
          <w:sz w:val="28"/>
          <w:szCs w:val="28"/>
        </w:rPr>
        <w:t>自然保护地和北斗相关应用的现状，与相关单位沟通交流，深入实地考察</w:t>
      </w:r>
      <w:r>
        <w:rPr>
          <w:rStyle w:val="14"/>
          <w:rFonts w:ascii="仿宋_GB2312" w:hAnsi="仿宋_GB2312" w:eastAsia="仿宋_GB2312"/>
          <w:color w:val="auto"/>
          <w:kern w:val="2"/>
          <w:sz w:val="28"/>
          <w:szCs w:val="28"/>
        </w:rPr>
        <w:t>，同时多方借鉴外省开展该项工作的经验，从中获取了权威的信息和第一手资料，为标准的起草工作打下了良好的基础。</w:t>
      </w:r>
    </w:p>
    <w:p>
      <w:pPr>
        <w:pStyle w:val="35"/>
        <w:ind w:firstLine="560" w:firstLineChars="200"/>
        <w:rPr>
          <w:rStyle w:val="14"/>
          <w:rFonts w:ascii="仿宋_GB2312" w:hAnsi="仿宋_GB2312" w:eastAsia="仿宋_GB2312"/>
          <w:color w:val="auto"/>
          <w:kern w:val="2"/>
          <w:sz w:val="28"/>
          <w:szCs w:val="28"/>
        </w:rPr>
      </w:pPr>
      <w:r>
        <w:rPr>
          <w:rStyle w:val="14"/>
          <w:rFonts w:ascii="仿宋_GB2312" w:hAnsi="仿宋_GB2312" w:eastAsia="仿宋_GB2312"/>
          <w:color w:val="auto"/>
          <w:kern w:val="2"/>
          <w:sz w:val="28"/>
          <w:szCs w:val="28"/>
        </w:rPr>
        <w:t>《</w:t>
      </w:r>
      <w:r>
        <w:rPr>
          <w:rStyle w:val="14"/>
          <w:rFonts w:ascii="仿宋_GB2312" w:hAnsi="仿宋_GB2312" w:eastAsia="仿宋_GB2312"/>
          <w:color w:val="auto"/>
          <w:sz w:val="28"/>
          <w:szCs w:val="28"/>
        </w:rPr>
        <w:t>湖南自然保护地北斗边界定标点测量及界碑监控规范</w:t>
      </w:r>
      <w:r>
        <w:rPr>
          <w:rStyle w:val="14"/>
          <w:rFonts w:ascii="仿宋_GB2312" w:hAnsi="仿宋_GB2312" w:eastAsia="仿宋_GB2312"/>
          <w:color w:val="auto"/>
          <w:kern w:val="2"/>
          <w:sz w:val="28"/>
          <w:szCs w:val="28"/>
        </w:rPr>
        <w:t>》征求意见稿完成后，我们分别送至湖南省林业科学院、湖南林科达信息科技有限公司、湖南北斗微芯数据科技有限公司、各地州市场局征求意见，针对反馈的建议和意见，我们都一一进行了讨论和处理。同时我们还在湖南省市场监督管理局官方网站面向全省公开征集意见，也得到了不少网友的关心与帮助。各位专家的观点，使标准送审稿的编写顺利完成，使本标准变得更加严谨、科学、完整、可操作。在此我们向所有关心本标准起草工作的单位以及个人表示衷心感谢！</w:t>
      </w:r>
    </w:p>
    <w:p>
      <w:pPr>
        <w:pStyle w:val="35"/>
        <w:ind w:firstLine="560" w:firstLineChars="200"/>
        <w:rPr>
          <w:rStyle w:val="14"/>
          <w:rFonts w:ascii="仿宋_GB2312" w:hAnsi="仿宋_GB2312" w:eastAsia="仿宋_GB2312"/>
          <w:color w:val="auto"/>
          <w:kern w:val="2"/>
          <w:sz w:val="28"/>
          <w:szCs w:val="28"/>
        </w:rPr>
      </w:pPr>
    </w:p>
    <w:p>
      <w:pPr>
        <w:pStyle w:val="35"/>
        <w:ind w:firstLine="560" w:firstLineChars="200"/>
        <w:rPr>
          <w:rStyle w:val="14"/>
          <w:rFonts w:ascii="仿宋_GB2312" w:hAnsi="仿宋_GB2312" w:eastAsia="仿宋_GB2312"/>
          <w:color w:val="auto"/>
          <w:kern w:val="2"/>
          <w:sz w:val="28"/>
          <w:szCs w:val="28"/>
        </w:rPr>
      </w:pPr>
    </w:p>
    <w:p>
      <w:pPr>
        <w:pStyle w:val="35"/>
        <w:ind w:firstLine="560" w:firstLineChars="200"/>
        <w:rPr>
          <w:rStyle w:val="14"/>
          <w:rFonts w:ascii="仿宋_GB2312" w:hAnsi="仿宋_GB2312" w:eastAsia="仿宋_GB2312"/>
          <w:color w:val="auto"/>
          <w:kern w:val="2"/>
          <w:sz w:val="28"/>
          <w:szCs w:val="28"/>
        </w:rPr>
      </w:pPr>
    </w:p>
    <w:p>
      <w:pPr>
        <w:pStyle w:val="35"/>
        <w:ind w:firstLine="560" w:firstLineChars="200"/>
        <w:rPr>
          <w:rStyle w:val="14"/>
          <w:rFonts w:ascii="仿宋_GB2312" w:hAnsi="仿宋_GB2312" w:eastAsia="仿宋_GB2312"/>
          <w:color w:val="auto"/>
          <w:kern w:val="2"/>
          <w:sz w:val="28"/>
          <w:szCs w:val="28"/>
        </w:rPr>
      </w:pPr>
    </w:p>
    <w:p>
      <w:pPr>
        <w:pStyle w:val="35"/>
        <w:ind w:firstLine="560" w:firstLineChars="200"/>
        <w:rPr>
          <w:rStyle w:val="14"/>
          <w:rFonts w:ascii="仿宋_GB2312" w:hAnsi="仿宋_GB2312" w:eastAsia="仿宋_GB2312"/>
          <w:kern w:val="2"/>
          <w:sz w:val="28"/>
          <w:szCs w:val="28"/>
        </w:rPr>
      </w:pPr>
    </w:p>
    <w:p>
      <w:pPr>
        <w:pStyle w:val="35"/>
        <w:ind w:firstLine="560" w:firstLineChars="200"/>
        <w:rPr>
          <w:rStyle w:val="14"/>
          <w:rFonts w:ascii="仿宋_GB2312" w:hAnsi="仿宋_GB2312" w:eastAsia="仿宋_GB2312"/>
          <w:kern w:val="2"/>
          <w:sz w:val="28"/>
          <w:szCs w:val="28"/>
        </w:rPr>
      </w:pPr>
    </w:p>
    <w:p>
      <w:pPr>
        <w:pStyle w:val="35"/>
        <w:ind w:firstLine="560" w:firstLineChars="200"/>
        <w:rPr>
          <w:rStyle w:val="14"/>
          <w:rFonts w:ascii="仿宋_GB2312" w:hAnsi="仿宋_GB2312" w:eastAsia="仿宋_GB2312"/>
          <w:kern w:val="2"/>
          <w:sz w:val="28"/>
          <w:szCs w:val="28"/>
        </w:rPr>
      </w:pPr>
    </w:p>
    <w:p>
      <w:pPr>
        <w:pStyle w:val="35"/>
        <w:ind w:firstLine="560" w:firstLineChars="200"/>
        <w:rPr>
          <w:rStyle w:val="14"/>
          <w:rFonts w:ascii="仿宋_GB2312" w:hAnsi="仿宋_GB2312" w:eastAsia="仿宋_GB2312"/>
          <w:kern w:val="2"/>
          <w:sz w:val="28"/>
          <w:szCs w:val="28"/>
        </w:rPr>
      </w:pPr>
    </w:p>
    <w:p>
      <w:pPr>
        <w:pStyle w:val="35"/>
        <w:ind w:firstLine="560" w:firstLineChars="200"/>
        <w:rPr>
          <w:rStyle w:val="14"/>
          <w:rFonts w:ascii="仿宋_GB2312" w:hAnsi="仿宋_GB2312" w:eastAsia="仿宋_GB2312"/>
          <w:kern w:val="2"/>
          <w:sz w:val="28"/>
          <w:szCs w:val="28"/>
        </w:rPr>
      </w:pPr>
    </w:p>
    <w:p>
      <w:pPr>
        <w:pStyle w:val="35"/>
        <w:ind w:firstLine="560" w:firstLineChars="200"/>
        <w:rPr>
          <w:rStyle w:val="14"/>
          <w:rFonts w:ascii="仿宋_GB2312" w:hAnsi="仿宋_GB2312" w:eastAsia="仿宋_GB2312"/>
          <w:kern w:val="2"/>
          <w:sz w:val="28"/>
          <w:szCs w:val="28"/>
        </w:rPr>
      </w:pPr>
    </w:p>
    <w:p>
      <w:pPr>
        <w:pStyle w:val="35"/>
        <w:ind w:firstLine="560" w:firstLineChars="200"/>
        <w:rPr>
          <w:rStyle w:val="14"/>
          <w:rFonts w:ascii="仿宋_GB2312" w:hAnsi="仿宋_GB2312" w:eastAsia="仿宋_GB2312"/>
          <w:kern w:val="2"/>
          <w:sz w:val="28"/>
          <w:szCs w:val="28"/>
        </w:rPr>
      </w:pPr>
      <w:r>
        <w:rPr>
          <w:rStyle w:val="14"/>
          <w:rFonts w:ascii="仿宋_GB2312" w:hAnsi="仿宋_GB2312" w:eastAsia="仿宋_GB2312"/>
          <w:kern w:val="2"/>
          <w:sz w:val="28"/>
          <w:szCs w:val="28"/>
        </w:rPr>
        <w:t>本标准按标准制订的一般工作程序制订，具体流程见下图。</w:t>
      </w:r>
    </w:p>
    <w:p>
      <w:pPr>
        <w:pStyle w:val="35"/>
        <w:rPr>
          <w:rStyle w:val="14"/>
          <w:rFonts w:ascii="仿宋_GB2312" w:hAnsi="宋体" w:eastAsia="仿宋_GB2312"/>
          <w:kern w:val="2"/>
          <w:sz w:val="24"/>
          <w:szCs w:val="24"/>
        </w:rPr>
      </w:pPr>
    </w:p>
    <w:p>
      <w:pPr>
        <w:pStyle w:val="35"/>
        <w:spacing w:line="360" w:lineRule="auto"/>
        <w:rPr>
          <w:rStyle w:val="14"/>
          <w:rFonts w:ascii="Arial" w:hAnsi="宋体"/>
          <w:b/>
          <w:sz w:val="28"/>
          <w:szCs w:val="28"/>
        </w:rPr>
      </w:pPr>
      <w:r>
        <w:pict>
          <v:shape id="_x0000_s1032" o:spid="_x0000_s1032" o:spt="202" type="#_x0000_t202" style="position:absolute;left:0pt;margin-left:175.1pt;margin-top:14.05pt;height:206.55pt;width:240.15pt;z-index:251665408;mso-width-relative:page;mso-height-relative:page;" coordsize="21600,21600">
            <v:path/>
            <v:fill focussize="0,0"/>
            <v:stroke joinstyle="miter"/>
            <v:imagedata o:title=""/>
            <o:lock v:ext="edit"/>
            <v:textbox inset="1mm,0mm,1mm,0mm">
              <w:txbxContent>
                <w:p>
                  <w:pPr>
                    <w:rPr>
                      <w:rStyle w:val="14"/>
                      <w:color w:val="FF0000"/>
                      <w:szCs w:val="21"/>
                    </w:rPr>
                  </w:pPr>
                  <w:r>
                    <w:rPr>
                      <w:rStyle w:val="14"/>
                      <w:rFonts w:ascii="Arial"/>
                      <w:color w:val="auto"/>
                    </w:rPr>
                    <w:t>4.GB/T 1.1-2020《标准化工作导则 第1部分：标准化文件的结构和起草规则》、</w:t>
                  </w:r>
                  <w:r>
                    <w:rPr>
                      <w:rStyle w:val="14"/>
                      <w:rFonts w:hint="eastAsia"/>
                      <w:color w:val="auto"/>
                      <w:szCs w:val="21"/>
                    </w:rPr>
                    <w:t>GB/T 18314-2009 《全球定位系统（GPS）测量规范》</w:t>
                  </w:r>
                  <w:r>
                    <w:rPr>
                      <w:rStyle w:val="14"/>
                      <w:color w:val="auto"/>
                      <w:szCs w:val="21"/>
                    </w:rPr>
                    <w:t>、</w:t>
                  </w:r>
                  <w:r>
                    <w:rPr>
                      <w:rStyle w:val="14"/>
                      <w:rFonts w:hint="eastAsia"/>
                      <w:color w:val="auto"/>
                      <w:szCs w:val="21"/>
                    </w:rPr>
                    <w:t>GB/T 39267-2020 《北斗卫星导航术语》、GB/T 20257 《国家基本比例尺地图图式》、GB/T 18316-2008 《数字测绘成果质量检查与验收》、GB/T 19710-2005 《地理信息 元数据》、GB/T 20399-2006 《自然保护区总体规划技术规程》、GB/T 35822-2018 《自然保护区功能区划技术规程》、LY/T 1953-2011 《自然保护区设施标识规范》、CH/T 2009-2010 《全球定位系统实时动态测量（RTK）技术规范》、DB43/T 1599-2019 《湖南省网络RTK测量技术规范》</w:t>
                  </w:r>
                </w:p>
                <w:p>
                  <w:pPr>
                    <w:tabs>
                      <w:tab w:val="left" w:pos="330"/>
                    </w:tabs>
                    <w:ind w:left="330"/>
                    <w:rPr>
                      <w:rStyle w:val="14"/>
                      <w:rFonts w:ascii="Arial" w:hAnsi="Arial"/>
                    </w:rPr>
                  </w:pPr>
                </w:p>
                <w:p>
                  <w:pPr>
                    <w:tabs>
                      <w:tab w:val="left" w:pos="330"/>
                    </w:tabs>
                    <w:ind w:left="330"/>
                    <w:rPr>
                      <w:rStyle w:val="14"/>
                      <w:rFonts w:ascii="Arial" w:hAnsi="Arial"/>
                    </w:rPr>
                  </w:pPr>
                </w:p>
                <w:p>
                  <w:pPr>
                    <w:rPr>
                      <w:rStyle w:val="14"/>
                    </w:rPr>
                  </w:pPr>
                </w:p>
              </w:txbxContent>
            </v:textbox>
          </v:shape>
        </w:pict>
      </w:r>
    </w:p>
    <w:p>
      <w:pPr>
        <w:pStyle w:val="35"/>
        <w:spacing w:line="360" w:lineRule="auto"/>
        <w:rPr>
          <w:rStyle w:val="14"/>
          <w:rFonts w:ascii="Arial" w:hAnsi="宋体"/>
          <w:b/>
          <w:sz w:val="28"/>
          <w:szCs w:val="28"/>
        </w:rPr>
      </w:pPr>
      <w:r>
        <w:pict>
          <v:shape id="_x0000_s1028" o:spid="_x0000_s1028" o:spt="202" type="#_x0000_t202" style="position:absolute;left:0pt;margin-left:4.25pt;margin-top:25.5pt;height:25.45pt;width:97.95pt;z-index:251661312;mso-width-relative:page;mso-height-relative:page;" coordsize="21600,21600">
            <v:path/>
            <v:fill focussize="0,0"/>
            <v:stroke joinstyle="miter"/>
            <v:imagedata o:title=""/>
            <o:lock v:ext="edit"/>
            <v:textbox inset="1mm,0mm,1mm,0mm">
              <w:txbxContent>
                <w:p>
                  <w:pPr>
                    <w:jc w:val="center"/>
                    <w:rPr>
                      <w:rStyle w:val="14"/>
                    </w:rPr>
                  </w:pPr>
                  <w:r>
                    <w:rPr>
                      <w:rStyle w:val="14"/>
                      <w:rFonts w:ascii="宋体" w:hAnsi="宋体"/>
                    </w:rPr>
                    <w:t>资料查阅</w:t>
                  </w:r>
                </w:p>
                <w:p>
                  <w:pPr>
                    <w:rPr>
                      <w:rStyle w:val="14"/>
                    </w:rPr>
                  </w:pPr>
                </w:p>
              </w:txbxContent>
            </v:textbox>
          </v:shape>
        </w:pict>
      </w:r>
    </w:p>
    <w:p>
      <w:pPr>
        <w:spacing w:line="360" w:lineRule="auto"/>
        <w:ind w:firstLine="420" w:firstLineChars="200"/>
        <w:rPr>
          <w:rStyle w:val="14"/>
          <w:rFonts w:ascii="Arial" w:hAnsi="Arial" w:eastAsia="仿宋_GB2312"/>
          <w:color w:val="000080"/>
          <w:sz w:val="24"/>
        </w:rPr>
      </w:pPr>
      <w:r>
        <w:pict>
          <v:shape id="_x0000_s1046" o:spid="_x0000_s1046" o:spt="100" style="position:absolute;left:0pt;margin-left:0pt;margin-top:0pt;height:50pt;width:50pt;visibility:hidden;z-index:251659264;mso-width-relative:page;mso-height-relative:page;" filled="f" stroked="f" coordsize="21600,21600" adj=",">
            <v:fill on="f" focussize="0,0"/>
            <v:stroke on="f"/>
            <v:imagedata o:title=""/>
            <o:lock v:ext="edit" selection="t"/>
          </v:shape>
        </w:pict>
      </w:r>
      <w:r>
        <w:pict>
          <v:line id="_x0000_s1036" o:spid="_x0000_s1036" o:spt="20" style="position:absolute;left:0pt;flip:y;margin-left:103.95pt;margin-top:5.35pt;height:0.05pt;width:70.55pt;z-index:251669504;mso-width-relative:page;mso-height-relative:page;" coordsize="21600,21600">
            <v:path arrowok="t"/>
            <v:fill focussize="0,0"/>
            <v:stroke endarrow="block"/>
            <v:imagedata o:title=""/>
            <o:lock v:ext="edit"/>
          </v:line>
        </w:pict>
      </w:r>
      <w:r>
        <w:pict>
          <v:line id="_x0000_s1035" o:spid="_x0000_s1035" o:spt="20" style="position:absolute;left:0pt;margin-left:53.35pt;margin-top:18.55pt;height:31.5pt;width:0.05pt;z-index:251668480;mso-width-relative:page;mso-height-relative:page;" coordsize="21600,21600">
            <v:path arrowok="t"/>
            <v:fill focussize="0,0"/>
            <v:stroke endarrow="block"/>
            <v:imagedata o:title=""/>
            <o:lock v:ext="edit"/>
          </v:line>
        </w:pict>
      </w:r>
    </w:p>
    <w:p>
      <w:pPr>
        <w:spacing w:line="360" w:lineRule="auto"/>
        <w:ind w:firstLine="480" w:firstLineChars="200"/>
        <w:rPr>
          <w:rStyle w:val="14"/>
          <w:rFonts w:ascii="Arial" w:hAnsi="Arial" w:eastAsia="仿宋_GB2312"/>
          <w:color w:val="000080"/>
          <w:sz w:val="24"/>
        </w:rPr>
      </w:pPr>
    </w:p>
    <w:p>
      <w:pPr>
        <w:spacing w:line="360" w:lineRule="auto"/>
        <w:ind w:firstLine="420" w:firstLineChars="200"/>
        <w:rPr>
          <w:rStyle w:val="14"/>
          <w:rFonts w:ascii="Arial" w:hAnsi="Arial" w:eastAsia="仿宋_GB2312"/>
          <w:color w:val="000080"/>
          <w:sz w:val="24"/>
        </w:rPr>
      </w:pPr>
      <w:r>
        <w:pict>
          <v:shape id="_x0000_s1029" o:spid="_x0000_s1029" o:spt="202" type="#_x0000_t202" style="position:absolute;left:0pt;margin-left:-13.45pt;margin-top:3.35pt;height:25.5pt;width:136.35pt;z-index:251662336;mso-width-relative:page;mso-height-relative:page;" coordsize="21600,21600">
            <v:path/>
            <v:fill focussize="0,0"/>
            <v:stroke joinstyle="miter"/>
            <v:imagedata o:title=""/>
            <o:lock v:ext="edit"/>
            <v:textbox inset="1mm,0mm,1mm,0mm">
              <w:txbxContent>
                <w:p>
                  <w:pPr>
                    <w:jc w:val="center"/>
                    <w:rPr>
                      <w:rStyle w:val="14"/>
                    </w:rPr>
                  </w:pPr>
                  <w:r>
                    <w:rPr>
                      <w:rStyle w:val="14"/>
                    </w:rPr>
                    <w:t>技术要求讨论及确定</w:t>
                  </w:r>
                </w:p>
                <w:p>
                  <w:pPr>
                    <w:jc w:val="center"/>
                    <w:rPr>
                      <w:rStyle w:val="14"/>
                    </w:rPr>
                  </w:pPr>
                </w:p>
                <w:p>
                  <w:pPr>
                    <w:rPr>
                      <w:rStyle w:val="14"/>
                    </w:rPr>
                  </w:pPr>
                </w:p>
              </w:txbxContent>
            </v:textbox>
          </v:shape>
        </w:pict>
      </w:r>
    </w:p>
    <w:p>
      <w:pPr>
        <w:spacing w:line="360" w:lineRule="auto"/>
        <w:ind w:firstLine="420" w:firstLineChars="200"/>
        <w:rPr>
          <w:rStyle w:val="14"/>
          <w:rFonts w:ascii="Arial" w:hAnsi="Arial" w:eastAsia="仿宋_GB2312"/>
          <w:color w:val="000080"/>
          <w:sz w:val="24"/>
        </w:rPr>
      </w:pPr>
      <w:r>
        <w:pict>
          <v:line id="_x0000_s1034" o:spid="_x0000_s1034" o:spt="20" style="position:absolute;left:0pt;margin-left:53.55pt;margin-top:7.9pt;height:31.45pt;width:0.05pt;z-index:251667456;mso-width-relative:page;mso-height-relative:page;" coordsize="21600,21600">
            <v:path arrowok="t"/>
            <v:fill focussize="0,0"/>
            <v:stroke endarrow="block"/>
            <v:imagedata o:title=""/>
            <o:lock v:ext="edit"/>
          </v:line>
        </w:pict>
      </w:r>
    </w:p>
    <w:p>
      <w:pPr>
        <w:rPr>
          <w:rStyle w:val="14"/>
          <w:rFonts w:ascii="Arial" w:hAnsi="Arial"/>
          <w:b/>
          <w:sz w:val="28"/>
          <w:szCs w:val="28"/>
        </w:rPr>
      </w:pPr>
      <w:r>
        <w:pict>
          <v:shape id="_x0000_s1030" o:spid="_x0000_s1030" o:spt="202" type="#_x0000_t202" style="position:absolute;left:0pt;margin-left:-12.6pt;margin-top:18.75pt;height:25.45pt;width:136.4pt;z-index:251663360;mso-width-relative:page;mso-height-relative:page;" coordsize="21600,21600">
            <v:path/>
            <v:fill focussize="0,0"/>
            <v:stroke joinstyle="miter"/>
            <v:imagedata o:title=""/>
            <o:lock v:ext="edit"/>
            <v:textbox inset="1mm,0mm,1mm,0mm">
              <w:txbxContent>
                <w:p>
                  <w:pPr>
                    <w:jc w:val="center"/>
                    <w:rPr>
                      <w:rStyle w:val="14"/>
                    </w:rPr>
                  </w:pPr>
                  <w:r>
                    <w:rPr>
                      <w:rStyle w:val="14"/>
                    </w:rPr>
                    <w:t>检验方法建立</w:t>
                  </w:r>
                </w:p>
                <w:p>
                  <w:pPr>
                    <w:rPr>
                      <w:rStyle w:val="14"/>
                    </w:rPr>
                  </w:pPr>
                </w:p>
              </w:txbxContent>
            </v:textbox>
          </v:shape>
        </w:pict>
      </w:r>
    </w:p>
    <w:p>
      <w:pPr>
        <w:rPr>
          <w:rStyle w:val="14"/>
          <w:rFonts w:ascii="Arial" w:hAnsi="Arial"/>
          <w:b/>
          <w:sz w:val="28"/>
          <w:szCs w:val="28"/>
        </w:rPr>
      </w:pPr>
      <w:r>
        <w:pict>
          <v:line id="_x0000_s1033" o:spid="_x0000_s1033" o:spt="20" style="position:absolute;left:0pt;margin-left:53.6pt;margin-top:13.35pt;height:31.45pt;width:0.05pt;z-index:251666432;mso-width-relative:page;mso-height-relative:page;" coordsize="21600,21600">
            <v:path arrowok="t"/>
            <v:fill focussize="0,0"/>
            <v:stroke endarrow="block"/>
            <v:imagedata o:title=""/>
            <o:lock v:ext="edit"/>
          </v:line>
        </w:pict>
      </w:r>
    </w:p>
    <w:p>
      <w:pPr>
        <w:rPr>
          <w:rStyle w:val="14"/>
          <w:rFonts w:ascii="Arial" w:hAnsi="Arial"/>
          <w:b/>
          <w:sz w:val="28"/>
          <w:szCs w:val="28"/>
        </w:rPr>
      </w:pPr>
      <w:r>
        <w:pict>
          <v:shape id="_x0000_s1039" o:spid="_x0000_s1039" o:spt="202" type="#_x0000_t202" style="position:absolute;left:0pt;margin-left:5pt;margin-top:14.5pt;height:25.45pt;width:97.95pt;z-index:251672576;mso-width-relative:page;mso-height-relative:page;" coordsize="21600,21600">
            <v:path/>
            <v:fill focussize="0,0"/>
            <v:stroke joinstyle="miter"/>
            <v:imagedata o:title=""/>
            <o:lock v:ext="edit"/>
            <v:textbox inset="1mm,0mm,1mm,0mm">
              <w:txbxContent>
                <w:p>
                  <w:pPr>
                    <w:jc w:val="center"/>
                    <w:rPr>
                      <w:rStyle w:val="14"/>
                    </w:rPr>
                  </w:pPr>
                  <w:r>
                    <w:rPr>
                      <w:rStyle w:val="14"/>
                      <w:rFonts w:ascii="宋体" w:hAnsi="宋体"/>
                    </w:rPr>
                    <w:t>检验规则</w:t>
                  </w:r>
                </w:p>
                <w:p>
                  <w:pPr>
                    <w:rPr>
                      <w:rStyle w:val="14"/>
                    </w:rPr>
                  </w:pPr>
                </w:p>
              </w:txbxContent>
            </v:textbox>
          </v:shape>
        </w:pict>
      </w:r>
    </w:p>
    <w:p>
      <w:pPr>
        <w:rPr>
          <w:rStyle w:val="14"/>
          <w:rFonts w:ascii="Arial" w:hAnsi="Arial"/>
          <w:b/>
          <w:sz w:val="28"/>
          <w:szCs w:val="28"/>
        </w:rPr>
      </w:pPr>
      <w:r>
        <w:pict>
          <v:line id="_x0000_s1037" o:spid="_x0000_s1037" o:spt="20" style="position:absolute;left:0pt;margin-left:53.65pt;margin-top:7.45pt;height:31.45pt;width:0.05pt;z-index:251670528;mso-width-relative:page;mso-height-relative:page;" coordsize="21600,21600">
            <v:path arrowok="t"/>
            <v:fill focussize="0,0"/>
            <v:stroke endarrow="block"/>
            <v:imagedata o:title=""/>
            <o:lock v:ext="edit"/>
          </v:line>
        </w:pict>
      </w:r>
    </w:p>
    <w:p>
      <w:pPr>
        <w:rPr>
          <w:rStyle w:val="14"/>
          <w:rFonts w:ascii="Arial" w:hAnsi="Arial"/>
          <w:b/>
          <w:sz w:val="28"/>
          <w:szCs w:val="28"/>
        </w:rPr>
      </w:pPr>
      <w:r>
        <w:pict>
          <v:shape id="_x0000_s1042" o:spid="_x0000_s1042" o:spt="202" type="#_x0000_t202" style="position:absolute;left:0pt;margin-left:175.85pt;margin-top:8.6pt;height:25.45pt;width:136.35pt;z-index:251675648;mso-width-relative:page;mso-height-relative:page;" coordsize="21600,21600">
            <v:path/>
            <v:fill focussize="0,0"/>
            <v:stroke joinstyle="miter"/>
            <v:imagedata o:title=""/>
            <o:lock v:ext="edit"/>
            <v:textbox inset="1mm,0mm,1mm,0mm">
              <w:txbxContent>
                <w:p>
                  <w:pPr>
                    <w:rPr>
                      <w:rStyle w:val="14"/>
                    </w:rPr>
                  </w:pPr>
                  <w:r>
                    <w:rPr>
                      <w:rStyle w:val="14"/>
                      <w:rFonts w:ascii="Arial"/>
                    </w:rPr>
                    <w:t>5．</w:t>
                  </w:r>
                  <w:r>
                    <w:rPr>
                      <w:rStyle w:val="14"/>
                      <w:rFonts w:ascii="宋体" w:hAnsi="宋体"/>
                    </w:rPr>
                    <w:t>编写标准编制说明</w:t>
                  </w:r>
                </w:p>
                <w:p>
                  <w:pPr>
                    <w:rPr>
                      <w:rStyle w:val="14"/>
                    </w:rPr>
                  </w:pPr>
                </w:p>
              </w:txbxContent>
            </v:textbox>
          </v:shape>
        </w:pict>
      </w:r>
      <w:r>
        <w:pict>
          <v:line id="_x0000_s1041" o:spid="_x0000_s1041" o:spt="20" style="position:absolute;left:0pt;flip:y;margin-left:136.55pt;margin-top:21.45pt;height:0.05pt;width:38.05pt;z-index:251674624;mso-width-relative:page;mso-height-relative:page;" coordsize="21600,21600">
            <v:path arrowok="t"/>
            <v:fill focussize="0,0"/>
            <v:stroke endarrow="block"/>
            <v:imagedata o:title=""/>
            <o:lock v:ext="edit"/>
          </v:line>
        </w:pict>
      </w:r>
      <w:r>
        <w:pict>
          <v:shape id="_x0000_s1040" o:spid="_x0000_s1040" o:spt="202" type="#_x0000_t202" style="position:absolute;left:0pt;margin-left:-26.15pt;margin-top:8.75pt;height:25.45pt;width:161.45pt;z-index:251673600;mso-width-relative:page;mso-height-relative:page;" coordsize="21600,21600">
            <v:path/>
            <v:fill focussize="0,0"/>
            <v:stroke joinstyle="miter"/>
            <v:imagedata o:title=""/>
            <o:lock v:ext="edit"/>
            <v:textbox inset="1mm,0mm,1mm,0mm">
              <w:txbxContent>
                <w:p>
                  <w:pPr>
                    <w:jc w:val="center"/>
                    <w:rPr>
                      <w:rStyle w:val="14"/>
                    </w:rPr>
                  </w:pPr>
                  <w:r>
                    <w:rPr>
                      <w:rStyle w:val="14"/>
                      <w:rFonts w:ascii="宋体" w:hAnsi="宋体"/>
                    </w:rPr>
                    <w:t>形成标准草案，征求意见</w:t>
                  </w:r>
                </w:p>
                <w:p>
                  <w:pPr>
                    <w:rPr>
                      <w:rStyle w:val="14"/>
                    </w:rPr>
                  </w:pPr>
                </w:p>
              </w:txbxContent>
            </v:textbox>
          </v:shape>
        </w:pict>
      </w:r>
    </w:p>
    <w:p>
      <w:pPr>
        <w:rPr>
          <w:rStyle w:val="14"/>
          <w:rFonts w:ascii="黑体" w:eastAsia="黑体"/>
          <w:b/>
          <w:sz w:val="28"/>
          <w:szCs w:val="28"/>
        </w:rPr>
      </w:pPr>
      <w:r>
        <w:pict>
          <v:line id="_x0000_s1045" o:spid="_x0000_s1045" o:spt="20" style="position:absolute;left:0pt;margin-left:244.05pt;margin-top:3.15pt;height:31.45pt;width:0.05pt;z-index:251678720;mso-width-relative:page;mso-height-relative:page;" coordsize="21600,21600">
            <v:path arrowok="t"/>
            <v:fill focussize="0,0"/>
            <v:stroke endarrow="block"/>
            <v:imagedata o:title=""/>
            <o:lock v:ext="edit"/>
          </v:line>
        </w:pict>
      </w:r>
      <w:r>
        <w:pict>
          <v:line id="_x0000_s1038" o:spid="_x0000_s1038" o:spt="20" style="position:absolute;left:0pt;margin-left:53.6pt;margin-top:5.35pt;height:31.45pt;width:0.05pt;z-index:251671552;mso-width-relative:page;mso-height-relative:page;" coordsize="21600,21600">
            <v:path arrowok="t"/>
            <v:fill focussize="0,0"/>
            <v:stroke endarrow="block"/>
            <v:imagedata o:title=""/>
            <o:lock v:ext="edit"/>
          </v:line>
        </w:pict>
      </w:r>
    </w:p>
    <w:p>
      <w:pPr>
        <w:rPr>
          <w:rStyle w:val="14"/>
          <w:rFonts w:ascii="黑体" w:eastAsia="黑体"/>
          <w:b/>
          <w:sz w:val="28"/>
          <w:szCs w:val="28"/>
        </w:rPr>
      </w:pPr>
      <w:r>
        <w:pict>
          <v:shape id="_x0000_s1043" o:spid="_x0000_s1043" o:spt="202" type="#_x0000_t202" style="position:absolute;left:0pt;margin-left:-14.45pt;margin-top:5.75pt;height:25.45pt;width:136.4pt;z-index:251676672;mso-width-relative:page;mso-height-relative:page;" coordsize="21600,21600">
            <v:path/>
            <v:fill focussize="0,0"/>
            <v:stroke joinstyle="miter"/>
            <v:imagedata o:title=""/>
            <o:lock v:ext="edit"/>
            <v:textbox inset="1mm,0mm,1mm,0mm">
              <w:txbxContent>
                <w:p>
                  <w:pPr>
                    <w:jc w:val="center"/>
                    <w:rPr>
                      <w:rStyle w:val="14"/>
                    </w:rPr>
                  </w:pPr>
                  <w:r>
                    <w:rPr>
                      <w:rStyle w:val="14"/>
                    </w:rPr>
                    <w:t>广泛征求意见</w:t>
                  </w:r>
                </w:p>
                <w:p>
                  <w:pPr>
                    <w:rPr>
                      <w:rStyle w:val="14"/>
                    </w:rPr>
                  </w:pPr>
                </w:p>
              </w:txbxContent>
            </v:textbox>
          </v:shape>
        </w:pict>
      </w:r>
      <w:r>
        <w:pict>
          <v:shape id="_x0000_s1027" o:spid="_x0000_s1027" o:spt="202" type="#_x0000_t202" style="position:absolute;left:0pt;margin-left:181.25pt;margin-top:2.9pt;height:89.15pt;width:125.3pt;z-index:251660288;mso-width-relative:page;mso-height-relative:page;" coordsize="21600,21600">
            <v:path/>
            <v:fill focussize="0,0"/>
            <v:stroke joinstyle="miter"/>
            <v:imagedata o:title=""/>
            <o:lock v:ext="edit"/>
            <v:textbox inset="1mm,0mm,1mm,0mm">
              <w:txbxContent>
                <w:p>
                  <w:pPr>
                    <w:numPr>
                      <w:ilvl w:val="0"/>
                      <w:numId w:val="3"/>
                    </w:numPr>
                    <w:rPr>
                      <w:rStyle w:val="14"/>
                      <w:rFonts w:ascii="Arial" w:hAnsi="Arial"/>
                    </w:rPr>
                  </w:pPr>
                  <w:r>
                    <w:rPr>
                      <w:rStyle w:val="14"/>
                      <w:rFonts w:ascii="Arial"/>
                    </w:rPr>
                    <w:t>背景说明</w:t>
                  </w:r>
                </w:p>
                <w:p>
                  <w:pPr>
                    <w:numPr>
                      <w:ilvl w:val="0"/>
                      <w:numId w:val="3"/>
                    </w:numPr>
                    <w:rPr>
                      <w:rStyle w:val="14"/>
                      <w:rFonts w:ascii="Arial" w:hAnsi="Arial"/>
                    </w:rPr>
                  </w:pPr>
                  <w:r>
                    <w:rPr>
                      <w:rStyle w:val="14"/>
                      <w:rFonts w:ascii="Arial"/>
                    </w:rPr>
                    <w:t>工作简要过程</w:t>
                  </w:r>
                </w:p>
                <w:p>
                  <w:pPr>
                    <w:numPr>
                      <w:ilvl w:val="0"/>
                      <w:numId w:val="3"/>
                    </w:numPr>
                    <w:rPr>
                      <w:rStyle w:val="14"/>
                      <w:rFonts w:ascii="Arial" w:hAnsi="Arial"/>
                    </w:rPr>
                  </w:pPr>
                  <w:r>
                    <w:rPr>
                      <w:rStyle w:val="14"/>
                      <w:rFonts w:ascii="Arial"/>
                    </w:rPr>
                    <w:t>方法验证性试验</w:t>
                  </w:r>
                </w:p>
                <w:p>
                  <w:pPr>
                    <w:rPr>
                      <w:rStyle w:val="14"/>
                      <w:rFonts w:hAnsi="Arial"/>
                    </w:rPr>
                  </w:pPr>
                </w:p>
                <w:p>
                  <w:pPr>
                    <w:rPr>
                      <w:rStyle w:val="14"/>
                    </w:rPr>
                  </w:pPr>
                </w:p>
              </w:txbxContent>
            </v:textbox>
          </v:shape>
        </w:pict>
      </w:r>
    </w:p>
    <w:p>
      <w:pPr>
        <w:rPr>
          <w:rStyle w:val="14"/>
          <w:rFonts w:ascii="黑体" w:eastAsia="黑体"/>
          <w:b/>
          <w:sz w:val="28"/>
          <w:szCs w:val="28"/>
        </w:rPr>
      </w:pPr>
      <w:r>
        <w:pict>
          <v:line id="_x0000_s1044" o:spid="_x0000_s1044" o:spt="20" style="position:absolute;left:0pt;margin-left:53.65pt;margin-top:1.45pt;height:31.45pt;width:0.05pt;z-index:251677696;mso-width-relative:page;mso-height-relative:page;" coordsize="21600,21600">
            <v:path arrowok="t"/>
            <v:fill focussize="0,0"/>
            <v:stroke endarrow="block"/>
            <v:imagedata o:title=""/>
            <o:lock v:ext="edit"/>
          </v:line>
        </w:pict>
      </w:r>
    </w:p>
    <w:p>
      <w:pPr>
        <w:rPr>
          <w:rStyle w:val="14"/>
          <w:rFonts w:ascii="黑体" w:eastAsia="黑体"/>
          <w:b/>
          <w:sz w:val="28"/>
          <w:szCs w:val="28"/>
        </w:rPr>
      </w:pPr>
      <w:r>
        <w:pict>
          <v:shape id="_x0000_s1031" o:spid="_x0000_s1031" o:spt="202" type="#_x0000_t202" style="position:absolute;left:0pt;margin-left:-31.85pt;margin-top:0.4pt;height:25.45pt;width:179.45pt;z-index:251664384;mso-width-relative:page;mso-height-relative:page;" coordsize="21600,21600">
            <v:path/>
            <v:fill focussize="0,0"/>
            <v:stroke joinstyle="miter"/>
            <v:imagedata o:title=""/>
            <o:lock v:ext="edit"/>
            <v:textbox inset="1mm,0mm,1mm,0mm">
              <w:txbxContent>
                <w:p>
                  <w:pPr>
                    <w:jc w:val="center"/>
                    <w:rPr>
                      <w:rStyle w:val="14"/>
                    </w:rPr>
                  </w:pPr>
                  <w:r>
                    <w:rPr>
                      <w:rStyle w:val="14"/>
                    </w:rPr>
                    <w:t>意见汇总，形成送审稿</w:t>
                  </w:r>
                </w:p>
                <w:p>
                  <w:pPr>
                    <w:rPr>
                      <w:rStyle w:val="14"/>
                    </w:rPr>
                  </w:pPr>
                </w:p>
              </w:txbxContent>
            </v:textbox>
          </v:shape>
        </w:pict>
      </w:r>
    </w:p>
    <w:p>
      <w:pPr>
        <w:rPr>
          <w:rStyle w:val="14"/>
          <w:rFonts w:ascii="黑体" w:eastAsia="黑体"/>
          <w:b/>
          <w:color w:val="auto"/>
          <w:sz w:val="28"/>
          <w:szCs w:val="28"/>
        </w:rPr>
      </w:pPr>
    </w:p>
    <w:p>
      <w:pPr>
        <w:rPr>
          <w:rStyle w:val="14"/>
          <w:rFonts w:ascii="黑体" w:eastAsia="黑体"/>
          <w:b/>
          <w:color w:val="auto"/>
          <w:sz w:val="28"/>
          <w:szCs w:val="28"/>
        </w:rPr>
      </w:pPr>
    </w:p>
    <w:p>
      <w:pPr>
        <w:rPr>
          <w:rStyle w:val="14"/>
          <w:rFonts w:ascii="黑体" w:eastAsia="黑体"/>
          <w:b/>
          <w:color w:val="auto"/>
          <w:sz w:val="28"/>
          <w:szCs w:val="28"/>
        </w:rPr>
      </w:pPr>
    </w:p>
    <w:p>
      <w:pPr>
        <w:ind w:firstLine="562" w:firstLineChars="200"/>
        <w:rPr>
          <w:rStyle w:val="14"/>
          <w:rFonts w:ascii="仿宋_GB2312" w:hAnsi="仿宋_GB2312" w:eastAsia="仿宋_GB2312"/>
          <w:color w:val="auto"/>
          <w:sz w:val="28"/>
          <w:szCs w:val="28"/>
        </w:rPr>
      </w:pPr>
      <w:r>
        <w:rPr>
          <w:rStyle w:val="14"/>
          <w:rFonts w:ascii="宋体" w:hAnsi="宋体" w:cs="宋体"/>
          <w:b/>
          <w:bCs/>
          <w:color w:val="auto"/>
          <w:sz w:val="28"/>
          <w:szCs w:val="28"/>
        </w:rPr>
        <w:t>四、标准主要内容</w:t>
      </w:r>
    </w:p>
    <w:p>
      <w:pPr>
        <w:spacing w:line="360" w:lineRule="auto"/>
        <w:ind w:firstLine="560" w:firstLineChars="200"/>
        <w:rPr>
          <w:rStyle w:val="14"/>
          <w:rFonts w:ascii="仿宋_GB2312" w:hAnsi="仿宋_GB2312" w:eastAsia="仿宋_GB2312"/>
          <w:color w:val="auto"/>
          <w:sz w:val="28"/>
          <w:szCs w:val="28"/>
        </w:rPr>
      </w:pPr>
      <w:r>
        <w:rPr>
          <w:rStyle w:val="14"/>
          <w:rFonts w:ascii="仿宋_GB2312" w:hAnsi="仿宋_GB2312" w:eastAsia="仿宋_GB2312"/>
          <w:color w:val="auto"/>
          <w:sz w:val="28"/>
          <w:szCs w:val="28"/>
        </w:rPr>
        <w:t>本标准名称力求简练、并应明确表示出标准的主题，还应与之其他标准相区分。本标准主体要素是</w:t>
      </w:r>
      <w:r>
        <w:rPr>
          <w:rStyle w:val="14"/>
          <w:rFonts w:hint="eastAsia" w:ascii="仿宋_GB2312" w:hAnsi="仿宋_GB2312" w:eastAsia="仿宋_GB2312"/>
          <w:color w:val="auto"/>
          <w:sz w:val="28"/>
          <w:szCs w:val="28"/>
        </w:rPr>
        <w:t>自然保护地</w:t>
      </w:r>
      <w:r>
        <w:rPr>
          <w:rStyle w:val="14"/>
          <w:rFonts w:ascii="仿宋_GB2312" w:hAnsi="仿宋_GB2312" w:eastAsia="仿宋_GB2312"/>
          <w:color w:val="auto"/>
          <w:sz w:val="28"/>
          <w:szCs w:val="28"/>
        </w:rPr>
        <w:t>，补充要素是针对</w:t>
      </w:r>
      <w:r>
        <w:rPr>
          <w:rStyle w:val="14"/>
          <w:rFonts w:hint="eastAsia" w:ascii="仿宋_GB2312" w:hAnsi="仿宋_GB2312" w:eastAsia="仿宋_GB2312"/>
          <w:color w:val="auto"/>
          <w:sz w:val="28"/>
          <w:szCs w:val="28"/>
        </w:rPr>
        <w:t>利用北斗勘界立碑</w:t>
      </w:r>
      <w:r>
        <w:rPr>
          <w:rStyle w:val="14"/>
          <w:rFonts w:ascii="仿宋_GB2312" w:hAnsi="仿宋_GB2312" w:eastAsia="仿宋_GB2312"/>
          <w:color w:val="auto"/>
          <w:sz w:val="28"/>
          <w:szCs w:val="28"/>
        </w:rPr>
        <w:t>要求方面，标准名称定为《湖南自然保护地北斗边界定标点测量及界碑监控规范》。规范规定了利用北斗进行自然保护地边界定标点测量和界碑监控的原则、内容、方法和要求。本标准适用于湖南省</w:t>
      </w:r>
      <w:r>
        <w:rPr>
          <w:rStyle w:val="14"/>
          <w:rFonts w:hint="eastAsia" w:ascii="仿宋_GB2312" w:hAnsi="仿宋_GB2312" w:eastAsia="仿宋_GB2312"/>
          <w:color w:val="auto"/>
          <w:sz w:val="28"/>
          <w:szCs w:val="28"/>
        </w:rPr>
        <w:t>国家公园、自然保护区、风景名胜区、地质公园（含资格）、森林公园、湿地公园等自然保护地勘界立标要求</w:t>
      </w:r>
      <w:r>
        <w:rPr>
          <w:rStyle w:val="14"/>
          <w:rFonts w:ascii="仿宋_GB2312" w:hAnsi="仿宋_GB2312" w:eastAsia="仿宋_GB2312"/>
          <w:color w:val="auto"/>
          <w:sz w:val="28"/>
          <w:szCs w:val="28"/>
        </w:rPr>
        <w:t>。</w:t>
      </w:r>
    </w:p>
    <w:p>
      <w:pPr>
        <w:spacing w:line="360" w:lineRule="auto"/>
        <w:ind w:firstLine="562" w:firstLineChars="200"/>
        <w:rPr>
          <w:rStyle w:val="14"/>
          <w:rFonts w:ascii="仿宋_GB2312" w:hAnsi="仿宋_GB2312" w:eastAsia="仿宋_GB2312" w:cs="仿宋_GB2312"/>
          <w:b/>
          <w:bCs/>
          <w:color w:val="auto"/>
          <w:sz w:val="28"/>
          <w:szCs w:val="28"/>
        </w:rPr>
      </w:pPr>
      <w:r>
        <w:rPr>
          <w:rStyle w:val="14"/>
          <w:rFonts w:ascii="仿宋_GB2312" w:hAnsi="仿宋_GB2312" w:eastAsia="仿宋_GB2312" w:cs="仿宋_GB2312"/>
          <w:b/>
          <w:bCs/>
          <w:color w:val="auto"/>
          <w:sz w:val="28"/>
          <w:szCs w:val="28"/>
        </w:rPr>
        <w:t>1、范围</w:t>
      </w:r>
    </w:p>
    <w:p>
      <w:pPr>
        <w:spacing w:line="360" w:lineRule="auto"/>
        <w:ind w:firstLine="560" w:firstLineChars="200"/>
        <w:rPr>
          <w:rStyle w:val="14"/>
          <w:rFonts w:ascii="仿宋_GB2312" w:hAnsi="宋体" w:eastAsia="仿宋_GB2312"/>
          <w:color w:val="auto"/>
          <w:sz w:val="28"/>
          <w:szCs w:val="28"/>
        </w:rPr>
      </w:pPr>
      <w:r>
        <w:rPr>
          <w:rStyle w:val="14"/>
          <w:rFonts w:ascii="仿宋_GB2312" w:hAnsi="宋体" w:eastAsia="仿宋_GB2312"/>
          <w:color w:val="auto"/>
          <w:sz w:val="28"/>
          <w:szCs w:val="28"/>
        </w:rPr>
        <w:t>我们规定适用范围为全省</w:t>
      </w:r>
      <w:r>
        <w:rPr>
          <w:rStyle w:val="14"/>
          <w:rFonts w:hint="eastAsia" w:ascii="仿宋_GB2312" w:hAnsi="宋体" w:eastAsia="仿宋_GB2312"/>
          <w:color w:val="auto"/>
          <w:sz w:val="28"/>
          <w:szCs w:val="28"/>
        </w:rPr>
        <w:t>自然保护地利用北斗边界定标点及界碑监控的</w:t>
      </w:r>
      <w:r>
        <w:rPr>
          <w:rStyle w:val="14"/>
          <w:rFonts w:ascii="仿宋_GB2312" w:hAnsi="宋体" w:eastAsia="仿宋_GB2312"/>
          <w:color w:val="auto"/>
          <w:sz w:val="28"/>
          <w:szCs w:val="28"/>
        </w:rPr>
        <w:t>要求。</w:t>
      </w:r>
      <w:r>
        <w:rPr>
          <w:rStyle w:val="14"/>
          <w:rFonts w:hint="eastAsia" w:ascii="仿宋_GB2312" w:hAnsi="宋体" w:eastAsia="仿宋_GB2312"/>
          <w:color w:val="auto"/>
          <w:sz w:val="28"/>
          <w:szCs w:val="28"/>
        </w:rPr>
        <w:t>湖南自然保护地北斗边界定标点及界碑监控规范</w:t>
      </w:r>
      <w:r>
        <w:rPr>
          <w:rStyle w:val="14"/>
          <w:rFonts w:ascii="仿宋_GB2312" w:hAnsi="宋体" w:eastAsia="仿宋_GB2312"/>
          <w:color w:val="auto"/>
          <w:sz w:val="28"/>
          <w:szCs w:val="28"/>
        </w:rPr>
        <w:t>作为一部行为规范，约束范围应当覆盖</w:t>
      </w:r>
      <w:r>
        <w:rPr>
          <w:rStyle w:val="14"/>
          <w:rFonts w:hint="eastAsia" w:ascii="仿宋_GB2312" w:hAnsi="宋体" w:eastAsia="仿宋_GB2312"/>
          <w:color w:val="auto"/>
          <w:sz w:val="28"/>
          <w:szCs w:val="28"/>
        </w:rPr>
        <w:t>自然保护地北斗勘界立标</w:t>
      </w:r>
      <w:r>
        <w:rPr>
          <w:rStyle w:val="14"/>
          <w:rFonts w:ascii="仿宋_GB2312" w:hAnsi="宋体" w:eastAsia="仿宋_GB2312"/>
          <w:color w:val="auto"/>
          <w:sz w:val="28"/>
          <w:szCs w:val="28"/>
        </w:rPr>
        <w:t>的全过程，并且是全省范围统一执行，这样才能确保行业规范</w:t>
      </w:r>
      <w:r>
        <w:rPr>
          <w:rStyle w:val="14"/>
          <w:rFonts w:hint="eastAsia" w:ascii="仿宋_GB2312" w:hAnsi="宋体" w:eastAsia="仿宋_GB2312"/>
          <w:color w:val="auto"/>
          <w:sz w:val="28"/>
          <w:szCs w:val="28"/>
        </w:rPr>
        <w:t>，推动自然保护地规范化建设和精细化管理。</w:t>
      </w:r>
    </w:p>
    <w:p>
      <w:pPr>
        <w:ind w:firstLine="562" w:firstLineChars="200"/>
        <w:rPr>
          <w:rStyle w:val="14"/>
          <w:rFonts w:ascii="仿宋_GB2312" w:hAnsi="宋体" w:eastAsia="仿宋_GB2312"/>
          <w:b/>
          <w:bCs/>
          <w:color w:val="auto"/>
          <w:sz w:val="28"/>
          <w:szCs w:val="28"/>
        </w:rPr>
      </w:pPr>
      <w:r>
        <w:rPr>
          <w:rStyle w:val="14"/>
          <w:rFonts w:ascii="仿宋_GB2312" w:hAnsi="宋体" w:eastAsia="仿宋_GB2312"/>
          <w:b/>
          <w:bCs/>
          <w:color w:val="auto"/>
          <w:sz w:val="28"/>
          <w:szCs w:val="28"/>
        </w:rPr>
        <w:t>2、规范性引用文件</w:t>
      </w:r>
    </w:p>
    <w:p>
      <w:pPr>
        <w:spacing w:line="360" w:lineRule="auto"/>
        <w:ind w:firstLine="560" w:firstLineChars="200"/>
        <w:rPr>
          <w:rStyle w:val="14"/>
          <w:rFonts w:ascii="仿宋_GB2312" w:hAnsi="宋体" w:eastAsia="仿宋_GB2312"/>
          <w:color w:val="auto"/>
          <w:sz w:val="28"/>
          <w:szCs w:val="28"/>
        </w:rPr>
      </w:pPr>
      <w:r>
        <w:rPr>
          <w:rStyle w:val="14"/>
          <w:rFonts w:ascii="仿宋_GB2312" w:hAnsi="宋体" w:eastAsia="仿宋_GB2312"/>
          <w:color w:val="auto"/>
          <w:sz w:val="28"/>
          <w:szCs w:val="28"/>
        </w:rPr>
        <w:t>根据本标准涉及的内容，考虑到</w:t>
      </w:r>
      <w:r>
        <w:rPr>
          <w:rStyle w:val="14"/>
          <w:rFonts w:hint="eastAsia" w:ascii="仿宋_GB2312" w:hAnsi="宋体" w:eastAsia="仿宋_GB2312"/>
          <w:color w:val="auto"/>
          <w:sz w:val="28"/>
          <w:szCs w:val="28"/>
        </w:rPr>
        <w:t>自然保护地勘界立标</w:t>
      </w:r>
      <w:r>
        <w:rPr>
          <w:rStyle w:val="14"/>
          <w:rFonts w:ascii="仿宋_GB2312" w:hAnsi="宋体" w:eastAsia="仿宋_GB2312"/>
          <w:color w:val="auto"/>
          <w:sz w:val="28"/>
          <w:szCs w:val="28"/>
        </w:rPr>
        <w:t>行业中的实际情况，我们以《</w:t>
      </w:r>
      <w:r>
        <w:rPr>
          <w:rStyle w:val="14"/>
          <w:rFonts w:hint="eastAsia" w:ascii="仿宋_GB2312" w:hAnsi="宋体" w:eastAsia="仿宋_GB2312"/>
          <w:color w:val="auto"/>
          <w:sz w:val="28"/>
          <w:szCs w:val="28"/>
        </w:rPr>
        <w:t>全球定位系统（GPS）测量规范</w:t>
      </w:r>
      <w:r>
        <w:rPr>
          <w:rStyle w:val="14"/>
          <w:rFonts w:ascii="仿宋_GB2312" w:hAnsi="宋体" w:eastAsia="仿宋_GB2312"/>
          <w:color w:val="auto"/>
          <w:sz w:val="28"/>
          <w:szCs w:val="28"/>
        </w:rPr>
        <w:t>》为基础，同时还以</w:t>
      </w:r>
      <w:r>
        <w:rPr>
          <w:rStyle w:val="14"/>
          <w:rFonts w:hint="eastAsia" w:ascii="仿宋_GB2312" w:hAnsi="宋体" w:eastAsia="仿宋_GB2312"/>
          <w:color w:val="auto"/>
          <w:sz w:val="28"/>
          <w:szCs w:val="28"/>
        </w:rPr>
        <w:t>《北斗卫星导航术语》、《国家基本比例尺地图图式》、《数字测绘成果质量检查与验收》、《地理信息 元数据》、《自然保护区总体规划技术规程》、《自然保护区功能区划技术规程》、《自然保护区设施标识规范》、《全球定位系统实时动态测量（RTK）技术规范》、《湖南省网络RTK测量技术规范》</w:t>
      </w:r>
      <w:r>
        <w:rPr>
          <w:rStyle w:val="14"/>
          <w:rFonts w:ascii="仿宋_GB2312" w:hAnsi="宋体" w:eastAsia="仿宋_GB2312"/>
          <w:color w:val="auto"/>
          <w:sz w:val="28"/>
          <w:szCs w:val="28"/>
        </w:rPr>
        <w:t>为依据，为本标准的制定提供了可靠的法律依据。</w:t>
      </w:r>
    </w:p>
    <w:p>
      <w:pPr>
        <w:ind w:firstLine="562" w:firstLineChars="200"/>
        <w:rPr>
          <w:rStyle w:val="14"/>
          <w:rFonts w:ascii="仿宋_GB2312" w:hAnsi="宋体" w:eastAsia="仿宋_GB2312"/>
          <w:b/>
          <w:bCs/>
          <w:color w:val="auto"/>
          <w:sz w:val="28"/>
          <w:szCs w:val="28"/>
        </w:rPr>
      </w:pPr>
      <w:r>
        <w:rPr>
          <w:rStyle w:val="14"/>
          <w:rFonts w:hint="eastAsia" w:ascii="仿宋_GB2312" w:hAnsi="宋体" w:eastAsia="仿宋_GB2312"/>
          <w:b/>
          <w:bCs/>
          <w:color w:val="auto"/>
          <w:sz w:val="28"/>
          <w:szCs w:val="28"/>
        </w:rPr>
        <w:t>3、术语、定义和缩略语</w:t>
      </w:r>
    </w:p>
    <w:p>
      <w:pPr>
        <w:ind w:firstLine="560" w:firstLineChars="200"/>
        <w:rPr>
          <w:rStyle w:val="14"/>
          <w:rFonts w:ascii="仿宋_GB2312" w:hAnsi="宋体" w:eastAsia="仿宋_GB2312"/>
          <w:bCs/>
          <w:color w:val="auto"/>
          <w:sz w:val="28"/>
          <w:szCs w:val="28"/>
        </w:rPr>
      </w:pPr>
      <w:r>
        <w:rPr>
          <w:rStyle w:val="14"/>
          <w:rFonts w:hint="eastAsia" w:ascii="仿宋_GB2312" w:hAnsi="宋体" w:eastAsia="仿宋_GB2312"/>
          <w:b w:val="0"/>
          <w:bCs/>
          <w:color w:val="auto"/>
          <w:sz w:val="28"/>
          <w:szCs w:val="28"/>
        </w:rPr>
        <w:t>本标准给出了标准所涉及到的术语和缩略语的定义，主要包括自然保护地（</w:t>
      </w:r>
      <w:r>
        <w:rPr>
          <w:rStyle w:val="14"/>
          <w:rFonts w:ascii="仿宋_GB2312" w:hAnsi="宋体" w:eastAsia="仿宋_GB2312"/>
          <w:b w:val="0"/>
          <w:bCs/>
          <w:color w:val="auto"/>
          <w:sz w:val="28"/>
          <w:szCs w:val="28"/>
        </w:rPr>
        <w:t>nature protected areas</w:t>
      </w:r>
      <w:r>
        <w:rPr>
          <w:rStyle w:val="14"/>
          <w:rFonts w:hint="eastAsia" w:ascii="仿宋_GB2312" w:hAnsi="宋体" w:eastAsia="仿宋_GB2312"/>
          <w:b w:val="0"/>
          <w:bCs/>
          <w:color w:val="auto"/>
          <w:sz w:val="28"/>
          <w:szCs w:val="28"/>
        </w:rPr>
        <w:t>）、</w:t>
      </w:r>
      <w:r>
        <w:rPr>
          <w:rStyle w:val="14"/>
          <w:rFonts w:ascii="仿宋_GB2312" w:hAnsi="宋体" w:eastAsia="仿宋_GB2312"/>
          <w:b w:val="0"/>
          <w:bCs/>
          <w:color w:val="auto"/>
          <w:sz w:val="28"/>
          <w:szCs w:val="28"/>
        </w:rPr>
        <w:tab/>
      </w:r>
      <w:r>
        <w:rPr>
          <w:rStyle w:val="14"/>
          <w:rFonts w:hint="eastAsia" w:ascii="仿宋_GB2312" w:hAnsi="宋体" w:eastAsia="仿宋_GB2312"/>
          <w:b w:val="0"/>
          <w:bCs/>
          <w:color w:val="auto"/>
          <w:sz w:val="28"/>
          <w:szCs w:val="28"/>
        </w:rPr>
        <w:t>勘界（</w:t>
      </w:r>
      <w:r>
        <w:rPr>
          <w:rStyle w:val="14"/>
          <w:rFonts w:ascii="仿宋_GB2312" w:hAnsi="宋体" w:eastAsia="仿宋_GB2312"/>
          <w:b w:val="0"/>
          <w:bCs/>
          <w:color w:val="auto"/>
          <w:sz w:val="28"/>
          <w:szCs w:val="28"/>
        </w:rPr>
        <w:t>demarcating boundary）、定标（calibrate marker</w:t>
      </w:r>
      <w:r>
        <w:rPr>
          <w:rStyle w:val="14"/>
          <w:rFonts w:hint="eastAsia" w:ascii="仿宋_GB2312" w:hAnsi="宋体" w:eastAsia="仿宋_GB2312"/>
          <w:b w:val="0"/>
          <w:bCs/>
          <w:color w:val="auto"/>
          <w:sz w:val="28"/>
          <w:szCs w:val="28"/>
        </w:rPr>
        <w:t>）、标定点（</w:t>
      </w:r>
      <w:r>
        <w:rPr>
          <w:rStyle w:val="14"/>
          <w:rFonts w:ascii="仿宋_GB2312" w:hAnsi="宋体" w:eastAsia="仿宋_GB2312"/>
          <w:b w:val="0"/>
          <w:bCs/>
          <w:color w:val="auto"/>
          <w:sz w:val="28"/>
          <w:szCs w:val="28"/>
        </w:rPr>
        <w:t>calibrate point</w:t>
      </w:r>
      <w:r>
        <w:rPr>
          <w:rStyle w:val="14"/>
          <w:rFonts w:hint="eastAsia" w:ascii="仿宋_GB2312" w:hAnsi="宋体" w:eastAsia="仿宋_GB2312"/>
          <w:b w:val="0"/>
          <w:bCs/>
          <w:color w:val="auto"/>
          <w:sz w:val="28"/>
          <w:szCs w:val="28"/>
        </w:rPr>
        <w:t>）等术语和</w:t>
      </w:r>
      <w:r>
        <w:rPr>
          <w:rStyle w:val="14"/>
          <w:rFonts w:ascii="仿宋_GB2312" w:hAnsi="宋体" w:eastAsia="仿宋_GB2312"/>
          <w:b w:val="0"/>
          <w:bCs/>
          <w:color w:val="auto"/>
          <w:sz w:val="28"/>
          <w:szCs w:val="28"/>
        </w:rPr>
        <w:t xml:space="preserve">CORS（continuously operating reference stations </w:t>
      </w:r>
      <w:r>
        <w:rPr>
          <w:rStyle w:val="14"/>
          <w:rFonts w:hint="eastAsia" w:ascii="仿宋_GB2312" w:hAnsi="宋体" w:eastAsia="仿宋_GB2312"/>
          <w:b w:val="0"/>
          <w:bCs/>
          <w:color w:val="auto"/>
          <w:sz w:val="28"/>
          <w:szCs w:val="28"/>
        </w:rPr>
        <w:t>连续运行基准站）、</w:t>
      </w:r>
      <w:r>
        <w:rPr>
          <w:rStyle w:val="14"/>
          <w:rFonts w:ascii="仿宋_GB2312" w:hAnsi="宋体" w:eastAsia="仿宋_GB2312"/>
          <w:b w:val="0"/>
          <w:bCs/>
          <w:color w:val="auto"/>
          <w:sz w:val="28"/>
          <w:szCs w:val="28"/>
        </w:rPr>
        <w:t xml:space="preserve">GNSS（global navigation satellite system </w:t>
      </w:r>
      <w:r>
        <w:rPr>
          <w:rStyle w:val="14"/>
          <w:rFonts w:hint="eastAsia" w:ascii="仿宋_GB2312" w:hAnsi="宋体" w:eastAsia="仿宋_GB2312"/>
          <w:b w:val="0"/>
          <w:bCs/>
          <w:color w:val="auto"/>
          <w:sz w:val="28"/>
          <w:szCs w:val="28"/>
        </w:rPr>
        <w:t>全球导航卫星系统）、</w:t>
      </w:r>
      <w:r>
        <w:rPr>
          <w:rStyle w:val="14"/>
          <w:rFonts w:ascii="仿宋_GB2312" w:hAnsi="宋体" w:eastAsia="仿宋_GB2312"/>
          <w:b w:val="0"/>
          <w:bCs/>
          <w:color w:val="auto"/>
          <w:sz w:val="28"/>
          <w:szCs w:val="28"/>
        </w:rPr>
        <w:t xml:space="preserve">RTD（real time differential </w:t>
      </w:r>
      <w:r>
        <w:rPr>
          <w:rStyle w:val="14"/>
          <w:rFonts w:hint="eastAsia" w:ascii="仿宋_GB2312" w:hAnsi="宋体" w:eastAsia="仿宋_GB2312"/>
          <w:b w:val="0"/>
          <w:bCs/>
          <w:color w:val="auto"/>
          <w:sz w:val="28"/>
          <w:szCs w:val="28"/>
        </w:rPr>
        <w:t>实时伪距差分）等缩略语。</w:t>
      </w:r>
    </w:p>
    <w:p>
      <w:pPr>
        <w:ind w:firstLine="562" w:firstLineChars="200"/>
        <w:rPr>
          <w:rStyle w:val="14"/>
          <w:rFonts w:ascii="仿宋_GB2312" w:hAnsi="宋体" w:eastAsia="仿宋_GB2312"/>
          <w:b/>
          <w:bCs/>
          <w:color w:val="auto"/>
          <w:sz w:val="28"/>
          <w:szCs w:val="28"/>
        </w:rPr>
      </w:pPr>
      <w:r>
        <w:rPr>
          <w:rStyle w:val="14"/>
          <w:rFonts w:ascii="仿宋_GB2312" w:hAnsi="宋体" w:eastAsia="仿宋_GB2312"/>
          <w:b/>
          <w:bCs/>
          <w:color w:val="auto"/>
          <w:sz w:val="28"/>
          <w:szCs w:val="28"/>
        </w:rPr>
        <w:t>4、总则</w:t>
      </w:r>
    </w:p>
    <w:p>
      <w:pPr>
        <w:ind w:firstLine="560" w:firstLineChars="200"/>
        <w:rPr>
          <w:rStyle w:val="14"/>
          <w:rFonts w:ascii="仿宋_GB2312" w:hAnsi="宋体" w:eastAsia="仿宋_GB2312"/>
          <w:bCs/>
          <w:color w:val="auto"/>
          <w:sz w:val="28"/>
          <w:szCs w:val="28"/>
        </w:rPr>
      </w:pPr>
      <w:r>
        <w:rPr>
          <w:rStyle w:val="14"/>
          <w:rFonts w:hint="eastAsia" w:ascii="仿宋_GB2312" w:hAnsi="宋体" w:eastAsia="仿宋_GB2312"/>
          <w:bCs/>
          <w:color w:val="auto"/>
          <w:sz w:val="28"/>
          <w:szCs w:val="28"/>
        </w:rPr>
        <w:t>该条要求是自然保护地北斗边界定标和界碑监测规范的基本原则，规定了应该遵循的政策和法律法规。</w:t>
      </w:r>
    </w:p>
    <w:p>
      <w:pPr>
        <w:ind w:firstLine="562" w:firstLineChars="200"/>
        <w:rPr>
          <w:rStyle w:val="14"/>
          <w:rFonts w:ascii="仿宋_GB2312" w:hAnsi="宋体" w:eastAsia="仿宋_GB2312"/>
          <w:b/>
          <w:bCs/>
          <w:color w:val="auto"/>
          <w:sz w:val="28"/>
          <w:szCs w:val="28"/>
        </w:rPr>
      </w:pPr>
      <w:r>
        <w:rPr>
          <w:rStyle w:val="14"/>
          <w:rFonts w:hint="eastAsia" w:ascii="仿宋_GB2312" w:hAnsi="宋体" w:eastAsia="仿宋_GB2312"/>
          <w:b/>
          <w:bCs/>
          <w:color w:val="auto"/>
          <w:sz w:val="28"/>
          <w:szCs w:val="28"/>
        </w:rPr>
        <w:t>5、定标点测量</w:t>
      </w:r>
    </w:p>
    <w:p>
      <w:pPr>
        <w:ind w:firstLine="560" w:firstLineChars="200"/>
        <w:rPr>
          <w:rStyle w:val="14"/>
          <w:rFonts w:hint="eastAsia" w:ascii="仿宋_GB2312" w:hAnsi="宋体" w:eastAsia="仿宋_GB2312"/>
          <w:bCs/>
          <w:color w:val="auto"/>
          <w:sz w:val="28"/>
          <w:szCs w:val="28"/>
        </w:rPr>
      </w:pPr>
      <w:r>
        <w:rPr>
          <w:rStyle w:val="14"/>
          <w:rFonts w:hint="eastAsia" w:ascii="仿宋_GB2312" w:hAnsi="宋体" w:eastAsia="仿宋_GB2312"/>
          <w:bCs/>
          <w:color w:val="auto"/>
          <w:sz w:val="28"/>
          <w:szCs w:val="28"/>
        </w:rPr>
        <w:t>定标点是自然保护地边界的重要边界点，定标点的设立应当通过业内标绘及预设并通过现场踏勘确定实地位置后，进行施测。测量的结果应保证数学上的一致性，坐标系采用2</w:t>
      </w:r>
      <w:r>
        <w:rPr>
          <w:rStyle w:val="14"/>
          <w:rFonts w:ascii="仿宋_GB2312" w:hAnsi="宋体" w:eastAsia="仿宋_GB2312"/>
          <w:bCs/>
          <w:color w:val="auto"/>
          <w:sz w:val="28"/>
          <w:szCs w:val="28"/>
        </w:rPr>
        <w:t>000</w:t>
      </w:r>
      <w:r>
        <w:rPr>
          <w:rStyle w:val="14"/>
          <w:rFonts w:hint="eastAsia" w:ascii="仿宋_GB2312" w:hAnsi="宋体" w:eastAsia="仿宋_GB2312"/>
          <w:bCs/>
          <w:color w:val="auto"/>
          <w:sz w:val="28"/>
          <w:szCs w:val="28"/>
        </w:rPr>
        <w:t>国家大地坐标系，高程系统采用1</w:t>
      </w:r>
      <w:r>
        <w:rPr>
          <w:rStyle w:val="14"/>
          <w:rFonts w:ascii="仿宋_GB2312" w:hAnsi="宋体" w:eastAsia="仿宋_GB2312"/>
          <w:bCs/>
          <w:color w:val="auto"/>
          <w:sz w:val="28"/>
          <w:szCs w:val="28"/>
        </w:rPr>
        <w:t>985</w:t>
      </w:r>
      <w:r>
        <w:rPr>
          <w:rStyle w:val="14"/>
          <w:rFonts w:hint="eastAsia" w:ascii="仿宋_GB2312" w:hAnsi="宋体" w:eastAsia="仿宋_GB2312"/>
          <w:bCs/>
          <w:color w:val="auto"/>
          <w:sz w:val="28"/>
          <w:szCs w:val="28"/>
        </w:rPr>
        <w:t>国家高程基准，投影采用高斯-克吕格（3°带或6°带），单位采用“米”。北斗测量采用RTK的测量方法，控制点的选址和安装应保证测量的最大误差满足的精度要求。</w:t>
      </w:r>
    </w:p>
    <w:p>
      <w:pPr>
        <w:ind w:firstLine="562" w:firstLineChars="200"/>
        <w:rPr>
          <w:rStyle w:val="14"/>
          <w:rFonts w:ascii="仿宋_GB2312" w:hAnsi="宋体" w:eastAsia="仿宋_GB2312"/>
          <w:b/>
          <w:bCs/>
          <w:color w:val="auto"/>
          <w:sz w:val="28"/>
          <w:szCs w:val="28"/>
        </w:rPr>
      </w:pPr>
      <w:r>
        <w:rPr>
          <w:rStyle w:val="14"/>
          <w:rFonts w:ascii="仿宋_GB2312" w:hAnsi="宋体" w:eastAsia="仿宋_GB2312"/>
          <w:b/>
          <w:bCs/>
          <w:color w:val="auto"/>
          <w:sz w:val="28"/>
          <w:szCs w:val="28"/>
        </w:rPr>
        <w:t>6</w:t>
      </w:r>
      <w:r>
        <w:rPr>
          <w:rStyle w:val="14"/>
          <w:rFonts w:hint="eastAsia" w:ascii="仿宋_GB2312" w:hAnsi="宋体" w:eastAsia="仿宋_GB2312"/>
          <w:b/>
          <w:bCs/>
          <w:color w:val="auto"/>
          <w:sz w:val="28"/>
          <w:szCs w:val="28"/>
        </w:rPr>
        <w:t>、界碑监控</w:t>
      </w:r>
    </w:p>
    <w:p>
      <w:pPr>
        <w:ind w:firstLine="560" w:firstLineChars="200"/>
        <w:rPr>
          <w:rStyle w:val="14"/>
          <w:rFonts w:ascii="仿宋_GB2312" w:hAnsi="宋体" w:eastAsia="仿宋_GB2312"/>
          <w:bCs/>
          <w:color w:val="auto"/>
          <w:sz w:val="28"/>
          <w:szCs w:val="28"/>
        </w:rPr>
      </w:pPr>
      <w:r>
        <w:rPr>
          <w:rStyle w:val="14"/>
          <w:rFonts w:hint="eastAsia" w:ascii="仿宋_GB2312" w:hAnsi="宋体" w:eastAsia="仿宋_GB2312"/>
          <w:bCs/>
          <w:color w:val="auto"/>
          <w:sz w:val="28"/>
          <w:szCs w:val="28"/>
        </w:rPr>
        <w:t>该条的要求是给定界碑监控平台所应当包含的功能和性能要求。界碑上内置的北斗定位模块将定位数据周期性的发送到监控平台，监控平台可以显示界碑的位置信息、自然保护地的电子地图、界碑的监控报警信息和电子围栏。</w:t>
      </w:r>
    </w:p>
    <w:p>
      <w:pPr>
        <w:ind w:firstLine="560" w:firstLineChars="200"/>
        <w:rPr>
          <w:rStyle w:val="14"/>
          <w:rFonts w:ascii="仿宋_GB2312" w:hAnsi="宋体" w:eastAsia="仿宋_GB2312"/>
          <w:bCs/>
          <w:color w:val="auto"/>
          <w:sz w:val="28"/>
          <w:szCs w:val="28"/>
        </w:rPr>
      </w:pPr>
      <w:r>
        <w:rPr>
          <w:rStyle w:val="14"/>
          <w:rFonts w:hint="eastAsia" w:ascii="仿宋_GB2312" w:hAnsi="宋体" w:eastAsia="仿宋_GB2312"/>
          <w:bCs/>
          <w:color w:val="auto"/>
          <w:sz w:val="28"/>
          <w:szCs w:val="28"/>
        </w:rPr>
        <w:t>北斗定位模块与平台间的通信在常用的蜂窝网络基础上，应至少有一条备份的天基通信链路。碑监控平台的数据接入采用MQTT协议，且至少能支持不小于十万级别的最大并发连接数。数据存储在不同系统业务层级上分别关系型数据库、内存数据库和时序数据库，满足最大写入速度不小于7w</w:t>
      </w:r>
      <w:r>
        <w:rPr>
          <w:rStyle w:val="14"/>
          <w:rFonts w:ascii="仿宋_GB2312" w:hAnsi="宋体" w:eastAsia="仿宋_GB2312"/>
          <w:bCs/>
          <w:color w:val="auto"/>
          <w:sz w:val="28"/>
          <w:szCs w:val="28"/>
        </w:rPr>
        <w:t xml:space="preserve"> ops/sec</w:t>
      </w:r>
      <w:r>
        <w:rPr>
          <w:rStyle w:val="14"/>
          <w:rFonts w:hint="eastAsia" w:ascii="仿宋_GB2312" w:hAnsi="宋体" w:eastAsia="仿宋_GB2312"/>
          <w:bCs/>
          <w:color w:val="auto"/>
          <w:sz w:val="28"/>
          <w:szCs w:val="28"/>
        </w:rPr>
        <w:t>，最大查询数据不小于3</w:t>
      </w:r>
      <w:r>
        <w:rPr>
          <w:rStyle w:val="14"/>
          <w:rFonts w:ascii="仿宋_GB2312" w:hAnsi="宋体" w:eastAsia="仿宋_GB2312"/>
          <w:bCs/>
          <w:color w:val="auto"/>
          <w:sz w:val="28"/>
          <w:szCs w:val="28"/>
        </w:rPr>
        <w:t>w ops/sec</w:t>
      </w:r>
      <w:r>
        <w:rPr>
          <w:rStyle w:val="14"/>
          <w:rFonts w:hint="eastAsia" w:ascii="仿宋_GB2312" w:hAnsi="宋体" w:eastAsia="仿宋_GB2312"/>
          <w:bCs/>
          <w:color w:val="auto"/>
          <w:sz w:val="28"/>
          <w:szCs w:val="28"/>
        </w:rPr>
        <w:t>，最大存储量PB级别的性能要求。平台应提供北斗高精度位置定位位移计算和其他监测设备的数据分析能力。</w:t>
      </w:r>
    </w:p>
    <w:p>
      <w:pPr>
        <w:ind w:firstLine="560" w:firstLineChars="200"/>
        <w:rPr>
          <w:rStyle w:val="14"/>
          <w:rFonts w:ascii="仿宋_GB2312" w:hAnsi="宋体" w:eastAsia="仿宋_GB2312"/>
          <w:bCs/>
          <w:color w:val="auto"/>
          <w:sz w:val="28"/>
          <w:szCs w:val="28"/>
        </w:rPr>
      </w:pPr>
      <w:r>
        <w:rPr>
          <w:rStyle w:val="14"/>
          <w:rFonts w:hint="eastAsia" w:ascii="仿宋_GB2312" w:hAnsi="宋体" w:eastAsia="仿宋_GB2312"/>
          <w:bCs/>
          <w:color w:val="auto"/>
          <w:sz w:val="28"/>
          <w:szCs w:val="28"/>
        </w:rPr>
        <w:t>界碑监控系统的系统整体框架见</w:t>
      </w:r>
      <w:r>
        <w:rPr>
          <w:rStyle w:val="14"/>
          <w:rFonts w:hint="eastAsia" w:ascii="仿宋_GB2312" w:hAnsi="宋体" w:eastAsia="仿宋_GB2312"/>
          <w:bCs/>
          <w:color w:val="auto"/>
          <w:sz w:val="28"/>
          <w:szCs w:val="28"/>
          <w:lang w:val="en-US" w:eastAsia="zh-CN"/>
        </w:rPr>
        <w:t>下图</w:t>
      </w:r>
      <w:r>
        <w:rPr>
          <w:rStyle w:val="14"/>
          <w:rFonts w:hint="eastAsia" w:ascii="仿宋_GB2312" w:hAnsi="宋体" w:eastAsia="仿宋_GB2312"/>
          <w:bCs/>
          <w:color w:val="auto"/>
          <w:sz w:val="28"/>
          <w:szCs w:val="28"/>
        </w:rPr>
        <w:t>。</w:t>
      </w:r>
    </w:p>
    <w:p>
      <w:pPr>
        <w:ind w:firstLine="420" w:firstLineChars="200"/>
        <w:jc w:val="center"/>
        <w:rPr>
          <w:rStyle w:val="14"/>
          <w:rFonts w:ascii="仿宋_GB2312" w:hAnsi="宋体" w:eastAsia="仿宋_GB2312"/>
          <w:bCs/>
          <w:color w:val="auto"/>
          <w:sz w:val="28"/>
          <w:szCs w:val="28"/>
        </w:rPr>
      </w:pPr>
      <w:r>
        <w:rPr>
          <w:color w:val="auto"/>
        </w:rPr>
        <w:drawing>
          <wp:inline distT="0" distB="0" distL="114300" distR="114300">
            <wp:extent cx="5271770" cy="4322445"/>
            <wp:effectExtent l="0" t="0" r="11430" b="825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7"/>
                    <a:stretch>
                      <a:fillRect/>
                    </a:stretch>
                  </pic:blipFill>
                  <pic:spPr>
                    <a:xfrm>
                      <a:off x="0" y="0"/>
                      <a:ext cx="5271770" cy="4322445"/>
                    </a:xfrm>
                    <a:prstGeom prst="rect">
                      <a:avLst/>
                    </a:prstGeom>
                    <a:noFill/>
                    <a:ln>
                      <a:noFill/>
                    </a:ln>
                  </pic:spPr>
                </pic:pic>
              </a:graphicData>
            </a:graphic>
          </wp:inline>
        </w:drawing>
      </w:r>
    </w:p>
    <w:p>
      <w:pPr>
        <w:ind w:firstLine="480" w:firstLineChars="200"/>
        <w:jc w:val="center"/>
        <w:rPr>
          <w:rStyle w:val="14"/>
          <w:rFonts w:hint="eastAsia" w:ascii="仿宋_GB2312" w:hAnsi="宋体" w:eastAsia="仿宋_GB2312"/>
          <w:bCs/>
          <w:color w:val="auto"/>
          <w:sz w:val="24"/>
          <w:szCs w:val="24"/>
        </w:rPr>
      </w:pPr>
      <w:r>
        <w:rPr>
          <w:rStyle w:val="14"/>
          <w:rFonts w:ascii="仿宋_GB2312" w:hAnsi="宋体" w:eastAsia="仿宋_GB2312"/>
          <w:bCs/>
          <w:color w:val="auto"/>
          <w:sz w:val="24"/>
          <w:szCs w:val="24"/>
        </w:rPr>
        <w:t xml:space="preserve"> </w:t>
      </w:r>
      <w:r>
        <w:rPr>
          <w:rStyle w:val="14"/>
          <w:rFonts w:hint="eastAsia" w:ascii="仿宋_GB2312" w:hAnsi="宋体" w:eastAsia="仿宋_GB2312"/>
          <w:bCs/>
          <w:color w:val="auto"/>
          <w:sz w:val="24"/>
          <w:szCs w:val="24"/>
        </w:rPr>
        <w:t>自然保护地界碑监控系统架构</w:t>
      </w:r>
    </w:p>
    <w:p>
      <w:pPr>
        <w:ind w:firstLine="560" w:firstLineChars="200"/>
        <w:rPr>
          <w:rStyle w:val="14"/>
          <w:rFonts w:hint="eastAsia" w:ascii="仿宋_GB2312" w:hAnsi="宋体" w:eastAsia="仿宋_GB2312"/>
          <w:b w:val="0"/>
          <w:bCs/>
          <w:color w:val="FF0000"/>
          <w:sz w:val="28"/>
          <w:szCs w:val="28"/>
        </w:rPr>
      </w:pPr>
    </w:p>
    <w:p>
      <w:pPr>
        <w:ind w:firstLine="562" w:firstLineChars="200"/>
        <w:rPr>
          <w:rStyle w:val="14"/>
          <w:rFonts w:ascii="宋体" w:hAnsi="宋体"/>
          <w:b/>
          <w:sz w:val="28"/>
          <w:szCs w:val="28"/>
        </w:rPr>
      </w:pPr>
      <w:r>
        <w:rPr>
          <w:rStyle w:val="14"/>
          <w:rFonts w:ascii="宋体" w:hAnsi="宋体"/>
          <w:b/>
          <w:sz w:val="28"/>
          <w:szCs w:val="28"/>
        </w:rPr>
        <w:t>五、国内外现行相关法律、法规和标准情况</w:t>
      </w:r>
    </w:p>
    <w:p>
      <w:pPr>
        <w:pStyle w:val="13"/>
        <w:numPr>
          <w:ilvl w:val="0"/>
          <w:numId w:val="0"/>
        </w:numPr>
        <w:ind w:firstLine="560" w:firstLineChars="200"/>
        <w:rPr>
          <w:rStyle w:val="14"/>
          <w:rFonts w:eastAsia="仿宋_GB2312"/>
          <w:sz w:val="28"/>
          <w:szCs w:val="28"/>
        </w:rPr>
      </w:pPr>
      <w:r>
        <w:rPr>
          <w:rStyle w:val="14"/>
          <w:rFonts w:eastAsia="仿宋_GB2312"/>
          <w:sz w:val="28"/>
          <w:szCs w:val="28"/>
        </w:rPr>
        <w:t>本标准与现行法律、法规、政策及相关标准无冲突。</w:t>
      </w:r>
    </w:p>
    <w:p>
      <w:pPr>
        <w:ind w:firstLine="562" w:firstLineChars="200"/>
        <w:rPr>
          <w:rStyle w:val="14"/>
          <w:rFonts w:ascii="宋体" w:hAnsi="宋体"/>
          <w:b/>
          <w:sz w:val="28"/>
          <w:szCs w:val="28"/>
        </w:rPr>
      </w:pPr>
      <w:r>
        <w:rPr>
          <w:rStyle w:val="14"/>
          <w:rFonts w:ascii="宋体" w:hAnsi="宋体"/>
          <w:b/>
          <w:sz w:val="28"/>
          <w:szCs w:val="28"/>
        </w:rPr>
        <w:t>六、标准重大意见分歧及处理结果</w:t>
      </w:r>
    </w:p>
    <w:p>
      <w:pPr>
        <w:pStyle w:val="13"/>
        <w:numPr>
          <w:ilvl w:val="0"/>
          <w:numId w:val="0"/>
        </w:numPr>
        <w:ind w:firstLine="560" w:firstLineChars="200"/>
        <w:rPr>
          <w:rStyle w:val="14"/>
          <w:rFonts w:eastAsia="仿宋_GB2312"/>
          <w:sz w:val="28"/>
          <w:szCs w:val="28"/>
        </w:rPr>
      </w:pPr>
      <w:r>
        <w:rPr>
          <w:rStyle w:val="14"/>
          <w:rFonts w:eastAsia="仿宋_GB2312"/>
          <w:sz w:val="28"/>
          <w:szCs w:val="28"/>
        </w:rPr>
        <w:t>本标准在制定过程中未出现重大分歧意见。</w:t>
      </w:r>
    </w:p>
    <w:p>
      <w:pPr>
        <w:ind w:firstLine="562" w:firstLineChars="200"/>
        <w:rPr>
          <w:rStyle w:val="14"/>
          <w:rFonts w:ascii="宋体" w:hAnsi="宋体"/>
          <w:b/>
          <w:sz w:val="28"/>
          <w:szCs w:val="28"/>
        </w:rPr>
      </w:pPr>
      <w:r>
        <w:rPr>
          <w:rStyle w:val="14"/>
          <w:rFonts w:ascii="宋体" w:hAnsi="宋体"/>
          <w:b/>
          <w:sz w:val="28"/>
          <w:szCs w:val="28"/>
        </w:rPr>
        <w:t>七、实施地方标准要求和措施建议</w:t>
      </w:r>
    </w:p>
    <w:p>
      <w:pPr>
        <w:pStyle w:val="13"/>
        <w:numPr>
          <w:ilvl w:val="0"/>
          <w:numId w:val="0"/>
        </w:numPr>
        <w:ind w:firstLine="560" w:firstLineChars="200"/>
        <w:rPr>
          <w:rStyle w:val="14"/>
          <w:rFonts w:eastAsia="仿宋_GB2312"/>
          <w:sz w:val="28"/>
          <w:szCs w:val="28"/>
        </w:rPr>
      </w:pPr>
      <w:r>
        <w:rPr>
          <w:rStyle w:val="14"/>
          <w:rFonts w:eastAsia="仿宋_GB2312"/>
          <w:sz w:val="28"/>
          <w:szCs w:val="28"/>
        </w:rPr>
        <w:t xml:space="preserve">建议作为推荐性地方标准发布，建议发布之日三个月后正式实施。标准发布后，由标准主管部门及时组织宣贯，确保标准的顺利实施。 </w:t>
      </w:r>
    </w:p>
    <w:p>
      <w:pPr>
        <w:pStyle w:val="13"/>
        <w:numPr>
          <w:ilvl w:val="0"/>
          <w:numId w:val="0"/>
        </w:numPr>
        <w:ind w:firstLine="560" w:firstLineChars="200"/>
        <w:jc w:val="right"/>
        <w:rPr>
          <w:rStyle w:val="14"/>
          <w:rFonts w:eastAsia="仿宋_GB2312"/>
          <w:sz w:val="28"/>
          <w:szCs w:val="28"/>
        </w:rPr>
      </w:pPr>
      <w:r>
        <w:rPr>
          <w:rStyle w:val="14"/>
          <w:rFonts w:eastAsia="仿宋_GB2312"/>
          <w:sz w:val="28"/>
          <w:szCs w:val="28"/>
        </w:rPr>
        <w:t>标准编制工作小组</w:t>
      </w:r>
    </w:p>
    <w:p>
      <w:pPr>
        <w:pStyle w:val="13"/>
        <w:numPr>
          <w:ilvl w:val="0"/>
          <w:numId w:val="0"/>
        </w:numPr>
        <w:ind w:right="280" w:firstLine="560" w:firstLineChars="200"/>
        <w:jc w:val="right"/>
        <w:rPr>
          <w:rStyle w:val="14"/>
          <w:rFonts w:ascii="仿宋_GB2312" w:hAnsi="宋体" w:eastAsia="仿宋_GB2312"/>
          <w:sz w:val="28"/>
          <w:szCs w:val="28"/>
        </w:rPr>
      </w:pPr>
      <w:r>
        <w:rPr>
          <w:rStyle w:val="14"/>
          <w:rFonts w:eastAsia="仿宋_GB2312"/>
          <w:sz w:val="28"/>
          <w:szCs w:val="28"/>
        </w:rPr>
        <w:t>2022年7月</w:t>
      </w:r>
      <w:bookmarkStart w:id="0" w:name="_GoBack"/>
      <w:bookmarkEnd w:id="0"/>
    </w:p>
    <w:sectPr>
      <w:headerReference r:id="rId3" w:type="default"/>
      <w:footerReference r:id="rId4" w:type="default"/>
      <w:footerReference r:id="rId5" w:type="even"/>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margin" w:hAnchor="text" w:xAlign="right" w:y="1"/>
      <w:rPr>
        <w:rStyle w:val="23"/>
      </w:rPr>
    </w:pPr>
  </w:p>
  <w:p>
    <w:pPr>
      <w:pStyle w:val="4"/>
      <w:ind w:right="360"/>
      <w:rPr>
        <w:rStyle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margin" w:hAnchor="text" w:xAlign="right" w:y="1"/>
      <w:rPr>
        <w:rStyle w:val="23"/>
      </w:rPr>
    </w:pPr>
  </w:p>
  <w:p>
    <w:pPr>
      <w:pStyle w:val="4"/>
      <w:ind w:right="360"/>
      <w:rPr>
        <w:rStyle w:val="1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000000" w:sz="0" w:space="1"/>
        <w:right w:val="none" w:color="auto" w:sz="0" w:space="0"/>
        <w:between w:val="none" w:color="auto" w:sz="0" w:space="0"/>
      </w:pBdr>
      <w:jc w:val="left"/>
      <w:rPr>
        <w:rStyle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decimal"/>
      <w:pStyle w:val="27"/>
      <w:suff w:val="nothing"/>
      <w:lvlText w:val="%1"/>
      <w:lvlJc w:val="left"/>
      <w:pPr>
        <w:ind w:left="0" w:firstLine="0"/>
        <w:textAlignment w:val="baseline"/>
      </w:pPr>
      <w:rPr>
        <w:rFonts w:ascii="Times New Roman" w:hAnsi="Times New Roman"/>
        <w:b/>
        <w:i w:val="0"/>
        <w:sz w:val="21"/>
      </w:rPr>
    </w:lvl>
    <w:lvl w:ilvl="1" w:tentative="0">
      <w:start w:val="1"/>
      <w:numFmt w:val="decimal"/>
      <w:pStyle w:val="33"/>
      <w:suff w:val="nothing"/>
      <w:lvlText w:val="%1%2　"/>
      <w:lvlJc w:val="left"/>
      <w:pPr>
        <w:ind w:left="0" w:firstLine="0"/>
        <w:textAlignment w:val="baseline"/>
      </w:pPr>
      <w:rPr>
        <w:rFonts w:ascii="黑体" w:hAnsi="Times New Roman" w:eastAsia="黑体"/>
        <w:b w:val="0"/>
        <w:i w:val="0"/>
        <w:sz w:val="21"/>
      </w:rPr>
    </w:lvl>
    <w:lvl w:ilvl="2" w:tentative="0">
      <w:start w:val="1"/>
      <w:numFmt w:val="decimal"/>
      <w:pStyle w:val="32"/>
      <w:suff w:val="nothing"/>
      <w:lvlText w:val="%1%2.%3　"/>
      <w:lvlJc w:val="left"/>
      <w:pPr>
        <w:ind w:left="180" w:firstLine="0"/>
        <w:textAlignment w:val="baseline"/>
      </w:pPr>
      <w:rPr>
        <w:rFonts w:ascii="黑体" w:hAnsi="Times New Roman" w:eastAsia="黑体"/>
        <w:b w:val="0"/>
        <w:i w:val="0"/>
        <w:sz w:val="21"/>
      </w:rPr>
    </w:lvl>
    <w:lvl w:ilvl="3" w:tentative="0">
      <w:start w:val="1"/>
      <w:numFmt w:val="decimal"/>
      <w:pStyle w:val="31"/>
      <w:suff w:val="nothing"/>
      <w:lvlText w:val="%1%2.%3.%4　"/>
      <w:lvlJc w:val="left"/>
      <w:pPr>
        <w:ind w:left="0" w:firstLine="0"/>
        <w:textAlignment w:val="baseline"/>
      </w:pPr>
      <w:rPr>
        <w:rFonts w:ascii="黑体" w:hAnsi="Times New Roman" w:eastAsia="黑体"/>
        <w:b w:val="0"/>
        <w:i w:val="0"/>
        <w:sz w:val="21"/>
      </w:rPr>
    </w:lvl>
    <w:lvl w:ilvl="4" w:tentative="0">
      <w:start w:val="1"/>
      <w:numFmt w:val="decimal"/>
      <w:pStyle w:val="30"/>
      <w:suff w:val="nothing"/>
      <w:lvlText w:val="%1%2.%3.%4.%5　"/>
      <w:lvlJc w:val="left"/>
      <w:pPr>
        <w:ind w:left="0" w:firstLine="0"/>
        <w:textAlignment w:val="baseline"/>
      </w:pPr>
      <w:rPr>
        <w:rFonts w:ascii="黑体" w:hAnsi="Times New Roman" w:eastAsia="黑体"/>
        <w:b w:val="0"/>
        <w:i w:val="0"/>
        <w:sz w:val="21"/>
      </w:rPr>
    </w:lvl>
    <w:lvl w:ilvl="5" w:tentative="0">
      <w:start w:val="1"/>
      <w:numFmt w:val="decimal"/>
      <w:pStyle w:val="29"/>
      <w:suff w:val="nothing"/>
      <w:lvlText w:val="%1%2.%3.%4.%5.%6　"/>
      <w:lvlJc w:val="left"/>
      <w:pPr>
        <w:ind w:left="0" w:firstLine="0"/>
        <w:textAlignment w:val="baseline"/>
      </w:pPr>
      <w:rPr>
        <w:rFonts w:ascii="黑体" w:hAnsi="Times New Roman" w:eastAsia="黑体"/>
        <w:b w:val="0"/>
        <w:i w:val="0"/>
        <w:sz w:val="21"/>
      </w:rPr>
    </w:lvl>
    <w:lvl w:ilvl="6" w:tentative="0">
      <w:start w:val="1"/>
      <w:numFmt w:val="decimal"/>
      <w:pStyle w:val="28"/>
      <w:suff w:val="nothing"/>
      <w:lvlText w:val="%1%2.%3.%4.%5.%6.%7　"/>
      <w:lvlJc w:val="left"/>
      <w:pPr>
        <w:ind w:left="0" w:firstLine="0"/>
        <w:textAlignment w:val="baseline"/>
      </w:pPr>
      <w:rPr>
        <w:rFonts w:ascii="黑体" w:hAnsi="Times New Roman" w:eastAsia="黑体"/>
        <w:b w:val="0"/>
        <w:i w:val="0"/>
        <w:sz w:val="21"/>
      </w:rPr>
    </w:lvl>
    <w:lvl w:ilvl="7" w:tentative="0">
      <w:start w:val="1"/>
      <w:numFmt w:val="decimal"/>
      <w:lvlText w:val="%1.%2.%3.%4.%5.%6.%7.%8"/>
      <w:lvlJc w:val="left"/>
      <w:pPr>
        <w:tabs>
          <w:tab w:val="left" w:pos="4351"/>
        </w:tabs>
        <w:ind w:left="3969" w:hanging="1418"/>
        <w:textAlignment w:val="baseline"/>
      </w:pPr>
    </w:lvl>
    <w:lvl w:ilvl="8" w:tentative="0">
      <w:start w:val="1"/>
      <w:numFmt w:val="decimal"/>
      <w:lvlText w:val="%1.%2.%3.%4.%5.%6.%7.%8.%9"/>
      <w:lvlJc w:val="left"/>
      <w:pPr>
        <w:tabs>
          <w:tab w:val="left" w:pos="4777"/>
        </w:tabs>
        <w:ind w:left="4677" w:hanging="1700"/>
        <w:textAlignment w:val="baseline"/>
      </w:pPr>
    </w:lvl>
  </w:abstractNum>
  <w:abstractNum w:abstractNumId="1">
    <w:nsid w:val="78F82642"/>
    <w:multiLevelType w:val="singleLevel"/>
    <w:tmpl w:val="78F82642"/>
    <w:lvl w:ilvl="0" w:tentative="0">
      <w:start w:val="1"/>
      <w:numFmt w:val="decimal"/>
      <w:lvlText w:val="%1．"/>
      <w:lvlJc w:val="left"/>
      <w:pPr>
        <w:tabs>
          <w:tab w:val="left" w:pos="330"/>
        </w:tabs>
        <w:ind w:left="330" w:hanging="330"/>
        <w:textAlignment w:val="baseline"/>
      </w:pPr>
    </w:lvl>
  </w:abstractNum>
  <w:abstractNum w:abstractNumId="2">
    <w:nsid w:val="7DAC7943"/>
    <w:multiLevelType w:val="multilevel"/>
    <w:tmpl w:val="7DAC7943"/>
    <w:lvl w:ilvl="0" w:tentative="0">
      <w:start w:val="1"/>
      <w:numFmt w:val="decimal"/>
      <w:pStyle w:val="11"/>
      <w:lvlText w:val="%1"/>
      <w:lvlJc w:val="left"/>
      <w:pPr>
        <w:tabs>
          <w:tab w:val="left" w:pos="400"/>
        </w:tabs>
        <w:ind w:left="0" w:firstLine="0"/>
        <w:textAlignment w:val="baseline"/>
      </w:pPr>
    </w:lvl>
    <w:lvl w:ilvl="1" w:tentative="0">
      <w:start w:val="1"/>
      <w:numFmt w:val="decimal"/>
      <w:pStyle w:val="12"/>
      <w:lvlText w:val="%1.%2"/>
      <w:lvlJc w:val="left"/>
      <w:pPr>
        <w:tabs>
          <w:tab w:val="left" w:pos="600"/>
        </w:tabs>
        <w:ind w:left="0" w:firstLine="0"/>
        <w:textAlignment w:val="baseline"/>
      </w:pPr>
    </w:lvl>
    <w:lvl w:ilvl="2" w:tentative="0">
      <w:start w:val="1"/>
      <w:numFmt w:val="decimal"/>
      <w:pStyle w:val="13"/>
      <w:lvlText w:val="%1.%2.%3"/>
      <w:lvlJc w:val="left"/>
      <w:pPr>
        <w:tabs>
          <w:tab w:val="left" w:pos="800"/>
        </w:tabs>
        <w:ind w:left="0" w:firstLine="0"/>
        <w:textAlignment w:val="baseline"/>
      </w:pPr>
      <w:rPr>
        <w:rFonts w:ascii="宋体" w:hAnsi="宋体" w:eastAsia="宋体"/>
      </w:rPr>
    </w:lvl>
    <w:lvl w:ilvl="3" w:tentative="0">
      <w:start w:val="1"/>
      <w:numFmt w:val="decimal"/>
      <w:lvlText w:val="%1.%2.%3.%4"/>
      <w:lvlJc w:val="left"/>
      <w:pPr>
        <w:tabs>
          <w:tab w:val="left" w:pos="1000"/>
        </w:tabs>
        <w:ind w:left="0" w:firstLine="0"/>
        <w:textAlignment w:val="baseline"/>
      </w:pPr>
    </w:lvl>
    <w:lvl w:ilvl="4" w:tentative="0">
      <w:start w:val="1"/>
      <w:numFmt w:val="decimal"/>
      <w:lvlText w:val="%1.%2.%3.%4.%5"/>
      <w:lvlJc w:val="left"/>
      <w:pPr>
        <w:tabs>
          <w:tab w:val="left" w:pos="1200"/>
        </w:tabs>
        <w:ind w:left="0" w:firstLine="0"/>
        <w:textAlignment w:val="baseline"/>
      </w:pPr>
    </w:lvl>
    <w:lvl w:ilvl="5" w:tentative="0">
      <w:start w:val="1"/>
      <w:numFmt w:val="decimal"/>
      <w:lvlText w:val="%1.%2.%3.%4.%5.%6"/>
      <w:lvlJc w:val="left"/>
      <w:pPr>
        <w:tabs>
          <w:tab w:val="left" w:pos="0"/>
        </w:tabs>
        <w:ind w:left="0" w:firstLine="0"/>
        <w:textAlignment w:val="baseline"/>
      </w:pPr>
    </w:lvl>
    <w:lvl w:ilvl="6" w:tentative="0">
      <w:start w:val="1"/>
      <w:numFmt w:val="decimal"/>
      <w:lvlText w:val="%1.%2.%3.%4.%5.%6.%7"/>
      <w:lvlJc w:val="left"/>
      <w:pPr>
        <w:tabs>
          <w:tab w:val="left" w:pos="3991"/>
        </w:tabs>
        <w:ind w:left="3827" w:hanging="1276"/>
        <w:textAlignment w:val="baseline"/>
      </w:pPr>
    </w:lvl>
    <w:lvl w:ilvl="7" w:tentative="0">
      <w:start w:val="1"/>
      <w:numFmt w:val="decimal"/>
      <w:lvlText w:val="%1.%2.%3.%4.%5.%6.%7.%8"/>
      <w:lvlJc w:val="left"/>
      <w:pPr>
        <w:tabs>
          <w:tab w:val="left" w:pos="4776"/>
        </w:tabs>
        <w:ind w:left="4394" w:hanging="1418"/>
        <w:textAlignment w:val="baseline"/>
      </w:pPr>
    </w:lvl>
    <w:lvl w:ilvl="8" w:tentative="0">
      <w:start w:val="1"/>
      <w:numFmt w:val="decimal"/>
      <w:lvlText w:val="%1.%2.%3.%4.%5.%6.%7.%8.%9"/>
      <w:lvlJc w:val="left"/>
      <w:pPr>
        <w:tabs>
          <w:tab w:val="left" w:pos="5562"/>
        </w:tabs>
        <w:ind w:left="5102" w:hanging="1700"/>
        <w:textAlignment w:val="baseline"/>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oNotUseMarginsForDrawingGridOrigin w:val="1"/>
  <w:drawingGridHorizontalOrigin w:val="1800"/>
  <w:drawingGridVerticalOrigin w:val="1440"/>
  <w:characterSpacingControl w:val="doNotCompress"/>
  <w:compat>
    <w:balanceSingleByteDoubleByteWidth/>
    <w:doNotLeaveBackslashAlon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docVars>
    <w:docVar w:name="commondata" w:val="eyJoZGlkIjoiNjEwNTBjYmQ5ZGMzYmQ5MDUzYTFjYjExOGU1MDVjOTUifQ=="/>
  </w:docVars>
  <w:rsids>
    <w:rsidRoot w:val="00453A2F"/>
    <w:rsid w:val="00054B9E"/>
    <w:rsid w:val="000E3D05"/>
    <w:rsid w:val="00117A8B"/>
    <w:rsid w:val="00123FAA"/>
    <w:rsid w:val="0013418F"/>
    <w:rsid w:val="00141128"/>
    <w:rsid w:val="00147FA7"/>
    <w:rsid w:val="001876A9"/>
    <w:rsid w:val="001A727B"/>
    <w:rsid w:val="001C1D7D"/>
    <w:rsid w:val="001D28B9"/>
    <w:rsid w:val="002120D6"/>
    <w:rsid w:val="0021491E"/>
    <w:rsid w:val="002215AA"/>
    <w:rsid w:val="002E38DE"/>
    <w:rsid w:val="002E42CC"/>
    <w:rsid w:val="00302483"/>
    <w:rsid w:val="00320C8B"/>
    <w:rsid w:val="00353342"/>
    <w:rsid w:val="00391606"/>
    <w:rsid w:val="003A0E88"/>
    <w:rsid w:val="003A7D88"/>
    <w:rsid w:val="003B4F78"/>
    <w:rsid w:val="003B7DE3"/>
    <w:rsid w:val="00453A2F"/>
    <w:rsid w:val="004542A1"/>
    <w:rsid w:val="00491CEA"/>
    <w:rsid w:val="00497A29"/>
    <w:rsid w:val="004A0D75"/>
    <w:rsid w:val="00507434"/>
    <w:rsid w:val="0051321A"/>
    <w:rsid w:val="00513974"/>
    <w:rsid w:val="005337A3"/>
    <w:rsid w:val="00555B9F"/>
    <w:rsid w:val="005B74AE"/>
    <w:rsid w:val="005C7C0E"/>
    <w:rsid w:val="005D47A2"/>
    <w:rsid w:val="005D7B5E"/>
    <w:rsid w:val="005F0B32"/>
    <w:rsid w:val="00622631"/>
    <w:rsid w:val="00643992"/>
    <w:rsid w:val="006664C3"/>
    <w:rsid w:val="006A6712"/>
    <w:rsid w:val="006D29FA"/>
    <w:rsid w:val="006F0645"/>
    <w:rsid w:val="00713C86"/>
    <w:rsid w:val="00735828"/>
    <w:rsid w:val="00757540"/>
    <w:rsid w:val="00792016"/>
    <w:rsid w:val="007C6AE6"/>
    <w:rsid w:val="007D667A"/>
    <w:rsid w:val="007E3659"/>
    <w:rsid w:val="008737C7"/>
    <w:rsid w:val="008A28EC"/>
    <w:rsid w:val="008C35D8"/>
    <w:rsid w:val="008F1073"/>
    <w:rsid w:val="00922C35"/>
    <w:rsid w:val="00983047"/>
    <w:rsid w:val="00990D33"/>
    <w:rsid w:val="00993DA1"/>
    <w:rsid w:val="009F4FB4"/>
    <w:rsid w:val="00A007E9"/>
    <w:rsid w:val="00A16250"/>
    <w:rsid w:val="00A165F9"/>
    <w:rsid w:val="00AB7572"/>
    <w:rsid w:val="00AC6B35"/>
    <w:rsid w:val="00AD7FBA"/>
    <w:rsid w:val="00B06CAA"/>
    <w:rsid w:val="00B314A8"/>
    <w:rsid w:val="00B434D6"/>
    <w:rsid w:val="00B47E9D"/>
    <w:rsid w:val="00B54B2F"/>
    <w:rsid w:val="00B72E1B"/>
    <w:rsid w:val="00B91515"/>
    <w:rsid w:val="00BD0157"/>
    <w:rsid w:val="00C05F16"/>
    <w:rsid w:val="00C7335C"/>
    <w:rsid w:val="00D17F95"/>
    <w:rsid w:val="00D36491"/>
    <w:rsid w:val="00D47FF6"/>
    <w:rsid w:val="00D6394C"/>
    <w:rsid w:val="00DC2402"/>
    <w:rsid w:val="00E014CC"/>
    <w:rsid w:val="00E47292"/>
    <w:rsid w:val="00E70892"/>
    <w:rsid w:val="00E838D6"/>
    <w:rsid w:val="00EB7EF7"/>
    <w:rsid w:val="00EF400C"/>
    <w:rsid w:val="00F46438"/>
    <w:rsid w:val="00F50612"/>
    <w:rsid w:val="00F521DC"/>
    <w:rsid w:val="00F72F67"/>
    <w:rsid w:val="00FD1F9C"/>
    <w:rsid w:val="00FF7D27"/>
    <w:rsid w:val="34F21232"/>
    <w:rsid w:val="352363B6"/>
    <w:rsid w:val="4E5842E4"/>
    <w:rsid w:val="76A328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9"/>
    <w:qFormat/>
    <w:uiPriority w:val="0"/>
    <w:pPr>
      <w:ind w:left="100" w:leftChars="2500"/>
    </w:pPr>
  </w:style>
  <w:style w:type="paragraph" w:styleId="3">
    <w:name w:val="Balloon Text"/>
    <w:basedOn w:val="1"/>
    <w:link w:val="38"/>
    <w:semiHidden/>
    <w:unhideWhenUsed/>
    <w:uiPriority w:val="99"/>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link w:val="20"/>
    <w:qFormat/>
    <w:uiPriority w:val="0"/>
    <w:pPr>
      <w:pBdr>
        <w:bottom w:val="single" w:color="000000" w:sz="6" w:space="1"/>
      </w:pBdr>
      <w:tabs>
        <w:tab w:val="center" w:pos="4153"/>
        <w:tab w:val="right" w:pos="8306"/>
      </w:tabs>
      <w:snapToGrid w:val="0"/>
      <w:jc w:val="center"/>
    </w:pPr>
    <w:rPr>
      <w:sz w:val="18"/>
      <w:szCs w:val="18"/>
    </w:rPr>
  </w:style>
  <w:style w:type="paragraph" w:styleId="6">
    <w:name w:val="Title"/>
    <w:basedOn w:val="1"/>
    <w:next w:val="1"/>
    <w:link w:val="21"/>
    <w:qFormat/>
    <w:uiPriority w:val="10"/>
    <w:pPr>
      <w:spacing w:before="240" w:after="60"/>
      <w:jc w:val="center"/>
    </w:pPr>
    <w:rPr>
      <w:rFonts w:ascii="Cambria" w:hAnsi="Cambria"/>
      <w:sz w:val="32"/>
      <w:szCs w:val="32"/>
    </w:rPr>
  </w:style>
  <w:style w:type="character" w:styleId="9">
    <w:name w:val="Emphasis"/>
    <w:uiPriority w:val="0"/>
    <w:rPr>
      <w:i/>
      <w:iCs/>
    </w:rPr>
  </w:style>
  <w:style w:type="character" w:styleId="10">
    <w:name w:val="Hyperlink"/>
    <w:qFormat/>
    <w:uiPriority w:val="0"/>
    <w:rPr>
      <w:color w:val="0000FF"/>
      <w:u w:val="single"/>
    </w:rPr>
  </w:style>
  <w:style w:type="paragraph" w:customStyle="1" w:styleId="11">
    <w:name w:val="Heading1"/>
    <w:basedOn w:val="1"/>
    <w:next w:val="1"/>
    <w:uiPriority w:val="0"/>
    <w:pPr>
      <w:numPr>
        <w:ilvl w:val="0"/>
        <w:numId w:val="1"/>
      </w:numPr>
      <w:spacing w:line="360" w:lineRule="auto"/>
    </w:pPr>
    <w:rPr>
      <w:rFonts w:eastAsia="黑体"/>
      <w:kern w:val="44"/>
      <w:sz w:val="24"/>
      <w:szCs w:val="44"/>
    </w:rPr>
  </w:style>
  <w:style w:type="paragraph" w:customStyle="1" w:styleId="12">
    <w:name w:val="Heading2"/>
    <w:basedOn w:val="1"/>
    <w:next w:val="1"/>
    <w:uiPriority w:val="0"/>
    <w:pPr>
      <w:numPr>
        <w:ilvl w:val="1"/>
        <w:numId w:val="1"/>
      </w:numPr>
      <w:spacing w:line="360" w:lineRule="auto"/>
    </w:pPr>
    <w:rPr>
      <w:rFonts w:ascii="宋体" w:hAnsi="宋体"/>
      <w:sz w:val="24"/>
      <w:szCs w:val="32"/>
    </w:rPr>
  </w:style>
  <w:style w:type="paragraph" w:customStyle="1" w:styleId="13">
    <w:name w:val="Heading3"/>
    <w:basedOn w:val="1"/>
    <w:next w:val="1"/>
    <w:link w:val="16"/>
    <w:uiPriority w:val="0"/>
    <w:pPr>
      <w:numPr>
        <w:ilvl w:val="2"/>
        <w:numId w:val="1"/>
      </w:numPr>
      <w:spacing w:line="360" w:lineRule="auto"/>
      <w:jc w:val="left"/>
    </w:pPr>
    <w:rPr>
      <w:sz w:val="24"/>
      <w:szCs w:val="32"/>
    </w:rPr>
  </w:style>
  <w:style w:type="character" w:customStyle="1" w:styleId="14">
    <w:name w:val="NormalCharacter"/>
    <w:semiHidden/>
    <w:qFormat/>
    <w:uiPriority w:val="0"/>
  </w:style>
  <w:style w:type="table" w:customStyle="1" w:styleId="15">
    <w:name w:val="TableNormal"/>
    <w:semiHidden/>
    <w:qFormat/>
    <w:uiPriority w:val="0"/>
    <w:tblPr>
      <w:tblCellMar>
        <w:top w:w="0" w:type="dxa"/>
        <w:left w:w="0" w:type="dxa"/>
        <w:bottom w:w="0" w:type="dxa"/>
        <w:right w:w="0" w:type="dxa"/>
      </w:tblCellMar>
    </w:tblPr>
  </w:style>
  <w:style w:type="character" w:customStyle="1" w:styleId="16">
    <w:name w:val="UserStyle_0"/>
    <w:basedOn w:val="14"/>
    <w:link w:val="13"/>
    <w:qFormat/>
    <w:uiPriority w:val="0"/>
    <w:rPr>
      <w:rFonts w:eastAsia="黑体" w:cs="Times New Roman"/>
      <w:bCs/>
      <w:kern w:val="44"/>
      <w:sz w:val="24"/>
      <w:szCs w:val="44"/>
    </w:rPr>
  </w:style>
  <w:style w:type="character" w:customStyle="1" w:styleId="17">
    <w:name w:val="UserStyle_1"/>
    <w:basedOn w:val="14"/>
    <w:uiPriority w:val="0"/>
    <w:rPr>
      <w:rFonts w:ascii="宋体" w:hAnsi="宋体" w:cs="Times New Roman"/>
      <w:bCs/>
      <w:kern w:val="2"/>
      <w:sz w:val="24"/>
      <w:szCs w:val="32"/>
    </w:rPr>
  </w:style>
  <w:style w:type="character" w:customStyle="1" w:styleId="18">
    <w:name w:val="UserStyle_2"/>
    <w:basedOn w:val="14"/>
    <w:qFormat/>
    <w:uiPriority w:val="0"/>
    <w:rPr>
      <w:rFonts w:cs="Times New Roman"/>
      <w:bCs/>
      <w:kern w:val="2"/>
      <w:sz w:val="24"/>
      <w:szCs w:val="32"/>
    </w:rPr>
  </w:style>
  <w:style w:type="character" w:customStyle="1" w:styleId="19">
    <w:name w:val="日期 字符"/>
    <w:link w:val="2"/>
    <w:qFormat/>
    <w:uiPriority w:val="0"/>
    <w:rPr>
      <w:kern w:val="2"/>
      <w:sz w:val="21"/>
      <w:szCs w:val="24"/>
    </w:rPr>
  </w:style>
  <w:style w:type="character" w:customStyle="1" w:styleId="20">
    <w:name w:val="页眉 字符"/>
    <w:link w:val="5"/>
    <w:qFormat/>
    <w:uiPriority w:val="0"/>
    <w:rPr>
      <w:kern w:val="2"/>
      <w:sz w:val="18"/>
      <w:szCs w:val="18"/>
    </w:rPr>
  </w:style>
  <w:style w:type="character" w:customStyle="1" w:styleId="21">
    <w:name w:val="标题 字符"/>
    <w:basedOn w:val="14"/>
    <w:link w:val="6"/>
    <w:qFormat/>
    <w:uiPriority w:val="0"/>
    <w:rPr>
      <w:rFonts w:ascii="Cambria" w:hAnsi="Cambria" w:cs="Times New Roman"/>
      <w:b/>
      <w:bCs/>
      <w:kern w:val="2"/>
      <w:sz w:val="32"/>
      <w:szCs w:val="32"/>
    </w:rPr>
  </w:style>
  <w:style w:type="table" w:customStyle="1" w:styleId="22">
    <w:name w:val="TableGrid"/>
    <w:basedOn w:val="15"/>
    <w:qFormat/>
    <w:uiPriority w:val="0"/>
  </w:style>
  <w:style w:type="character" w:customStyle="1" w:styleId="23">
    <w:name w:val="PageNumber"/>
    <w:basedOn w:val="14"/>
    <w:uiPriority w:val="0"/>
  </w:style>
  <w:style w:type="character" w:customStyle="1" w:styleId="24">
    <w:name w:val="UserStyle_6"/>
    <w:link w:val="25"/>
    <w:qFormat/>
    <w:uiPriority w:val="0"/>
    <w:rPr>
      <w:rFonts w:ascii="宋体"/>
      <w:sz w:val="21"/>
      <w:lang w:val="en-US" w:eastAsia="zh-CN" w:bidi="ar-SA"/>
    </w:rPr>
  </w:style>
  <w:style w:type="paragraph" w:customStyle="1" w:styleId="25">
    <w:name w:val="UserStyle_7"/>
    <w:link w:val="24"/>
    <w:qFormat/>
    <w:uiPriority w:val="0"/>
    <w:pPr>
      <w:ind w:firstLine="200" w:firstLineChars="200"/>
      <w:jc w:val="both"/>
      <w:textAlignment w:val="baseline"/>
    </w:pPr>
    <w:rPr>
      <w:rFonts w:ascii="宋体" w:hAnsi="Times New Roman" w:eastAsia="宋体" w:cs="Times New Roman"/>
      <w:sz w:val="21"/>
      <w:lang w:val="en-US" w:eastAsia="zh-CN" w:bidi="ar-SA"/>
    </w:rPr>
  </w:style>
  <w:style w:type="character" w:customStyle="1" w:styleId="26">
    <w:name w:val="UserStyle_8"/>
    <w:qFormat/>
    <w:uiPriority w:val="0"/>
    <w:rPr>
      <w:kern w:val="2"/>
      <w:sz w:val="18"/>
      <w:szCs w:val="18"/>
    </w:rPr>
  </w:style>
  <w:style w:type="paragraph" w:customStyle="1" w:styleId="27">
    <w:name w:val="UserStyle_9"/>
    <w:next w:val="1"/>
    <w:qFormat/>
    <w:uiPriority w:val="0"/>
    <w:pPr>
      <w:numPr>
        <w:ilvl w:val="0"/>
        <w:numId w:val="2"/>
      </w:numPr>
      <w:shd w:val="clear" w:color="auto" w:fill="FFFFFF"/>
      <w:spacing w:before="640" w:after="560"/>
      <w:jc w:val="center"/>
    </w:pPr>
    <w:rPr>
      <w:rFonts w:ascii="黑体" w:hAnsi="Times New Roman" w:eastAsia="黑体" w:cs="Times New Roman"/>
      <w:sz w:val="32"/>
      <w:lang w:val="en-US" w:eastAsia="zh-CN" w:bidi="ar-SA"/>
    </w:rPr>
  </w:style>
  <w:style w:type="paragraph" w:customStyle="1" w:styleId="28">
    <w:name w:val="UserStyle_10"/>
    <w:basedOn w:val="29"/>
    <w:next w:val="25"/>
    <w:qFormat/>
    <w:uiPriority w:val="0"/>
    <w:pPr>
      <w:numPr>
        <w:ilvl w:val="6"/>
      </w:numPr>
    </w:pPr>
  </w:style>
  <w:style w:type="paragraph" w:customStyle="1" w:styleId="29">
    <w:name w:val="UserStyle_11"/>
    <w:basedOn w:val="30"/>
    <w:next w:val="25"/>
    <w:qFormat/>
    <w:uiPriority w:val="0"/>
    <w:pPr>
      <w:numPr>
        <w:ilvl w:val="5"/>
      </w:numPr>
    </w:pPr>
  </w:style>
  <w:style w:type="paragraph" w:customStyle="1" w:styleId="30">
    <w:name w:val="UserStyle_12"/>
    <w:basedOn w:val="31"/>
    <w:next w:val="25"/>
    <w:qFormat/>
    <w:uiPriority w:val="0"/>
    <w:pPr>
      <w:numPr>
        <w:ilvl w:val="4"/>
      </w:numPr>
    </w:pPr>
  </w:style>
  <w:style w:type="paragraph" w:customStyle="1" w:styleId="31">
    <w:name w:val="UserStyle_13"/>
    <w:basedOn w:val="32"/>
    <w:next w:val="25"/>
    <w:qFormat/>
    <w:uiPriority w:val="0"/>
    <w:pPr>
      <w:numPr>
        <w:ilvl w:val="3"/>
      </w:numPr>
    </w:pPr>
  </w:style>
  <w:style w:type="paragraph" w:customStyle="1" w:styleId="32">
    <w:name w:val="UserStyle_14"/>
    <w:basedOn w:val="33"/>
    <w:next w:val="25"/>
    <w:qFormat/>
    <w:uiPriority w:val="0"/>
    <w:pPr>
      <w:numPr>
        <w:ilvl w:val="2"/>
      </w:numPr>
    </w:pPr>
  </w:style>
  <w:style w:type="paragraph" w:customStyle="1" w:styleId="33">
    <w:name w:val="UserStyle_15"/>
    <w:next w:val="25"/>
    <w:qFormat/>
    <w:uiPriority w:val="0"/>
    <w:pPr>
      <w:numPr>
        <w:ilvl w:val="1"/>
        <w:numId w:val="2"/>
      </w:numPr>
      <w:jc w:val="both"/>
    </w:pPr>
    <w:rPr>
      <w:rFonts w:ascii="黑体" w:hAnsi="Times New Roman" w:eastAsia="黑体" w:cs="Times New Roman"/>
      <w:sz w:val="21"/>
      <w:lang w:val="en-US" w:eastAsia="zh-CN" w:bidi="ar-SA"/>
    </w:rPr>
  </w:style>
  <w:style w:type="paragraph" w:customStyle="1" w:styleId="34">
    <w:name w:val="UserStyle_16"/>
    <w:qFormat/>
    <w:uiPriority w:val="0"/>
    <w:pPr>
      <w:framePr w:w="9638" w:h="6917" w:wrap="around" w:vAnchor="margin" w:hAnchor="text" w:xAlign="center" w:y="1"/>
      <w:spacing w:line="680" w:lineRule="exact"/>
      <w:jc w:val="center"/>
      <w:textAlignment w:val="center"/>
    </w:pPr>
    <w:rPr>
      <w:rFonts w:ascii="黑体" w:hAnsi="Times New Roman" w:eastAsia="黑体" w:cs="Times New Roman"/>
      <w:sz w:val="52"/>
      <w:lang w:val="en-US" w:eastAsia="zh-CN" w:bidi="ar-SA"/>
    </w:rPr>
  </w:style>
  <w:style w:type="paragraph" w:customStyle="1" w:styleId="35">
    <w:name w:val="UserStyle_17"/>
    <w:basedOn w:val="1"/>
    <w:qFormat/>
    <w:uiPriority w:val="0"/>
    <w:rPr>
      <w:kern w:val="0"/>
      <w:szCs w:val="21"/>
    </w:rPr>
  </w:style>
  <w:style w:type="paragraph" w:customStyle="1" w:styleId="36">
    <w:name w:val="UserStyle_18"/>
    <w:qFormat/>
    <w:uiPriority w:val="0"/>
    <w:pPr>
      <w:spacing w:before="180" w:line="180" w:lineRule="exact"/>
      <w:jc w:val="center"/>
      <w:textAlignment w:val="baseline"/>
    </w:pPr>
    <w:rPr>
      <w:rFonts w:ascii="宋体" w:hAnsi="Times New Roman" w:eastAsia="宋体" w:cs="Times New Roman"/>
      <w:sz w:val="21"/>
      <w:lang w:val="en-US" w:eastAsia="zh-CN" w:bidi="ar-SA"/>
    </w:rPr>
  </w:style>
  <w:style w:type="paragraph" w:customStyle="1" w:styleId="37">
    <w:name w:val="UserStyle_19"/>
    <w:qFormat/>
    <w:uiPriority w:val="0"/>
    <w:pPr>
      <w:spacing w:before="370" w:line="400" w:lineRule="exact"/>
      <w:jc w:val="center"/>
      <w:textAlignment w:val="baseline"/>
    </w:pPr>
    <w:rPr>
      <w:rFonts w:ascii="Times New Roman" w:hAnsi="Times New Roman" w:eastAsia="宋体" w:cs="Times New Roman"/>
      <w:sz w:val="28"/>
      <w:lang w:val="en-US" w:eastAsia="zh-CN" w:bidi="ar-SA"/>
    </w:rPr>
  </w:style>
  <w:style w:type="character" w:customStyle="1" w:styleId="38">
    <w:name w:val="批注框文本 字符"/>
    <w:basedOn w:val="8"/>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2"/>
    <customShpInfo spid="_x0000_s1028"/>
    <customShpInfo spid="_x0000_s1046"/>
    <customShpInfo spid="_x0000_s1036"/>
    <customShpInfo spid="_x0000_s1035"/>
    <customShpInfo spid="_x0000_s1029"/>
    <customShpInfo spid="_x0000_s1034"/>
    <customShpInfo spid="_x0000_s1030"/>
    <customShpInfo spid="_x0000_s1033"/>
    <customShpInfo spid="_x0000_s1039"/>
    <customShpInfo spid="_x0000_s1037"/>
    <customShpInfo spid="_x0000_s1042"/>
    <customShpInfo spid="_x0000_s1041"/>
    <customShpInfo spid="_x0000_s1040"/>
    <customShpInfo spid="_x0000_s1045"/>
    <customShpInfo spid="_x0000_s1038"/>
    <customShpInfo spid="_x0000_s1043"/>
    <customShpInfo spid="_x0000_s1027"/>
    <customShpInfo spid="_x0000_s1044"/>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2734</Words>
  <Characters>3070</Characters>
  <Lines>44</Lines>
  <Paragraphs>12</Paragraphs>
  <TotalTime>0</TotalTime>
  <ScaleCrop>false</ScaleCrop>
  <LinksUpToDate>false</LinksUpToDate>
  <CharactersWithSpaces>3122</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2022-07-22T02:45:00Z</dcterms:created>
  <dc:creator>LX</dc:creator>
  <cp:lastModifiedBy>Summer1426248560</cp:lastModifiedBy>
  <dcterms:modified xsi:type="dcterms:W3CDTF">2022-07-28T07:32:37Z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F5BC99AD38FE4C0E8B16E3CD9E6F7935</vt:lpwstr>
  </property>
</Properties>
</file>