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6" w:lineRule="auto"/>
        <w:rPr>
          <w:rFonts w:ascii="Times New Roman" w:hAnsi="Times New Roman" w:eastAsia="宋体" w:cs="Times New Roman"/>
          <w:szCs w:val="24"/>
        </w:rPr>
      </w:pPr>
      <w:bookmarkStart w:id="0" w:name="_Hlk101943643"/>
      <w:r>
        <w:rPr>
          <w:rFonts w:hint="eastAsia" w:ascii="Times New Roman" w:hAnsi="Times New Roman" w:eastAsia="宋体" w:cs="Times New Roman"/>
          <w:szCs w:val="24"/>
        </w:rPr>
        <w:t>I</w:t>
      </w:r>
      <w:r>
        <w:rPr>
          <w:rFonts w:ascii="Times New Roman" w:hAnsi="Times New Roman" w:eastAsia="宋体" w:cs="Times New Roman"/>
          <w:szCs w:val="24"/>
        </w:rPr>
        <w:t>CS</w:t>
      </w:r>
    </w:p>
    <w:p>
      <w:pPr>
        <w:spacing w:line="266" w:lineRule="auto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C</w:t>
      </w:r>
      <w:r>
        <w:rPr>
          <w:rFonts w:ascii="Times New Roman" w:hAnsi="Times New Roman" w:eastAsia="宋体" w:cs="Times New Roman"/>
          <w:szCs w:val="24"/>
        </w:rPr>
        <w:t>CS</w:t>
      </w:r>
    </w:p>
    <w:p>
      <w:pPr>
        <w:spacing w:line="267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67" w:lineRule="auto"/>
        <w:rPr>
          <w:rFonts w:ascii="Times New Roman" w:hAnsi="Times New Roman" w:eastAsia="宋体" w:cs="Times New Roman"/>
          <w:szCs w:val="24"/>
        </w:rPr>
      </w:pPr>
    </w:p>
    <w:p>
      <w:pPr>
        <w:spacing w:before="183" w:line="180" w:lineRule="auto"/>
        <w:ind w:firstLine="46"/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spacing w:line="50" w:lineRule="exact"/>
        <w:rPr>
          <w:rFonts w:ascii="Times New Roman" w:hAnsi="Times New Roman" w:eastAsia="宋体" w:cs="Times New Roman"/>
          <w:szCs w:val="24"/>
        </w:rPr>
      </w:pPr>
    </w:p>
    <w:p>
      <w:pPr>
        <w:spacing w:line="14" w:lineRule="auto"/>
        <w:rPr>
          <w:rFonts w:ascii="Times New Roman" w:hAnsi="Times New Roman" w:eastAsia="宋体" w:cs="Times New Roman"/>
          <w:sz w:val="2"/>
          <w:szCs w:val="24"/>
        </w:rPr>
      </w:pPr>
      <w:r>
        <w:rPr>
          <w:rFonts w:ascii="Times New Roman" w:hAnsi="Times New Roman" w:eastAsia="Arial" w:cs="Times New Roman"/>
          <w:sz w:val="2"/>
          <w:szCs w:val="2"/>
        </w:rPr>
        <w:br w:type="column"/>
      </w:r>
    </w:p>
    <w:p>
      <w:pPr>
        <w:spacing w:line="266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67" w:lineRule="auto"/>
        <w:rPr>
          <w:rFonts w:ascii="Times New Roman" w:hAnsi="Times New Roman" w:eastAsia="宋体" w:cs="Times New Roman"/>
          <w:szCs w:val="24"/>
        </w:rPr>
      </w:pPr>
    </w:p>
    <w:p>
      <w:pPr>
        <w:spacing w:before="276"/>
        <w:ind w:firstLine="4847"/>
        <w:jc w:val="left"/>
        <w:rPr>
          <w:rFonts w:ascii="Times New Roman" w:hAnsi="Times New Roman" w:eastAsia="Arial" w:cs="Times New Roman"/>
          <w:b/>
          <w:bCs/>
          <w:spacing w:val="53"/>
          <w:w w:val="113"/>
          <w:sz w:val="96"/>
          <w:szCs w:val="96"/>
        </w:rPr>
      </w:pPr>
      <w:r>
        <w:drawing>
          <wp:inline distT="0" distB="0" distL="114300" distR="114300">
            <wp:extent cx="801370" cy="397510"/>
            <wp:effectExtent l="0" t="0" r="17780" b="254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137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rPr>
          <w:rFonts w:ascii="Times New Roman" w:hAnsi="Times New Roman" w:eastAsia="Arial" w:cs="Times New Roman"/>
          <w:b/>
          <w:bCs/>
          <w:spacing w:val="53"/>
          <w:w w:val="113"/>
          <w:sz w:val="96"/>
          <w:szCs w:val="96"/>
        </w:rPr>
        <w:t>43</w:t>
      </w:r>
    </w:p>
    <w:p>
      <w:pPr>
        <w:spacing w:before="276"/>
        <w:jc w:val="left"/>
        <w:rPr>
          <w:rFonts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napToGrid w:val="0"/>
          <w:color w:val="000000"/>
          <w:spacing w:val="-20"/>
          <w:kern w:val="0"/>
          <w:sz w:val="52"/>
          <w:szCs w:val="52"/>
        </w:rPr>
        <w:t xml:space="preserve">        </w:t>
      </w:r>
      <w:r>
        <w:rPr>
          <w:rFonts w:ascii="黑体" w:hAnsi="黑体" w:eastAsia="黑体" w:cs="黑体"/>
          <w:snapToGrid w:val="0"/>
          <w:color w:val="000000"/>
          <w:spacing w:val="-20"/>
          <w:kern w:val="0"/>
          <w:sz w:val="52"/>
          <w:szCs w:val="52"/>
        </w:rPr>
        <w:t xml:space="preserve"> </w:t>
      </w:r>
      <w:r>
        <w:rPr>
          <w:rFonts w:hint="eastAsia" w:ascii="黑体" w:hAnsi="黑体" w:eastAsia="黑体" w:cs="黑体"/>
          <w:snapToGrid w:val="0"/>
          <w:color w:val="000000"/>
          <w:spacing w:val="-20"/>
          <w:kern w:val="0"/>
          <w:sz w:val="52"/>
          <w:szCs w:val="52"/>
        </w:rPr>
        <w:t xml:space="preserve"> </w:t>
      </w:r>
      <w:r>
        <w:rPr>
          <w:rFonts w:hint="eastAsia" w:ascii="黑体" w:hAnsi="黑体" w:eastAsia="黑体" w:cs="黑体"/>
          <w:snapToGrid w:val="0"/>
          <w:color w:val="000000"/>
          <w:spacing w:val="-20"/>
          <w:kern w:val="0"/>
          <w:sz w:val="52"/>
          <w:szCs w:val="5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napToGrid w:val="0"/>
          <w:color w:val="000000"/>
          <w:spacing w:val="-20"/>
          <w:kern w:val="0"/>
          <w:sz w:val="52"/>
          <w:szCs w:val="52"/>
        </w:rPr>
        <w:t xml:space="preserve">  </w:t>
      </w:r>
      <w:r>
        <w:rPr>
          <w:rFonts w:ascii="黑体" w:hAnsi="黑体" w:eastAsia="黑体" w:cs="黑体"/>
          <w:snapToGrid w:val="0"/>
          <w:color w:val="000000"/>
          <w:spacing w:val="-20"/>
          <w:kern w:val="0"/>
          <w:sz w:val="52"/>
          <w:szCs w:val="52"/>
        </w:rPr>
        <w:t xml:space="preserve">  </w:t>
      </w:r>
      <w:r>
        <w:rPr>
          <w:rFonts w:hint="eastAsia" w:ascii="黑体" w:hAnsi="黑体" w:eastAsia="黑体" w:cs="黑体"/>
          <w:snapToGrid w:val="0"/>
          <w:color w:val="000000"/>
          <w:spacing w:val="-20"/>
          <w:kern w:val="0"/>
          <w:sz w:val="52"/>
          <w:szCs w:val="52"/>
        </w:rPr>
        <w:t>地   方   标   准</w:t>
      </w:r>
    </w:p>
    <w:p>
      <w:pPr>
        <w:spacing w:before="103" w:line="193" w:lineRule="auto"/>
        <w:ind w:firstLine="5031"/>
        <w:rPr>
          <w:rFonts w:ascii="FZHei-B01" w:hAnsi="FZHei-B01" w:eastAsia="FZHei-B01" w:cs="FZHei-B01"/>
          <w:spacing w:val="8"/>
          <w:sz w:val="28"/>
          <w:szCs w:val="28"/>
        </w:rPr>
      </w:pPr>
    </w:p>
    <w:p>
      <w:pPr>
        <w:spacing w:before="103" w:line="193" w:lineRule="auto"/>
        <w:ind w:firstLine="5031"/>
        <w:rPr>
          <w:rFonts w:ascii="黑体" w:hAnsi="黑体" w:eastAsia="黑体" w:cs="Times New Roman"/>
          <w:sz w:val="30"/>
          <w:szCs w:val="30"/>
        </w:rPr>
      </w:pPr>
      <w:r>
        <w:rPr>
          <w:rFonts w:ascii="黑体" w:hAnsi="黑体" w:eastAsia="黑体" w:cs="Times New Roman"/>
          <w:spacing w:val="8"/>
          <w:sz w:val="30"/>
          <w:szCs w:val="30"/>
        </w:rPr>
        <w:t>DB 43/T</w:t>
      </w:r>
      <w:r>
        <w:rPr>
          <w:rFonts w:ascii="黑体" w:hAnsi="黑体" w:eastAsia="黑体" w:cs="Times New Roman"/>
          <w:spacing w:val="14"/>
          <w:sz w:val="30"/>
          <w:szCs w:val="30"/>
        </w:rPr>
        <w:t xml:space="preserve"> </w:t>
      </w:r>
      <w:r>
        <w:rPr>
          <w:rFonts w:ascii="黑体" w:hAnsi="黑体" w:eastAsia="黑体" w:cs="Times New Roman"/>
          <w:spacing w:val="8"/>
          <w:sz w:val="30"/>
          <w:szCs w:val="30"/>
        </w:rPr>
        <w:t>XXXX—</w:t>
      </w:r>
      <w:r>
        <w:rPr>
          <w:rFonts w:hint="eastAsia" w:ascii="黑体" w:hAnsi="黑体" w:eastAsia="黑体" w:cs="Times New Roman"/>
          <w:spacing w:val="20"/>
          <w:sz w:val="30"/>
          <w:szCs w:val="30"/>
        </w:rPr>
        <w:t>XXXX</w:t>
      </w:r>
    </w:p>
    <w:p>
      <w:pPr>
        <w:rPr>
          <w:rFonts w:ascii="Times New Roman" w:hAnsi="Times New Roman" w:eastAsia="宋体" w:cs="Times New Roman"/>
          <w:szCs w:val="24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0" w:h="16840"/>
          <w:pgMar w:top="384" w:right="836" w:bottom="0" w:left="1420" w:header="0" w:footer="0" w:gutter="0"/>
          <w:cols w:equalWidth="0" w:num="2">
            <w:col w:w="1462" w:space="100"/>
            <w:col w:w="8082"/>
          </w:cols>
        </w:sectPr>
      </w:pPr>
    </w:p>
    <w:p>
      <w:pPr>
        <w:spacing w:line="295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95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2" w:lineRule="exact"/>
        <w:textAlignment w:val="center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drawing>
          <wp:inline distT="0" distB="0" distL="0" distR="0">
            <wp:extent cx="6120130" cy="1333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384" cy="1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1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51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51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51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51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52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52" w:lineRule="auto"/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Times New Roman" w:hAnsi="Times New Roman" w:eastAsia="黑体" w:cs="Times New Roman"/>
          <w:sz w:val="56"/>
          <w:szCs w:val="56"/>
        </w:rPr>
      </w:pPr>
      <w:r>
        <w:rPr>
          <w:rFonts w:ascii="Times New Roman" w:hAnsi="Times New Roman" w:eastAsia="黑体" w:cs="Times New Roman"/>
          <w:sz w:val="56"/>
          <w:szCs w:val="56"/>
        </w:rPr>
        <w:t>苦草种苗质量标准</w:t>
      </w:r>
    </w:p>
    <w:p>
      <w:pPr>
        <w:jc w:val="center"/>
        <w:rPr>
          <w:rFonts w:ascii="Times New Roman" w:hAnsi="Times New Roman" w:eastAsia="黑体" w:cs="Times New Roman"/>
          <w:sz w:val="56"/>
          <w:szCs w:val="56"/>
        </w:rPr>
      </w:pPr>
    </w:p>
    <w:p>
      <w:pPr>
        <w:jc w:val="center"/>
        <w:rPr>
          <w:rFonts w:ascii="Times New Roman" w:hAnsi="Times New Roman" w:eastAsia="宋体" w:cs="Times New Roman"/>
          <w:spacing w:val="7"/>
          <w:w w:val="11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Quality standard for the seedling of </w:t>
      </w:r>
      <w:r>
        <w:rPr>
          <w:rFonts w:ascii="Times New Roman" w:hAnsi="Times New Roman" w:eastAsia="宋体" w:cs="Times New Roman"/>
          <w:i/>
          <w:iCs/>
          <w:sz w:val="28"/>
          <w:szCs w:val="28"/>
        </w:rPr>
        <w:t>Vallisneria natans</w:t>
      </w:r>
      <w:bookmarkStart w:id="55" w:name="_GoBack"/>
      <w:bookmarkEnd w:id="55"/>
      <w:r>
        <w:rPr>
          <w:rFonts w:hint="eastAsia" w:ascii="黑体" w:hAnsi="黑体" w:eastAsia="黑体" w:cs="黑体"/>
          <w:spacing w:val="7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7"/>
          <w:sz w:val="52"/>
          <w:szCs w:val="52"/>
        </w:rPr>
        <w:t xml:space="preserve">  </w:t>
      </w:r>
    </w:p>
    <w:p>
      <w:pPr>
        <w:spacing w:before="190" w:line="395" w:lineRule="auto"/>
        <w:ind w:right="1448"/>
        <w:jc w:val="center"/>
        <w:rPr>
          <w:rFonts w:ascii="Times New Roman" w:hAnsi="Times New Roman" w:eastAsia="宋体" w:cs="Times New Roman"/>
          <w:spacing w:val="7"/>
          <w:w w:val="110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7"/>
          <w:w w:val="110"/>
          <w:sz w:val="28"/>
          <w:szCs w:val="28"/>
        </w:rPr>
        <w:t xml:space="preserve">     （征求意见稿）</w:t>
      </w:r>
    </w:p>
    <w:p>
      <w:pPr>
        <w:spacing w:before="190" w:line="395" w:lineRule="auto"/>
        <w:ind w:right="144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pacing w:val="7"/>
          <w:w w:val="110"/>
          <w:sz w:val="24"/>
          <w:szCs w:val="24"/>
        </w:rPr>
        <w:t>（本草案完成时间：2</w:t>
      </w:r>
      <w:r>
        <w:rPr>
          <w:rFonts w:ascii="Times New Roman" w:hAnsi="Times New Roman" w:eastAsia="宋体" w:cs="Times New Roman"/>
          <w:spacing w:val="7"/>
          <w:w w:val="110"/>
          <w:sz w:val="24"/>
          <w:szCs w:val="24"/>
        </w:rPr>
        <w:t>021</w:t>
      </w:r>
      <w:r>
        <w:rPr>
          <w:rFonts w:hint="eastAsia" w:ascii="Times New Roman" w:hAnsi="Times New Roman" w:eastAsia="宋体" w:cs="Times New Roman"/>
          <w:spacing w:val="7"/>
          <w:w w:val="110"/>
          <w:sz w:val="24"/>
          <w:szCs w:val="24"/>
        </w:rPr>
        <w:t>年</w:t>
      </w:r>
      <w:r>
        <w:rPr>
          <w:rFonts w:ascii="Times New Roman" w:hAnsi="Times New Roman" w:eastAsia="宋体" w:cs="Times New Roman"/>
          <w:spacing w:val="7"/>
          <w:w w:val="110"/>
          <w:sz w:val="24"/>
          <w:szCs w:val="24"/>
        </w:rPr>
        <w:t>12</w:t>
      </w:r>
      <w:r>
        <w:rPr>
          <w:rFonts w:hint="eastAsia" w:ascii="Times New Roman" w:hAnsi="Times New Roman" w:eastAsia="宋体" w:cs="Times New Roman"/>
          <w:spacing w:val="7"/>
          <w:w w:val="110"/>
          <w:sz w:val="24"/>
          <w:szCs w:val="24"/>
        </w:rPr>
        <w:t>月2</w:t>
      </w:r>
      <w:r>
        <w:rPr>
          <w:rFonts w:hint="eastAsia" w:ascii="Times New Roman" w:hAnsi="Times New Roman" w:eastAsia="宋体" w:cs="Times New Roman"/>
          <w:spacing w:val="7"/>
          <w:w w:val="110"/>
          <w:sz w:val="24"/>
          <w:szCs w:val="24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spacing w:val="7"/>
          <w:w w:val="110"/>
          <w:sz w:val="24"/>
          <w:szCs w:val="24"/>
        </w:rPr>
        <w:t>日）</w:t>
      </w:r>
    </w:p>
    <w:p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>
      <w:pPr>
        <w:tabs>
          <w:tab w:val="left" w:pos="7414"/>
        </w:tabs>
        <w:spacing w:line="243" w:lineRule="auto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ab/>
      </w:r>
    </w:p>
    <w:p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44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44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44" w:lineRule="auto"/>
        <w:rPr>
          <w:rFonts w:ascii="Times New Roman" w:hAnsi="Times New Roman" w:eastAsia="宋体" w:cs="Times New Roman"/>
          <w:szCs w:val="24"/>
        </w:rPr>
      </w:pPr>
    </w:p>
    <w:p>
      <w:pPr>
        <w:spacing w:line="244" w:lineRule="auto"/>
        <w:rPr>
          <w:rFonts w:ascii="Times New Roman" w:hAnsi="Times New Roman" w:eastAsia="宋体" w:cs="Times New Roman"/>
          <w:szCs w:val="24"/>
        </w:rPr>
      </w:pPr>
    </w:p>
    <w:p>
      <w:pPr>
        <w:spacing w:before="110" w:line="180" w:lineRule="auto"/>
        <w:ind w:firstLine="8"/>
        <w:rPr>
          <w:rFonts w:ascii="黑体" w:hAnsi="黑体" w:eastAsia="黑体" w:cs="FZHei-B01"/>
          <w:sz w:val="30"/>
          <w:szCs w:val="30"/>
        </w:rPr>
      </w:pPr>
      <w:r>
        <w:rPr>
          <w:rFonts w:hint="eastAsia" w:ascii="黑体" w:hAnsi="黑体" w:eastAsia="黑体" w:cs="FZHei-B01"/>
          <w:spacing w:val="10"/>
          <w:sz w:val="30"/>
          <w:szCs w:val="30"/>
        </w:rPr>
        <w:t>XXXX</w:t>
      </w:r>
      <w:r>
        <w:rPr>
          <w:rFonts w:ascii="黑体" w:hAnsi="黑体" w:eastAsia="黑体" w:cs="FZHei-B01"/>
          <w:spacing w:val="-28"/>
          <w:sz w:val="30"/>
          <w:szCs w:val="30"/>
        </w:rPr>
        <w:t xml:space="preserve"> </w:t>
      </w:r>
      <w:r>
        <w:rPr>
          <w:rFonts w:ascii="黑体" w:hAnsi="黑体" w:eastAsia="黑体" w:cs="FZHei-B01"/>
          <w:spacing w:val="10"/>
          <w:sz w:val="30"/>
          <w:szCs w:val="30"/>
        </w:rPr>
        <w:t>-</w:t>
      </w:r>
      <w:r>
        <w:rPr>
          <w:rFonts w:ascii="黑体" w:hAnsi="黑体" w:eastAsia="黑体" w:cs="FZHei-B01"/>
          <w:spacing w:val="-31"/>
          <w:sz w:val="30"/>
          <w:szCs w:val="30"/>
        </w:rPr>
        <w:t xml:space="preserve"> </w:t>
      </w:r>
      <w:r>
        <w:rPr>
          <w:rFonts w:hint="eastAsia" w:ascii="黑体" w:hAnsi="黑体" w:eastAsia="黑体" w:cs="FZHei-B01"/>
          <w:spacing w:val="10"/>
          <w:sz w:val="30"/>
          <w:szCs w:val="30"/>
        </w:rPr>
        <w:t>XX</w:t>
      </w:r>
      <w:r>
        <w:rPr>
          <w:rFonts w:ascii="黑体" w:hAnsi="黑体" w:eastAsia="黑体" w:cs="FZHei-B01"/>
          <w:spacing w:val="10"/>
          <w:sz w:val="30"/>
          <w:szCs w:val="30"/>
        </w:rPr>
        <w:t xml:space="preserve"> -</w:t>
      </w:r>
      <w:r>
        <w:rPr>
          <w:rFonts w:hint="eastAsia" w:ascii="黑体" w:hAnsi="黑体" w:eastAsia="黑体" w:cs="FZHei-B01"/>
          <w:spacing w:val="10"/>
          <w:sz w:val="30"/>
          <w:szCs w:val="30"/>
        </w:rPr>
        <w:t>XX</w:t>
      </w:r>
      <w:r>
        <w:rPr>
          <w:rFonts w:hint="eastAsia" w:ascii="黑体" w:hAnsi="黑体" w:eastAsia="黑体" w:cs="宋体"/>
          <w:spacing w:val="10"/>
          <w:sz w:val="30"/>
          <w:szCs w:val="30"/>
        </w:rPr>
        <w:t>发布</w:t>
      </w:r>
      <w:r>
        <w:rPr>
          <w:rFonts w:ascii="黑体" w:hAnsi="黑体" w:eastAsia="黑体" w:cs="FZHei-B01"/>
          <w:spacing w:val="1"/>
          <w:sz w:val="30"/>
          <w:szCs w:val="30"/>
        </w:rPr>
        <w:t xml:space="preserve">                          </w:t>
      </w:r>
      <w:r>
        <w:rPr>
          <w:rFonts w:hint="eastAsia" w:ascii="黑体" w:hAnsi="黑体" w:eastAsia="黑体" w:cs="FZHei-B01"/>
          <w:spacing w:val="10"/>
          <w:sz w:val="30"/>
          <w:szCs w:val="30"/>
        </w:rPr>
        <w:t>XXXX</w:t>
      </w:r>
      <w:r>
        <w:rPr>
          <w:rFonts w:ascii="黑体" w:hAnsi="黑体" w:eastAsia="黑体" w:cs="FZHei-B01"/>
          <w:spacing w:val="-28"/>
          <w:sz w:val="30"/>
          <w:szCs w:val="30"/>
        </w:rPr>
        <w:t xml:space="preserve"> </w:t>
      </w:r>
      <w:r>
        <w:rPr>
          <w:rFonts w:ascii="黑体" w:hAnsi="黑体" w:eastAsia="黑体" w:cs="FZHei-B01"/>
          <w:spacing w:val="10"/>
          <w:sz w:val="30"/>
          <w:szCs w:val="30"/>
        </w:rPr>
        <w:t>-</w:t>
      </w:r>
      <w:r>
        <w:rPr>
          <w:rFonts w:ascii="黑体" w:hAnsi="黑体" w:eastAsia="黑体" w:cs="FZHei-B01"/>
          <w:spacing w:val="-31"/>
          <w:sz w:val="30"/>
          <w:szCs w:val="30"/>
        </w:rPr>
        <w:t xml:space="preserve"> </w:t>
      </w:r>
      <w:r>
        <w:rPr>
          <w:rFonts w:hint="eastAsia" w:ascii="黑体" w:hAnsi="黑体" w:eastAsia="黑体" w:cs="FZHei-B01"/>
          <w:spacing w:val="10"/>
          <w:sz w:val="30"/>
          <w:szCs w:val="30"/>
        </w:rPr>
        <w:t>XX</w:t>
      </w:r>
      <w:r>
        <w:rPr>
          <w:rFonts w:ascii="黑体" w:hAnsi="黑体" w:eastAsia="黑体" w:cs="FZHei-B01"/>
          <w:spacing w:val="10"/>
          <w:sz w:val="30"/>
          <w:szCs w:val="30"/>
        </w:rPr>
        <w:t xml:space="preserve"> -</w:t>
      </w:r>
      <w:r>
        <w:rPr>
          <w:rFonts w:hint="eastAsia" w:ascii="黑体" w:hAnsi="黑体" w:eastAsia="黑体" w:cs="FZHei-B01"/>
          <w:spacing w:val="10"/>
          <w:sz w:val="30"/>
          <w:szCs w:val="30"/>
        </w:rPr>
        <w:t>XX</w:t>
      </w:r>
      <w:r>
        <w:rPr>
          <w:rFonts w:hint="eastAsia" w:ascii="黑体" w:hAnsi="黑体" w:eastAsia="黑体" w:cs="宋体"/>
          <w:spacing w:val="10"/>
          <w:sz w:val="30"/>
          <w:szCs w:val="30"/>
        </w:rPr>
        <w:t>实施</w:t>
      </w:r>
    </w:p>
    <w:p>
      <w:pPr>
        <w:spacing w:before="68" w:line="22" w:lineRule="exact"/>
        <w:textAlignment w:val="center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drawing>
          <wp:inline distT="0" distB="0" distL="0" distR="0">
            <wp:extent cx="6120130" cy="1333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384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5" w:lineRule="auto"/>
        <w:rPr>
          <w:rFonts w:ascii="Times New Roman" w:hAnsi="Times New Roman" w:eastAsia="宋体" w:cs="Times New Roman"/>
          <w:szCs w:val="24"/>
        </w:rPr>
      </w:pPr>
    </w:p>
    <w:p>
      <w:pPr>
        <w:spacing w:before="128" w:line="321" w:lineRule="exact"/>
        <w:ind w:firstLine="1172"/>
        <w:jc w:val="center"/>
        <w:rPr>
          <w:rFonts w:ascii="黑体" w:hAnsi="黑体" w:eastAsia="黑体" w:cs="FZHei-B01"/>
          <w:sz w:val="28"/>
          <w:szCs w:val="28"/>
        </w:rPr>
        <w:sectPr>
          <w:type w:val="continuous"/>
          <w:pgSz w:w="11900" w:h="16840"/>
          <w:pgMar w:top="384" w:right="836" w:bottom="0" w:left="1420" w:header="0" w:footer="0" w:gutter="0"/>
          <w:cols w:equalWidth="0" w:num="1">
            <w:col w:w="9644"/>
          </w:cols>
        </w:sectPr>
      </w:pPr>
      <w:r>
        <w:rPr>
          <w:rFonts w:hint="eastAsia" w:ascii="黑体" w:hAnsi="黑体" w:eastAsia="黑体" w:cs="宋体"/>
          <w:spacing w:val="60"/>
          <w:w w:val="131"/>
          <w:position w:val="-2"/>
          <w:sz w:val="28"/>
          <w:szCs w:val="28"/>
        </w:rPr>
        <w:t>湖南省市场监督管理局</w:t>
      </w:r>
      <w:r>
        <w:rPr>
          <w:rFonts w:ascii="黑体" w:hAnsi="黑体" w:eastAsia="黑体" w:cs="FZHei-B01"/>
          <w:spacing w:val="9"/>
          <w:position w:val="-2"/>
          <w:sz w:val="28"/>
          <w:szCs w:val="28"/>
        </w:rPr>
        <w:t xml:space="preserve">     </w:t>
      </w:r>
      <w:r>
        <w:rPr>
          <w:rFonts w:hint="eastAsia" w:ascii="黑体" w:hAnsi="黑体" w:eastAsia="黑体" w:cs="宋体"/>
          <w:spacing w:val="60"/>
          <w:w w:val="131"/>
          <w:position w:val="-1"/>
          <w:sz w:val="28"/>
          <w:szCs w:val="28"/>
        </w:rPr>
        <w:t>发布</w:t>
      </w:r>
    </w:p>
    <w:bookmarkEnd w:id="0"/>
    <w:sdt>
      <w:sdtPr>
        <w:rPr>
          <w:rFonts w:ascii="Times New Roman" w:hAnsi="Times New Roman" w:cs="Times New Roman" w:eastAsiaTheme="minorEastAsia"/>
          <w:color w:val="auto"/>
          <w:kern w:val="2"/>
          <w:sz w:val="21"/>
          <w:szCs w:val="22"/>
          <w:lang w:val="zh-CN"/>
        </w:rPr>
        <w:id w:val="162881670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 w:eastAsiaTheme="minorEastAsia"/>
          <w:b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26"/>
            <w:spacing w:line="360" w:lineRule="auto"/>
            <w:jc w:val="center"/>
            <w:rPr>
              <w:rFonts w:hint="eastAsia" w:ascii="黑体" w:hAnsi="黑体" w:eastAsia="黑体" w:cs="Times New Roman"/>
              <w:b/>
              <w:bCs/>
              <w:color w:val="auto"/>
            </w:rPr>
          </w:pPr>
          <w:r>
            <w:rPr>
              <w:rFonts w:ascii="黑体" w:hAnsi="黑体" w:eastAsia="黑体" w:cs="Times New Roman"/>
              <w:b/>
              <w:bCs/>
              <w:color w:val="auto"/>
              <w:lang w:val="zh-CN"/>
            </w:rPr>
            <w:t xml:space="preserve">目  </w:t>
          </w:r>
          <w:r>
            <w:rPr>
              <w:rFonts w:hint="eastAsia" w:ascii="黑体" w:hAnsi="黑体" w:eastAsia="黑体" w:cs="Times New Roman"/>
              <w:b/>
              <w:bCs/>
              <w:color w:val="auto"/>
              <w:lang w:val="zh-CN"/>
            </w:rPr>
            <w:t>次</w:t>
          </w:r>
        </w:p>
        <w:p>
          <w:pPr>
            <w:pStyle w:val="10"/>
            <w:tabs>
              <w:tab w:val="right" w:leader="dot" w:pos="8296"/>
            </w:tabs>
          </w:pP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TOC \o "1-3" \h \z \u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fldChar w:fldCharType="begin"/>
          </w:r>
          <w:r>
            <w:instrText xml:space="preserve"> HYPERLINK \l "_Toc93307337"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前  言</w:t>
          </w:r>
          <w:r>
            <w:tab/>
          </w:r>
          <w:r>
            <w:fldChar w:fldCharType="begin"/>
          </w:r>
          <w:r>
            <w:instrText xml:space="preserve"> PAGEREF _Toc93307337 \h </w:instrText>
          </w:r>
          <w:r>
            <w:fldChar w:fldCharType="separate"/>
          </w:r>
          <w:r>
            <w:t>III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"_Toc93307338"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  苦草</w:t>
          </w:r>
          <w:r>
            <w:tab/>
          </w:r>
          <w:r>
            <w:fldChar w:fldCharType="begin"/>
          </w:r>
          <w:r>
            <w:instrText xml:space="preserve"> PAGEREF _Toc93307338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"_Toc93307339"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1.1  定义</w:t>
          </w:r>
          <w:r>
            <w:tab/>
          </w:r>
          <w:r>
            <w:fldChar w:fldCharType="begin"/>
          </w:r>
          <w:r>
            <w:instrText xml:space="preserve"> PAGEREF _Toc93307339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"_Toc93307340"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1.2  基本特征</w:t>
          </w:r>
          <w:r>
            <w:tab/>
          </w:r>
          <w:r>
            <w:fldChar w:fldCharType="begin"/>
          </w:r>
          <w:r>
            <w:instrText xml:space="preserve"> PAGEREF _Toc93307340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"_Toc93307341"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1.2.1 苦草</w:t>
          </w:r>
          <w:r>
            <w:tab/>
          </w:r>
          <w:r>
            <w:fldChar w:fldCharType="begin"/>
          </w:r>
          <w:r>
            <w:instrText xml:space="preserve"> PAGEREF _Toc93307341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"_Toc93307342"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1.2.2刺苦草</w:t>
          </w:r>
          <w:r>
            <w:tab/>
          </w:r>
          <w:r>
            <w:fldChar w:fldCharType="begin"/>
          </w:r>
          <w:r>
            <w:instrText xml:space="preserve"> PAGEREF _Toc93307342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"_Toc93307343"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1.2.3 密刺苦草</w:t>
          </w:r>
          <w:r>
            <w:tab/>
          </w:r>
          <w:r>
            <w:fldChar w:fldCharType="begin"/>
          </w:r>
          <w:r>
            <w:instrText xml:space="preserve"> PAGEREF _Toc93307343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"_Toc93307344"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1.3  产地及分布</w:t>
          </w:r>
          <w:r>
            <w:tab/>
          </w:r>
          <w:r>
            <w:fldChar w:fldCharType="begin"/>
          </w:r>
          <w:r>
            <w:instrText xml:space="preserve"> PAGEREF _Toc93307344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"_Toc93307345"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1.4  生活史</w:t>
          </w:r>
          <w:r>
            <w:tab/>
          </w:r>
          <w:r>
            <w:fldChar w:fldCharType="begin"/>
          </w:r>
          <w:r>
            <w:instrText xml:space="preserve"> PAGEREF _Toc93307345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"_Toc93307346"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1.5  繁殖方式</w:t>
          </w:r>
          <w:r>
            <w:tab/>
          </w:r>
          <w:r>
            <w:fldChar w:fldCharType="begin"/>
          </w:r>
          <w:r>
            <w:instrText xml:space="preserve"> PAGEREF _Toc93307346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"_Toc93307347"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1.5.1  繁殖方式的选择</w:t>
          </w:r>
          <w:r>
            <w:tab/>
          </w:r>
          <w:r>
            <w:fldChar w:fldCharType="begin"/>
          </w:r>
          <w:r>
            <w:instrText xml:space="preserve"> PAGEREF _Toc93307347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"_Toc93307348"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1.5.2  无性繁殖</w:t>
          </w:r>
          <w:r>
            <w:tab/>
          </w:r>
          <w:r>
            <w:fldChar w:fldCharType="begin"/>
          </w:r>
          <w:r>
            <w:instrText xml:space="preserve"> PAGEREF _Toc93307348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"_Toc93307349"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1.5.3  有性繁殖</w:t>
          </w:r>
          <w:r>
            <w:tab/>
          </w:r>
          <w:r>
            <w:fldChar w:fldCharType="begin"/>
          </w:r>
          <w:r>
            <w:instrText xml:space="preserve"> PAGEREF _Toc93307349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"_Toc93307350"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1.6  繁殖苗的类型</w:t>
          </w:r>
          <w:r>
            <w:tab/>
          </w:r>
          <w:r>
            <w:fldChar w:fldCharType="begin"/>
          </w:r>
          <w:r>
            <w:instrText xml:space="preserve"> PAGEREF _Toc93307350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"_Toc93307351"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1.7  用途</w:t>
          </w:r>
          <w:r>
            <w:tab/>
          </w:r>
          <w:r>
            <w:fldChar w:fldCharType="begin"/>
          </w:r>
          <w:r>
            <w:instrText xml:space="preserve"> PAGEREF _Toc93307351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"_Toc93307352"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2  范围</w:t>
          </w:r>
          <w:r>
            <w:tab/>
          </w:r>
          <w:r>
            <w:fldChar w:fldCharType="begin"/>
          </w:r>
          <w:r>
            <w:instrText xml:space="preserve"> PAGEREF _Toc93307352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"_Toc93307353"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3  规范性引用文件</w:t>
          </w:r>
          <w:r>
            <w:tab/>
          </w:r>
          <w:r>
            <w:fldChar w:fldCharType="begin"/>
          </w:r>
          <w:r>
            <w:instrText xml:space="preserve"> PAGEREF _Toc93307353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"_Toc93307354"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  术语和定义</w:t>
          </w:r>
          <w:r>
            <w:tab/>
          </w:r>
          <w:r>
            <w:fldChar w:fldCharType="begin"/>
          </w:r>
          <w:r>
            <w:instrText xml:space="preserve"> PAGEREF _Toc93307354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"_Toc93307355"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4.1  株高  plant height</w:t>
          </w:r>
          <w:r>
            <w:tab/>
          </w:r>
          <w:r>
            <w:fldChar w:fldCharType="begin"/>
          </w:r>
          <w:r>
            <w:instrText xml:space="preserve"> PAGEREF _Toc93307355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"_Toc93307356"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4.2  鲜重  fresh weight</w:t>
          </w:r>
          <w:r>
            <w:tab/>
          </w:r>
          <w:r>
            <w:fldChar w:fldCharType="begin"/>
          </w:r>
          <w:r>
            <w:instrText xml:space="preserve"> PAGEREF _Toc93307356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"_Toc93307357"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4.3  根系长度  root length</w:t>
          </w:r>
          <w:r>
            <w:tab/>
          </w:r>
          <w:r>
            <w:fldChar w:fldCharType="begin"/>
          </w:r>
          <w:r>
            <w:instrText xml:space="preserve"> PAGEREF _Toc93307357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"_Toc93307358"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4.4  根系数量  root quantity</w:t>
          </w:r>
          <w:r>
            <w:tab/>
          </w:r>
          <w:r>
            <w:fldChar w:fldCharType="begin"/>
          </w:r>
          <w:r>
            <w:instrText xml:space="preserve"> PAGEREF _Toc93307358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"_Toc93307359"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4.5  基径  basal diameter</w:t>
          </w:r>
          <w:r>
            <w:tab/>
          </w:r>
          <w:r>
            <w:fldChar w:fldCharType="begin"/>
          </w:r>
          <w:r>
            <w:instrText xml:space="preserve"> PAGEREF _Toc93307359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"_Toc93307360"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4.6  分蘖  tiller</w:t>
          </w:r>
          <w:r>
            <w:tab/>
          </w:r>
          <w:r>
            <w:fldChar w:fldCharType="begin"/>
          </w:r>
          <w:r>
            <w:instrText xml:space="preserve"> PAGEREF _Toc93307360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"_Toc93307361"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4.7  间隔子  spacer</w:t>
          </w:r>
          <w:r>
            <w:tab/>
          </w:r>
          <w:r>
            <w:fldChar w:fldCharType="begin"/>
          </w:r>
          <w:r>
            <w:instrText xml:space="preserve"> PAGEREF _Toc93307361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"_Toc93307362"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4.8  间隔子长度spacer length</w:t>
          </w:r>
          <w:r>
            <w:tab/>
          </w:r>
          <w:r>
            <w:fldChar w:fldCharType="begin"/>
          </w:r>
          <w:r>
            <w:instrText xml:space="preserve"> PAGEREF _Toc93307362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"_Toc93307363"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4.9  叶片数blade number</w:t>
          </w:r>
          <w:r>
            <w:tab/>
          </w:r>
          <w:r>
            <w:fldChar w:fldCharType="begin"/>
          </w:r>
          <w:r>
            <w:instrText xml:space="preserve"> PAGEREF _Toc93307363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"_Toc93307364"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4.10  实生苗  seedling</w:t>
          </w:r>
          <w:r>
            <w:tab/>
          </w:r>
          <w:r>
            <w:fldChar w:fldCharType="begin"/>
          </w:r>
          <w:r>
            <w:instrText xml:space="preserve"> PAGEREF _Toc93307364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"_Toc93307365"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4.11  冬芽苗  winter seedling</w:t>
          </w:r>
          <w:r>
            <w:tab/>
          </w:r>
          <w:r>
            <w:fldChar w:fldCharType="begin"/>
          </w:r>
          <w:r>
            <w:instrText xml:space="preserve"> PAGEREF _Toc93307365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"_Toc93307366"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4.12  分株苗 divisional seedling</w:t>
          </w:r>
          <w:r>
            <w:tab/>
          </w:r>
          <w:r>
            <w:fldChar w:fldCharType="begin"/>
          </w:r>
          <w:r>
            <w:instrText xml:space="preserve"> PAGEREF _Toc93307366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"_Toc93307367"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5  种苗要求</w:t>
          </w:r>
          <w:r>
            <w:tab/>
          </w:r>
          <w:r>
            <w:fldChar w:fldCharType="begin"/>
          </w:r>
          <w:r>
            <w:instrText xml:space="preserve"> PAGEREF _Toc93307367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"_Toc93307368"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5.1  外观要求</w:t>
          </w:r>
          <w:r>
            <w:tab/>
          </w:r>
          <w:r>
            <w:fldChar w:fldCharType="begin"/>
          </w:r>
          <w:r>
            <w:instrText xml:space="preserve"> PAGEREF _Toc93307368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"_Toc93307369"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5.2  分级要求</w:t>
          </w:r>
          <w:r>
            <w:tab/>
          </w:r>
          <w:r>
            <w:fldChar w:fldCharType="begin"/>
          </w:r>
          <w:r>
            <w:instrText xml:space="preserve"> PAGEREF _Toc93307369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"_Toc93307370"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  检验方法</w:t>
          </w:r>
          <w:r>
            <w:tab/>
          </w:r>
          <w:r>
            <w:fldChar w:fldCharType="begin"/>
          </w:r>
          <w:r>
            <w:instrText xml:space="preserve"> PAGEREF _Toc93307370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"_Toc93307371"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6.1  抽样</w:t>
          </w:r>
          <w:r>
            <w:tab/>
          </w:r>
          <w:r>
            <w:fldChar w:fldCharType="begin"/>
          </w:r>
          <w:r>
            <w:instrText xml:space="preserve"> PAGEREF _Toc93307371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"_Toc93307372"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  检测</w:t>
          </w:r>
          <w:r>
            <w:tab/>
          </w:r>
          <w:r>
            <w:fldChar w:fldCharType="begin"/>
          </w:r>
          <w:r>
            <w:instrText xml:space="preserve"> PAGEREF _Toc93307372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"_Toc93307373"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6.2.1  株高</w:t>
          </w:r>
          <w:r>
            <w:tab/>
          </w:r>
          <w:r>
            <w:fldChar w:fldCharType="begin"/>
          </w:r>
          <w:r>
            <w:instrText xml:space="preserve"> PAGEREF _Toc93307373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"_Toc93307374"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6.2.2  根系长度</w:t>
          </w:r>
          <w:r>
            <w:tab/>
          </w:r>
          <w:r>
            <w:fldChar w:fldCharType="begin"/>
          </w:r>
          <w:r>
            <w:instrText xml:space="preserve"> PAGEREF _Toc93307374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"_Toc93307375"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6.2.3  基茎</w:t>
          </w:r>
          <w:r>
            <w:tab/>
          </w:r>
          <w:r>
            <w:fldChar w:fldCharType="begin"/>
          </w:r>
          <w:r>
            <w:instrText xml:space="preserve"> PAGEREF _Toc93307375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"_Toc93307376"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6.2.4  鲜重</w:t>
          </w:r>
          <w:r>
            <w:tab/>
          </w:r>
          <w:r>
            <w:fldChar w:fldCharType="begin"/>
          </w:r>
          <w:r>
            <w:instrText xml:space="preserve"> PAGEREF _Toc93307376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"_Toc93307377"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6.2.5  分蘖</w:t>
          </w:r>
          <w:r>
            <w:tab/>
          </w:r>
          <w:r>
            <w:fldChar w:fldCharType="begin"/>
          </w:r>
          <w:r>
            <w:instrText xml:space="preserve"> PAGEREF _Toc93307377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"_Toc93307378"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6.2.6  根系数量</w:t>
          </w:r>
          <w:r>
            <w:tab/>
          </w:r>
          <w:r>
            <w:fldChar w:fldCharType="begin"/>
          </w:r>
          <w:r>
            <w:instrText xml:space="preserve"> PAGEREF _Toc93307378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"_Toc93307379"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6.2.7  间隔子</w:t>
          </w:r>
          <w:r>
            <w:tab/>
          </w:r>
          <w:r>
            <w:fldChar w:fldCharType="begin"/>
          </w:r>
          <w:r>
            <w:instrText xml:space="preserve"> PAGEREF _Toc93307379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"_Toc93307380"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6.2.8  无检疫性病虫害</w:t>
          </w:r>
          <w:r>
            <w:tab/>
          </w:r>
          <w:r>
            <w:fldChar w:fldCharType="begin"/>
          </w:r>
          <w:r>
            <w:instrText xml:space="preserve"> PAGEREF _Toc93307380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"_Toc93307381"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7  检验规则</w:t>
          </w:r>
          <w:r>
            <w:tab/>
          </w:r>
          <w:r>
            <w:fldChar w:fldCharType="begin"/>
          </w:r>
          <w:r>
            <w:instrText xml:space="preserve"> PAGEREF _Toc93307381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"_Toc93307382"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8  包装、贮运</w:t>
          </w:r>
          <w:r>
            <w:tab/>
          </w:r>
          <w:r>
            <w:fldChar w:fldCharType="begin"/>
          </w:r>
          <w:r>
            <w:instrText xml:space="preserve"> PAGEREF _Toc93307382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"_Toc93307383"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参考文献</w:t>
          </w:r>
          <w:r>
            <w:tab/>
          </w:r>
          <w:r>
            <w:fldChar w:fldCharType="begin"/>
          </w:r>
          <w:r>
            <w:instrText xml:space="preserve"> PAGEREF _Toc93307383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"_Toc93307384"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附 录 A</w:t>
          </w:r>
          <w:r>
            <w:tab/>
          </w:r>
          <w:r>
            <w:fldChar w:fldCharType="begin"/>
          </w:r>
          <w:r>
            <w:instrText xml:space="preserve"> PAGEREF _Toc93307384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"_Toc93307385"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附 录 B</w:t>
          </w:r>
          <w:r>
            <w:tab/>
          </w:r>
          <w:r>
            <w:fldChar w:fldCharType="begin"/>
          </w:r>
          <w:r>
            <w:instrText xml:space="preserve"> PAGEREF _Toc93307385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"_Toc93307386"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附 录 C</w:t>
          </w:r>
          <w:r>
            <w:tab/>
          </w:r>
          <w:r>
            <w:fldChar w:fldCharType="begin"/>
          </w:r>
          <w:r>
            <w:instrText xml:space="preserve"> PAGEREF _Toc93307386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>
          <w:pPr>
            <w:spacing w:line="360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/>
              <w:bCs/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br w:type="page"/>
      </w:r>
    </w:p>
    <w:p>
      <w:pPr>
        <w:pStyle w:val="2"/>
        <w:jc w:val="center"/>
        <w:rPr>
          <w:rFonts w:ascii="Times New Roman" w:hAnsi="Times New Roman" w:eastAsia="黑体" w:cs="Times New Roman"/>
          <w:b w:val="0"/>
          <w:bCs w:val="0"/>
          <w:kern w:val="2"/>
          <w:sz w:val="32"/>
          <w:szCs w:val="32"/>
        </w:rPr>
      </w:pPr>
      <w:bookmarkStart w:id="1" w:name="_Toc93307337"/>
      <w:r>
        <w:rPr>
          <w:rFonts w:ascii="Times New Roman" w:hAnsi="Times New Roman" w:eastAsia="黑体" w:cs="Times New Roman"/>
          <w:b w:val="0"/>
          <w:bCs w:val="0"/>
          <w:kern w:val="2"/>
          <w:sz w:val="32"/>
          <w:szCs w:val="32"/>
        </w:rPr>
        <w:t>前  言</w:t>
      </w:r>
      <w:bookmarkEnd w:id="1"/>
    </w:p>
    <w:p>
      <w:pPr>
        <w:spacing w:before="156" w:beforeLines="50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本标准按</w:t>
      </w:r>
      <w:r>
        <w:rPr>
          <w:rFonts w:hint="eastAsia" w:ascii="Times New Roman" w:hAnsi="Times New Roman" w:eastAsia="宋体" w:cs="Times New Roman"/>
          <w:sz w:val="24"/>
          <w:szCs w:val="24"/>
        </w:rPr>
        <w:t>照</w:t>
      </w:r>
      <w:r>
        <w:rPr>
          <w:rFonts w:ascii="Times New Roman" w:hAnsi="Times New Roman" w:eastAsia="宋体" w:cs="Times New Roman"/>
          <w:sz w:val="24"/>
          <w:szCs w:val="24"/>
        </w:rPr>
        <w:t>GB/T 1.1—2020《标准化工作导则 第1部分：标准化文件的结构和起草规则》的规定</w:t>
      </w:r>
      <w:r>
        <w:rPr>
          <w:rFonts w:hint="eastAsia" w:ascii="Times New Roman" w:hAnsi="Times New Roman" w:eastAsia="宋体" w:cs="Times New Roman"/>
          <w:sz w:val="24"/>
          <w:szCs w:val="24"/>
        </w:rPr>
        <w:t>起草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spacing w:before="156" w:beforeLines="50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本标准由中国科学院亚热带农业生态研究所提出。</w:t>
      </w:r>
    </w:p>
    <w:p>
      <w:pPr>
        <w:spacing w:before="156" w:beforeLines="50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本标准由湖南省林业局归口。</w:t>
      </w:r>
    </w:p>
    <w:p>
      <w:pPr>
        <w:spacing w:before="156" w:beforeLines="50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本标准起草单位：中国科学院亚热带农业生态研究所；湖南省湿地中心；大通湖生态投资有限公司</w:t>
      </w:r>
    </w:p>
    <w:p>
      <w:pPr>
        <w:spacing w:before="156" w:beforeLines="50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本标准主要起草人：谢永宏，侯志勇，王军，李旭，周根苗，李婷婷，许鑫，陈晓蓉 </w:t>
      </w:r>
    </w:p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  <w:sectPr>
          <w:headerReference r:id="rId8" w:type="default"/>
          <w:footerReference r:id="rId9" w:type="default"/>
          <w:pgSz w:w="11906" w:h="16838"/>
          <w:pgMar w:top="1440" w:right="1800" w:bottom="1440" w:left="1800" w:header="851" w:footer="992" w:gutter="0"/>
          <w:pgNumType w:fmt="upperRoman" w:start="1"/>
          <w:cols w:space="425" w:num="1"/>
          <w:docGrid w:type="lines" w:linePitch="312" w:charSpace="0"/>
        </w:sectPr>
      </w:pPr>
      <w:r>
        <w:rPr>
          <w:rFonts w:ascii="Times New Roman" w:hAnsi="Times New Roman" w:eastAsia="黑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苦草种苗质量标准</w:t>
      </w:r>
    </w:p>
    <w:p>
      <w:pPr>
        <w:pStyle w:val="2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" w:name="_Toc93307338"/>
      <w:r>
        <w:rPr>
          <w:rFonts w:ascii="Times New Roman" w:hAnsi="Times New Roman" w:eastAsia="黑体" w:cs="Times New Roman"/>
          <w:sz w:val="24"/>
          <w:szCs w:val="24"/>
        </w:rPr>
        <w:t>1  苦草</w:t>
      </w:r>
      <w:bookmarkEnd w:id="2"/>
    </w:p>
    <w:p>
      <w:pPr>
        <w:pStyle w:val="3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3" w:name="_Toc93307339"/>
      <w:r>
        <w:rPr>
          <w:rFonts w:ascii="Times New Roman" w:hAnsi="Times New Roman" w:eastAsia="黑体" w:cs="Times New Roman"/>
          <w:sz w:val="24"/>
          <w:szCs w:val="24"/>
        </w:rPr>
        <w:t>1.1  定义</w:t>
      </w:r>
      <w:bookmarkEnd w:id="3"/>
    </w:p>
    <w:p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本</w:t>
      </w:r>
      <w:r>
        <w:rPr>
          <w:rFonts w:ascii="Times New Roman" w:hAnsi="Times New Roman" w:eastAsia="宋体" w:cs="Times New Roman"/>
          <w:sz w:val="24"/>
          <w:szCs w:val="24"/>
        </w:rPr>
        <w:t>标准所述苦草</w:t>
      </w:r>
      <w:r>
        <w:rPr>
          <w:rFonts w:hint="eastAsia" w:ascii="Times New Roman" w:hAnsi="Times New Roman" w:eastAsia="宋体" w:cs="Times New Roman"/>
          <w:sz w:val="24"/>
          <w:szCs w:val="24"/>
        </w:rPr>
        <w:t>为苦草</w:t>
      </w: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i/>
          <w:iCs/>
          <w:sz w:val="24"/>
          <w:szCs w:val="24"/>
        </w:rPr>
        <w:t>Vallisneria natans</w:t>
      </w:r>
      <w:r>
        <w:rPr>
          <w:rFonts w:ascii="Times New Roman" w:hAnsi="Times New Roman" w:eastAsia="宋体" w:cs="Times New Roman"/>
          <w:sz w:val="24"/>
          <w:szCs w:val="24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</w:rPr>
        <w:t>、刺</w:t>
      </w:r>
      <w:r>
        <w:rPr>
          <w:rFonts w:ascii="Times New Roman" w:hAnsi="Times New Roman" w:eastAsia="宋体" w:cs="Times New Roman"/>
          <w:sz w:val="24"/>
          <w:szCs w:val="24"/>
        </w:rPr>
        <w:t>苦草</w:t>
      </w: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i/>
          <w:iCs/>
          <w:sz w:val="24"/>
          <w:szCs w:val="24"/>
        </w:rPr>
        <w:t>V. spinulosa</w:t>
      </w:r>
      <w:r>
        <w:rPr>
          <w:rFonts w:ascii="Times New Roman" w:hAnsi="Times New Roman" w:eastAsia="宋体" w:cs="Times New Roman"/>
          <w:sz w:val="24"/>
          <w:szCs w:val="24"/>
        </w:rPr>
        <w:t>）和密刺苦草</w:t>
      </w: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i/>
          <w:iCs/>
          <w:sz w:val="24"/>
          <w:szCs w:val="24"/>
        </w:rPr>
        <w:t>V. denseserrulata</w:t>
      </w:r>
      <w:r>
        <w:rPr>
          <w:rFonts w:ascii="Times New Roman" w:hAnsi="Times New Roman" w:eastAsia="宋体" w:cs="Times New Roman"/>
          <w:sz w:val="24"/>
          <w:szCs w:val="24"/>
        </w:rPr>
        <w:t>）的统称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三种苦草均属水鳖科苦草属植物。</w:t>
      </w:r>
    </w:p>
    <w:p>
      <w:pPr>
        <w:pStyle w:val="3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4" w:name="_Toc93307340"/>
      <w:r>
        <w:rPr>
          <w:rFonts w:ascii="Times New Roman" w:hAnsi="Times New Roman" w:eastAsia="黑体" w:cs="Times New Roman"/>
          <w:sz w:val="24"/>
          <w:szCs w:val="24"/>
        </w:rPr>
        <w:t xml:space="preserve">1.2  </w:t>
      </w:r>
      <w:r>
        <w:rPr>
          <w:rFonts w:hint="eastAsia" w:ascii="Times New Roman" w:hAnsi="Times New Roman" w:eastAsia="黑体" w:cs="Times New Roman"/>
          <w:sz w:val="24"/>
          <w:szCs w:val="24"/>
        </w:rPr>
        <w:t>基本</w:t>
      </w:r>
      <w:r>
        <w:rPr>
          <w:rFonts w:ascii="Times New Roman" w:hAnsi="Times New Roman" w:eastAsia="黑体" w:cs="Times New Roman"/>
          <w:sz w:val="24"/>
          <w:szCs w:val="24"/>
        </w:rPr>
        <w:t>特征</w:t>
      </w:r>
      <w:bookmarkEnd w:id="4"/>
    </w:p>
    <w:p>
      <w:pPr>
        <w:pStyle w:val="4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5" w:name="_Toc93307341"/>
      <w:r>
        <w:rPr>
          <w:rFonts w:hint="eastAsia" w:ascii="Times New Roman" w:hAnsi="Times New Roman" w:eastAsia="黑体" w:cs="Times New Roman"/>
          <w:sz w:val="24"/>
          <w:szCs w:val="24"/>
        </w:rPr>
        <w:t>1.2.1 苦草</w:t>
      </w:r>
      <w:bookmarkEnd w:id="5"/>
    </w:p>
    <w:p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多年生沉水草本。具匍匐茎，径约2毫米，白色，光滑或稍粗糙，先端芽浅黄色。叶基生，线形或带形，长20-200厘米，宽0.5-2厘米，绿色或略带紫红色，常具棕色条纹和斑点，先端圆钝，边缘全缘或具不明显的细锯齿；无叶柄；叶脉5-9条。花单性；雌雄异株；雄佛焰苞卵状圆锥形，长1.5-2厘米，宽0.5-1厘米，每佛焰苞内含雄花200余朵或更多，成熟的雄花浮在水面开放；萼片3，大小不等，两片较大，长0.4-0.6毫米，宽约0.3毫米，成舟形浮于水上，中间一片较小，长约0.3毫米，宽约0.2毫米，中肋部龙骨状，向上伸展似帆；雄蕊1枚，花丝先端不分裂或部分2裂，基部具毛状凸起和1-2枚膜状体；花粉粒白色，长圆形，无萌发孔，表面具有不规则的颗粒状凸起；雌佛焰苞筒状，先端2裂，绿色或暗紫红色，长1.5-2厘米，梗纤细，绿色或淡红色，长30-50厘米，甚至更长，随水深而改变，受精后螺旋状卷曲；雌花单生于佛焰苞内，萼片3，先端钝，绿紫色，质较硬，长2-4毫米，宽约3毫米；花瓣3，极小，白色，与萼片互生；花柱3，先端2裂；退化雄蕊3枚；子房下位，圆柱形，光滑；胚珠多数，直立，厚珠心型，外珠被长于内珠被。果实圆柱形，长5-30厘米，直径约5毫米。种子倒长卵形，有腺毛状凸起。2n=20。</w:t>
      </w:r>
    </w:p>
    <w:p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6" w:name="_Toc93307342"/>
      <w:r>
        <w:rPr>
          <w:rFonts w:hint="eastAsia" w:ascii="Times New Roman" w:hAnsi="Times New Roman" w:eastAsia="黑体" w:cs="Times New Roman"/>
          <w:sz w:val="24"/>
          <w:szCs w:val="24"/>
        </w:rPr>
        <w:t>1</w:t>
      </w:r>
      <w:r>
        <w:rPr>
          <w:rFonts w:ascii="Times New Roman" w:hAnsi="Times New Roman" w:eastAsia="黑体" w:cs="Times New Roman"/>
          <w:sz w:val="24"/>
          <w:szCs w:val="24"/>
        </w:rPr>
        <w:t>.2.2</w:t>
      </w:r>
      <w:r>
        <w:rPr>
          <w:rFonts w:hint="eastAsia" w:ascii="Times New Roman" w:hAnsi="Times New Roman" w:eastAsia="黑体" w:cs="Times New Roman"/>
          <w:sz w:val="24"/>
          <w:szCs w:val="24"/>
        </w:rPr>
        <w:t>刺</w:t>
      </w:r>
      <w:r>
        <w:rPr>
          <w:rFonts w:ascii="Times New Roman" w:hAnsi="Times New Roman" w:eastAsia="黑体" w:cs="Times New Roman"/>
          <w:sz w:val="24"/>
          <w:szCs w:val="24"/>
        </w:rPr>
        <w:t>苦草</w:t>
      </w:r>
      <w:bookmarkEnd w:id="6"/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沉水草本。无直立茎，匍匐茎上有小棘刺，有越冬块茎。叶基生，线形，长20-50厘米，最长可达2米，宽0.4-1厘米，绿色，有少数棕红色条纹或斑点，先端钝或稍尖，边缘有锯齿；中脉明显，脉上排一行小刺，侧脉平行，在先端逐渐与中脉连接。花单性，</w:t>
      </w:r>
      <w:r>
        <w:fldChar w:fldCharType="begin"/>
      </w:r>
      <w:r>
        <w:instrText xml:space="preserve"> HYPERLINK "https://baike.baidu.com/item/%E9%9B%8C%E9%9B%84%E5%BC%82%E6%A0%AA/10102253" \t "_blank" </w:instrText>
      </w:r>
      <w: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雌雄异株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t>；雄佛焰苞圆锥形，长1-1.5厘米，宽5-8毫米，内含雄花300-800朵；佛焰苞梗长2-6厘米；雄花小；萼片3，不等大；花瓣2，呈膜状体，着生于花丝基部；雄蕊2，向上斜展，花丝基部无毛；花粉粒白色，球形，无萌发孔，表面有小刺和颗粒状凸起；雌佛焰苞扁筒形，长1-2厘米，先端2裂，裂片3角形，苞内雌花1朵；佛焰苞梗纤长，受精后卷曲；雌花萼片3，矩圆形，长约4毫米，宽约2毫米，先端圆钝；花瓣3，极小；花柱3，深2裂，裂缝基部具退化雄蕊；子房下位，三棱状圆柱形；胚珠多数，直立，厚珠心型，内珠被长于外珠被，有翅状附属物。果实三棱状圆柱形，长8-20厘米，宽4-7毫米，棱上有刺。种子多数，倒卵形，具2-5翅。花期8-10月。</w:t>
      </w:r>
    </w:p>
    <w:p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7" w:name="_Toc93307343"/>
      <w:r>
        <w:rPr>
          <w:rFonts w:hint="eastAsia" w:ascii="Times New Roman" w:hAnsi="Times New Roman" w:eastAsia="黑体" w:cs="Times New Roman"/>
          <w:sz w:val="24"/>
          <w:szCs w:val="24"/>
        </w:rPr>
        <w:t>1</w:t>
      </w:r>
      <w:r>
        <w:rPr>
          <w:rFonts w:ascii="Times New Roman" w:hAnsi="Times New Roman" w:eastAsia="黑体" w:cs="Times New Roman"/>
          <w:sz w:val="24"/>
          <w:szCs w:val="24"/>
        </w:rPr>
        <w:t>.2.3 密刺苦草</w:t>
      </w:r>
      <w:bookmarkEnd w:id="7"/>
    </w:p>
    <w:p>
      <w:pPr>
        <w:spacing w:line="360" w:lineRule="auto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Times New Roman" w:hAnsi="Times New Roman" w:eastAsia="宋体" w:cs="Times New Roman"/>
          <w:sz w:val="24"/>
          <w:szCs w:val="24"/>
        </w:rPr>
        <w:t>多年生沉</w:t>
      </w:r>
      <w:r>
        <w:fldChar w:fldCharType="begin"/>
      </w:r>
      <w:r>
        <w:instrText xml:space="preserve"> HYPERLINK "https://baike.baidu.com/item/%E6%B0%B4%E8%8D%89" \t "_blank" </w:instrText>
      </w:r>
      <w: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水草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t>本。须根多数。根茎直，褐色，长1-6厘米，径4-6毫米。常从叶腋发出匍匐茎，黄白色，径约3毫米，节间长5-20厘米，表面具微刺，节上生根和叶。叶基生，线形，深绿色，长20-70厘米，宽6-12毫米，自先端向基部逐渐变窄，叶端圆钝或急尖，叶基略呈鞘状，叶缘具密钩刺；主脉3，明显平行，此外尚有平行细脉多条及横脉。</w:t>
      </w:r>
      <w:r>
        <w:fldChar w:fldCharType="begin"/>
      </w:r>
      <w:r>
        <w:instrText xml:space="preserve"> HYPERLINK "https://baike.baidu.com/item/%E9%9B%8C%E9%9B%84%E5%BC%82%E6%A0%AA/10102253" \t "_blank" </w:instrText>
      </w:r>
      <w: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雌雄异株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t>；雄佛焰苞三角形，扁平，长1-1.5厘米，宽约6毫米，内含雄花多数；佛焰苞梗长2-3厘米；雄花小，萼片3，反卷，雄蕊2枚；花粉粒球形；雌佛焰苞圆筒状，两侧压扁，长1.5-2厘米，先端2裂，裂片圆钝，苞内雌花1朵；佛焰苞梗纤细，长度多与水深成正相关；雌花各部具紫色斑纹；萼片3，卵状匙形，长约3毫米，宽约2毫米，先端急尖，稍内卷；雌蕊1枚；柱头3，顶端2裂，长约3.5毫米，宽约2毫米，基部有紫色斑纹；子房下位，三棱状圆柱形，1室；胚珠多数，直立，珠被双层，近等长，无翅状附属物。果三棱状圆棱形。种子多数，无翅。花期9-10月。</w:t>
      </w:r>
    </w:p>
    <w:p>
      <w:pPr>
        <w:pStyle w:val="3"/>
        <w:rPr>
          <w:rFonts w:ascii="Times New Roman" w:hAnsi="Times New Roman" w:eastAsia="黑体" w:cs="Times New Roman"/>
          <w:sz w:val="24"/>
          <w:szCs w:val="24"/>
        </w:rPr>
      </w:pPr>
      <w:bookmarkStart w:id="8" w:name="_Toc93307344"/>
      <w:r>
        <w:rPr>
          <w:rFonts w:ascii="Times New Roman" w:hAnsi="Times New Roman" w:eastAsia="黑体" w:cs="Times New Roman"/>
          <w:sz w:val="24"/>
          <w:szCs w:val="24"/>
        </w:rPr>
        <w:t>1.3  产地及分布</w:t>
      </w:r>
      <w:bookmarkEnd w:id="8"/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苦草属植物</w:t>
      </w:r>
      <w:r>
        <w:rPr>
          <w:rFonts w:ascii="Times New Roman" w:hAnsi="Times New Roman" w:eastAsia="宋体" w:cs="Times New Roman"/>
          <w:sz w:val="24"/>
          <w:szCs w:val="24"/>
        </w:rPr>
        <w:t>生于溪沟、河流、池塘、湖泊之中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尤以热带、亚热带和暖温带多见</w:t>
      </w:r>
      <w:r>
        <w:rPr>
          <w:rFonts w:hint="eastAsia" w:ascii="Times New Roman" w:hAnsi="Times New Roman" w:eastAsia="宋体" w:cs="Times New Roman"/>
          <w:sz w:val="24"/>
          <w:szCs w:val="24"/>
        </w:rPr>
        <w:t>，分布于伊拉克、印度、中南半岛、日本、马来西亚和澳大利亚以及中国的多个省区（</w:t>
      </w:r>
      <w:r>
        <w:rPr>
          <w:rFonts w:ascii="Times New Roman" w:hAnsi="Times New Roman" w:eastAsia="宋体" w:cs="Times New Roman"/>
          <w:sz w:val="24"/>
          <w:szCs w:val="24"/>
        </w:rPr>
        <w:t>吉林、河北、陕西、山东、江苏、安徽、浙江、江西、福建、台湾、湖北、湖南、广东、广西、四川、贵州、云南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pStyle w:val="3"/>
        <w:rPr>
          <w:rFonts w:ascii="Times New Roman" w:hAnsi="Times New Roman" w:eastAsia="黑体" w:cs="Times New Roman"/>
          <w:sz w:val="24"/>
          <w:szCs w:val="24"/>
        </w:rPr>
      </w:pPr>
      <w:bookmarkStart w:id="9" w:name="_Toc93307345"/>
      <w:r>
        <w:rPr>
          <w:rFonts w:ascii="Times New Roman" w:hAnsi="Times New Roman" w:eastAsia="黑体" w:cs="Times New Roman"/>
          <w:sz w:val="24"/>
          <w:szCs w:val="24"/>
        </w:rPr>
        <w:t>1.4  生活史</w:t>
      </w:r>
      <w:bookmarkEnd w:id="9"/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是多年生草本，分布在亚热带地区的苦草，冬季地上部分死亡，以冬芽或种子越冬，春季从冬芽或种子开始萌发，且随气温上升开始缓慢生长，夏季为其快速生长期，最大生物量一般在9月份出现。开花期是5-8月，结果期为8-10月。</w:t>
      </w:r>
    </w:p>
    <w:p>
      <w:pPr>
        <w:pStyle w:val="3"/>
        <w:rPr>
          <w:rFonts w:ascii="Times New Roman" w:hAnsi="Times New Roman" w:eastAsia="黑体" w:cs="Times New Roman"/>
          <w:sz w:val="24"/>
          <w:szCs w:val="24"/>
        </w:rPr>
      </w:pPr>
      <w:bookmarkStart w:id="10" w:name="_Toc93307346"/>
      <w:r>
        <w:rPr>
          <w:rFonts w:ascii="Times New Roman" w:hAnsi="Times New Roman" w:eastAsia="黑体" w:cs="Times New Roman"/>
          <w:sz w:val="24"/>
          <w:szCs w:val="24"/>
        </w:rPr>
        <w:t>1.5  繁殖方式</w:t>
      </w:r>
      <w:bookmarkEnd w:id="10"/>
    </w:p>
    <w:p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11" w:name="_Toc93307347"/>
      <w:r>
        <w:rPr>
          <w:rFonts w:ascii="Times New Roman" w:hAnsi="Times New Roman" w:eastAsia="黑体" w:cs="Times New Roman"/>
          <w:sz w:val="24"/>
          <w:szCs w:val="24"/>
        </w:rPr>
        <w:t>1.5.1  繁殖方式的选择</w:t>
      </w:r>
      <w:bookmarkEnd w:id="11"/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不同苦草其繁殖方式略有不同，比较刺苦草和苦草时发现：刺苦草为多年生，以无性繁殖为主，少量进行有性繁殖；而苦草以有性繁殖为主。刺苦草冬芽苗 (无性繁殖器官) 比苦草有性苗更有竞争优势，而苦草有性苗比刺苦草有性苗更有竞争优势。这种繁殖方式的对策，使两个近缘种得以共存。</w:t>
      </w:r>
    </w:p>
    <w:p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12" w:name="_Toc93307348"/>
      <w:r>
        <w:rPr>
          <w:rFonts w:ascii="Times New Roman" w:hAnsi="Times New Roman" w:eastAsia="黑体" w:cs="Times New Roman"/>
          <w:sz w:val="24"/>
          <w:szCs w:val="24"/>
        </w:rPr>
        <w:t>1.5.2  无性繁殖</w:t>
      </w:r>
      <w:bookmarkEnd w:id="12"/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苦草冬芽的第2节间在春天形成一个或两个根状茎，并快速形成致密的丝状体幼芽，幼芽向上萌发绿叶；向下长出须状根形成苦草母株，又可再生出匍匐茎形成子株和根茎网络。</w:t>
      </w:r>
    </w:p>
    <w:p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13" w:name="_Toc93307349"/>
      <w:r>
        <w:rPr>
          <w:rFonts w:ascii="Times New Roman" w:hAnsi="Times New Roman" w:eastAsia="黑体" w:cs="Times New Roman"/>
          <w:sz w:val="24"/>
          <w:szCs w:val="24"/>
        </w:rPr>
        <w:t>1.5.3  有性繁殖</w:t>
      </w:r>
      <w:bookmarkEnd w:id="13"/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为雌雄异株，雄花小、量大，每株雄株产生花粉约47万粒，一天内释放花粉两次；雌花花柄的高矮常与水深正相关，有利于遇到雄花受粉，完成受粉后花柄螺旋状收回，在水下发育成果实，在晚夏或早秋，部分果实破裂，释放种子。</w:t>
      </w:r>
    </w:p>
    <w:p>
      <w:pPr>
        <w:pStyle w:val="3"/>
        <w:rPr>
          <w:rFonts w:ascii="Times New Roman" w:hAnsi="Times New Roman" w:eastAsia="黑体" w:cs="Times New Roman"/>
          <w:sz w:val="24"/>
          <w:szCs w:val="24"/>
        </w:rPr>
      </w:pPr>
      <w:bookmarkStart w:id="14" w:name="_Toc93307350"/>
      <w:r>
        <w:rPr>
          <w:rFonts w:ascii="Times New Roman" w:hAnsi="Times New Roman" w:eastAsia="黑体" w:cs="Times New Roman"/>
          <w:sz w:val="24"/>
          <w:szCs w:val="24"/>
        </w:rPr>
        <w:t>1.6  繁殖苗的类型</w:t>
      </w:r>
      <w:bookmarkEnd w:id="14"/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714"/>
        <w:gridCol w:w="5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40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来源</w:t>
            </w:r>
          </w:p>
        </w:tc>
        <w:tc>
          <w:tcPr>
            <w:tcW w:w="518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40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实生苗</w:t>
            </w:r>
          </w:p>
        </w:tc>
        <w:tc>
          <w:tcPr>
            <w:tcW w:w="17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种子</w:t>
            </w:r>
          </w:p>
        </w:tc>
        <w:tc>
          <w:tcPr>
            <w:tcW w:w="518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一般具有根系发达、生活力强盛、可塑性大、寿命长 等特点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140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冬芽苗</w:t>
            </w:r>
          </w:p>
        </w:tc>
        <w:tc>
          <w:tcPr>
            <w:tcW w:w="17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无性繁殖器官</w:t>
            </w:r>
          </w:p>
        </w:tc>
        <w:tc>
          <w:tcPr>
            <w:tcW w:w="518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由冬芽萌发幼芽所形成的母株，能快速形成群丛，具有适应能力强的特点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40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分株苗</w:t>
            </w:r>
          </w:p>
        </w:tc>
        <w:tc>
          <w:tcPr>
            <w:tcW w:w="17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匍匐茎</w:t>
            </w:r>
          </w:p>
        </w:tc>
        <w:tc>
          <w:tcPr>
            <w:tcW w:w="518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由母株生出的匍匐茎所形成的子株，具有繁殖速度快，能快速建群等特点</w:t>
            </w:r>
          </w:p>
        </w:tc>
      </w:tr>
    </w:tbl>
    <w:p>
      <w:pPr>
        <w:pStyle w:val="3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15" w:name="_Toc93307351"/>
      <w:r>
        <w:rPr>
          <w:rFonts w:ascii="Times New Roman" w:hAnsi="Times New Roman" w:eastAsia="黑体" w:cs="Times New Roman"/>
          <w:sz w:val="24"/>
          <w:szCs w:val="24"/>
        </w:rPr>
        <w:t>1.7  用途</w:t>
      </w:r>
      <w:bookmarkEnd w:id="15"/>
    </w:p>
    <w:p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苦草是湿地生态修复</w:t>
      </w:r>
      <w:r>
        <w:rPr>
          <w:rFonts w:hint="eastAsia" w:ascii="Times New Roman" w:hAnsi="Times New Roman" w:eastAsia="宋体" w:cs="Times New Roman"/>
          <w:sz w:val="24"/>
          <w:szCs w:val="24"/>
        </w:rPr>
        <w:t>和重建、农业</w:t>
      </w:r>
      <w:r>
        <w:rPr>
          <w:rFonts w:ascii="Times New Roman" w:hAnsi="Times New Roman" w:eastAsia="宋体" w:cs="Times New Roman"/>
          <w:sz w:val="24"/>
          <w:szCs w:val="24"/>
        </w:rPr>
        <w:t>面源污水湿地生态处理中应用最为</w:t>
      </w:r>
      <w:r>
        <w:rPr>
          <w:rFonts w:hint="eastAsia" w:ascii="Times New Roman" w:hAnsi="Times New Roman" w:eastAsia="宋体" w:cs="Times New Roman"/>
          <w:sz w:val="24"/>
          <w:szCs w:val="24"/>
        </w:rPr>
        <w:t>广泛</w:t>
      </w:r>
      <w:r>
        <w:rPr>
          <w:rFonts w:ascii="Times New Roman" w:hAnsi="Times New Roman" w:eastAsia="宋体" w:cs="Times New Roman"/>
          <w:sz w:val="24"/>
          <w:szCs w:val="24"/>
        </w:rPr>
        <w:t>的</w:t>
      </w:r>
      <w:r>
        <w:rPr>
          <w:rFonts w:hint="eastAsia" w:ascii="Times New Roman" w:hAnsi="Times New Roman" w:eastAsia="宋体" w:cs="Times New Roman"/>
          <w:sz w:val="24"/>
          <w:szCs w:val="24"/>
        </w:rPr>
        <w:t>沉水</w:t>
      </w:r>
      <w:r>
        <w:rPr>
          <w:rFonts w:ascii="Times New Roman" w:hAnsi="Times New Roman" w:eastAsia="宋体" w:cs="Times New Roman"/>
          <w:sz w:val="24"/>
          <w:szCs w:val="24"/>
        </w:rPr>
        <w:t>植物。由于受到水深、气温、光照、水质、土壤基质、溶解氧、盐度和竞争等其他等因素的影响, 导致苦草的生长和应用受到一定的限制, 在特殊环境下的工程应用应搭配其他先锋植物使用。</w:t>
      </w:r>
    </w:p>
    <w:p>
      <w:pPr>
        <w:pStyle w:val="2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16" w:name="_Toc93307352"/>
      <w:r>
        <w:rPr>
          <w:rFonts w:ascii="Times New Roman" w:hAnsi="Times New Roman" w:eastAsia="黑体" w:cs="Times New Roman"/>
          <w:sz w:val="24"/>
          <w:szCs w:val="24"/>
        </w:rPr>
        <w:t>2  范围</w:t>
      </w:r>
      <w:bookmarkEnd w:id="16"/>
      <w:r>
        <w:rPr>
          <w:rFonts w:ascii="Times New Roman" w:hAnsi="Times New Roman" w:eastAsia="黑体" w:cs="Times New Roman"/>
          <w:sz w:val="24"/>
          <w:szCs w:val="24"/>
        </w:rPr>
        <w:t xml:space="preserve"> </w:t>
      </w:r>
    </w:p>
    <w:p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本标准规定了苦草种苗的术语和定义、分级要求、检验方法、检验规则。</w:t>
      </w:r>
    </w:p>
    <w:p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本标准适用于指导湿地生态修复中苦草种苗的选择工作。</w:t>
      </w:r>
    </w:p>
    <w:p>
      <w:pPr>
        <w:pStyle w:val="2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17" w:name="_Toc93307353"/>
      <w:r>
        <w:rPr>
          <w:rFonts w:ascii="Times New Roman" w:hAnsi="Times New Roman" w:eastAsia="黑体" w:cs="Times New Roman"/>
          <w:sz w:val="24"/>
          <w:szCs w:val="24"/>
        </w:rPr>
        <w:t>3  规范性引用文件</w:t>
      </w:r>
      <w:bookmarkEnd w:id="17"/>
      <w:r>
        <w:rPr>
          <w:rFonts w:ascii="Times New Roman" w:hAnsi="Times New Roman" w:eastAsia="黑体" w:cs="Times New Roman"/>
          <w:sz w:val="24"/>
          <w:szCs w:val="24"/>
        </w:rPr>
        <w:t xml:space="preserve"> </w:t>
      </w:r>
    </w:p>
    <w:p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GB 191 包装储运图示标志</w:t>
      </w:r>
    </w:p>
    <w:p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GB 6000-1999 主要造林树种苗木质量分级</w:t>
      </w:r>
    </w:p>
    <w:p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DB 13/T 2224—2015 中药材种苗质量标准 祁菊</w:t>
      </w:r>
    </w:p>
    <w:p>
      <w:pPr>
        <w:pStyle w:val="2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18" w:name="_Toc93307354"/>
      <w:r>
        <w:rPr>
          <w:rFonts w:ascii="Times New Roman" w:hAnsi="Times New Roman" w:eastAsia="黑体" w:cs="Times New Roman"/>
          <w:sz w:val="24"/>
          <w:szCs w:val="24"/>
        </w:rPr>
        <w:t>4  术语和定义</w:t>
      </w:r>
      <w:bookmarkEnd w:id="18"/>
    </w:p>
    <w:p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下列术语和定义适用于本文件。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19" w:name="_Toc93307355"/>
      <w:r>
        <w:rPr>
          <w:rFonts w:ascii="Times New Roman" w:hAnsi="Times New Roman" w:eastAsia="黑体" w:cs="Times New Roman"/>
          <w:sz w:val="24"/>
          <w:szCs w:val="24"/>
        </w:rPr>
        <w:t xml:space="preserve">4.1  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株高  plant height</w:t>
      </w:r>
      <w:bookmarkEnd w:id="19"/>
    </w:p>
    <w:p>
      <w:pPr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苦草种苗在自然生长状态下，从根、茎结合部至种苗顶芽的垂直高度，单位cm。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0" w:name="_Toc93307356"/>
      <w:r>
        <w:rPr>
          <w:rFonts w:ascii="Times New Roman" w:hAnsi="Times New Roman" w:eastAsia="黑体" w:cs="Times New Roman"/>
          <w:sz w:val="24"/>
          <w:szCs w:val="24"/>
        </w:rPr>
        <w:t xml:space="preserve">4.2  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鲜重  fresh weight</w:t>
      </w:r>
      <w:bookmarkEnd w:id="20"/>
    </w:p>
    <w:p>
      <w:pPr>
        <w:snapToGrid w:val="0"/>
        <w:spacing w:line="360" w:lineRule="auto"/>
        <w:ind w:firstLine="480" w:firstLineChars="200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苦草种苗自然生长状态下的质量，单位g。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1" w:name="_Toc93307357"/>
      <w:r>
        <w:rPr>
          <w:rFonts w:ascii="Times New Roman" w:hAnsi="Times New Roman" w:eastAsia="黑体" w:cs="Times New Roman"/>
          <w:sz w:val="24"/>
          <w:szCs w:val="24"/>
        </w:rPr>
        <w:t xml:space="preserve">4.3  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 xml:space="preserve">根系长度 </w:t>
      </w: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root length</w:t>
      </w:r>
      <w:bookmarkEnd w:id="21"/>
    </w:p>
    <w:p>
      <w:pPr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苦草种苗茎基部至根系自然下垂的最下端的长度，单位cm。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2" w:name="_Toc93307358"/>
      <w:r>
        <w:rPr>
          <w:rFonts w:ascii="Times New Roman" w:hAnsi="Times New Roman" w:eastAsia="黑体" w:cs="Times New Roman"/>
          <w:sz w:val="24"/>
          <w:szCs w:val="24"/>
        </w:rPr>
        <w:t xml:space="preserve">4.4  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根系数量  root quantity</w:t>
      </w:r>
      <w:bookmarkEnd w:id="22"/>
    </w:p>
    <w:p>
      <w:pPr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苦草种苗根系总数量，单位个。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3" w:name="_Toc93307359"/>
      <w:r>
        <w:rPr>
          <w:rFonts w:ascii="Times New Roman" w:hAnsi="Times New Roman" w:eastAsia="黑体" w:cs="Times New Roman"/>
          <w:sz w:val="24"/>
          <w:szCs w:val="24"/>
        </w:rPr>
        <w:t xml:space="preserve">4.5  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基径  basal diameter</w:t>
      </w:r>
      <w:bookmarkEnd w:id="23"/>
    </w:p>
    <w:p>
      <w:pPr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苦草种苗基部与根系结合处的最大直径，单位cm。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4" w:name="_Toc93307360"/>
      <w:r>
        <w:rPr>
          <w:rFonts w:ascii="Times New Roman" w:hAnsi="Times New Roman" w:eastAsia="黑体" w:cs="Times New Roman"/>
          <w:sz w:val="24"/>
          <w:szCs w:val="24"/>
        </w:rPr>
        <w:t xml:space="preserve">4.6  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分蘖  tiller</w:t>
      </w:r>
      <w:bookmarkEnd w:id="24"/>
    </w:p>
    <w:p>
      <w:pPr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苦草种苗在基部与根系结合处所发生的分枝，单位个。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5" w:name="_Toc93307361"/>
      <w:r>
        <w:rPr>
          <w:rFonts w:ascii="Times New Roman" w:hAnsi="Times New Roman" w:eastAsia="黑体" w:cs="Times New Roman"/>
          <w:sz w:val="24"/>
          <w:szCs w:val="24"/>
        </w:rPr>
        <w:t xml:space="preserve">4.7  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间隔子</w:t>
      </w:r>
      <w:r>
        <w:rPr>
          <w:rFonts w:ascii="Times New Roman" w:hAnsi="Times New Roman" w:eastAsia="黑体" w:cs="Times New Roman"/>
          <w:sz w:val="24"/>
          <w:szCs w:val="24"/>
        </w:rPr>
        <w:t xml:space="preserve">  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spacer</w:t>
      </w:r>
      <w:bookmarkEnd w:id="25"/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 xml:space="preserve"> </w:t>
      </w:r>
    </w:p>
    <w:p>
      <w:pPr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苦草种苗</w:t>
      </w:r>
      <w:r>
        <w:rPr>
          <w:rFonts w:hint="eastAsia" w:ascii="Times New Roman" w:hAnsi="Times New Roman" w:eastAsia="宋体" w:cs="Times New Roman"/>
          <w:sz w:val="24"/>
          <w:szCs w:val="24"/>
        </w:rPr>
        <w:t>上连接相继摄食位点的横生结构</w:t>
      </w:r>
      <w:r>
        <w:rPr>
          <w:rFonts w:ascii="Times New Roman" w:hAnsi="Times New Roman" w:eastAsia="宋体" w:cs="Times New Roman"/>
          <w:sz w:val="24"/>
          <w:szCs w:val="24"/>
        </w:rPr>
        <w:t>, 常为分株间的连接结构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单位个。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6" w:name="_Toc93307362"/>
      <w:r>
        <w:rPr>
          <w:rFonts w:ascii="Times New Roman" w:hAnsi="Times New Roman" w:eastAsia="黑体" w:cs="Times New Roman"/>
          <w:sz w:val="24"/>
          <w:szCs w:val="24"/>
        </w:rPr>
        <w:t xml:space="preserve">4.8  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</w:rPr>
        <w:t>间隔子长度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 xml:space="preserve">spacer </w:t>
      </w: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</w:rPr>
        <w:t>length</w:t>
      </w:r>
      <w:bookmarkEnd w:id="26"/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 xml:space="preserve"> 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苦草种苗间隔子之间的长度</w:t>
      </w:r>
      <w:r>
        <w:rPr>
          <w:rFonts w:ascii="Times New Roman" w:hAnsi="Times New Roman" w:eastAsia="宋体" w:cs="Times New Roman"/>
          <w:sz w:val="24"/>
          <w:szCs w:val="24"/>
        </w:rPr>
        <w:t>，单位cm。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7" w:name="_Toc93307363"/>
      <w:r>
        <w:rPr>
          <w:rFonts w:ascii="Times New Roman" w:hAnsi="Times New Roman" w:eastAsia="黑体" w:cs="Times New Roman"/>
          <w:sz w:val="24"/>
          <w:szCs w:val="24"/>
        </w:rPr>
        <w:t xml:space="preserve">4.9  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</w:rPr>
        <w:t>叶片数b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lade number</w:t>
      </w:r>
      <w:bookmarkEnd w:id="27"/>
    </w:p>
    <w:p>
      <w:pPr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苦草种苗叶片数量，单位个。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8" w:name="_Toc93307364"/>
      <w:r>
        <w:rPr>
          <w:rFonts w:ascii="Times New Roman" w:hAnsi="Times New Roman" w:eastAsia="黑体" w:cs="Times New Roman"/>
          <w:sz w:val="24"/>
          <w:szCs w:val="24"/>
        </w:rPr>
        <w:t xml:space="preserve">4.10  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实生苗</w:t>
      </w:r>
      <w:r>
        <w:rPr>
          <w:rFonts w:ascii="Times New Roman" w:hAnsi="Times New Roman" w:eastAsia="黑体" w:cs="Times New Roman"/>
          <w:sz w:val="24"/>
          <w:szCs w:val="24"/>
        </w:rPr>
        <w:t xml:space="preserve">  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seedling</w:t>
      </w:r>
      <w:bookmarkEnd w:id="28"/>
    </w:p>
    <w:p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   实生苗是直接由</w:t>
      </w:r>
      <w:r>
        <w:rPr>
          <w:rFonts w:hint="eastAsia" w:ascii="Times New Roman" w:hAnsi="Times New Roman" w:eastAsia="宋体" w:cs="Times New Roman"/>
          <w:sz w:val="24"/>
          <w:szCs w:val="24"/>
        </w:rPr>
        <w:t>苦草</w:t>
      </w:r>
      <w:r>
        <w:rPr>
          <w:rFonts w:ascii="Times New Roman" w:hAnsi="Times New Roman" w:eastAsia="宋体" w:cs="Times New Roman"/>
          <w:sz w:val="24"/>
          <w:szCs w:val="24"/>
        </w:rPr>
        <w:t>种子繁殖的苗木，单位株。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9" w:name="_Toc93307365"/>
      <w:r>
        <w:rPr>
          <w:rFonts w:ascii="Times New Roman" w:hAnsi="Times New Roman" w:eastAsia="黑体" w:cs="Times New Roman"/>
          <w:sz w:val="24"/>
          <w:szCs w:val="24"/>
        </w:rPr>
        <w:t xml:space="preserve">4.11  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color w:val="FF0000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冬芽苗</w:t>
      </w:r>
      <w:r>
        <w:rPr>
          <w:rFonts w:ascii="Times New Roman" w:hAnsi="Times New Roman" w:eastAsia="黑体" w:cs="Times New Roman"/>
          <w:sz w:val="24"/>
          <w:szCs w:val="24"/>
        </w:rPr>
        <w:t xml:space="preserve">  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winter seedling</w:t>
      </w:r>
      <w:bookmarkEnd w:id="29"/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 xml:space="preserve"> </w:t>
      </w:r>
    </w:p>
    <w:p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由苦草无性繁殖器官冬芽萌发形成的丝状体幼芽长成的母株，单位株。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30" w:name="_Toc93307366"/>
      <w:r>
        <w:rPr>
          <w:rFonts w:ascii="Times New Roman" w:hAnsi="Times New Roman" w:eastAsia="黑体" w:cs="Times New Roman"/>
          <w:sz w:val="24"/>
          <w:szCs w:val="24"/>
        </w:rPr>
        <w:t xml:space="preserve">4.12  </w:t>
      </w:r>
    </w:p>
    <w:p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color w:val="FF0000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分株苗</w:t>
      </w:r>
      <w:r>
        <w:rPr>
          <w:rFonts w:hint="eastAsia" w:ascii="Times New Roman" w:hAnsi="Times New Roman" w:eastAsia="黑体" w:cs="Times New Roman"/>
          <w:b w:val="0"/>
          <w:bCs w:val="0"/>
          <w:color w:val="FF0000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division</w:t>
      </w: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</w:rPr>
        <w:t>a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l seedling</w:t>
      </w:r>
      <w:bookmarkEnd w:id="30"/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 xml:space="preserve"> 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分株</w:t>
      </w:r>
      <w:r>
        <w:rPr>
          <w:rFonts w:hint="eastAsia" w:ascii="Times New Roman" w:hAnsi="Times New Roman" w:eastAsia="宋体" w:cs="Times New Roman"/>
          <w:sz w:val="24"/>
          <w:szCs w:val="24"/>
        </w:rPr>
        <w:t>苗是</w:t>
      </w:r>
      <w:r>
        <w:rPr>
          <w:rFonts w:ascii="Times New Roman" w:hAnsi="Times New Roman" w:eastAsia="宋体" w:cs="Times New Roman"/>
          <w:sz w:val="24"/>
          <w:szCs w:val="24"/>
        </w:rPr>
        <w:t>将</w:t>
      </w:r>
      <w:r>
        <w:rPr>
          <w:rFonts w:hint="eastAsia" w:ascii="Times New Roman" w:hAnsi="Times New Roman" w:eastAsia="宋体" w:cs="Times New Roman"/>
          <w:sz w:val="24"/>
          <w:szCs w:val="24"/>
        </w:rPr>
        <w:t>苦草</w:t>
      </w:r>
      <w:r>
        <w:rPr>
          <w:rFonts w:ascii="Times New Roman" w:hAnsi="Times New Roman" w:eastAsia="宋体" w:cs="Times New Roman"/>
          <w:sz w:val="24"/>
          <w:szCs w:val="24"/>
        </w:rPr>
        <w:t>的</w:t>
      </w:r>
      <w:r>
        <w:rPr>
          <w:rFonts w:hint="eastAsia" w:ascii="Times New Roman" w:hAnsi="Times New Roman" w:eastAsia="宋体" w:cs="Times New Roman"/>
          <w:sz w:val="24"/>
          <w:szCs w:val="24"/>
        </w:rPr>
        <w:t>匍匐茎</w:t>
      </w:r>
      <w:r>
        <w:rPr>
          <w:rFonts w:ascii="Times New Roman" w:hAnsi="Times New Roman" w:eastAsia="宋体" w:cs="Times New Roman"/>
          <w:sz w:val="24"/>
          <w:szCs w:val="24"/>
        </w:rPr>
        <w:t>从母株上分割下来，另行栽植</w:t>
      </w:r>
      <w:r>
        <w:rPr>
          <w:rFonts w:hint="eastAsia" w:ascii="Times New Roman" w:hAnsi="Times New Roman" w:eastAsia="宋体" w:cs="Times New Roman"/>
          <w:sz w:val="24"/>
          <w:szCs w:val="24"/>
        </w:rPr>
        <w:t>的</w:t>
      </w:r>
      <w:r>
        <w:rPr>
          <w:rFonts w:ascii="Times New Roman" w:hAnsi="Times New Roman" w:eastAsia="宋体" w:cs="Times New Roman"/>
          <w:sz w:val="24"/>
          <w:szCs w:val="24"/>
        </w:rPr>
        <w:t>独立新植株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单位株。</w:t>
      </w:r>
    </w:p>
    <w:p>
      <w:pPr>
        <w:pStyle w:val="2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31" w:name="_Toc93307367"/>
      <w:r>
        <w:rPr>
          <w:rFonts w:ascii="Times New Roman" w:hAnsi="Times New Roman" w:eastAsia="黑体" w:cs="Times New Roman"/>
          <w:sz w:val="24"/>
          <w:szCs w:val="24"/>
        </w:rPr>
        <w:t>5  种苗要求</w:t>
      </w:r>
      <w:bookmarkEnd w:id="31"/>
    </w:p>
    <w:p>
      <w:pPr>
        <w:pStyle w:val="3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32" w:name="_Toc93307368"/>
      <w:r>
        <w:rPr>
          <w:rFonts w:ascii="Times New Roman" w:hAnsi="Times New Roman" w:eastAsia="黑体" w:cs="Times New Roman"/>
          <w:sz w:val="24"/>
          <w:szCs w:val="24"/>
        </w:rPr>
        <w:t>5.1  外观要求</w:t>
      </w:r>
      <w:bookmarkEnd w:id="32"/>
    </w:p>
    <w:p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种苗生长健壮，叶片鲜绿色，根系完整，无枯黄叶，无病虫害，无机械损伤。</w:t>
      </w:r>
    </w:p>
    <w:p>
      <w:pPr>
        <w:pStyle w:val="3"/>
        <w:rPr>
          <w:rFonts w:ascii="Times New Roman" w:hAnsi="Times New Roman" w:eastAsia="黑体" w:cs="Times New Roman"/>
          <w:sz w:val="24"/>
          <w:szCs w:val="24"/>
        </w:rPr>
      </w:pPr>
      <w:bookmarkStart w:id="33" w:name="_Toc93307369"/>
      <w:r>
        <w:rPr>
          <w:rFonts w:ascii="Times New Roman" w:hAnsi="Times New Roman" w:eastAsia="黑体" w:cs="Times New Roman"/>
          <w:sz w:val="24"/>
          <w:szCs w:val="24"/>
        </w:rPr>
        <w:t>5.2  分级要求</w:t>
      </w:r>
      <w:bookmarkEnd w:id="33"/>
    </w:p>
    <w:p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将三种苦草（苦草、密刺苦草、刺苦草）的种苗</w:t>
      </w:r>
      <w:r>
        <w:rPr>
          <w:rFonts w:ascii="Times New Roman" w:hAnsi="Times New Roman" w:eastAsia="宋体" w:cs="Times New Roman"/>
          <w:sz w:val="24"/>
          <w:szCs w:val="24"/>
        </w:rPr>
        <w:t>依照株高（cm）、鲜重(g)、根系长度(cm)、根系数量(个)、基径(cm)、分蘖(个)、间隔子(个)划分为三级。低于三级的不能作为商品种苗使用。种苗分级指标见表1</w:t>
      </w:r>
      <w:r>
        <w:rPr>
          <w:rFonts w:hint="eastAsia" w:ascii="Times New Roman" w:hAnsi="Times New Roman" w:eastAsia="宋体" w:cs="Times New Roman"/>
          <w:sz w:val="24"/>
          <w:szCs w:val="24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~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hint="eastAsia" w:ascii="Times New Roman" w:hAnsi="Times New Roman" w:eastAsia="宋体" w:cs="Times New Roman"/>
          <w:sz w:val="24"/>
          <w:szCs w:val="24"/>
        </w:rPr>
        <w:t>：表1-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为苦草种苗分级指标；表1-</w:t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为密刺苦草种苗分级指标；表1-</w:t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hint="eastAsia" w:ascii="Times New Roman" w:hAnsi="Times New Roman" w:eastAsia="宋体" w:cs="Times New Roman"/>
          <w:sz w:val="24"/>
          <w:szCs w:val="24"/>
        </w:rPr>
        <w:t>为刺苦草种苗分级指标。</w:t>
      </w:r>
    </w:p>
    <w:p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before="156" w:beforeLines="50"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sz w:val="24"/>
          <w:szCs w:val="24"/>
        </w:rPr>
      </w:pPr>
    </w:p>
    <w:p>
      <w:pPr>
        <w:spacing w:before="156" w:beforeLines="50" w:line="360" w:lineRule="auto"/>
        <w:ind w:firstLine="482" w:firstLineChars="200"/>
        <w:jc w:val="center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表1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-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1 苦草种苗分级指标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870"/>
        <w:gridCol w:w="1671"/>
        <w:gridCol w:w="1671"/>
        <w:gridCol w:w="1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413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类型</w:t>
            </w: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指标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一级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二级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实生苗</w:t>
            </w: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20-25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15-19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&lt;15、&gt;25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9-10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&lt;5、&gt;10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14-16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10-14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&lt;10、&gt;16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&gt;80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40-80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&gt;0.9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0.5-0.9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分蘖(个)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≥8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5-7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冬芽苗</w:t>
            </w: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20-25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15-19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&lt;15、&gt;25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8-9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14-16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10-14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&lt;10、&gt;16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&gt;90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60-90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&gt;1.0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0.6-1.0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分蘖(个)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≥15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8-14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6-9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分株苗</w:t>
            </w: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20-25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10-20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&lt;10、&gt;25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&gt;8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6-8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10-12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8-10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&lt;8、&gt;12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&gt;70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50-70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&gt;0.9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0.7-0.9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≥5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3-4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≤2</w:t>
            </w:r>
          </w:p>
        </w:tc>
      </w:tr>
    </w:tbl>
    <w:p>
      <w:pPr>
        <w:spacing w:before="156" w:beforeLines="50" w:line="360" w:lineRule="auto"/>
        <w:ind w:firstLine="482" w:firstLineChars="200"/>
        <w:jc w:val="center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表1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-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 xml:space="preserve">2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密刺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苦草种苗分级指标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870"/>
        <w:gridCol w:w="1671"/>
        <w:gridCol w:w="1671"/>
        <w:gridCol w:w="1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413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类型</w:t>
            </w: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指标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一级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二级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实生苗</w:t>
            </w: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17-22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12-16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&lt;12、&gt;22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8-9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4-8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&lt;4、&gt;9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13-16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12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&lt;8、&gt;16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&gt;80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40-80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&gt;0.8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0.4-0.8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分蘖(个)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≥12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7-11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冬芽苗</w:t>
            </w: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17-22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12-16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&lt;12、&gt;22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&gt;8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7-8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13-16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12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&lt;8、&gt;16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&gt;90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60-90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&gt;1.0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0.6-1.0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分蘖(个)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≥17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9-16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≥12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6-11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分株苗</w:t>
            </w: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19-22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12-18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&lt;12、&gt;22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&gt;7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5-6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9-11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&lt;6、&gt;11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&gt;70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50-70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&gt;0.9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0.7-0.9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≥7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4-6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≤3</w:t>
            </w:r>
          </w:p>
        </w:tc>
      </w:tr>
    </w:tbl>
    <w:p>
      <w:pPr>
        <w:spacing w:before="156" w:beforeLines="50" w:line="360" w:lineRule="auto"/>
        <w:ind w:firstLine="482" w:firstLineChars="200"/>
        <w:jc w:val="center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表1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-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3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刺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苦草种苗分级指标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870"/>
        <w:gridCol w:w="1671"/>
        <w:gridCol w:w="1671"/>
        <w:gridCol w:w="1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413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类型</w:t>
            </w: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指标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一级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二级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实生苗</w:t>
            </w: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15-20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10-14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&lt;10、&gt;20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7-8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4-6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&lt;4、&gt;8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11-14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7-10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&lt;7、&gt;14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&gt;80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40-80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&gt;0.7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0.3-0.7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分蘖(个)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≥12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8-11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冬芽苗</w:t>
            </w: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15-20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10-14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&lt;10、&gt;20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&gt;8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6-7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11-14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7-10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&lt;7、&gt;14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&gt;90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60-90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&gt;0.9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0.5-0.8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分蘖(个)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≥15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8-14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≥13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9-12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分株苗</w:t>
            </w: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15-20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10-14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&lt;10、&gt;20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&gt;7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5-7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8-10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5-7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&lt;5、&gt;10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&gt;70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50-70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&gt;0.8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0.4-0.8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≥8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5-7</w:t>
            </w:r>
          </w:p>
        </w:tc>
        <w:tc>
          <w:tcPr>
            <w:tcW w:w="16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≤4</w:t>
            </w:r>
          </w:p>
        </w:tc>
      </w:tr>
    </w:tbl>
    <w:p>
      <w:pPr>
        <w:pStyle w:val="2"/>
        <w:rPr>
          <w:rFonts w:ascii="Times New Roman" w:hAnsi="Times New Roman" w:eastAsia="黑体" w:cs="Times New Roman"/>
          <w:sz w:val="24"/>
          <w:szCs w:val="24"/>
        </w:rPr>
      </w:pPr>
      <w:bookmarkStart w:id="34" w:name="_Toc93307370"/>
      <w:r>
        <w:rPr>
          <w:rFonts w:ascii="Times New Roman" w:hAnsi="Times New Roman" w:eastAsia="黑体" w:cs="Times New Roman"/>
          <w:sz w:val="24"/>
          <w:szCs w:val="24"/>
        </w:rPr>
        <w:t>6  检验方法</w:t>
      </w:r>
      <w:bookmarkEnd w:id="34"/>
    </w:p>
    <w:p>
      <w:pPr>
        <w:pStyle w:val="3"/>
        <w:rPr>
          <w:rFonts w:ascii="Times New Roman" w:hAnsi="Times New Roman" w:eastAsia="黑体" w:cs="Times New Roman"/>
          <w:sz w:val="24"/>
          <w:szCs w:val="24"/>
        </w:rPr>
      </w:pPr>
      <w:bookmarkStart w:id="35" w:name="_Toc93307371"/>
      <w:r>
        <w:rPr>
          <w:rFonts w:ascii="Times New Roman" w:hAnsi="Times New Roman" w:eastAsia="黑体" w:cs="Times New Roman"/>
          <w:sz w:val="24"/>
          <w:szCs w:val="24"/>
        </w:rPr>
        <w:t>6.1  抽样</w:t>
      </w:r>
      <w:bookmarkEnd w:id="35"/>
    </w:p>
    <w:p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以在同一苗圃、统一管理并同时采收的苦草种苗为同一个批次。同一批次苦草种苗要进行统一检验，采用随机抽样方法，苦草种苗抽样数量依据苗批大小而定，具体按表2规定的抽样强度抽样。</w:t>
      </w:r>
    </w:p>
    <w:p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表2 苦草种苗检测抽样数量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种苗株数（株）</w:t>
            </w:r>
          </w:p>
        </w:tc>
        <w:tc>
          <w:tcPr>
            <w:tcW w:w="4148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检测株数（株）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500～1000</w:t>
            </w:r>
          </w:p>
        </w:tc>
        <w:tc>
          <w:tcPr>
            <w:tcW w:w="4148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1001～10000</w:t>
            </w:r>
          </w:p>
        </w:tc>
        <w:tc>
          <w:tcPr>
            <w:tcW w:w="4148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10001～50000</w:t>
            </w:r>
          </w:p>
        </w:tc>
        <w:tc>
          <w:tcPr>
            <w:tcW w:w="4148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50001～100000</w:t>
            </w:r>
          </w:p>
        </w:tc>
        <w:tc>
          <w:tcPr>
            <w:tcW w:w="4148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100001～500000</w:t>
            </w:r>
          </w:p>
        </w:tc>
        <w:tc>
          <w:tcPr>
            <w:tcW w:w="4148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500000以上</w:t>
            </w:r>
          </w:p>
        </w:tc>
        <w:tc>
          <w:tcPr>
            <w:tcW w:w="4148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750</w:t>
            </w:r>
          </w:p>
        </w:tc>
      </w:tr>
    </w:tbl>
    <w:p>
      <w:pPr>
        <w:pStyle w:val="3"/>
        <w:rPr>
          <w:rFonts w:ascii="Times New Roman" w:hAnsi="Times New Roman" w:eastAsia="黑体" w:cs="Times New Roman"/>
          <w:sz w:val="24"/>
          <w:szCs w:val="24"/>
        </w:rPr>
      </w:pPr>
      <w:bookmarkStart w:id="36" w:name="_Toc93307372"/>
      <w:r>
        <w:rPr>
          <w:rFonts w:ascii="Times New Roman" w:hAnsi="Times New Roman" w:eastAsia="黑体" w:cs="Times New Roman"/>
          <w:sz w:val="24"/>
          <w:szCs w:val="24"/>
        </w:rPr>
        <w:t>6.2  检测</w:t>
      </w:r>
      <w:bookmarkEnd w:id="36"/>
    </w:p>
    <w:p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37" w:name="_Toc93307373"/>
      <w:r>
        <w:rPr>
          <w:rFonts w:ascii="Times New Roman" w:hAnsi="Times New Roman" w:eastAsia="黑体" w:cs="Times New Roman"/>
          <w:sz w:val="24"/>
          <w:szCs w:val="24"/>
        </w:rPr>
        <w:t>6.2.1  株高</w:t>
      </w:r>
      <w:bookmarkEnd w:id="37"/>
    </w:p>
    <w:p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依据表2的种苗株数随机抽取相应检测株数的苦草种苗，用直尺测量株高，精确度0.5cm。检测结果记录到附录A表中。</w:t>
      </w:r>
    </w:p>
    <w:p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38" w:name="_Toc93307374"/>
      <w:r>
        <w:rPr>
          <w:rFonts w:ascii="Times New Roman" w:hAnsi="Times New Roman" w:eastAsia="黑体" w:cs="Times New Roman"/>
          <w:sz w:val="24"/>
          <w:szCs w:val="24"/>
        </w:rPr>
        <w:t>6.2.2  根系长度</w:t>
      </w:r>
      <w:bookmarkEnd w:id="38"/>
    </w:p>
    <w:p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依据表2的种苗株数随机抽取相应检测株数的苦草种苗，测量根茎结合处至根的最下端的长度，精确度0.1cm。检测结果记录到附录A表中。</w:t>
      </w:r>
    </w:p>
    <w:p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39" w:name="_Toc93307375"/>
      <w:r>
        <w:rPr>
          <w:rFonts w:ascii="Times New Roman" w:hAnsi="Times New Roman" w:eastAsia="黑体" w:cs="Times New Roman"/>
          <w:sz w:val="24"/>
          <w:szCs w:val="24"/>
        </w:rPr>
        <w:t>6.2.3  基茎</w:t>
      </w:r>
      <w:bookmarkEnd w:id="39"/>
    </w:p>
    <w:p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依据表2的种苗株数随机抽取相应检测株数的苦草种苗，测量根茎结合处的直径，精确度0.1cm。检测结果记录到附录A表中。</w:t>
      </w:r>
    </w:p>
    <w:p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40" w:name="_Toc93307376"/>
      <w:r>
        <w:rPr>
          <w:rFonts w:ascii="Times New Roman" w:hAnsi="Times New Roman" w:eastAsia="黑体" w:cs="Times New Roman"/>
          <w:sz w:val="24"/>
          <w:szCs w:val="24"/>
        </w:rPr>
        <w:t>6.2.4  鲜重</w:t>
      </w:r>
      <w:bookmarkEnd w:id="40"/>
    </w:p>
    <w:p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依据表2的种苗株数随机抽取相应检测株数的苦草种苗，称量种苗的鲜重，精确度0.1g。检测结果记录到附录A表中。</w:t>
      </w:r>
    </w:p>
    <w:p>
      <w:pPr>
        <w:pStyle w:val="4"/>
        <w:rPr>
          <w:rFonts w:ascii="Times New Roman" w:hAnsi="Times New Roman" w:eastAsia="宋体" w:cs="Times New Roman"/>
          <w:sz w:val="24"/>
          <w:szCs w:val="24"/>
        </w:rPr>
      </w:pPr>
      <w:bookmarkStart w:id="41" w:name="_Toc93307377"/>
      <w:r>
        <w:rPr>
          <w:rFonts w:ascii="Times New Roman" w:hAnsi="Times New Roman" w:eastAsia="黑体" w:cs="Times New Roman"/>
          <w:sz w:val="24"/>
          <w:szCs w:val="24"/>
        </w:rPr>
        <w:t>6.2.5  分蘖</w:t>
      </w:r>
      <w:bookmarkEnd w:id="41"/>
    </w:p>
    <w:p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依据表2的种苗株数随机抽取相应检测株数的苦草种苗，统计种苗分蘖数。检测结果记录到附录A表中。</w:t>
      </w:r>
    </w:p>
    <w:p>
      <w:pPr>
        <w:pStyle w:val="4"/>
        <w:rPr>
          <w:rFonts w:ascii="Times New Roman" w:hAnsi="Times New Roman" w:eastAsia="宋体" w:cs="Times New Roman"/>
          <w:sz w:val="24"/>
          <w:szCs w:val="24"/>
        </w:rPr>
      </w:pPr>
      <w:bookmarkStart w:id="42" w:name="_Toc93307378"/>
      <w:r>
        <w:rPr>
          <w:rFonts w:ascii="Times New Roman" w:hAnsi="Times New Roman" w:eastAsia="黑体" w:cs="Times New Roman"/>
          <w:sz w:val="24"/>
          <w:szCs w:val="24"/>
        </w:rPr>
        <w:t>6.2.6  根系数量</w:t>
      </w:r>
      <w:bookmarkEnd w:id="42"/>
    </w:p>
    <w:p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依据表2的种苗株数随机抽取相应检测株数的苦草种苗，统计种苗根的数量。检测结果记录到附录A表中。</w:t>
      </w:r>
    </w:p>
    <w:p>
      <w:pPr>
        <w:pStyle w:val="4"/>
        <w:rPr>
          <w:rFonts w:ascii="Times New Roman" w:hAnsi="Times New Roman" w:eastAsia="宋体" w:cs="Times New Roman"/>
          <w:sz w:val="24"/>
          <w:szCs w:val="24"/>
        </w:rPr>
      </w:pPr>
      <w:bookmarkStart w:id="43" w:name="_Toc93307379"/>
      <w:r>
        <w:rPr>
          <w:rFonts w:ascii="Times New Roman" w:hAnsi="Times New Roman" w:eastAsia="黑体" w:cs="Times New Roman"/>
          <w:sz w:val="24"/>
          <w:szCs w:val="24"/>
        </w:rPr>
        <w:t>6.2.7  间隔子</w:t>
      </w:r>
      <w:bookmarkEnd w:id="43"/>
    </w:p>
    <w:p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依据表2的种苗株数随机抽取相应检测株数的苦草种苗，统计间隔子的数量。检测结果记录到附录A表中。</w:t>
      </w:r>
    </w:p>
    <w:p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44" w:name="_Toc93307380"/>
      <w:r>
        <w:rPr>
          <w:rFonts w:ascii="Times New Roman" w:hAnsi="Times New Roman" w:eastAsia="黑体" w:cs="Times New Roman"/>
          <w:sz w:val="24"/>
          <w:szCs w:val="24"/>
        </w:rPr>
        <w:t>6.2.8  无检疫性病虫害</w:t>
      </w:r>
      <w:bookmarkEnd w:id="44"/>
    </w:p>
    <w:p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据表2的种苗株数随机抽取相应检测株数的苦草种苗，</w:t>
      </w:r>
      <w:r>
        <w:rPr>
          <w:rFonts w:hint="eastAsia" w:ascii="Times New Roman" w:hAnsi="Times New Roman" w:eastAsia="宋体" w:cs="Times New Roman"/>
          <w:sz w:val="24"/>
          <w:szCs w:val="24"/>
        </w:rPr>
        <w:t>查验</w:t>
      </w:r>
      <w:r>
        <w:rPr>
          <w:rFonts w:ascii="Times New Roman" w:hAnsi="Times New Roman" w:eastAsia="宋体" w:cs="Times New Roman"/>
          <w:sz w:val="24"/>
          <w:szCs w:val="24"/>
        </w:rPr>
        <w:t>是否有检疫性病虫害。检测结果记录到附录A表中。</w:t>
      </w:r>
    </w:p>
    <w:p>
      <w:pPr>
        <w:pStyle w:val="2"/>
        <w:rPr>
          <w:rFonts w:ascii="Times New Roman" w:hAnsi="Times New Roman" w:eastAsia="黑体" w:cs="Times New Roman"/>
          <w:sz w:val="24"/>
          <w:szCs w:val="24"/>
        </w:rPr>
      </w:pPr>
      <w:bookmarkStart w:id="45" w:name="_Toc93307381"/>
      <w:r>
        <w:rPr>
          <w:rFonts w:ascii="Times New Roman" w:hAnsi="Times New Roman" w:eastAsia="黑体" w:cs="Times New Roman"/>
          <w:sz w:val="24"/>
          <w:szCs w:val="24"/>
        </w:rPr>
        <w:t>7  检验规则</w:t>
      </w:r>
      <w:bookmarkEnd w:id="45"/>
    </w:p>
    <w:p>
      <w:pPr>
        <w:spacing w:line="360" w:lineRule="auto"/>
        <w:rPr>
          <w:rFonts w:ascii="Times New Roman" w:hAnsi="Times New Roman" w:eastAsia="黑体" w:cs="Times New Roman"/>
          <w:b/>
          <w:bCs/>
          <w:sz w:val="24"/>
          <w:szCs w:val="24"/>
        </w:rPr>
      </w:pPr>
      <w:bookmarkStart w:id="46" w:name="_Toc84844753"/>
      <w:r>
        <w:rPr>
          <w:rFonts w:ascii="Times New Roman" w:hAnsi="Times New Roman" w:eastAsia="黑体" w:cs="Times New Roman"/>
          <w:b/>
          <w:bCs/>
          <w:sz w:val="24"/>
          <w:szCs w:val="24"/>
        </w:rPr>
        <w:t>7.1 苗木成批检验</w:t>
      </w:r>
      <w:bookmarkEnd w:id="46"/>
    </w:p>
    <w:p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某一株种苗</w:t>
      </w:r>
      <w:r>
        <w:rPr>
          <w:rFonts w:ascii="Times New Roman" w:hAnsi="Times New Roman" w:eastAsia="宋体" w:cs="Times New Roman"/>
          <w:sz w:val="24"/>
          <w:szCs w:val="24"/>
        </w:rPr>
        <w:t>定级时以</w:t>
      </w:r>
      <w:r>
        <w:rPr>
          <w:rFonts w:hint="eastAsia" w:ascii="Times New Roman" w:hAnsi="Times New Roman" w:eastAsia="宋体" w:cs="Times New Roman"/>
          <w:sz w:val="24"/>
          <w:szCs w:val="24"/>
        </w:rPr>
        <w:t>该种苗</w:t>
      </w:r>
      <w:r>
        <w:rPr>
          <w:rFonts w:ascii="Times New Roman" w:hAnsi="Times New Roman" w:eastAsia="宋体" w:cs="Times New Roman"/>
          <w:sz w:val="24"/>
          <w:szCs w:val="24"/>
        </w:rPr>
        <w:t>达到各项指标中最低的一项来评定，同一批次供检样本中有一项指标低于三级种苗指标即判为不合格。</w:t>
      </w:r>
    </w:p>
    <w:p>
      <w:pPr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47" w:name="_Toc84844754"/>
      <w:r>
        <w:rPr>
          <w:rFonts w:ascii="Times New Roman" w:hAnsi="Times New Roman" w:eastAsia="黑体" w:cs="Times New Roman"/>
          <w:sz w:val="24"/>
          <w:szCs w:val="24"/>
        </w:rPr>
        <w:t>7.2 检验工作限在原苗圃进行。</w:t>
      </w:r>
      <w:bookmarkEnd w:id="47"/>
    </w:p>
    <w:p>
      <w:pPr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48" w:name="_Toc84844755"/>
      <w:r>
        <w:rPr>
          <w:rFonts w:ascii="Times New Roman" w:hAnsi="Times New Roman" w:eastAsia="黑体" w:cs="Times New Roman"/>
          <w:sz w:val="24"/>
          <w:szCs w:val="24"/>
        </w:rPr>
        <w:t>7.3 苗木检验允许范围</w:t>
      </w:r>
      <w:bookmarkEnd w:id="48"/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根据检测结果，计算出样本中的一级种苗数、二级种苗数和三级种苗数，</w:t>
      </w:r>
      <w:r>
        <w:rPr>
          <w:rFonts w:hint="eastAsia" w:ascii="Times New Roman" w:hAnsi="Times New Roman" w:eastAsia="宋体" w:cs="Times New Roman"/>
          <w:sz w:val="24"/>
          <w:szCs w:val="24"/>
        </w:rPr>
        <w:t>某等</w:t>
      </w:r>
      <w:r>
        <w:rPr>
          <w:rFonts w:ascii="Times New Roman" w:hAnsi="Times New Roman" w:eastAsia="宋体" w:cs="Times New Roman"/>
          <w:sz w:val="24"/>
          <w:szCs w:val="24"/>
        </w:rPr>
        <w:t>级苦草种苗数占供检总数的85%以上</w:t>
      </w:r>
      <w:r>
        <w:rPr>
          <w:rFonts w:hint="eastAsia" w:ascii="Times New Roman" w:hAnsi="Times New Roman" w:eastAsia="宋体" w:cs="Times New Roman"/>
          <w:sz w:val="24"/>
          <w:szCs w:val="24"/>
        </w:rPr>
        <w:t>为该</w:t>
      </w:r>
      <w:r>
        <w:rPr>
          <w:rFonts w:ascii="Times New Roman" w:hAnsi="Times New Roman" w:eastAsia="宋体" w:cs="Times New Roman"/>
          <w:sz w:val="24"/>
          <w:szCs w:val="24"/>
        </w:rPr>
        <w:t>等级</w:t>
      </w:r>
      <w:r>
        <w:rPr>
          <w:rFonts w:hint="eastAsia" w:ascii="Times New Roman" w:hAnsi="Times New Roman" w:eastAsia="宋体" w:cs="Times New Roman"/>
          <w:sz w:val="24"/>
          <w:szCs w:val="24"/>
        </w:rPr>
        <w:t>种苗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49" w:name="_Toc84844756"/>
      <w:r>
        <w:rPr>
          <w:rFonts w:ascii="Times New Roman" w:hAnsi="Times New Roman" w:eastAsia="黑体" w:cs="Times New Roman"/>
          <w:sz w:val="24"/>
          <w:szCs w:val="24"/>
        </w:rPr>
        <w:t>7.4 检验结果不符合7.3 规定，应进行复检，并以复检结果为准。</w:t>
      </w:r>
      <w:bookmarkEnd w:id="49"/>
    </w:p>
    <w:p>
      <w:pPr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50" w:name="_Toc84844757"/>
      <w:r>
        <w:rPr>
          <w:rFonts w:ascii="Times New Roman" w:hAnsi="Times New Roman" w:eastAsia="黑体" w:cs="Times New Roman"/>
          <w:sz w:val="24"/>
          <w:szCs w:val="24"/>
        </w:rPr>
        <w:t>7.5 检验结束后，填写苗木检验证书（见附录B）。凡出圃的苗木，均应附苗木检验证书，向外县调运的苗木要经过检疫并附检疫证书。</w:t>
      </w:r>
      <w:bookmarkEnd w:id="50"/>
    </w:p>
    <w:p>
      <w:pPr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2"/>
        <w:rPr>
          <w:rFonts w:ascii="Times New Roman" w:hAnsi="Times New Roman" w:eastAsia="黑体" w:cs="Times New Roman"/>
          <w:sz w:val="24"/>
          <w:szCs w:val="24"/>
        </w:rPr>
      </w:pPr>
      <w:bookmarkStart w:id="51" w:name="_Toc93307382"/>
      <w:r>
        <w:rPr>
          <w:rFonts w:ascii="Times New Roman" w:hAnsi="Times New Roman" w:eastAsia="黑体" w:cs="Times New Roman"/>
          <w:sz w:val="24"/>
          <w:szCs w:val="24"/>
        </w:rPr>
        <w:t>8  包装、贮运</w:t>
      </w:r>
      <w:bookmarkEnd w:id="51"/>
    </w:p>
    <w:p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种苗用有孔的木箱或纸箱进行包装。每个包装箱外贴标签，图示标志符合GB 191 中关于包装储运图示标志的规定，注明产地、级别、数量、出圃日期、销售单位和合格证书等，见附录C。还应有防雨，防晒，防挤压等标识。运达目的地后及时种植或贮存在阴凉潮湿处。</w:t>
      </w:r>
    </w:p>
    <w:p>
      <w:pPr>
        <w:widowControl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br w:type="page"/>
      </w:r>
    </w:p>
    <w:p>
      <w:pPr>
        <w:pStyle w:val="2"/>
        <w:jc w:val="center"/>
        <w:rPr>
          <w:rFonts w:ascii="Times New Roman" w:hAnsi="Times New Roman" w:eastAsia="黑体" w:cs="Times New Roman"/>
          <w:sz w:val="24"/>
          <w:szCs w:val="24"/>
        </w:rPr>
      </w:pPr>
      <w:bookmarkStart w:id="52" w:name="_Toc93307384"/>
      <w:r>
        <w:rPr>
          <w:rFonts w:ascii="Times New Roman" w:hAnsi="Times New Roman" w:eastAsia="黑体" w:cs="Times New Roman"/>
          <w:sz w:val="24"/>
          <w:szCs w:val="24"/>
        </w:rPr>
        <w:t>附 录 A</w:t>
      </w:r>
      <w:bookmarkEnd w:id="52"/>
    </w:p>
    <w:p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（规范性附录）</w:t>
      </w:r>
    </w:p>
    <w:p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苦草种苗质量检测记录表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A.1 苦草质量检测记录表见表A.1。</w:t>
      </w:r>
    </w:p>
    <w:p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表A.1 苦草质量检测记录表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苦草种类：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 w:eastAsia="黑体" w:cs="Times New Roman"/>
          <w:sz w:val="24"/>
          <w:szCs w:val="24"/>
        </w:rPr>
        <w:t xml:space="preserve">  种苗类型：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 w:eastAsia="黑体" w:cs="Times New Roman"/>
          <w:sz w:val="24"/>
          <w:szCs w:val="24"/>
        </w:rPr>
        <w:t xml:space="preserve">             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样本编号：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 w:eastAsia="黑体" w:cs="Times New Roman"/>
          <w:sz w:val="24"/>
          <w:szCs w:val="24"/>
        </w:rPr>
        <w:t xml:space="preserve">  育苗单位：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 w:eastAsia="黑体" w:cs="Times New Roman"/>
          <w:sz w:val="24"/>
          <w:szCs w:val="24"/>
        </w:rPr>
        <w:t xml:space="preserve"> 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购买单位：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 w:eastAsia="黑体" w:cs="Times New Roman"/>
          <w:sz w:val="24"/>
          <w:szCs w:val="24"/>
        </w:rPr>
        <w:t xml:space="preserve">  重复次数：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</w:p>
    <w:tbl>
      <w:tblPr>
        <w:tblStyle w:val="14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1005"/>
        <w:gridCol w:w="1005"/>
        <w:gridCol w:w="1005"/>
        <w:gridCol w:w="1005"/>
        <w:gridCol w:w="951"/>
        <w:gridCol w:w="965"/>
        <w:gridCol w:w="958"/>
        <w:gridCol w:w="569"/>
        <w:gridCol w:w="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重复</w:t>
            </w:r>
          </w:p>
        </w:tc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株高（cm）</w:t>
            </w:r>
          </w:p>
        </w:tc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根长（cm）</w:t>
            </w:r>
          </w:p>
        </w:tc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基径（cm）</w:t>
            </w: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鲜重（cm）</w:t>
            </w: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分蘖（个）</w:t>
            </w: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根系数量（个）</w:t>
            </w: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间隔子（个）</w:t>
            </w:r>
          </w:p>
        </w:tc>
        <w:tc>
          <w:tcPr>
            <w:tcW w:w="5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病虫害</w:t>
            </w:r>
          </w:p>
        </w:tc>
        <w:tc>
          <w:tcPr>
            <w:tcW w:w="567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级别</w:t>
            </w:r>
          </w:p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before="156" w:beforeLines="50" w:line="360" w:lineRule="auto"/>
              <w:jc w:val="left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before="156" w:beforeLines="50" w:line="360" w:lineRule="auto"/>
              <w:jc w:val="left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平均值</w:t>
            </w:r>
          </w:p>
        </w:tc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before="156" w:beforeLines="50" w:line="360" w:lineRule="auto"/>
              <w:jc w:val="left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</w:tbl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检测人（签字）： 检测日期： 年 月 日   校核人（签字）： 审核人（签字）：</w:t>
      </w:r>
    </w:p>
    <w:p>
      <w:pPr>
        <w:widowControl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br w:type="page"/>
      </w:r>
    </w:p>
    <w:p>
      <w:pPr>
        <w:pStyle w:val="2"/>
        <w:jc w:val="center"/>
        <w:rPr>
          <w:rFonts w:ascii="Times New Roman" w:hAnsi="Times New Roman" w:eastAsia="黑体" w:cs="Times New Roman"/>
          <w:sz w:val="24"/>
          <w:szCs w:val="24"/>
        </w:rPr>
      </w:pPr>
      <w:bookmarkStart w:id="53" w:name="_Toc93307385"/>
      <w:r>
        <w:rPr>
          <w:rFonts w:ascii="Times New Roman" w:hAnsi="Times New Roman" w:eastAsia="黑体" w:cs="Times New Roman"/>
          <w:sz w:val="24"/>
          <w:szCs w:val="24"/>
        </w:rPr>
        <w:t>附 录 B</w:t>
      </w:r>
      <w:bookmarkEnd w:id="53"/>
    </w:p>
    <w:p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（规范性附录）</w:t>
      </w:r>
    </w:p>
    <w:p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苦草种苗质量检验证书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B.1 苦草质量检验证书见表B.1。</w:t>
      </w:r>
    </w:p>
    <w:p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表B.1 苦草质量检验证书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检验单位（公章）：                      样本编号：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tbl>
      <w:tblPr>
        <w:tblStyle w:val="14"/>
        <w:tblW w:w="8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1323"/>
        <w:gridCol w:w="709"/>
        <w:gridCol w:w="709"/>
        <w:gridCol w:w="1276"/>
        <w:gridCol w:w="708"/>
        <w:gridCol w:w="709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育苗单位</w:t>
            </w:r>
          </w:p>
        </w:tc>
        <w:tc>
          <w:tcPr>
            <w:tcW w:w="2032" w:type="dxa"/>
            <w:gridSpan w:val="2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购苗单位</w:t>
            </w:r>
          </w:p>
        </w:tc>
        <w:tc>
          <w:tcPr>
            <w:tcW w:w="1985" w:type="dxa"/>
            <w:gridSpan w:val="2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种苗株数（株）</w:t>
            </w:r>
          </w:p>
        </w:tc>
        <w:tc>
          <w:tcPr>
            <w:tcW w:w="1323" w:type="dxa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苦草种类</w:t>
            </w:r>
          </w:p>
        </w:tc>
        <w:tc>
          <w:tcPr>
            <w:tcW w:w="1276" w:type="dxa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种苗类型</w:t>
            </w:r>
          </w:p>
        </w:tc>
        <w:tc>
          <w:tcPr>
            <w:tcW w:w="1276" w:type="dxa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检验结果</w:t>
            </w:r>
          </w:p>
        </w:tc>
        <w:tc>
          <w:tcPr>
            <w:tcW w:w="6710" w:type="dxa"/>
            <w:gridSpan w:val="7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一级：        二级：        三级：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检验意见</w:t>
            </w:r>
          </w:p>
        </w:tc>
        <w:tc>
          <w:tcPr>
            <w:tcW w:w="6710" w:type="dxa"/>
            <w:gridSpan w:val="7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证书签发期</w:t>
            </w:r>
          </w:p>
        </w:tc>
        <w:tc>
          <w:tcPr>
            <w:tcW w:w="2032" w:type="dxa"/>
            <w:gridSpan w:val="2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证书有效期</w:t>
            </w:r>
          </w:p>
        </w:tc>
        <w:tc>
          <w:tcPr>
            <w:tcW w:w="1985" w:type="dxa"/>
            <w:gridSpan w:val="2"/>
          </w:tcPr>
          <w:p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8"/>
          </w:tcPr>
          <w:p>
            <w:pPr>
              <w:spacing w:before="156" w:beforeLines="50" w:line="360" w:lineRule="auto"/>
              <w:jc w:val="left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注：本证一式三份，育苗单位、购苗单位、检验单位各一份。</w:t>
            </w:r>
          </w:p>
        </w:tc>
      </w:tr>
    </w:tbl>
    <w:p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检测人（签字）：       校核人（签字）：       审核人（签字）：</w:t>
      </w:r>
    </w:p>
    <w:p>
      <w:pPr>
        <w:widowControl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br w:type="page"/>
      </w:r>
    </w:p>
    <w:p>
      <w:pPr>
        <w:pStyle w:val="2"/>
        <w:jc w:val="center"/>
        <w:rPr>
          <w:rFonts w:ascii="Times New Roman" w:hAnsi="Times New Roman" w:eastAsia="黑体" w:cs="Times New Roman"/>
          <w:sz w:val="24"/>
          <w:szCs w:val="24"/>
        </w:rPr>
      </w:pPr>
      <w:bookmarkStart w:id="54" w:name="_Toc93307386"/>
      <w:r>
        <w:rPr>
          <w:rFonts w:ascii="Times New Roman" w:hAnsi="Times New Roman" w:eastAsia="黑体" w:cs="Times New Roman"/>
          <w:sz w:val="24"/>
          <w:szCs w:val="24"/>
        </w:rPr>
        <w:t>附 录 C</w:t>
      </w:r>
      <w:bookmarkEnd w:id="54"/>
    </w:p>
    <w:p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（规范性附录）</w:t>
      </w:r>
    </w:p>
    <w:p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苦草种苗标签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C.1 苦草种苗标签如下所示：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种苗：苦草种苗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苦草种类：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 w:eastAsia="黑体" w:cs="Times New Roman"/>
          <w:sz w:val="24"/>
          <w:szCs w:val="24"/>
        </w:rPr>
        <w:t xml:space="preserve"> 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种苗产地：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种苗级别：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种苗数量：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育苗单位：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出圃日期：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销售单位：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合格证号：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p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_________________________________</w:t>
      </w: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</w:p>
    <w:p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</w:p>
    <w:sectPr>
      <w:footerReference r:id="rId10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ZHei-B01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61613644"/>
      <w:docPartObj>
        <w:docPartGallery w:val="autotext"/>
      </w:docPartObj>
    </w:sdtPr>
    <w:sdtContent>
      <w:p>
        <w:pPr>
          <w:pStyle w:val="8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8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0834638"/>
      <w:docPartObj>
        <w:docPartGallery w:val="autotext"/>
      </w:docPartObj>
    </w:sdtPr>
    <w:sdtContent>
      <w:p>
        <w:pPr>
          <w:pStyle w:val="8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16</w:t>
        </w:r>
        <w:r>
          <w:fldChar w:fldCharType="end"/>
        </w:r>
      </w:p>
    </w:sdtContent>
  </w:sdt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rFonts w:ascii="黑体" w:hAnsi="黑体" w:eastAsia="黑体"/>
      </w:rPr>
    </w:pPr>
    <w:r>
      <w:rPr>
        <w:rFonts w:ascii="黑体" w:hAnsi="黑体" w:eastAsia="黑体"/>
      </w:rPr>
      <w:t>DB 43/T XXXX-XXXX</w:t>
    </w: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5MWJhNjI3OTFkOTRkMDU2MDhlZDg4MDZhYTBmNzYifQ=="/>
  </w:docVars>
  <w:rsids>
    <w:rsidRoot w:val="007253E1"/>
    <w:rsid w:val="000008B1"/>
    <w:rsid w:val="000052D0"/>
    <w:rsid w:val="00005B06"/>
    <w:rsid w:val="00005CE6"/>
    <w:rsid w:val="00010579"/>
    <w:rsid w:val="00013049"/>
    <w:rsid w:val="00030F18"/>
    <w:rsid w:val="00031050"/>
    <w:rsid w:val="000350F2"/>
    <w:rsid w:val="0004046B"/>
    <w:rsid w:val="000514E9"/>
    <w:rsid w:val="00063AAC"/>
    <w:rsid w:val="00065FF3"/>
    <w:rsid w:val="00067336"/>
    <w:rsid w:val="00071C2C"/>
    <w:rsid w:val="00076A07"/>
    <w:rsid w:val="00091932"/>
    <w:rsid w:val="000977A8"/>
    <w:rsid w:val="000A2619"/>
    <w:rsid w:val="000B2CA2"/>
    <w:rsid w:val="000B446A"/>
    <w:rsid w:val="000D520B"/>
    <w:rsid w:val="000E2B39"/>
    <w:rsid w:val="000E671A"/>
    <w:rsid w:val="000F7772"/>
    <w:rsid w:val="00106308"/>
    <w:rsid w:val="00113FC9"/>
    <w:rsid w:val="00115F90"/>
    <w:rsid w:val="00116E0C"/>
    <w:rsid w:val="001202BB"/>
    <w:rsid w:val="00140204"/>
    <w:rsid w:val="001455DB"/>
    <w:rsid w:val="0014621B"/>
    <w:rsid w:val="00180E60"/>
    <w:rsid w:val="00186947"/>
    <w:rsid w:val="001871B0"/>
    <w:rsid w:val="00190762"/>
    <w:rsid w:val="001915C3"/>
    <w:rsid w:val="00193C8B"/>
    <w:rsid w:val="001A0894"/>
    <w:rsid w:val="001A372C"/>
    <w:rsid w:val="001A46A2"/>
    <w:rsid w:val="001A64AC"/>
    <w:rsid w:val="001A75AC"/>
    <w:rsid w:val="001B006D"/>
    <w:rsid w:val="001C7E14"/>
    <w:rsid w:val="001D002C"/>
    <w:rsid w:val="001D1B37"/>
    <w:rsid w:val="001D3767"/>
    <w:rsid w:val="001E0608"/>
    <w:rsid w:val="001E6041"/>
    <w:rsid w:val="001F2A3D"/>
    <w:rsid w:val="00206D92"/>
    <w:rsid w:val="00220D9B"/>
    <w:rsid w:val="00222F02"/>
    <w:rsid w:val="00224E33"/>
    <w:rsid w:val="002329C8"/>
    <w:rsid w:val="002360B1"/>
    <w:rsid w:val="00240D15"/>
    <w:rsid w:val="0024265D"/>
    <w:rsid w:val="00247698"/>
    <w:rsid w:val="00250412"/>
    <w:rsid w:val="00262A9E"/>
    <w:rsid w:val="00264539"/>
    <w:rsid w:val="00275F6A"/>
    <w:rsid w:val="00286AE8"/>
    <w:rsid w:val="002B2E40"/>
    <w:rsid w:val="002C35CB"/>
    <w:rsid w:val="002D2BEA"/>
    <w:rsid w:val="002D4028"/>
    <w:rsid w:val="002E16E3"/>
    <w:rsid w:val="002F2294"/>
    <w:rsid w:val="00306695"/>
    <w:rsid w:val="0032079B"/>
    <w:rsid w:val="00322390"/>
    <w:rsid w:val="00322E0C"/>
    <w:rsid w:val="00324BEC"/>
    <w:rsid w:val="00325AF3"/>
    <w:rsid w:val="00326A95"/>
    <w:rsid w:val="003445E3"/>
    <w:rsid w:val="003512C5"/>
    <w:rsid w:val="00356AA1"/>
    <w:rsid w:val="00364F7C"/>
    <w:rsid w:val="00365388"/>
    <w:rsid w:val="003748C5"/>
    <w:rsid w:val="0038419F"/>
    <w:rsid w:val="0039650E"/>
    <w:rsid w:val="0039664F"/>
    <w:rsid w:val="003971E8"/>
    <w:rsid w:val="003A4266"/>
    <w:rsid w:val="003B016E"/>
    <w:rsid w:val="003B2084"/>
    <w:rsid w:val="003C404D"/>
    <w:rsid w:val="003D57AB"/>
    <w:rsid w:val="003E06C5"/>
    <w:rsid w:val="003E502F"/>
    <w:rsid w:val="003E71B0"/>
    <w:rsid w:val="003F05E9"/>
    <w:rsid w:val="003F11B5"/>
    <w:rsid w:val="003F6F9A"/>
    <w:rsid w:val="0040567E"/>
    <w:rsid w:val="00407B79"/>
    <w:rsid w:val="004111B6"/>
    <w:rsid w:val="004157A5"/>
    <w:rsid w:val="00425600"/>
    <w:rsid w:val="0043106C"/>
    <w:rsid w:val="00437E80"/>
    <w:rsid w:val="0044758D"/>
    <w:rsid w:val="00447E83"/>
    <w:rsid w:val="00450D8C"/>
    <w:rsid w:val="00452395"/>
    <w:rsid w:val="0045489C"/>
    <w:rsid w:val="0045762E"/>
    <w:rsid w:val="00457DF5"/>
    <w:rsid w:val="004633F6"/>
    <w:rsid w:val="00466D7E"/>
    <w:rsid w:val="00471410"/>
    <w:rsid w:val="004770AF"/>
    <w:rsid w:val="0047734D"/>
    <w:rsid w:val="00492EC0"/>
    <w:rsid w:val="004B66D4"/>
    <w:rsid w:val="004C0B52"/>
    <w:rsid w:val="004C1C0F"/>
    <w:rsid w:val="004C573A"/>
    <w:rsid w:val="004D5421"/>
    <w:rsid w:val="004E3D4A"/>
    <w:rsid w:val="004F2C64"/>
    <w:rsid w:val="00501CAB"/>
    <w:rsid w:val="00502DDC"/>
    <w:rsid w:val="00505EAF"/>
    <w:rsid w:val="00517422"/>
    <w:rsid w:val="00522C66"/>
    <w:rsid w:val="005242A7"/>
    <w:rsid w:val="00536913"/>
    <w:rsid w:val="00540C38"/>
    <w:rsid w:val="00560AA3"/>
    <w:rsid w:val="0056536B"/>
    <w:rsid w:val="00565E14"/>
    <w:rsid w:val="00566E9C"/>
    <w:rsid w:val="005952F4"/>
    <w:rsid w:val="005A19EC"/>
    <w:rsid w:val="005A3AD1"/>
    <w:rsid w:val="005C34C6"/>
    <w:rsid w:val="005C3BCE"/>
    <w:rsid w:val="005C79C2"/>
    <w:rsid w:val="005D6FCC"/>
    <w:rsid w:val="005D75DF"/>
    <w:rsid w:val="005E0A81"/>
    <w:rsid w:val="005F292F"/>
    <w:rsid w:val="005F5F19"/>
    <w:rsid w:val="005F6730"/>
    <w:rsid w:val="00612F7B"/>
    <w:rsid w:val="00615908"/>
    <w:rsid w:val="00617909"/>
    <w:rsid w:val="006226FF"/>
    <w:rsid w:val="00624658"/>
    <w:rsid w:val="006427A6"/>
    <w:rsid w:val="00642D90"/>
    <w:rsid w:val="00645E06"/>
    <w:rsid w:val="00656A21"/>
    <w:rsid w:val="00671227"/>
    <w:rsid w:val="00671B38"/>
    <w:rsid w:val="00676E64"/>
    <w:rsid w:val="00676F99"/>
    <w:rsid w:val="00687CDA"/>
    <w:rsid w:val="0069527C"/>
    <w:rsid w:val="00696287"/>
    <w:rsid w:val="006D0B87"/>
    <w:rsid w:val="006D673E"/>
    <w:rsid w:val="006D7333"/>
    <w:rsid w:val="006E5955"/>
    <w:rsid w:val="006F1428"/>
    <w:rsid w:val="006F1C77"/>
    <w:rsid w:val="00710546"/>
    <w:rsid w:val="0072362D"/>
    <w:rsid w:val="00724344"/>
    <w:rsid w:val="0072526D"/>
    <w:rsid w:val="007253E1"/>
    <w:rsid w:val="00737B37"/>
    <w:rsid w:val="00742216"/>
    <w:rsid w:val="00744E41"/>
    <w:rsid w:val="007476DB"/>
    <w:rsid w:val="007516BA"/>
    <w:rsid w:val="0077029D"/>
    <w:rsid w:val="007829CC"/>
    <w:rsid w:val="007A6354"/>
    <w:rsid w:val="007B4775"/>
    <w:rsid w:val="007D32AF"/>
    <w:rsid w:val="007D36F3"/>
    <w:rsid w:val="007D5562"/>
    <w:rsid w:val="007D6793"/>
    <w:rsid w:val="007E5B7D"/>
    <w:rsid w:val="007F73AC"/>
    <w:rsid w:val="00800A0D"/>
    <w:rsid w:val="00811158"/>
    <w:rsid w:val="00812B69"/>
    <w:rsid w:val="00817C93"/>
    <w:rsid w:val="0082243A"/>
    <w:rsid w:val="00824928"/>
    <w:rsid w:val="0083055C"/>
    <w:rsid w:val="00837A1D"/>
    <w:rsid w:val="008416F5"/>
    <w:rsid w:val="00844E27"/>
    <w:rsid w:val="00847038"/>
    <w:rsid w:val="00853EAF"/>
    <w:rsid w:val="00857C40"/>
    <w:rsid w:val="00874607"/>
    <w:rsid w:val="00876EBB"/>
    <w:rsid w:val="008835F0"/>
    <w:rsid w:val="00883A94"/>
    <w:rsid w:val="008931B8"/>
    <w:rsid w:val="008B7C4B"/>
    <w:rsid w:val="008C0BA9"/>
    <w:rsid w:val="008E56F2"/>
    <w:rsid w:val="008F2D6A"/>
    <w:rsid w:val="008F2DFE"/>
    <w:rsid w:val="008F392D"/>
    <w:rsid w:val="008F7EEE"/>
    <w:rsid w:val="0090654D"/>
    <w:rsid w:val="00907541"/>
    <w:rsid w:val="009652CD"/>
    <w:rsid w:val="00965EFD"/>
    <w:rsid w:val="009752A8"/>
    <w:rsid w:val="0097701B"/>
    <w:rsid w:val="00986E3C"/>
    <w:rsid w:val="00992D6C"/>
    <w:rsid w:val="009A0D7D"/>
    <w:rsid w:val="009A26C0"/>
    <w:rsid w:val="009B4304"/>
    <w:rsid w:val="009E33C3"/>
    <w:rsid w:val="009F1DF3"/>
    <w:rsid w:val="009F4F64"/>
    <w:rsid w:val="00A00339"/>
    <w:rsid w:val="00A0363C"/>
    <w:rsid w:val="00A05BCD"/>
    <w:rsid w:val="00A17980"/>
    <w:rsid w:val="00A20300"/>
    <w:rsid w:val="00A2259A"/>
    <w:rsid w:val="00A3351F"/>
    <w:rsid w:val="00A37FA3"/>
    <w:rsid w:val="00A45700"/>
    <w:rsid w:val="00A51E18"/>
    <w:rsid w:val="00A647FD"/>
    <w:rsid w:val="00A74557"/>
    <w:rsid w:val="00A7545D"/>
    <w:rsid w:val="00A77A55"/>
    <w:rsid w:val="00A8290E"/>
    <w:rsid w:val="00A93BEE"/>
    <w:rsid w:val="00A94D79"/>
    <w:rsid w:val="00A94FC9"/>
    <w:rsid w:val="00AB2725"/>
    <w:rsid w:val="00AB4CA5"/>
    <w:rsid w:val="00AB5BFF"/>
    <w:rsid w:val="00AC3D68"/>
    <w:rsid w:val="00AC4EBA"/>
    <w:rsid w:val="00AC621B"/>
    <w:rsid w:val="00AD2870"/>
    <w:rsid w:val="00AE5530"/>
    <w:rsid w:val="00AF0A9D"/>
    <w:rsid w:val="00B0060F"/>
    <w:rsid w:val="00B01505"/>
    <w:rsid w:val="00B05D93"/>
    <w:rsid w:val="00B228AE"/>
    <w:rsid w:val="00B23134"/>
    <w:rsid w:val="00B258DD"/>
    <w:rsid w:val="00B31AEF"/>
    <w:rsid w:val="00B32480"/>
    <w:rsid w:val="00B43612"/>
    <w:rsid w:val="00B451F5"/>
    <w:rsid w:val="00B60DF9"/>
    <w:rsid w:val="00B70CED"/>
    <w:rsid w:val="00B72BAB"/>
    <w:rsid w:val="00B73AAE"/>
    <w:rsid w:val="00B76246"/>
    <w:rsid w:val="00B77319"/>
    <w:rsid w:val="00B77B7C"/>
    <w:rsid w:val="00B82771"/>
    <w:rsid w:val="00B853A2"/>
    <w:rsid w:val="00B943CA"/>
    <w:rsid w:val="00B94885"/>
    <w:rsid w:val="00BA2713"/>
    <w:rsid w:val="00BB7387"/>
    <w:rsid w:val="00BC4A88"/>
    <w:rsid w:val="00BC6F11"/>
    <w:rsid w:val="00BD2D5F"/>
    <w:rsid w:val="00BD36DA"/>
    <w:rsid w:val="00BE52CF"/>
    <w:rsid w:val="00BE78BE"/>
    <w:rsid w:val="00BF2690"/>
    <w:rsid w:val="00BF2CD6"/>
    <w:rsid w:val="00C0166D"/>
    <w:rsid w:val="00C07E49"/>
    <w:rsid w:val="00C16AD2"/>
    <w:rsid w:val="00C16F8E"/>
    <w:rsid w:val="00C27767"/>
    <w:rsid w:val="00C56EC8"/>
    <w:rsid w:val="00C57A6D"/>
    <w:rsid w:val="00C72AFF"/>
    <w:rsid w:val="00C7462A"/>
    <w:rsid w:val="00C83F4E"/>
    <w:rsid w:val="00C91197"/>
    <w:rsid w:val="00CA34EA"/>
    <w:rsid w:val="00CB047F"/>
    <w:rsid w:val="00CB0ABC"/>
    <w:rsid w:val="00CB7E2B"/>
    <w:rsid w:val="00CC69E2"/>
    <w:rsid w:val="00CD64A8"/>
    <w:rsid w:val="00CE0DD4"/>
    <w:rsid w:val="00CE215D"/>
    <w:rsid w:val="00CF6D98"/>
    <w:rsid w:val="00D034BE"/>
    <w:rsid w:val="00D06472"/>
    <w:rsid w:val="00D16AF7"/>
    <w:rsid w:val="00D204A4"/>
    <w:rsid w:val="00D25BF6"/>
    <w:rsid w:val="00D26C5E"/>
    <w:rsid w:val="00D27AF9"/>
    <w:rsid w:val="00D341C1"/>
    <w:rsid w:val="00D44A00"/>
    <w:rsid w:val="00D45EE9"/>
    <w:rsid w:val="00D539D9"/>
    <w:rsid w:val="00D5462C"/>
    <w:rsid w:val="00D61416"/>
    <w:rsid w:val="00D6181D"/>
    <w:rsid w:val="00D72D49"/>
    <w:rsid w:val="00D91509"/>
    <w:rsid w:val="00DA1D42"/>
    <w:rsid w:val="00DA3801"/>
    <w:rsid w:val="00DB6C97"/>
    <w:rsid w:val="00DC3F87"/>
    <w:rsid w:val="00DE4248"/>
    <w:rsid w:val="00E02BBF"/>
    <w:rsid w:val="00E112DB"/>
    <w:rsid w:val="00E1721E"/>
    <w:rsid w:val="00E21D94"/>
    <w:rsid w:val="00E2457E"/>
    <w:rsid w:val="00E26BB9"/>
    <w:rsid w:val="00E306A7"/>
    <w:rsid w:val="00E34CE5"/>
    <w:rsid w:val="00E44E84"/>
    <w:rsid w:val="00E45067"/>
    <w:rsid w:val="00E60F4A"/>
    <w:rsid w:val="00E6515C"/>
    <w:rsid w:val="00E77442"/>
    <w:rsid w:val="00E774E3"/>
    <w:rsid w:val="00E84801"/>
    <w:rsid w:val="00E9618A"/>
    <w:rsid w:val="00EA0998"/>
    <w:rsid w:val="00EA1718"/>
    <w:rsid w:val="00EA4041"/>
    <w:rsid w:val="00EA6346"/>
    <w:rsid w:val="00EA6A8D"/>
    <w:rsid w:val="00EA7CA7"/>
    <w:rsid w:val="00EB03A9"/>
    <w:rsid w:val="00EB04B6"/>
    <w:rsid w:val="00EB4787"/>
    <w:rsid w:val="00EC2F8D"/>
    <w:rsid w:val="00EC613A"/>
    <w:rsid w:val="00EE2536"/>
    <w:rsid w:val="00EF1088"/>
    <w:rsid w:val="00EF2BF3"/>
    <w:rsid w:val="00F015BE"/>
    <w:rsid w:val="00F06660"/>
    <w:rsid w:val="00F07A78"/>
    <w:rsid w:val="00F13CA3"/>
    <w:rsid w:val="00F34813"/>
    <w:rsid w:val="00F35D88"/>
    <w:rsid w:val="00F4028A"/>
    <w:rsid w:val="00F52C14"/>
    <w:rsid w:val="00F75A94"/>
    <w:rsid w:val="00F77943"/>
    <w:rsid w:val="00F8484A"/>
    <w:rsid w:val="00F96765"/>
    <w:rsid w:val="00FA51D4"/>
    <w:rsid w:val="00FB252A"/>
    <w:rsid w:val="00FB6878"/>
    <w:rsid w:val="00FB6AA7"/>
    <w:rsid w:val="00FD6AB7"/>
    <w:rsid w:val="00FD6D46"/>
    <w:rsid w:val="00FE3FE6"/>
    <w:rsid w:val="03942A31"/>
    <w:rsid w:val="119611E5"/>
    <w:rsid w:val="15316332"/>
    <w:rsid w:val="17C4348D"/>
    <w:rsid w:val="18475E6C"/>
    <w:rsid w:val="2B3A66BB"/>
    <w:rsid w:val="315B5620"/>
    <w:rsid w:val="31A844D9"/>
    <w:rsid w:val="334C5393"/>
    <w:rsid w:val="50B25872"/>
    <w:rsid w:val="6E30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2">
    <w:name w:val="annotation subject"/>
    <w:basedOn w:val="5"/>
    <w:next w:val="5"/>
    <w:link w:val="20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Hyperlink"/>
    <w:basedOn w:val="15"/>
    <w:unhideWhenUsed/>
    <w:qFormat/>
    <w:uiPriority w:val="99"/>
    <w:rPr>
      <w:color w:val="0000FF"/>
      <w:u w:val="single"/>
    </w:rPr>
  </w:style>
  <w:style w:type="character" w:styleId="18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19">
    <w:name w:val="批注文字 字符"/>
    <w:basedOn w:val="15"/>
    <w:link w:val="5"/>
    <w:semiHidden/>
    <w:qFormat/>
    <w:uiPriority w:val="99"/>
  </w:style>
  <w:style w:type="character" w:customStyle="1" w:styleId="20">
    <w:name w:val="批注主题 字符"/>
    <w:basedOn w:val="19"/>
    <w:link w:val="12"/>
    <w:semiHidden/>
    <w:qFormat/>
    <w:uiPriority w:val="99"/>
    <w:rPr>
      <w:b/>
      <w:bCs/>
    </w:rPr>
  </w:style>
  <w:style w:type="paragraph" w:customStyle="1" w:styleId="21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2">
    <w:name w:val="标题 1 字符"/>
    <w:basedOn w:val="1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3">
    <w:name w:val="标题 2 字符"/>
    <w:basedOn w:val="15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4">
    <w:name w:val="标题 3 字符"/>
    <w:basedOn w:val="15"/>
    <w:link w:val="4"/>
    <w:qFormat/>
    <w:uiPriority w:val="9"/>
    <w:rPr>
      <w:b/>
      <w:bCs/>
      <w:sz w:val="32"/>
      <w:szCs w:val="32"/>
    </w:rPr>
  </w:style>
  <w:style w:type="character" w:customStyle="1" w:styleId="25">
    <w:name w:val="批注框文本 字符"/>
    <w:basedOn w:val="15"/>
    <w:link w:val="7"/>
    <w:semiHidden/>
    <w:qFormat/>
    <w:uiPriority w:val="99"/>
    <w:rPr>
      <w:sz w:val="18"/>
      <w:szCs w:val="18"/>
    </w:rPr>
  </w:style>
  <w:style w:type="paragraph" w:customStyle="1" w:styleId="26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7">
    <w:name w:val="页眉 字符"/>
    <w:basedOn w:val="15"/>
    <w:link w:val="9"/>
    <w:qFormat/>
    <w:uiPriority w:val="99"/>
    <w:rPr>
      <w:sz w:val="18"/>
      <w:szCs w:val="18"/>
    </w:rPr>
  </w:style>
  <w:style w:type="character" w:customStyle="1" w:styleId="28">
    <w:name w:val="页脚 字符"/>
    <w:basedOn w:val="15"/>
    <w:link w:val="8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2.jpe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第一个元素和日期" Version="1987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78D164-3403-49C4-9767-F8354C675A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5383</Words>
  <Characters>6848</Characters>
  <Lines>86</Lines>
  <Paragraphs>24</Paragraphs>
  <TotalTime>3</TotalTime>
  <ScaleCrop>false</ScaleCrop>
  <LinksUpToDate>false</LinksUpToDate>
  <CharactersWithSpaces>7732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2021-09-02T01:23:00Z</dcterms:created>
  <dc:creator>陈 晓蓉</dc:creator>
  <cp:lastModifiedBy>陳曉蓉</cp:lastModifiedBy>
  <dcterms:modified xsi:type="dcterms:W3CDTF">2022-04-29T06:22:46Z</dcterms:modified>
  <cp:revision>216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BBF0DDBBA2FD454E84D741634188B87D</vt:lpwstr>
  </property>
</Properties>
</file>