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8B" w:rsidRPr="00D1368B" w:rsidRDefault="00D1368B" w:rsidP="00D1368B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D1368B">
        <w:rPr>
          <w:rFonts w:ascii="Times New Roman" w:eastAsia="方正黑体_GBK" w:hAnsi="Calibri" w:cs="Times New Roman"/>
          <w:sz w:val="32"/>
          <w:szCs w:val="32"/>
        </w:rPr>
        <w:t>附件</w:t>
      </w:r>
      <w:r w:rsidRPr="00D1368B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D1368B" w:rsidRPr="00D1368B" w:rsidRDefault="00D1368B" w:rsidP="00D1368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1368B" w:rsidRPr="00D1368B" w:rsidRDefault="00D1368B" w:rsidP="00D1368B">
      <w:pPr>
        <w:spacing w:line="600" w:lineRule="exact"/>
        <w:jc w:val="center"/>
        <w:rPr>
          <w:rFonts w:ascii="Times New Roman" w:eastAsia="方正小标宋_GBK" w:hAnsi="Times New Roman" w:cs="Times New Roman" w:hint="eastAsia"/>
          <w:sz w:val="24"/>
        </w:rPr>
      </w:pPr>
      <w:r w:rsidRPr="00D1368B">
        <w:rPr>
          <w:rFonts w:ascii="Times New Roman" w:eastAsia="方正小标宋_GBK" w:hAnsi="Times New Roman" w:cs="Times New Roman" w:hint="eastAsia"/>
          <w:sz w:val="44"/>
          <w:szCs w:val="44"/>
        </w:rPr>
        <w:t>放心食品经营自我公开承诺书参考模板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仿宋_GBK" w:hAnsi="Calibri" w:cs="Times New Roman" w:hint="eastAsia"/>
          <w:sz w:val="32"/>
          <w:szCs w:val="32"/>
        </w:rPr>
        <w:t>民以食为天，食品安全是民生工程，是良心工程。为保障广大消费者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舌尖上的安全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，本门店（单位）积极参加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放心食品自我承诺活动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，严格遵守《中华人民共和国食品安全法》等法律法规要求，严格履行食品安全主体责任，保证食品安全，守法诚信经营，自觉接受社会监督。为此，本门店（单位）郑重承诺：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一、加强食品安全管理能力建设。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经营主体主要负责人对经营食品安全工作全面负责。健全食品安全管理机构，完善食品安全各项制度，配备食品安全管理人员，建立食品安全追溯体系。</w:t>
      </w:r>
    </w:p>
    <w:p w:rsidR="00D1368B" w:rsidRPr="00D1368B" w:rsidRDefault="00D1368B" w:rsidP="00D1368B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二、严格食品安全自查。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认真落实食品安全自查制度，加大对食品经营活动各环节、各岗位落实食品安全制度情况的检查力度，定期对食品安全状况进行检查评价，及时采取措施消除食品安全风险隐患。</w:t>
      </w:r>
    </w:p>
    <w:p w:rsidR="00D1368B" w:rsidRPr="00D1368B" w:rsidRDefault="00D1368B" w:rsidP="00D1368B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三、严控食品采购来源。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认真落实食品进货查验记录制度，确保所采购食品均来自食品安全保障能力较强的</w:t>
      </w:r>
      <w:proofErr w:type="gramStart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供应商且质量</w:t>
      </w:r>
      <w:proofErr w:type="gramEnd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安全可靠可控，确保各类票据齐全合法。不采购不符合食品安全标准的食品，不采购无合法来源或无法追溯来源的食品。</w:t>
      </w:r>
    </w:p>
    <w:p w:rsidR="00D1368B" w:rsidRPr="00D1368B" w:rsidRDefault="00D1368B" w:rsidP="00D1368B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四、严控食品销售过程。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按照规范开展食品贮存、销售等活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lastRenderedPageBreak/>
        <w:t>动，采取有效措施防控交叉污染；确保冷藏冷冻食品始终处于标签标识或标准要求的温度环境；确保线上线下同标同质销售。不销售感官性状异常的食品，不销售超过保质期的食品，不销售未经任何防护的散装直接入口食品，不销售法律法规禁止经营的各类食品，不销售假冒伪劣食品，不向未成年人无底线营销食品。普通食品不与特殊食品混放销售，普通食品不冒充特殊食品销售。认真落实</w:t>
      </w:r>
      <w:proofErr w:type="gramStart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反食品</w:t>
      </w:r>
      <w:proofErr w:type="gramEnd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浪费措施和</w:t>
      </w:r>
      <w:proofErr w:type="gramStart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禁限塑要求</w:t>
      </w:r>
      <w:proofErr w:type="gramEnd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，切实履行《安全生产法》相关主体义务。</w:t>
      </w:r>
    </w:p>
    <w:p w:rsidR="00D1368B" w:rsidRPr="00D1368B" w:rsidRDefault="00D1368B" w:rsidP="00D1368B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五、严格餐饮服务风险管控管理。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确保自身持续保持许可条件；按照法律法规、标准规范开展食品加工制作、贮存、清洗消毒、备餐、供餐与配送等活动，确保餐饮服务各环节风险可控、安全有保障；严格落实餐饮服务食品安全管理各项制度，确保制度落实落地；严格遵守网络餐饮服务食品安全各项要求，确保线上线下经营的食品同标同质；认真落实制止餐饮浪费、生活垃圾治理、绿色餐饮等要求，切实履行《安全生产法》主体义务。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六、严格员工健康管理。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认真落实员工健康管理制度，实行每日岗前健康检查，督促员工保持个人卫生，按要求穿戴清洁的工作衣、帽、口罩等上岗工作；确保从事接触直接入口食品的员工持健康证上岗、未患有碍食品安全的疾病。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七、严格场所环境卫生管控。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加强重点区域、重点环节的清洁消毒工作，确保经营场所干净整洁卫生，通风照明良好，无异味。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八、严格落实疫情防控主体责任。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严格落实进口冷</w:t>
      </w:r>
      <w:proofErr w:type="gramStart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链食品</w:t>
      </w:r>
      <w:proofErr w:type="gramEnd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溯源管理和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三专、三证、四不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要求。根据当地疫情防控工作要求，严格落实从业人员健康监测、核酸检测和疫苗接种要求，设置疫情防控提示牌，落实限制人流、测体温、戴口罩、查验行程码和健康码、</w:t>
      </w:r>
      <w:proofErr w:type="gramStart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扫验场所</w:t>
      </w:r>
      <w:proofErr w:type="gramEnd"/>
      <w:r w:rsidRPr="00D1368B">
        <w:rPr>
          <w:rFonts w:ascii="Times New Roman" w:eastAsia="方正仿宋_GBK" w:hAnsi="Calibri" w:cs="Times New Roman" w:hint="eastAsia"/>
          <w:sz w:val="32"/>
          <w:szCs w:val="32"/>
        </w:rPr>
        <w:t>码、环境通风、清洁消毒等防控措施。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黑体_GBK" w:hAnsi="Times New Roman" w:cs="Times New Roman" w:hint="eastAsia"/>
          <w:sz w:val="32"/>
          <w:szCs w:val="32"/>
        </w:rPr>
        <w:t>九、严格保护消费者合法权益。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畅通消费者权益诉求受理、处置途径，依法维护消费者合法权益。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仿宋_GBK" w:hAnsi="Calibri" w:cs="Times New Roman" w:hint="eastAsia"/>
          <w:sz w:val="32"/>
          <w:szCs w:val="32"/>
        </w:rPr>
        <w:t>欢迎社会各界对本单位承诺落实情况进行监督指导。希望我们的努力与诚心，助力实现食品安全让生活更美好的愿景！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仿宋_GBK" w:hAnsi="Calibri" w:cs="Times New Roman" w:hint="eastAsia"/>
          <w:sz w:val="32"/>
          <w:szCs w:val="32"/>
        </w:rPr>
        <w:t>监督与投诉联系人：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仿宋_GBK" w:hAnsi="Calibri" w:cs="Times New Roman" w:hint="eastAsia"/>
          <w:sz w:val="32"/>
          <w:szCs w:val="32"/>
        </w:rPr>
        <w:t>联系方式：</w:t>
      </w: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1368B" w:rsidRPr="00D1368B" w:rsidRDefault="00D1368B" w:rsidP="00D1368B">
      <w:pPr>
        <w:spacing w:line="60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1368B" w:rsidRPr="00D1368B" w:rsidRDefault="00D1368B" w:rsidP="00D1368B">
      <w:pPr>
        <w:spacing w:line="600" w:lineRule="exact"/>
        <w:ind w:rightChars="1500" w:right="315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仿宋_GBK" w:hAnsi="Calibri" w:cs="Times New Roman" w:hint="eastAsia"/>
          <w:sz w:val="32"/>
          <w:szCs w:val="32"/>
        </w:rPr>
        <w:t>承诺人：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</w:t>
      </w:r>
    </w:p>
    <w:p w:rsidR="00D1368B" w:rsidRPr="00D1368B" w:rsidRDefault="00D1368B" w:rsidP="00D1368B">
      <w:pPr>
        <w:spacing w:line="600" w:lineRule="exact"/>
        <w:ind w:rightChars="1000" w:right="210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××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年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×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月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>×</w:t>
      </w:r>
      <w:r w:rsidRPr="00D1368B">
        <w:rPr>
          <w:rFonts w:ascii="Times New Roman" w:eastAsia="方正仿宋_GBK" w:hAnsi="Calibri" w:cs="Times New Roman" w:hint="eastAsia"/>
          <w:sz w:val="32"/>
          <w:szCs w:val="32"/>
        </w:rPr>
        <w:t>日</w:t>
      </w:r>
      <w:r w:rsidRPr="00D1368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D1368B" w:rsidRPr="00D1368B" w:rsidRDefault="00D1368B" w:rsidP="00D1368B">
      <w:pPr>
        <w:spacing w:line="600" w:lineRule="exact"/>
        <w:ind w:firstLineChars="1802" w:firstLine="5766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1368B" w:rsidRPr="00D1368B" w:rsidRDefault="00D1368B" w:rsidP="00D1368B">
      <w:pPr>
        <w:spacing w:line="6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1368B" w:rsidRPr="00D1368B" w:rsidRDefault="00D1368B" w:rsidP="00D1368B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</w:rPr>
      </w:pPr>
      <w:r w:rsidRPr="00D1368B">
        <w:rPr>
          <w:rFonts w:ascii="Times New Roman" w:eastAsia="方正仿宋_GBK" w:hAnsi="Calibri" w:cs="Times New Roman" w:hint="eastAsia"/>
          <w:sz w:val="32"/>
          <w:szCs w:val="32"/>
        </w:rPr>
        <w:t>（注：该承诺模板供各地、各企业参考使用，可根据实际增加相关具体内容）</w:t>
      </w:r>
    </w:p>
    <w:p w:rsidR="00D1368B" w:rsidRPr="00D1368B" w:rsidRDefault="00D1368B" w:rsidP="00D1368B">
      <w:pPr>
        <w:spacing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  <w:r w:rsidRPr="00D1368B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D1368B">
        <w:rPr>
          <w:rFonts w:ascii="Times New Roman" w:eastAsia="方正黑体_GBK" w:hAnsi="Calibri" w:cs="Times New Roman"/>
          <w:sz w:val="32"/>
          <w:szCs w:val="32"/>
        </w:rPr>
        <w:t>附件</w:t>
      </w:r>
      <w:r w:rsidRPr="00D1368B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1368B" w:rsidRPr="00D1368B" w:rsidRDefault="00D1368B" w:rsidP="00D1368B">
      <w:pPr>
        <w:widowControl/>
        <w:spacing w:beforeLines="100" w:before="312" w:afterLines="100" w:after="312" w:line="600" w:lineRule="exact"/>
        <w:jc w:val="center"/>
        <w:textAlignment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 w:rsidRPr="00D1368B">
        <w:rPr>
          <w:rFonts w:ascii="Times New Roman" w:eastAsia="方正小标宋_GBK" w:hAnsi="Calibri" w:cs="Times New Roman"/>
          <w:color w:val="000000"/>
          <w:kern w:val="0"/>
          <w:sz w:val="44"/>
          <w:szCs w:val="44"/>
          <w:lang w:bidi="ar"/>
        </w:rPr>
        <w:t>放心食品</w:t>
      </w:r>
      <w:r w:rsidRPr="00D1368B">
        <w:rPr>
          <w:rFonts w:ascii="Times New Roman" w:eastAsia="方正小标宋_GBK" w:hAnsi="Calibri" w:cs="Times New Roman" w:hint="eastAsia"/>
          <w:color w:val="000000"/>
          <w:kern w:val="0"/>
          <w:sz w:val="44"/>
          <w:szCs w:val="44"/>
          <w:lang w:bidi="ar"/>
        </w:rPr>
        <w:t>经营</w:t>
      </w:r>
      <w:r w:rsidRPr="00D1368B">
        <w:rPr>
          <w:rFonts w:ascii="Times New Roman" w:eastAsia="方正小标宋_GBK" w:hAnsi="Calibri" w:cs="Times New Roman"/>
          <w:color w:val="000000"/>
          <w:kern w:val="0"/>
          <w:sz w:val="44"/>
          <w:szCs w:val="44"/>
          <w:lang w:bidi="ar"/>
        </w:rPr>
        <w:t>自我公开承诺活动工作统计表</w:t>
      </w:r>
    </w:p>
    <w:p w:rsidR="00D1368B" w:rsidRPr="00D1368B" w:rsidRDefault="00D1368B" w:rsidP="00D1368B">
      <w:pPr>
        <w:spacing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  <w:r w:rsidRPr="00D1368B">
        <w:rPr>
          <w:rFonts w:ascii="Times New Roman" w:eastAsia="方正仿宋_GBK" w:hAnsi="Calibri" w:cs="Times New Roman"/>
          <w:color w:val="000000"/>
          <w:kern w:val="0"/>
          <w:sz w:val="28"/>
          <w:szCs w:val="28"/>
          <w:lang w:bidi="ar"/>
        </w:rPr>
        <w:t>填报单位：</w:t>
      </w:r>
      <w:r w:rsidRPr="00D1368B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                                    </w:t>
      </w:r>
      <w:r w:rsidRPr="00D1368B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bidi="ar"/>
        </w:rPr>
        <w:t>202</w:t>
      </w:r>
      <w:r w:rsidRPr="00D1368B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  <w:lang w:bidi="ar"/>
        </w:rPr>
        <w:t>2</w:t>
      </w:r>
      <w:r w:rsidRPr="00D1368B">
        <w:rPr>
          <w:rFonts w:ascii="Times New Roman" w:eastAsia="方正仿宋_GBK" w:hAnsi="Calibri" w:cs="Times New Roman"/>
          <w:color w:val="000000"/>
          <w:kern w:val="0"/>
          <w:sz w:val="28"/>
          <w:szCs w:val="28"/>
          <w:lang w:bidi="ar"/>
        </w:rPr>
        <w:t>年</w:t>
      </w:r>
      <w:r w:rsidRPr="00D1368B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  </w:t>
      </w:r>
      <w:r w:rsidRPr="00D1368B">
        <w:rPr>
          <w:rFonts w:ascii="Times New Roman" w:eastAsia="方正仿宋_GBK" w:hAnsi="Calibri" w:cs="Times New Roman"/>
          <w:color w:val="000000"/>
          <w:kern w:val="0"/>
          <w:sz w:val="28"/>
          <w:szCs w:val="28"/>
          <w:lang w:bidi="ar"/>
        </w:rPr>
        <w:t>月</w:t>
      </w:r>
      <w:r w:rsidRPr="00D1368B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bidi="ar"/>
        </w:rPr>
        <w:t xml:space="preserve">  </w:t>
      </w:r>
      <w:r w:rsidRPr="00D1368B">
        <w:rPr>
          <w:rFonts w:ascii="Times New Roman" w:eastAsia="方正仿宋_GBK" w:hAnsi="Calibri" w:cs="Times New Roman"/>
          <w:color w:val="000000"/>
          <w:kern w:val="0"/>
          <w:sz w:val="28"/>
          <w:szCs w:val="28"/>
          <w:lang w:bidi="ar"/>
        </w:rPr>
        <w:t>日</w:t>
      </w:r>
    </w:p>
    <w:p w:rsidR="00D1368B" w:rsidRPr="00D1368B" w:rsidRDefault="00D1368B" w:rsidP="00D1368B">
      <w:pPr>
        <w:spacing w:line="2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0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7"/>
        <w:gridCol w:w="4932"/>
        <w:gridCol w:w="722"/>
        <w:gridCol w:w="1111"/>
        <w:gridCol w:w="1550"/>
      </w:tblGrid>
      <w:tr w:rsidR="00D1368B" w:rsidRPr="00D1368B" w:rsidTr="00D256AA">
        <w:trPr>
          <w:trHeight w:val="680"/>
          <w:jc w:val="center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3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参与自我公开承诺活动的</w:t>
            </w: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市场主体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其中：</w:t>
            </w: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大中型商超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食品集中交易市场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ind w:firstLineChars="300" w:firstLine="840"/>
              <w:jc w:val="left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连锁销售企业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ind w:firstLineChars="300" w:firstLine="840"/>
              <w:jc w:val="left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连锁餐饮企业（总部和门店）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ind w:firstLineChars="300" w:firstLine="840"/>
              <w:jc w:val="left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中央厨房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ind w:firstLineChars="300" w:firstLine="840"/>
              <w:jc w:val="left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集体用餐配送单位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ind w:left="840" w:hangingChars="300" w:hanging="84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从事网络食品经营的第三方平台及社区团</w:t>
            </w:r>
            <w:proofErr w:type="gramStart"/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购企业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ind w:firstLineChars="300" w:firstLine="84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售卖肉菜食品的超市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680"/>
          <w:jc w:val="center"/>
        </w:trPr>
        <w:tc>
          <w:tcPr>
            <w:tcW w:w="75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在</w:t>
            </w: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经营场所</w:t>
            </w: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展示自我公开承诺书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1101"/>
          <w:jc w:val="center"/>
        </w:trPr>
        <w:tc>
          <w:tcPr>
            <w:tcW w:w="75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通过企业网站、公众号、</w:t>
            </w:r>
            <w:r w:rsidRPr="00D1368B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APP</w:t>
            </w: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公布自我公开承诺的超市</w:t>
            </w: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及相关市场主体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68B" w:rsidRPr="00D1368B" w:rsidTr="00D256AA">
        <w:trPr>
          <w:trHeight w:val="1103"/>
          <w:jc w:val="center"/>
        </w:trPr>
        <w:tc>
          <w:tcPr>
            <w:tcW w:w="75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通过政府网站和当地主要媒体公布自我公开承诺的超市</w:t>
            </w:r>
            <w:r w:rsidRPr="00D1368B">
              <w:rPr>
                <w:rFonts w:ascii="Times New Roman" w:eastAsia="方正仿宋_GBK" w:hAnsi="Calibri" w:cs="Times New Roman" w:hint="eastAsia"/>
                <w:color w:val="000000"/>
                <w:kern w:val="0"/>
                <w:sz w:val="28"/>
                <w:szCs w:val="28"/>
                <w:lang w:bidi="ar"/>
              </w:rPr>
              <w:t>及相关市场主体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D1368B">
              <w:rPr>
                <w:rFonts w:ascii="Times New Roman" w:eastAsia="方正仿宋_GBK" w:hAnsi="Calibri" w:cs="Times New Roman"/>
                <w:color w:val="000000"/>
                <w:kern w:val="0"/>
                <w:sz w:val="28"/>
                <w:szCs w:val="28"/>
                <w:lang w:bidi="ar"/>
              </w:rPr>
              <w:t>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368B" w:rsidRPr="00D1368B" w:rsidRDefault="00D1368B" w:rsidP="00D1368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6424" w:rsidRDefault="00556424">
      <w:bookmarkStart w:id="0" w:name="_GoBack"/>
      <w:bookmarkEnd w:id="0"/>
    </w:p>
    <w:sectPr w:rsidR="00556424" w:rsidSect="00D1368B">
      <w:pgSz w:w="11906" w:h="16838"/>
      <w:pgMar w:top="204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1B" w:rsidRDefault="0041441B" w:rsidP="00D1368B">
      <w:r>
        <w:separator/>
      </w:r>
    </w:p>
  </w:endnote>
  <w:endnote w:type="continuationSeparator" w:id="0">
    <w:p w:rsidR="0041441B" w:rsidRDefault="0041441B" w:rsidP="00D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1B" w:rsidRDefault="0041441B" w:rsidP="00D1368B">
      <w:r>
        <w:separator/>
      </w:r>
    </w:p>
  </w:footnote>
  <w:footnote w:type="continuationSeparator" w:id="0">
    <w:p w:rsidR="0041441B" w:rsidRDefault="0041441B" w:rsidP="00D1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AD"/>
    <w:rsid w:val="0041441B"/>
    <w:rsid w:val="00556424"/>
    <w:rsid w:val="006279AD"/>
    <w:rsid w:val="00D1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6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1017</Characters>
  <Application>Microsoft Office Word</Application>
  <DocSecurity>0</DocSecurity>
  <Lines>78</Lines>
  <Paragraphs>122</Paragraphs>
  <ScaleCrop>false</ScaleCrop>
  <Company>GSJ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黄立辉</dc:creator>
  <cp:keywords/>
  <dc:description/>
  <cp:lastModifiedBy>黄立辉</cp:lastModifiedBy>
  <cp:revision>2</cp:revision>
  <dcterms:created xsi:type="dcterms:W3CDTF">2022-06-07T01:44:00Z</dcterms:created>
  <dcterms:modified xsi:type="dcterms:W3CDTF">2022-06-07T01:44:00Z</dcterms:modified>
</cp:coreProperties>
</file>