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科技资源分类与编码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地方标准（征求意见稿）编制说明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一、编制背景和意义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本标准根据湖南省市场监督管理局文件《关于下达202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年地方标准制修订项目计划的通知》，由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湖南省科学技术信息研究所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牵头组织并作为主要起草单位编制本标准。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本标准作为国家重点研发计划项目“科技资源集成技术与特色科技服务资源池构建”（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2018YFB1404302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）子课题任务之一。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（二）标准制定目的与意义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大数据成为继土地、劳动力、资本、技术之后最为活跃的生产要素，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被誉为是“21世纪的钻石矿”，是国家基础性战略性资源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。科技资源是科技创新活动的基础，一个国家和区域创新驱动发展和核心竞争力的形成，在很大程度上取决于科技数据资源的规模、质量，资源配置和开发、利用的效率。然而，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当前我国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配置效率低、共享难、利用难、安全保障存在安全风险。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目前，我省正在实施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湖南科技云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湖南科技云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，就是充分利用大数据、云计算等新一代信息技术，打造全省科技系统的重大创新平台，推动数字湖南建设的智能化综合性数字信息基础设施建设，深化推进科研项目全过程管理，优化科技预见与科技战略制定，实现科技发展深度监测与评估，为推动我省科技治理现代化、数字化、智能化发展提供有力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根据《数据安全法》和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1.1-2020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标准化工作导则 第1部分：标准化文件的结构和起草规则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，本规范构建了分类编码框架标准，为科技大数据中心和湖南科技云的建设、开发利用和数据安全保护提供依据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1.本规范的制定有利于科技资源治理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内容包括数据资源生命周期、数据资产梳理、数据安全与隐私、数据架构、数据质量和数据服务创新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。科技资源的标准化，是大数据中心建设和湖南科技云建设的非常重要的环节，通过科技资源的标准化，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实现跨层级、跨地区、跨系统、跨部门、跨业务的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系统的整合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2.本规范的制定有利于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大数据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资源顶层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大数据平台或中心建设过程中需要应用</w:t>
      </w:r>
      <w:r>
        <w:rPr>
          <w:rFonts w:hint="default" w:ascii="仿宋_GB2312" w:hAnsi="仿宋_GB2312" w:eastAsia="仿宋_GB2312" w:cs="仿宋_GB2312"/>
          <w:sz w:val="32"/>
          <w:szCs w:val="32"/>
        </w:rPr>
        <w:t>数量庞大、种类繁杂的标准规范，这些标准规范对推动科技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大数据</w:t>
      </w:r>
      <w:r>
        <w:rPr>
          <w:rFonts w:hint="default" w:ascii="仿宋_GB2312" w:hAnsi="仿宋_GB2312" w:eastAsia="仿宋_GB2312" w:cs="仿宋_GB2312"/>
          <w:sz w:val="32"/>
          <w:szCs w:val="32"/>
        </w:rPr>
        <w:t>资源建设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提供了基础性保障</w:t>
      </w:r>
      <w:r>
        <w:rPr>
          <w:rFonts w:hint="default" w:ascii="仿宋_GB2312" w:hAnsi="仿宋_GB2312" w:eastAsia="仿宋_GB2312" w:cs="仿宋_GB2312"/>
          <w:sz w:val="32"/>
          <w:szCs w:val="32"/>
        </w:rPr>
        <w:t>，但是也存在着一些问题，如缺乏全局性顶层设计，没有形成统一的标准化建设体系框架。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开展标准化研究和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编制科学合理的科技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资源标准体系，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标准的结构和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规划基础上达成共识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，能够科学地指导资源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标准的制定、修订、复审等计划、规划的编制和实施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3.本规范的制定有利于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提高科技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资源的质量和利用效率。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按照标准体系中确定的统一标准，如共性描述规范、数据质量控制规范，对资源进行标准化整理和数字化表达，保证数据资源的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完整性、可开发性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和可靠性，有利于建立规范统一的资源数据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资源目录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，方便资源利用者准确、快速地获取高质量的资源信息和实物，提高资源利用效率和效益。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4.本规范的制定有利于建立数据分类分级保护制度，提升国家数据安全。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安全以数据为中心，重点考虑数据生命周期各阶段中的数据安全，大数据应用中包含海量数据，存在对海量数据的安全管理。大数据场景下，多源数据关联分析可能导致传统保护措施失灵。《中华人民共和国数据安全法》于2021年9月实施，数据安全上升了法律层面。《数据安全法》提出要依法制定数据安全行为规范和团体标准，提高数据安全保护水平。开展标准化工作可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明确资源的分级标准、分类标准以及相应的安全标准，清晰界定科技资源的开放程度和共享范围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（一）准备阶段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（立项阶段）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成立标准起草组：标准起草工作小组于2020年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月成立，项目组成员由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湖南省科学技术信息研究所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相关人员、相关标准化专家、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专家等共同组成。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资料收集：202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，标准编制组收集整理了相关的法律、法规、规划文件、标准文本、政策情况等资料，完成了标准草案的编写。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调研阶段。为了破解业务系统协同难、科技数据支撑科技创新工作不足、数据标准规范不成体系等问题，课题组认真开展专项调查研究。一是认真学习借鉴国家科技管理信息系统公共服务平台的经验，将数据中台、标准规范等建设模式借鉴应用到本方案中。二是对兄弟省份情况进行深入调研，重点调研了已开展或正在开展科技云建设的浙江省、山东省、广西省，针对兄弟省份的数据标准化工作进行研究，并充分结合我省科技工作实际进行优化。三是摸清我省科技数据资源分布现状，搜集整理了21项科技数据资源共享目录，形成了较为完备的科技资源数据字典。四是充分征集各处室、厅属单位信息化建设需求，在充分吸收采纳的基础上，初步形成本标准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工作组第一次讨论会：202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日，工作组开展首次会议，会议明确了任务分工和时间进度安排，确定了工作方案、配合方及人员，以及需要第三方配合的相关人员，参会人员为省发展研究中心相关领导、项目组成员。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（二）起草工作阶段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标准讨论及调查研究：202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月13日起，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组针对标准文本前后共组织开展标准讨论会议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次，并多次调研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外省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的建设情况。经工作组及相关专家的共同探讨，逐步明确了标准的边界、内容以及与其他标准相互的逻辑关系，并充分做到标准与相关省地标和文件的对接。通过对标准文本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进行了多次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修改，最终形成标准工作组讨论稿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组织召开专家研讨会：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课题组先后组织了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2次专家会议。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三、标准编制原则和主要内容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本标准的制定工作遵循“先进性、科学性、合理性和可操作性”的原则，按照GB/T 1.1-2020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标准化工作导则 第1部分：标准化文件的结构和起草规则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给出的规则编写。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本标准主要参考了</w:t>
      </w:r>
      <w:r>
        <w:rPr>
          <w:rFonts w:ascii="Times New Roman" w:hAnsi="Times New Roman" w:eastAsia="仿宋_GB2312" w:cs="Times New Roman"/>
          <w:sz w:val="32"/>
          <w:szCs w:val="32"/>
        </w:rPr>
        <w:t>GB/T 32843-2016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科技资源标识</w:t>
      </w:r>
      <w:r>
        <w:rPr>
          <w:rFonts w:hint="eastAsia" w:eastAsia="仿宋_GB2312" w:cs="Times New Roman"/>
          <w:sz w:val="32"/>
          <w:szCs w:val="32"/>
          <w:lang w:eastAsia="zh-CN"/>
        </w:rPr>
        <w:t>》、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GB</w:t>
      </w:r>
      <w:r>
        <w:rPr>
          <w:rFonts w:ascii="Times New Roman" w:hAnsi="Times New Roman" w:eastAsia="微软雅黑" w:cs="Times New Roman"/>
          <w:sz w:val="32"/>
          <w:szCs w:val="32"/>
        </w:rPr>
        <w:t>∕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T 31779-2015 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科技服务产品数据描述规范</w:t>
      </w:r>
      <w:r>
        <w:rPr>
          <w:rFonts w:hint="eastAsia" w:eastAsia="仿宋_GB2312" w:cs="Times New Roman"/>
          <w:sz w:val="32"/>
          <w:szCs w:val="32"/>
          <w:lang w:eastAsia="zh-CN"/>
        </w:rPr>
        <w:t>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32844-2016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科普资源分类与代码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和参考文献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，结合当前国内先进标准的情况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和本省科技资源组织情况编制而成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标准内容及指标更加符合实际运用。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从管理实践视角来看，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基本遵循“5W”管理要素，即管理什么，管理目标是什么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谁来管理？什么条件下管理，如何管理？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从管理的要素出发，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科技大数据资源的管理对象是科技大数据资源，管理主体是行政管理主体及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科研院所、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中介组织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各类科技资源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生产者、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拥有者和使用者；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管理手段包括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经济、行政、法律、技术等手段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；管理目标是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资源进行科学规划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和顶层设计，进一步开展资源配置、资源聚合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数据治理、资源挖掘开发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和高效利用，以使科技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资源有效支撑科技创新活动，最终实现组织战略目标的过程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管理环境基于大数据时代。具体思路为：首先按照科技管实践业务逻辑划分，作为一级分类，其次业务按照数据属性、重要程度、管理需要、用户使用需要进行数据细分，作为二级或三级分类，并予以代码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标准名称变更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根据3月1日课题组组织的标准编制专家研讨会会议精神，课题组和与会专家一致认为，将立项时的标准名称“科技资源池分类规范”修改为“科技资源分类与编码”更符合项目编制的背景和内容。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）主要内容技术说明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科技资源分类与编码</w:t>
      </w:r>
      <w:r>
        <w:rPr>
          <w:rFonts w:hint="eastAsia" w:ascii="仿宋_GB2312" w:hAnsi="仿宋_GB2312" w:eastAsia="仿宋_GB2312" w:cs="仿宋_GB2312"/>
          <w:sz w:val="32"/>
          <w:szCs w:val="32"/>
        </w:rPr>
        <w:t>》主要内容如下：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 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适用于科技资源的信息采集、分类、存储、管理、共享与交换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、数据安全分级工作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术语和定义：提出适用于本标准的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条术语。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分类原则：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在构建科技大数据资源分类体系时，本规范对科技大数据资源的分类应充分考虑资源的系统性、唯一性、实用性、整体性、扩展性和兼容性。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  科技资源分类思路：在科技资源分类中，在对不同类型的科技资源服务平台充分调研的基础上，对接科技服务产品、科技信息资源、科普资源等现行相关国家标准或地方标准，以科技资源的主要性质为分类依据，统筹考虑科技资源的内涵特征、利用方式和主体需求等因素，对科技资源类型进行归纳、划分，形成（湖南省）科技资源池分类体系。本科技资源分类采用一级、二级、三级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个层级的分类体系，其中一级类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个，二级类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个，三级类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方法：本标准采用线分类法（也称层次分类法），将初始的科技资源分类对象按选定的属性（或特征）作为划分基础，逐渐分成相应的若干个层次级类目，并排列成一个有层次的、逐级展开的科技资源分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分类体系及代码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本标准针对各类科技大数据资源的属性，按照分类编码的一般原则与方法，进行统一分类和一致编码的子体系。分类编码是组织科技大数据资源的有效手段，也是实现科技大数据资源管理和利用的的基本保障。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四、实施本标准效益分析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科技大数据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海量性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、高增长性、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多样性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时效性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可变性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、价值高等大数据一般典型特征，但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不同于一般意义上的网络及行业大数据，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人工智能、云计算、移动互联网和物联网等技术的融合发展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时代，科技大数据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作为新的生产要素资源，支撑供给侧结构性改革、驱动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创新发展、绿色发展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的作用日益显现，正成为推动质量变革、效率变革、动力变革的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第一动力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本标准构建了科技大数据资源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按照分类编码的一般原则与方法，进行统一分类和一致编码的子体系。分类编码是组织科技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资源的有效手段，也是实现科技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管理和利用的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基本保障；本标准构建了科技大数据资源编码体系，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就是要实现对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科技大数据资源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的编目、注册、发布、查询和维护，对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科技大数据资源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实施高效的管理。因此，为了提供对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科技大数据资源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进行检索和查询的依据，有必要对每一项资源赋予一个唯一不变的标识码。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五、与有关的现行法律、法规和强制性国家标准的关系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本标准与相关法律、法规、规章及相关标准协调一致，没有冲突。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六、重大分歧意见的处理经过和依据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七、贯彻标准的要求和措施建议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加强标准的宣贯、实施与监督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发布后，相关部门应落实相关政策，推动该标准的实施；同时通过电视、报纸、网络等手段加强对该标准的宣传工作，不仅可以促进该标准的实施，还可以提高各相关部门采用该标准的意识。采用该标准以后，有关行政管理部门应加强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及时修订完善，使本标准持续改进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由于本标准为首次制定，为保持其科学性与先进性，希望各有关单位在执行本标准的同时，发现新的情况，能及时向湖南省科学技术信息研究所提出，以备修订之用。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八、废止现行有关标准的建议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八、其他应予说明的事项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TM2YTRkNjA2ODBmOTZjOTljMDRkOGMyZmNkMzQifQ=="/>
  </w:docVars>
  <w:rsids>
    <w:rsidRoot w:val="600950B8"/>
    <w:rsid w:val="0A2471C8"/>
    <w:rsid w:val="1D781865"/>
    <w:rsid w:val="1E3D5C20"/>
    <w:rsid w:val="2A47343A"/>
    <w:rsid w:val="2BAB2D48"/>
    <w:rsid w:val="53C37456"/>
    <w:rsid w:val="600950B8"/>
    <w:rsid w:val="60477A0C"/>
    <w:rsid w:val="6B380685"/>
    <w:rsid w:val="6CE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绩效4"/>
    <w:basedOn w:val="5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Cs w:val="22"/>
    </w:rPr>
  </w:style>
  <w:style w:type="paragraph" w:customStyle="1" w:styleId="9">
    <w:name w:val="绩效3"/>
    <w:basedOn w:val="4"/>
    <w:next w:val="1"/>
    <w:qFormat/>
    <w:uiPriority w:val="0"/>
    <w:pPr>
      <w:spacing w:line="240" w:lineRule="auto"/>
    </w:pPr>
    <w:rPr>
      <w:rFonts w:ascii="Times New Roman" w:hAnsi="Times New Roman" w:eastAsia="楷体_GB2312"/>
      <w:sz w:val="28"/>
      <w:szCs w:val="2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3881</Words>
  <Characters>3992</Characters>
  <Lines>0</Lines>
  <Paragraphs>0</Paragraphs>
  <TotalTime>1</TotalTime>
  <ScaleCrop>false</ScaleCrop>
  <LinksUpToDate>false</LinksUpToDate>
  <CharactersWithSpaces>4019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2021-07-30T01:45:00Z</dcterms:created>
  <dc:creator>刘召栋</dc:creator>
  <cp:lastModifiedBy>刘召栋</cp:lastModifiedBy>
  <dcterms:modified xsi:type="dcterms:W3CDTF">2022-05-19T14:03:44Z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B355DB656D614D50B893158D21F49EA2</vt:lpwstr>
  </property>
</Properties>
</file>