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0"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t>43</w:t>
            </w:r>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1"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1"/>
      <w:r>
        <w:rPr>
          <w:rFonts w:hint="eastAsia" w:ascii="黑体" w:hAnsi="黑体" w:eastAsia="黑体"/>
          <w:b w:val="0"/>
          <w:bCs w:val="0"/>
          <w:w w:val="100"/>
          <w:sz w:val="48"/>
          <w:szCs w:val="48"/>
        </w:rPr>
        <w:t>地方标准</w:t>
      </w:r>
    </w:p>
    <w:bookmarkEnd w:id="0"/>
    <w:p>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2" w:name="文字1"/>
      <w:r>
        <w:rPr>
          <w:lang w:val="fr-FR"/>
        </w:rPr>
        <w:instrText xml:space="preserve"> FORMTEXT </w:instrText>
      </w:r>
      <w:r>
        <w:fldChar w:fldCharType="separate"/>
      </w:r>
      <w:r>
        <w:t>43</w:t>
      </w:r>
      <w:r>
        <w:rPr>
          <w:lang w:val="fr-FR"/>
        </w:rPr>
        <w:t>/T</w:t>
      </w:r>
      <w:r>
        <w:fldChar w:fldCharType="end"/>
      </w:r>
      <w:bookmarkEnd w:id="2"/>
      <w:r>
        <w:rPr>
          <w:lang w:val="fr-FR"/>
        </w:rPr>
        <w:t xml:space="preserve"> </w:t>
      </w:r>
      <w:r>
        <w:fldChar w:fldCharType="begin">
          <w:ffData>
            <w:name w:val="NSTD_CODE_F"/>
            <w:enabled/>
            <w:calcOnExit w:val="0"/>
            <w:textInput>
              <w:default w:val="XXXX"/>
            </w:textInput>
          </w:ffData>
        </w:fldChar>
      </w:r>
      <w:bookmarkStart w:id="3" w:name="NSTD_CODE_F"/>
      <w:r>
        <w:rPr>
          <w:lang w:val="fr-FR"/>
        </w:rPr>
        <w:instrText xml:space="preserve"> FORMTEXT </w:instrText>
      </w:r>
      <w:r>
        <w:fldChar w:fldCharType="separate"/>
      </w:r>
      <w:r>
        <w:rPr>
          <w:lang w:val="fr-FR"/>
        </w:rPr>
        <w:t>XXXX</w:t>
      </w:r>
      <w:r>
        <w:fldChar w:fldCharType="end"/>
      </w:r>
      <w:bookmarkEnd w:id="3"/>
      <w:r>
        <w:rPr>
          <w:rFonts w:hAnsi="黑体"/>
          <w:lang w:val="fr-FR"/>
        </w:rPr>
        <w:t>—</w:t>
      </w:r>
      <w:r>
        <w:fldChar w:fldCharType="begin">
          <w:ffData>
            <w:name w:val="NSTD_CODE_B"/>
            <w:enabled/>
            <w:calcOnExit w:val="0"/>
            <w:textInput>
              <w:default w:val="XXXX"/>
            </w:textInput>
          </w:ffData>
        </w:fldChar>
      </w:r>
      <w:bookmarkStart w:id="4" w:name="NSTD_CODE_B"/>
      <w:r>
        <w:rPr>
          <w:lang w:val="fr-FR"/>
        </w:rPr>
        <w:instrText xml:space="preserve"> FORMTEXT </w:instrText>
      </w:r>
      <w:r>
        <w:fldChar w:fldCharType="separate"/>
      </w:r>
      <w:r>
        <w:rPr>
          <w:lang w:val="fr-FR"/>
        </w:rPr>
        <w:t>XXXX</w:t>
      </w:r>
      <w:r>
        <w:fldChar w:fldCharType="end"/>
      </w:r>
      <w:bookmarkEnd w:id="4"/>
    </w:p>
    <w:p>
      <w:pPr>
        <w:pStyle w:val="196"/>
        <w:framePr/>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Hgm733KAQAAXg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MU0fxqCUtgqPD1sMb&#10;bKgGNhGzZmPrTYIkNdiYrdmdrJFjZII2z6fkdkkOimOugOrY6HyIryUaln5qrpVNqkEF2+sQ0yBQ&#10;HUvStsUrpXV2Xls21PzV2ewsNwTUqknJVBZ8t15qz7aQ7k7+MivKPCzzuLHN/hBtD6QTz71ia2x2&#10;K38Ug0zM0xwuXLolD9e5+/5ZL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J4NJltgAAAAMAQAA&#10;DwAAAAAAAAABACAAAAA4AAAAZHJzL2Rvd25yZXYueG1sUEsBAhQAFAAAAAgAh07iQHgm733KAQAA&#10;XgMAAA4AAAAAAAAAAQAgAAAAPQEAAGRycy9lMm9Eb2MueG1sUEsFBgAAAAAGAAYAWQEAAHkFAAAA&#10;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t>科创数字经济园区智慧平台建设规范</w:t>
      </w:r>
      <w:r>
        <w:fldChar w:fldCharType="end"/>
      </w:r>
      <w:bookmarkEnd w:id="6"/>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b/>
          <w:bCs/>
          <w:szCs w:val="28"/>
        </w:rPr>
      </w:pPr>
      <w:r>
        <w:rPr>
          <w:rFonts w:eastAsia="黑体"/>
          <w:b/>
          <w:bCs/>
          <w:szCs w:val="28"/>
        </w:rPr>
        <w:fldChar w:fldCharType="begin">
          <w:ffData>
            <w:name w:val="ESTD_NAME"/>
            <w:enabled/>
            <w:calcOnExit w:val="0"/>
            <w:textInput>
              <w:default w:val="点击此处添加标准名称的英文译名"/>
            </w:textInput>
          </w:ffData>
        </w:fldChar>
      </w:r>
      <w:bookmarkStart w:id="7" w:name="ESTD_NAME"/>
      <w:r>
        <w:rPr>
          <w:rFonts w:eastAsia="黑体"/>
          <w:b/>
          <w:bCs/>
          <w:szCs w:val="28"/>
        </w:rPr>
        <w:instrText xml:space="preserve"> FORMTEXT </w:instrText>
      </w:r>
      <w:r>
        <w:rPr>
          <w:rFonts w:eastAsia="黑体"/>
          <w:b/>
          <w:bCs/>
          <w:szCs w:val="28"/>
        </w:rPr>
        <w:fldChar w:fldCharType="separate"/>
      </w:r>
      <w:r>
        <w:rPr>
          <w:rFonts w:eastAsia="黑体"/>
          <w:b/>
          <w:bCs/>
          <w:szCs w:val="28"/>
        </w:rPr>
        <w:t xml:space="preserve">The rules for constructing smart platform </w:t>
      </w:r>
    </w:p>
    <w:p>
      <w:pPr>
        <w:pStyle w:val="125"/>
        <w:framePr w:w="9639" w:h="6974" w:hRule="exact" w:wrap="around" w:vAnchor="page" w:hAnchor="page" w:x="1419" w:y="6408" w:anchorLock="1"/>
        <w:textAlignment w:val="bottom"/>
        <w:rPr>
          <w:rFonts w:eastAsia="黑体"/>
          <w:b/>
          <w:bCs/>
          <w:szCs w:val="28"/>
        </w:rPr>
      </w:pPr>
      <w:r>
        <w:rPr>
          <w:rFonts w:eastAsia="黑体"/>
          <w:b/>
          <w:bCs/>
          <w:szCs w:val="28"/>
        </w:rPr>
        <w:t>in digital economy park with science and innovation</w:t>
      </w:r>
      <w:r>
        <w:rPr>
          <w:rFonts w:eastAsia="黑体"/>
          <w:b/>
          <w:bCs/>
          <w:szCs w:val="28"/>
        </w:rPr>
        <w:fldChar w:fldCharType="end"/>
      </w:r>
      <w:bookmarkEnd w:id="7"/>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fldChar w:fldCharType="separate"/>
      </w:r>
      <w:r>
        <w:rPr>
          <w:sz w:val="24"/>
          <w:szCs w:val="28"/>
        </w:rPr>
        <w:fldChar w:fldCharType="end"/>
      </w:r>
      <w:bookmarkEnd w:id="8"/>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9"/>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pPr>
        <w:pStyle w:val="193"/>
        <w:framePr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pPr>
        <w:pStyle w:val="151"/>
        <w:framePr w:h="584" w:hRule="exact" w:hSpace="181" w:vSpace="181" w:y="15027"/>
        <w:rPr>
          <w:rFonts w:hAnsi="黑体"/>
        </w:rPr>
      </w:pPr>
      <w:r>
        <w:rPr>
          <w:rFonts w:hint="eastAsia" w:hAnsi="黑体"/>
          <w:w w:val="100"/>
          <w:sz w:val="28"/>
        </w:rPr>
        <w:t>湖南省市场监督管理局</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qt0+T8gBAABc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Ypo7ir5a0CI6O2gxvsKEa&#10;2EbMio2tNwmStGBjNmZ/NkaOkQnavJiS1yX5J065AqpTo/MhvpZoWPqpuVY2aQYV7G5CTINAdSpJ&#10;2xavldbZd23ZUPNX89k8NwTUqknJVBZ8t1lpz3aQbk7+MivKPCzzuLXN4RBtj6QTz4NiG2z2a38S&#10;gyzM0xyvW7ojD9e5+8+jWP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qzMc+9cAAAAOAQAADwAA&#10;AAAAAAABACAAAAA4AAAAZHJzL2Rvd25yZXYueG1sUEsBAhQAFAAAAAgAh07iQKrdPk/IAQAAXAMA&#10;AA4AAAAAAAAAAQAgAAAAPAEAAGRycy9lMm9Eb2MueG1sUEsFBgAAAAAGAAYAWQEAAHYFAAAAAA==&#10;">
                <v:fill on="f" focussize="0,0"/>
                <v:stroke color="#000000" joinstyle="round"/>
                <v:imagedata o:title=""/>
                <o:lock v:ext="edit" aspectratio="f"/>
                <w10:anchorlock/>
              </v:line>
            </w:pict>
          </mc:Fallback>
        </mc:AlternateContent>
      </w:r>
    </w:p>
    <w:p>
      <w:pPr>
        <w:pStyle w:val="91"/>
        <w:spacing w:after="468"/>
      </w:pPr>
      <w:bookmarkStart w:id="92" w:name="_GoBack"/>
      <w:bookmarkEnd w:id="92"/>
      <w:bookmarkStart w:id="17" w:name="BookMark1"/>
      <w:bookmarkStart w:id="18" w:name="_Toc96346902"/>
      <w:bookmarkStart w:id="19" w:name="_Toc99019159"/>
      <w:bookmarkStart w:id="20" w:name="_Toc99033117"/>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"_Toc100578582" </w:instrText>
      </w:r>
      <w:r>
        <w:fldChar w:fldCharType="separate"/>
      </w:r>
      <w:r>
        <w:rPr>
          <w:rStyle w:val="32"/>
          <w:rFonts w:hint="eastAsia"/>
        </w:rPr>
        <w:t>前言</w:t>
      </w:r>
      <w:r>
        <w:tab/>
      </w:r>
      <w:r>
        <w:fldChar w:fldCharType="begin"/>
      </w:r>
      <w:r>
        <w:instrText xml:space="preserve"> PAGEREF _Toc100578582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"_Toc100578583" </w:instrText>
      </w:r>
      <w:r>
        <w:fldChar w:fldCharType="separate"/>
      </w:r>
      <w:r>
        <w:rPr>
          <w:rStyle w:val="32"/>
        </w:rPr>
        <w:t xml:space="preserve">1 </w:t>
      </w:r>
      <w:r>
        <w:rPr>
          <w:rStyle w:val="32"/>
          <w:rFonts w:hint="eastAsia"/>
        </w:rPr>
        <w:t xml:space="preserve"> 范围</w:t>
      </w:r>
      <w:r>
        <w:tab/>
      </w:r>
      <w:r>
        <w:fldChar w:fldCharType="begin"/>
      </w:r>
      <w:r>
        <w:instrText xml:space="preserve"> PAGEREF _Toc100578583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"_Toc100578584"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_Toc100578584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"_Toc100578585"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_Toc100578585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"_Toc100578586" </w:instrText>
      </w:r>
      <w:r>
        <w:fldChar w:fldCharType="separate"/>
      </w:r>
      <w:r>
        <w:rPr>
          <w:rStyle w:val="32"/>
        </w:rPr>
        <w:t xml:space="preserve">4 </w:t>
      </w:r>
      <w:r>
        <w:rPr>
          <w:rStyle w:val="32"/>
          <w:rFonts w:hint="eastAsia"/>
        </w:rPr>
        <w:t xml:space="preserve"> 系统结构</w:t>
      </w:r>
      <w:r>
        <w:tab/>
      </w:r>
      <w:r>
        <w:fldChar w:fldCharType="begin"/>
      </w:r>
      <w:r>
        <w:instrText xml:space="preserve"> PAGEREF _Toc100578586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"_Toc100578587" </w:instrText>
      </w:r>
      <w:r>
        <w:fldChar w:fldCharType="separate"/>
      </w:r>
      <w:r>
        <w:rPr>
          <w:rStyle w:val="32"/>
          <w:lang w:val="zh-CN"/>
        </w:rPr>
        <w:t xml:space="preserve">5 </w:t>
      </w:r>
      <w:r>
        <w:rPr>
          <w:rStyle w:val="32"/>
          <w:rFonts w:hint="eastAsia"/>
          <w:lang w:val="zh-CN"/>
        </w:rPr>
        <w:t xml:space="preserve"> 功能要求</w:t>
      </w:r>
      <w:r>
        <w:tab/>
      </w:r>
      <w:r>
        <w:fldChar w:fldCharType="begin"/>
      </w:r>
      <w:r>
        <w:instrText xml:space="preserve"> PAGEREF _Toc100578587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"_Toc100578588" </w:instrText>
      </w:r>
      <w:r>
        <w:fldChar w:fldCharType="separate"/>
      </w:r>
      <w:r>
        <w:rPr>
          <w:rStyle w:val="32"/>
        </w:rPr>
        <w:t xml:space="preserve">6 </w:t>
      </w:r>
      <w:r>
        <w:rPr>
          <w:rStyle w:val="32"/>
          <w:rFonts w:hint="eastAsia"/>
        </w:rPr>
        <w:t xml:space="preserve"> 信息共享和数据交换要求</w:t>
      </w:r>
      <w:r>
        <w:tab/>
      </w:r>
      <w:r>
        <w:fldChar w:fldCharType="begin"/>
      </w:r>
      <w:r>
        <w:instrText xml:space="preserve"> PAGEREF _Toc100578588 \h </w:instrText>
      </w:r>
      <w:r>
        <w:fldChar w:fldCharType="separate"/>
      </w:r>
      <w:r>
        <w:t>8</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"_Toc100578589" </w:instrText>
      </w:r>
      <w:r>
        <w:fldChar w:fldCharType="separate"/>
      </w:r>
      <w:r>
        <w:rPr>
          <w:rStyle w:val="32"/>
          <w:lang w:val="zh-CN"/>
        </w:rPr>
        <w:t xml:space="preserve">7 </w:t>
      </w:r>
      <w:r>
        <w:rPr>
          <w:rStyle w:val="32"/>
          <w:rFonts w:hint="eastAsia"/>
          <w:lang w:val="zh-CN"/>
        </w:rPr>
        <w:t xml:space="preserve"> 部署要求</w:t>
      </w:r>
      <w:r>
        <w:tab/>
      </w:r>
      <w:r>
        <w:fldChar w:fldCharType="begin"/>
      </w:r>
      <w:r>
        <w:instrText xml:space="preserve"> PAGEREF _Toc100578589 \h </w:instrText>
      </w:r>
      <w:r>
        <w:fldChar w:fldCharType="separate"/>
      </w:r>
      <w:r>
        <w:t>8</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"_Toc100578590" </w:instrText>
      </w:r>
      <w:r>
        <w:fldChar w:fldCharType="separate"/>
      </w:r>
      <w:r>
        <w:rPr>
          <w:rStyle w:val="32"/>
        </w:rPr>
        <w:t xml:space="preserve">8 </w:t>
      </w:r>
      <w:r>
        <w:rPr>
          <w:rStyle w:val="32"/>
          <w:rFonts w:hint="eastAsia"/>
        </w:rPr>
        <w:t xml:space="preserve"> 安全性要求</w:t>
      </w:r>
      <w:r>
        <w:tab/>
      </w:r>
      <w:r>
        <w:fldChar w:fldCharType="begin"/>
      </w:r>
      <w:r>
        <w:instrText xml:space="preserve"> PAGEREF _Toc100578590 \h </w:instrText>
      </w:r>
      <w:r>
        <w:fldChar w:fldCharType="separate"/>
      </w:r>
      <w:r>
        <w:t>8</w:t>
      </w:r>
      <w:r>
        <w:fldChar w:fldCharType="end"/>
      </w:r>
      <w:r>
        <w:fldChar w:fldCharType="end"/>
      </w:r>
    </w:p>
    <w:p>
      <w:pPr>
        <w:pStyle w:val="91"/>
        <w:spacing w:after="468"/>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7"/>
    <w:p>
      <w:pPr>
        <w:pStyle w:val="89"/>
        <w:spacing w:after="468"/>
      </w:pPr>
      <w:bookmarkStart w:id="21" w:name="_Toc100578582"/>
      <w:bookmarkStart w:id="22" w:name="BookMark2"/>
      <w:r>
        <w:rPr>
          <w:spacing w:val="320"/>
        </w:rPr>
        <w:t>前</w:t>
      </w:r>
      <w:r>
        <w:t>言</w:t>
      </w:r>
      <w:bookmarkEnd w:id="18"/>
      <w:bookmarkEnd w:id="19"/>
      <w:bookmarkEnd w:id="20"/>
      <w:bookmarkEnd w:id="21"/>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请注意本文件的某些内容可能涉及专利。本文件的发布机构不承担识别这些专利的责任。</w:t>
      </w:r>
    </w:p>
    <w:p>
      <w:pPr>
        <w:pStyle w:val="56"/>
        <w:ind w:firstLine="420"/>
      </w:pPr>
      <w:r>
        <w:rPr>
          <w:rFonts w:hint="eastAsia"/>
        </w:rPr>
        <w:t>本文件由湖南省工业和信息化厅提出并</w:t>
      </w:r>
      <w:r>
        <w:t>归口</w:t>
      </w:r>
      <w:r>
        <w:rPr>
          <w:rFonts w:hint="eastAsia"/>
        </w:rPr>
        <w:t>。</w:t>
      </w:r>
    </w:p>
    <w:p>
      <w:pPr>
        <w:pStyle w:val="56"/>
        <w:ind w:firstLine="420"/>
      </w:pPr>
      <w:r>
        <w:rPr>
          <w:rFonts w:hint="eastAsia"/>
        </w:rPr>
        <w:t>本文件起草单位：湖南前行科创有限公司、XXX、XXX。</w:t>
      </w:r>
    </w:p>
    <w:p>
      <w:pPr>
        <w:pStyle w:val="56"/>
        <w:ind w:firstLine="420"/>
      </w:pPr>
      <w:r>
        <w:rPr>
          <w:rFonts w:hint="eastAsia"/>
        </w:rPr>
        <w:t>本文件主要起草人：XXX、XXX、XXX。</w:t>
      </w:r>
    </w:p>
    <w:p>
      <w:pPr>
        <w:pStyle w:val="56"/>
        <w:ind w:firstLine="420"/>
      </w:pPr>
    </w:p>
    <w:p>
      <w:pPr>
        <w:pStyle w:val="56"/>
        <w:ind w:firstLine="420"/>
        <w:sectPr>
          <w:pgSz w:w="11906" w:h="16838"/>
          <w:pgMar w:top="2410" w:right="1134" w:bottom="1134" w:left="1134" w:header="1418" w:footer="1134" w:gutter="284"/>
          <w:pgNumType w:fmt="upperRoman"/>
          <w:cols w:space="425" w:num="1"/>
          <w:formProt w:val="0"/>
          <w:docGrid w:type="lines" w:linePitch="312" w:charSpace="0"/>
        </w:sectPr>
      </w:pPr>
    </w:p>
    <w:bookmarkEnd w:id="22"/>
    <w:p>
      <w:pPr>
        <w:spacing w:line="20" w:lineRule="exact"/>
        <w:jc w:val="center"/>
        <w:rPr>
          <w:rFonts w:ascii="黑体" w:hAnsi="黑体" w:eastAsia="黑体"/>
          <w:sz w:val="32"/>
          <w:szCs w:val="32"/>
        </w:rPr>
      </w:pPr>
      <w:bookmarkStart w:id="23" w:name="BookMark4"/>
    </w:p>
    <w:p>
      <w:pPr>
        <w:spacing w:line="20" w:lineRule="exact"/>
        <w:jc w:val="center"/>
        <w:rPr>
          <w:rFonts w:ascii="黑体" w:hAnsi="黑体" w:eastAsia="黑体"/>
          <w:sz w:val="32"/>
          <w:szCs w:val="32"/>
        </w:rPr>
      </w:pPr>
    </w:p>
    <w:sdt>
      <w:sdtPr>
        <w:tag w:val="NEW_STAND_NAME"/>
        <w:id w:val="595910757"/>
        <w:lock w:val="sdtLocked"/>
        <w:placeholder>
          <w:docPart w:val="8E96BFCD08EC483BB658ED5D4985DADC"/>
        </w:placeholder>
      </w:sdtPr>
      <w:sdtContent>
        <w:p>
          <w:pPr>
            <w:pStyle w:val="177"/>
            <w:spacing w:before="3" w:beforeLines="1" w:after="686" w:afterLines="220"/>
          </w:pPr>
          <w:bookmarkStart w:id="24" w:name="NEW_STAND_NAME"/>
          <w:r>
            <w:rPr>
              <w:rFonts w:hint="eastAsia"/>
            </w:rPr>
            <w:t>科创数字经济园区智慧平台建设规范</w:t>
          </w:r>
        </w:p>
      </w:sdtContent>
    </w:sdt>
    <w:bookmarkEnd w:id="24"/>
    <w:p>
      <w:pPr>
        <w:pStyle w:val="104"/>
        <w:spacing w:before="312" w:after="312"/>
      </w:pPr>
      <w:bookmarkStart w:id="25" w:name="_Toc26986771"/>
      <w:bookmarkStart w:id="26" w:name="_Toc24884218"/>
      <w:bookmarkStart w:id="27" w:name="_Toc99019160"/>
      <w:bookmarkStart w:id="28" w:name="_Toc99033118"/>
      <w:bookmarkStart w:id="29" w:name="_Toc17233333"/>
      <w:bookmarkStart w:id="30" w:name="_Toc26718930"/>
      <w:bookmarkStart w:id="31" w:name="_Toc26986530"/>
      <w:bookmarkStart w:id="32" w:name="_Toc96346903"/>
      <w:bookmarkStart w:id="33" w:name="_Toc24884211"/>
      <w:bookmarkStart w:id="34" w:name="_Toc26648465"/>
      <w:bookmarkStart w:id="35" w:name="_Toc100578583"/>
      <w:bookmarkStart w:id="36" w:name="_Toc17233325"/>
      <w:r>
        <w:rPr>
          <w:rFonts w:hint="eastAsia"/>
        </w:rPr>
        <w:t>范围</w:t>
      </w:r>
      <w:bookmarkEnd w:id="25"/>
      <w:bookmarkEnd w:id="26"/>
      <w:bookmarkEnd w:id="27"/>
      <w:bookmarkEnd w:id="28"/>
      <w:bookmarkEnd w:id="29"/>
      <w:bookmarkEnd w:id="30"/>
      <w:bookmarkEnd w:id="31"/>
      <w:bookmarkEnd w:id="32"/>
      <w:bookmarkEnd w:id="33"/>
      <w:bookmarkEnd w:id="34"/>
      <w:bookmarkEnd w:id="35"/>
      <w:bookmarkEnd w:id="36"/>
    </w:p>
    <w:p>
      <w:pPr>
        <w:pStyle w:val="56"/>
        <w:ind w:firstLine="420"/>
        <w:rPr>
          <w:lang w:val="zh-CN"/>
        </w:rPr>
      </w:pPr>
      <w:bookmarkStart w:id="37" w:name="_Toc24884212"/>
      <w:bookmarkStart w:id="38" w:name="_Toc26648466"/>
      <w:bookmarkStart w:id="39" w:name="_Toc17233326"/>
      <w:bookmarkStart w:id="40" w:name="_Toc24884219"/>
      <w:bookmarkStart w:id="41" w:name="_Toc17233334"/>
      <w:r>
        <w:rPr>
          <w:lang w:val="zh-CN"/>
        </w:rPr>
        <w:t>本</w:t>
      </w:r>
      <w:r>
        <w:rPr>
          <w:rFonts w:hint="eastAsia"/>
          <w:lang w:val="zh-CN"/>
        </w:rPr>
        <w:t>文件</w:t>
      </w:r>
      <w:r>
        <w:rPr>
          <w:lang w:val="zh-CN"/>
        </w:rPr>
        <w:t>规定了</w:t>
      </w:r>
      <w:r>
        <w:rPr>
          <w:rFonts w:hint="eastAsia"/>
          <w:lang w:val="zh-CN"/>
        </w:rPr>
        <w:t>科创数字经济</w:t>
      </w:r>
      <w:r>
        <w:rPr>
          <w:lang w:val="zh-CN"/>
        </w:rPr>
        <w:t>园区智慧平台的</w:t>
      </w:r>
      <w:r>
        <w:rPr>
          <w:rFonts w:hint="eastAsia"/>
          <w:lang w:val="zh-CN"/>
        </w:rPr>
        <w:t>术语和定义、</w:t>
      </w:r>
      <w:r>
        <w:rPr>
          <w:lang w:val="zh-CN"/>
        </w:rPr>
        <w:t>系统结构、功能要求、</w:t>
      </w:r>
      <w:r>
        <w:rPr>
          <w:rFonts w:hint="eastAsia"/>
          <w:lang w:val="zh-CN"/>
        </w:rPr>
        <w:t>信息</w:t>
      </w:r>
      <w:r>
        <w:rPr>
          <w:lang w:val="zh-CN"/>
        </w:rPr>
        <w:t>共享和数据交换要求、部署要求</w:t>
      </w:r>
      <w:r>
        <w:rPr>
          <w:rFonts w:hint="eastAsia"/>
          <w:lang w:val="zh-CN"/>
        </w:rPr>
        <w:t>以及</w:t>
      </w:r>
      <w:r>
        <w:rPr>
          <w:lang w:val="zh-CN"/>
        </w:rPr>
        <w:t>安全性要求。</w:t>
      </w:r>
    </w:p>
    <w:p>
      <w:pPr>
        <w:pStyle w:val="56"/>
        <w:ind w:firstLine="420"/>
        <w:rPr>
          <w:lang w:val="zh-CN"/>
        </w:rPr>
      </w:pPr>
      <w:r>
        <w:rPr>
          <w:lang w:val="zh-CN"/>
        </w:rPr>
        <w:t>本</w:t>
      </w:r>
      <w:r>
        <w:rPr>
          <w:rFonts w:hint="eastAsia"/>
          <w:lang w:val="zh-CN"/>
        </w:rPr>
        <w:t>文件</w:t>
      </w:r>
      <w:r>
        <w:rPr>
          <w:lang w:val="zh-CN"/>
        </w:rPr>
        <w:t>适用于以物联网、云计算、大数据、人工智能和区块链等新一代信息技术为手段实现创新管理和创新服务的园区智慧平台建设。</w:t>
      </w:r>
    </w:p>
    <w:p>
      <w:pPr>
        <w:pStyle w:val="104"/>
        <w:spacing w:before="312" w:after="312"/>
      </w:pPr>
      <w:bookmarkStart w:id="42" w:name="_Toc99019161"/>
      <w:bookmarkStart w:id="43" w:name="_Toc26986772"/>
      <w:bookmarkStart w:id="44" w:name="_Toc26986531"/>
      <w:bookmarkStart w:id="45" w:name="_Toc96346904"/>
      <w:bookmarkStart w:id="46" w:name="_Toc26718931"/>
      <w:bookmarkStart w:id="47" w:name="_Toc100578584"/>
      <w:bookmarkStart w:id="48" w:name="_Toc99033119"/>
      <w:r>
        <w:rPr>
          <w:rFonts w:hint="eastAsia"/>
        </w:rPr>
        <w:t>规范性引用文件</w:t>
      </w:r>
      <w:bookmarkEnd w:id="37"/>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6072DE6084FD4E3F86A398B50B92EB8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 xml:space="preserve">GB/T </w:t>
      </w:r>
      <w:r>
        <w:t xml:space="preserve">22239  </w:t>
      </w:r>
      <w:r>
        <w:rPr>
          <w:rFonts w:hint="eastAsia"/>
        </w:rPr>
        <w:t>信息</w:t>
      </w:r>
      <w:r>
        <w:t>系统安全等级保护基本要求</w:t>
      </w:r>
    </w:p>
    <w:p>
      <w:pPr>
        <w:pStyle w:val="56"/>
        <w:ind w:firstLine="420"/>
      </w:pPr>
      <w:r>
        <w:rPr>
          <w:rFonts w:hint="eastAsia"/>
        </w:rPr>
        <w:t>GB/T</w:t>
      </w:r>
      <w:r>
        <w:t xml:space="preserve"> 22240</w:t>
      </w:r>
      <w:r>
        <w:rPr>
          <w:rFonts w:hint="eastAsia"/>
        </w:rPr>
        <w:t>-</w:t>
      </w:r>
      <w:r>
        <w:t xml:space="preserve">2016  </w:t>
      </w:r>
      <w:r>
        <w:rPr>
          <w:rFonts w:hint="eastAsia"/>
        </w:rPr>
        <w:t>信息</w:t>
      </w:r>
      <w:r>
        <w:t>安全技术</w:t>
      </w:r>
      <w:r>
        <w:rPr>
          <w:rFonts w:hint="eastAsia"/>
        </w:rPr>
        <w:t xml:space="preserve"> 信息系统</w:t>
      </w:r>
      <w:r>
        <w:t>安全保护等级定级指南</w:t>
      </w:r>
    </w:p>
    <w:p>
      <w:pPr>
        <w:pStyle w:val="56"/>
        <w:ind w:firstLine="420"/>
      </w:pPr>
      <w:r>
        <w:rPr>
          <w:rFonts w:hint="eastAsia"/>
        </w:rPr>
        <w:t>GB/T</w:t>
      </w:r>
      <w:r>
        <w:t xml:space="preserve"> 25058  </w:t>
      </w:r>
      <w:r>
        <w:rPr>
          <w:rFonts w:hint="eastAsia"/>
        </w:rPr>
        <w:t>信息</w:t>
      </w:r>
      <w:r>
        <w:t>安全技术</w:t>
      </w:r>
      <w:r>
        <w:rPr>
          <w:rFonts w:hint="eastAsia"/>
        </w:rPr>
        <w:t xml:space="preserve"> 信息</w:t>
      </w:r>
      <w:r>
        <w:t>系统安全保护等级实施指南</w:t>
      </w:r>
    </w:p>
    <w:p>
      <w:pPr>
        <w:pStyle w:val="56"/>
        <w:ind w:firstLine="420"/>
      </w:pPr>
      <w:r>
        <w:rPr>
          <w:rFonts w:hint="eastAsia"/>
        </w:rPr>
        <w:t>GB/T</w:t>
      </w:r>
      <w:r>
        <w:t xml:space="preserve"> 34678</w:t>
      </w:r>
      <w:r>
        <w:rPr>
          <w:rFonts w:hint="eastAsia"/>
        </w:rPr>
        <w:t>-</w:t>
      </w:r>
      <w:r>
        <w:t xml:space="preserve">2017  </w:t>
      </w:r>
      <w:r>
        <w:rPr>
          <w:rFonts w:hint="eastAsia"/>
        </w:rPr>
        <w:t>智慧城市 技术参考</w:t>
      </w:r>
      <w:r>
        <w:t>模型</w:t>
      </w:r>
    </w:p>
    <w:p>
      <w:pPr>
        <w:pStyle w:val="56"/>
        <w:ind w:firstLine="420"/>
      </w:pPr>
      <w:r>
        <w:rPr>
          <w:rFonts w:hint="eastAsia"/>
        </w:rPr>
        <w:t>GB/T</w:t>
      </w:r>
      <w:r>
        <w:t xml:space="preserve"> 37973</w:t>
      </w:r>
      <w:r>
        <w:rPr>
          <w:rFonts w:hint="eastAsia"/>
        </w:rPr>
        <w:t>-</w:t>
      </w:r>
      <w:r>
        <w:t xml:space="preserve">2019  </w:t>
      </w:r>
      <w:r>
        <w:rPr>
          <w:rFonts w:hint="eastAsia"/>
        </w:rPr>
        <w:t>信息安全技术 大数据</w:t>
      </w:r>
      <w:r>
        <w:t>安全管理指南</w:t>
      </w:r>
    </w:p>
    <w:p>
      <w:pPr>
        <w:pStyle w:val="56"/>
        <w:ind w:firstLine="420"/>
      </w:pPr>
      <w:r>
        <w:rPr>
          <w:rFonts w:hint="eastAsia"/>
        </w:rPr>
        <w:t xml:space="preserve">GB 50314 </w:t>
      </w:r>
      <w:r>
        <w:t xml:space="preserve"> </w:t>
      </w:r>
      <w:r>
        <w:rPr>
          <w:rFonts w:hint="eastAsia"/>
        </w:rPr>
        <w:t>智能建筑</w:t>
      </w:r>
      <w:r>
        <w:t>设计标准</w:t>
      </w:r>
    </w:p>
    <w:p>
      <w:pPr>
        <w:pStyle w:val="56"/>
        <w:ind w:firstLine="420"/>
      </w:pPr>
      <w:r>
        <w:rPr>
          <w:rFonts w:hint="eastAsia"/>
        </w:rPr>
        <w:t>GB 50348</w:t>
      </w:r>
      <w:r>
        <w:t xml:space="preserve">  </w:t>
      </w:r>
      <w:r>
        <w:rPr>
          <w:rFonts w:hint="eastAsia"/>
        </w:rPr>
        <w:t>安全</w:t>
      </w:r>
      <w:r>
        <w:t>防范工程技术规范</w:t>
      </w:r>
    </w:p>
    <w:p>
      <w:pPr>
        <w:pStyle w:val="56"/>
        <w:ind w:firstLine="420"/>
      </w:pPr>
      <w:r>
        <w:t>金融业机构信息管理规</w:t>
      </w:r>
      <w:r>
        <w:rPr>
          <w:rFonts w:hint="eastAsia"/>
        </w:rPr>
        <w:t>定（银发〔2016〕66号）</w:t>
      </w:r>
    </w:p>
    <w:p>
      <w:pPr>
        <w:pStyle w:val="104"/>
        <w:spacing w:before="312" w:after="312"/>
      </w:pPr>
      <w:bookmarkStart w:id="49" w:name="_Toc99033120"/>
      <w:bookmarkStart w:id="50" w:name="_Toc99019162"/>
      <w:bookmarkStart w:id="51" w:name="_Toc96346905"/>
      <w:bookmarkStart w:id="52" w:name="_Toc100578585"/>
      <w:r>
        <w:rPr>
          <w:rFonts w:hint="eastAsia"/>
          <w:szCs w:val="21"/>
        </w:rPr>
        <w:t>术语和定义</w:t>
      </w:r>
      <w:bookmarkEnd w:id="49"/>
      <w:bookmarkEnd w:id="50"/>
      <w:bookmarkEnd w:id="51"/>
      <w:bookmarkEnd w:id="52"/>
    </w:p>
    <w:sdt>
      <w:sdtPr>
        <w:id w:val="-1909835108"/>
        <w:placeholder>
          <w:docPart w:val="DC058E03F68C4492800A959F256A048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3" w:name="_Toc26986532"/>
          <w:bookmarkEnd w:id="53"/>
          <w:r>
            <w:rPr>
              <w:rFonts w:hint="eastAsia"/>
            </w:rPr>
            <w:t>下列术语和定义适用于本文件。</w:t>
          </w:r>
        </w:p>
      </w:sdtContent>
    </w:sdt>
    <w:p>
      <w:pPr>
        <w:pStyle w:val="223"/>
        <w:ind w:left="420" w:hanging="420" w:hangingChars="200"/>
        <w:rPr>
          <w:rFonts w:ascii="黑体" w:hAnsi="黑体" w:eastAsia="黑体"/>
        </w:rPr>
      </w:pPr>
      <w:bookmarkStart w:id="54" w:name="_Toc96346906"/>
      <w:bookmarkEnd w:id="54"/>
      <w:r>
        <w:rPr>
          <w:rFonts w:ascii="黑体" w:hAnsi="黑体" w:eastAsia="黑体"/>
        </w:rPr>
        <w:br w:type="textWrapping"/>
      </w:r>
      <w:bookmarkStart w:id="55" w:name="_Toc96346907"/>
      <w:r>
        <w:rPr>
          <w:rFonts w:hint="eastAsia" w:ascii="黑体" w:hAnsi="黑体" w:eastAsia="黑体"/>
        </w:rPr>
        <w:t>科创数字经济园区</w:t>
      </w:r>
      <w:bookmarkEnd w:id="55"/>
      <w:r>
        <w:rPr>
          <w:rFonts w:hint="eastAsia"/>
        </w:rPr>
        <w:t xml:space="preserve"> </w:t>
      </w:r>
      <w:r>
        <w:t xml:space="preserve"> </w:t>
      </w:r>
      <w:r>
        <w:rPr>
          <w:rFonts w:ascii="Times New Roman"/>
          <w:b/>
          <w:bCs/>
        </w:rPr>
        <w:t>s</w:t>
      </w:r>
      <w:r>
        <w:rPr>
          <w:rFonts w:hint="eastAsia" w:ascii="Times New Roman"/>
          <w:b/>
          <w:bCs/>
        </w:rPr>
        <w:t xml:space="preserve">cience and </w:t>
      </w:r>
      <w:r>
        <w:rPr>
          <w:rFonts w:ascii="Times New Roman"/>
          <w:b/>
          <w:bCs/>
        </w:rPr>
        <w:t>t</w:t>
      </w:r>
      <w:r>
        <w:rPr>
          <w:rFonts w:hint="eastAsia" w:ascii="Times New Roman"/>
          <w:b/>
          <w:bCs/>
        </w:rPr>
        <w:t xml:space="preserve">echnology </w:t>
      </w:r>
      <w:r>
        <w:rPr>
          <w:rFonts w:ascii="Times New Roman"/>
          <w:b/>
          <w:bCs/>
        </w:rPr>
        <w:t>i</w:t>
      </w:r>
      <w:r>
        <w:rPr>
          <w:rFonts w:hint="eastAsia" w:ascii="Times New Roman"/>
          <w:b/>
          <w:bCs/>
        </w:rPr>
        <w:t xml:space="preserve">nnovation </w:t>
      </w:r>
      <w:r>
        <w:rPr>
          <w:rFonts w:ascii="Times New Roman"/>
          <w:b/>
          <w:bCs/>
        </w:rPr>
        <w:t>d</w:t>
      </w:r>
      <w:r>
        <w:rPr>
          <w:rFonts w:hint="eastAsia" w:ascii="Times New Roman"/>
          <w:b/>
          <w:bCs/>
        </w:rPr>
        <w:t xml:space="preserve">igital </w:t>
      </w:r>
      <w:r>
        <w:rPr>
          <w:rFonts w:ascii="Times New Roman"/>
          <w:b/>
          <w:bCs/>
        </w:rPr>
        <w:t>e</w:t>
      </w:r>
      <w:r>
        <w:rPr>
          <w:rFonts w:hint="eastAsia" w:ascii="Times New Roman"/>
          <w:b/>
          <w:bCs/>
        </w:rPr>
        <w:t xml:space="preserve">conomy </w:t>
      </w:r>
      <w:r>
        <w:rPr>
          <w:rFonts w:ascii="Times New Roman"/>
          <w:b/>
          <w:bCs/>
        </w:rPr>
        <w:t>p</w:t>
      </w:r>
      <w:r>
        <w:rPr>
          <w:rFonts w:hint="eastAsia" w:ascii="Times New Roman"/>
          <w:b/>
          <w:bCs/>
        </w:rPr>
        <w:t>ark</w:t>
      </w:r>
    </w:p>
    <w:p>
      <w:pPr>
        <w:pStyle w:val="56"/>
        <w:ind w:firstLine="420"/>
      </w:pPr>
      <w:r>
        <w:rPr>
          <w:rFonts w:hint="eastAsia"/>
        </w:rPr>
        <w:t>以新一代信息技术及数字化</w:t>
      </w:r>
      <w:r>
        <w:t>手段实现</w:t>
      </w:r>
      <w:r>
        <w:rPr>
          <w:rFonts w:hint="eastAsia"/>
        </w:rPr>
        <w:t>科技</w:t>
      </w:r>
      <w:r>
        <w:t>创新服务的各类产业集聚区。</w:t>
      </w:r>
    </w:p>
    <w:p>
      <w:pPr>
        <w:pStyle w:val="223"/>
        <w:ind w:left="420" w:hanging="420" w:hangingChars="200"/>
        <w:rPr>
          <w:rFonts w:ascii="黑体" w:hAnsi="黑体" w:eastAsia="黑体"/>
        </w:rPr>
      </w:pPr>
      <w:bookmarkStart w:id="56" w:name="_Toc96346908"/>
      <w:bookmarkEnd w:id="56"/>
      <w:r>
        <w:rPr>
          <w:rFonts w:ascii="黑体" w:hAnsi="黑体" w:eastAsia="黑体"/>
        </w:rPr>
        <w:br w:type="textWrapping"/>
      </w:r>
      <w:bookmarkStart w:id="57" w:name="_Toc96346909"/>
      <w:r>
        <w:rPr>
          <w:rFonts w:hint="eastAsia" w:ascii="黑体" w:hAnsi="黑体" w:eastAsia="黑体"/>
        </w:rPr>
        <w:t>智慧</w:t>
      </w:r>
      <w:r>
        <w:rPr>
          <w:rFonts w:ascii="黑体" w:hAnsi="黑体" w:eastAsia="黑体"/>
        </w:rPr>
        <w:t>平台</w:t>
      </w:r>
      <w:bookmarkEnd w:id="57"/>
      <w:r>
        <w:rPr>
          <w:rFonts w:hint="eastAsia"/>
        </w:rPr>
        <w:t xml:space="preserve">  </w:t>
      </w:r>
      <w:r>
        <w:rPr>
          <w:rFonts w:ascii="Times New Roman"/>
          <w:b/>
          <w:bCs/>
        </w:rPr>
        <w:t>smart platform</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基于完善的</w:t>
      </w:r>
      <w:r>
        <w:rPr>
          <w:color w:val="000000" w:themeColor="text1"/>
          <w14:textFill>
            <w14:solidFill>
              <w14:schemeClr w14:val="tx1"/>
            </w14:solidFill>
          </w14:textFill>
        </w:rPr>
        <w:t>感知、传输、计算、存储等信息基础设施，面向科创</w:t>
      </w:r>
      <w:r>
        <w:rPr>
          <w:rFonts w:hint="eastAsia"/>
          <w:color w:val="000000" w:themeColor="text1"/>
          <w14:textFill>
            <w14:solidFill>
              <w14:schemeClr w14:val="tx1"/>
            </w14:solidFill>
          </w14:textFill>
        </w:rPr>
        <w:t>数字经济</w:t>
      </w:r>
      <w:r>
        <w:rPr>
          <w:color w:val="000000" w:themeColor="text1"/>
          <w14:textFill>
            <w14:solidFill>
              <w14:schemeClr w14:val="tx1"/>
            </w14:solidFill>
          </w14:textFill>
        </w:rPr>
        <w:t>园区</w:t>
      </w:r>
      <w:r>
        <w:rPr>
          <w:rFonts w:hint="eastAsia"/>
          <w:color w:val="000000" w:themeColor="text1"/>
          <w14:textFill>
            <w14:solidFill>
              <w14:schemeClr w14:val="tx1"/>
            </w14:solidFill>
          </w14:textFill>
        </w:rPr>
        <w:t>管理单位</w:t>
      </w:r>
      <w:r>
        <w:rPr>
          <w:color w:val="000000" w:themeColor="text1"/>
          <w14:textFill>
            <w14:solidFill>
              <w14:schemeClr w14:val="tx1"/>
            </w14:solidFill>
          </w14:textFill>
        </w:rPr>
        <w:t>、企业和个人提供各类应用的平台。</w:t>
      </w:r>
    </w:p>
    <w:p>
      <w:pPr>
        <w:pStyle w:val="223"/>
        <w:ind w:left="420" w:hanging="420" w:hangingChars="200"/>
        <w:rPr>
          <w:rFonts w:ascii="黑体" w:hAnsi="黑体" w:eastAsia="黑体"/>
          <w:lang w:val="zh-CN"/>
        </w:rPr>
      </w:pPr>
      <w:bookmarkStart w:id="58" w:name="_Toc96346910"/>
      <w:bookmarkEnd w:id="58"/>
      <w:r>
        <w:rPr>
          <w:rFonts w:ascii="黑体" w:hAnsi="黑体" w:eastAsia="黑体"/>
          <w:lang w:val="zh-CN"/>
        </w:rPr>
        <w:br w:type="textWrapping"/>
      </w:r>
      <w:bookmarkStart w:id="59" w:name="_Toc96346911"/>
      <w:r>
        <w:rPr>
          <w:rFonts w:ascii="黑体" w:hAnsi="黑体" w:eastAsia="黑体"/>
        </w:rPr>
        <w:t>数据及服务融合平台</w:t>
      </w:r>
      <w:bookmarkEnd w:id="59"/>
      <w:r>
        <w:rPr>
          <w:rFonts w:hint="eastAsia"/>
          <w:lang w:val="zh-CN"/>
        </w:rPr>
        <w:t xml:space="preserve">  </w:t>
      </w:r>
      <w:r>
        <w:rPr>
          <w:rFonts w:ascii="Times New Roman"/>
          <w:b/>
          <w:bCs/>
        </w:rPr>
        <w:t>data and service integration platform</w:t>
      </w:r>
    </w:p>
    <w:p>
      <w:pPr>
        <w:pStyle w:val="56"/>
        <w:ind w:firstLine="42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基于</w:t>
      </w:r>
      <w:r>
        <w:rPr>
          <w:color w:val="000000" w:themeColor="text1"/>
          <w:lang w:val="zh-CN"/>
          <w14:textFill>
            <w14:solidFill>
              <w14:schemeClr w14:val="tx1"/>
            </w14:solidFill>
          </w14:textFill>
        </w:rPr>
        <w:t>数据和服务的融合</w:t>
      </w:r>
      <w:r>
        <w:rPr>
          <w:color w:val="000000" w:themeColor="text1"/>
          <w14:textFill>
            <w14:solidFill>
              <w14:schemeClr w14:val="tx1"/>
            </w14:solidFill>
          </w14:textFill>
        </w:rPr>
        <w:t>，</w:t>
      </w:r>
      <w:r>
        <w:rPr>
          <w:color w:val="000000" w:themeColor="text1"/>
          <w:lang w:val="zh-CN"/>
          <w14:textFill>
            <w14:solidFill>
              <w14:schemeClr w14:val="tx1"/>
            </w14:solidFill>
          </w14:textFill>
        </w:rPr>
        <w:t>承载应用层中的相关应用</w:t>
      </w:r>
      <w:r>
        <w:rPr>
          <w:rFonts w:hint="eastAsia"/>
          <w:color w:val="000000" w:themeColor="text1"/>
          <w14:textFill>
            <w14:solidFill>
              <w14:schemeClr w14:val="tx1"/>
            </w14:solidFill>
          </w14:textFill>
        </w:rPr>
        <w:t>、</w:t>
      </w:r>
      <w:r>
        <w:rPr>
          <w:color w:val="000000" w:themeColor="text1"/>
          <w:lang w:val="zh-CN"/>
          <w14:textFill>
            <w14:solidFill>
              <w14:schemeClr w14:val="tx1"/>
            </w14:solidFill>
          </w14:textFill>
        </w:rPr>
        <w:t>提供应用所需的各种服务</w:t>
      </w:r>
      <w:r>
        <w:rPr>
          <w:rFonts w:hint="eastAsia"/>
          <w:color w:val="000000" w:themeColor="text1"/>
          <w14:textFill>
            <w14:solidFill>
              <w14:schemeClr w14:val="tx1"/>
            </w14:solidFill>
          </w14:textFill>
        </w:rPr>
        <w:t>、</w:t>
      </w:r>
      <w:r>
        <w:rPr>
          <w:color w:val="000000" w:themeColor="text1"/>
          <w:lang w:val="zh-CN"/>
          <w14:textFill>
            <w14:solidFill>
              <w14:schemeClr w14:val="tx1"/>
            </w14:solidFill>
          </w14:textFill>
        </w:rPr>
        <w:t>为构建上层各类应用提供支撑</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平台</w:t>
      </w:r>
      <w:r>
        <w:rPr>
          <w:color w:val="000000" w:themeColor="text1"/>
          <w:lang w:val="zh-CN"/>
          <w14:textFill>
            <w14:solidFill>
              <w14:schemeClr w14:val="tx1"/>
            </w14:solidFill>
          </w14:textFill>
        </w:rPr>
        <w:t>。</w:t>
      </w:r>
    </w:p>
    <w:p>
      <w:pPr>
        <w:pStyle w:val="56"/>
        <w:ind w:firstLine="420"/>
        <w:rPr>
          <w:color w:val="000000" w:themeColor="text1"/>
          <w:lang w:val="zh-CN"/>
          <w14:textFill>
            <w14:solidFill>
              <w14:schemeClr w14:val="tx1"/>
            </w14:solidFill>
          </w14:textFill>
        </w:rPr>
      </w:pPr>
    </w:p>
    <w:p>
      <w:pPr>
        <w:pStyle w:val="56"/>
        <w:ind w:firstLine="420"/>
        <w:rPr>
          <w:rFonts w:hint="eastAsia"/>
          <w:color w:val="000000" w:themeColor="text1"/>
          <w:lang w:val="zh-CN"/>
          <w14:textFill>
            <w14:solidFill>
              <w14:schemeClr w14:val="tx1"/>
            </w14:solidFill>
          </w14:textFill>
        </w:rPr>
      </w:pPr>
    </w:p>
    <w:p>
      <w:pPr>
        <w:pStyle w:val="104"/>
        <w:spacing w:before="312" w:after="312"/>
      </w:pPr>
      <w:bookmarkStart w:id="60" w:name="_Toc96346912"/>
      <w:bookmarkStart w:id="61" w:name="_Toc99019164"/>
      <w:bookmarkStart w:id="62" w:name="_Toc99033121"/>
      <w:bookmarkStart w:id="63" w:name="_Toc100578586"/>
      <w:r>
        <w:rPr>
          <w:rFonts w:hint="eastAsia"/>
        </w:rPr>
        <w:t>系统结构</w:t>
      </w:r>
      <w:bookmarkEnd w:id="60"/>
      <w:bookmarkEnd w:id="61"/>
      <w:bookmarkEnd w:id="62"/>
      <w:bookmarkEnd w:id="63"/>
    </w:p>
    <w:p>
      <w:pPr>
        <w:pStyle w:val="105"/>
        <w:spacing w:before="156" w:after="156"/>
      </w:pPr>
      <w:bookmarkStart w:id="64" w:name="_Toc96346913"/>
      <w:r>
        <w:rPr>
          <w:rFonts w:hint="eastAsia"/>
        </w:rPr>
        <w:t>设计原则</w:t>
      </w:r>
      <w:bookmarkEnd w:id="64"/>
    </w:p>
    <w:p>
      <w:pPr>
        <w:pStyle w:val="56"/>
        <w:ind w:firstLine="420"/>
      </w:pPr>
      <w:r>
        <w:rPr>
          <w:rFonts w:hint="eastAsia"/>
        </w:rPr>
        <w:t>平台总体设计</w:t>
      </w:r>
      <w:r>
        <w:t>应遵循以下原则：</w:t>
      </w:r>
    </w:p>
    <w:p>
      <w:pPr>
        <w:pStyle w:val="174"/>
        <w:rPr>
          <w:lang w:val="zh-CN"/>
        </w:rPr>
      </w:pPr>
      <w:r>
        <w:rPr>
          <w:lang w:val="zh-CN"/>
        </w:rPr>
        <w:t>应用导向原则：在分析应用现状与未来发展的基础上，采用统一的标准设计平台架构，支持异构系统的应用集成</w:t>
      </w:r>
      <w:r>
        <w:rPr>
          <w:rFonts w:hint="eastAsia"/>
          <w:lang w:val="zh-CN"/>
        </w:rPr>
        <w:t>；</w:t>
      </w:r>
    </w:p>
    <w:p>
      <w:pPr>
        <w:pStyle w:val="174"/>
        <w:rPr>
          <w:lang w:val="zh-CN"/>
        </w:rPr>
      </w:pPr>
      <w:r>
        <w:rPr>
          <w:lang w:val="zh-CN"/>
        </w:rPr>
        <w:t>服务重用原则：采用微服务架构进行设计，各服务遵循SOA设计规范，同时对所有服务进行统一管理</w:t>
      </w:r>
      <w:r>
        <w:rPr>
          <w:rFonts w:hint="eastAsia"/>
          <w:lang w:val="zh-CN"/>
        </w:rPr>
        <w:t>；</w:t>
      </w:r>
    </w:p>
    <w:p>
      <w:pPr>
        <w:pStyle w:val="174"/>
        <w:rPr>
          <w:lang w:val="zh-CN"/>
        </w:rPr>
      </w:pPr>
      <w:r>
        <w:rPr>
          <w:lang w:val="zh-CN"/>
        </w:rPr>
        <w:t>松散耦合原则：各服务负责处理自己相应的业务，所有业务逻辑尽量在服务内部处理，服务间通信尽可能轻量化，需采用统一的协议标准</w:t>
      </w:r>
      <w:r>
        <w:rPr>
          <w:rFonts w:hint="eastAsia"/>
          <w:lang w:val="zh-CN"/>
        </w:rPr>
        <w:t>；</w:t>
      </w:r>
    </w:p>
    <w:p>
      <w:pPr>
        <w:pStyle w:val="174"/>
      </w:pPr>
      <w:r>
        <w:rPr>
          <w:lang w:val="zh-CN"/>
        </w:rPr>
        <w:t>因地制宜原则：根据应用需要和技术条件进行应用集成，对于已经建成平台部分内容的单位，可以从实际技术条件出发，参照本</w:t>
      </w:r>
      <w:r>
        <w:rPr>
          <w:rFonts w:hint="eastAsia"/>
          <w:lang w:val="zh-CN"/>
        </w:rPr>
        <w:t>文件</w:t>
      </w:r>
      <w:r>
        <w:rPr>
          <w:lang w:val="zh-CN"/>
        </w:rPr>
        <w:t>约定的规范选择性的使用相关技术标准和接口。</w:t>
      </w:r>
    </w:p>
    <w:p>
      <w:pPr>
        <w:pStyle w:val="105"/>
        <w:spacing w:before="156" w:after="156"/>
      </w:pPr>
      <w:bookmarkStart w:id="65" w:name="_Toc96346914"/>
      <w:r>
        <w:rPr>
          <w:rFonts w:hint="eastAsia"/>
        </w:rPr>
        <w:t>平台</w:t>
      </w:r>
      <w:r>
        <w:t>架构</w:t>
      </w:r>
      <w:bookmarkEnd w:id="65"/>
    </w:p>
    <w:p>
      <w:pPr>
        <w:pStyle w:val="56"/>
        <w:ind w:firstLine="420"/>
      </w:pPr>
      <w:r>
        <w:rPr>
          <w:rFonts w:hint="eastAsia"/>
        </w:rPr>
        <w:t>园区智慧平台</w:t>
      </w:r>
      <w:r>
        <w:t>总体架构</w:t>
      </w:r>
      <w:r>
        <w:rPr>
          <w:rFonts w:hint="eastAsia"/>
        </w:rPr>
        <w:t>见</w:t>
      </w:r>
      <w:r>
        <w:t>图</w:t>
      </w:r>
      <w:r>
        <w:rPr>
          <w:rFonts w:hint="eastAsia"/>
        </w:rPr>
        <w:t>1虚线</w:t>
      </w:r>
      <w:r>
        <w:t>部分，涉及平台层、应用层</w:t>
      </w:r>
      <w:r>
        <w:rPr>
          <w:rFonts w:hint="eastAsia"/>
        </w:rPr>
        <w:t>、</w:t>
      </w:r>
      <w:r>
        <w:t>展现层及贯穿其中的安全</w:t>
      </w:r>
      <w:r>
        <w:rPr>
          <w:rFonts w:hint="eastAsia"/>
        </w:rPr>
        <w:t>保障</w:t>
      </w:r>
      <w:r>
        <w:t>体系。</w:t>
      </w:r>
    </w:p>
    <w:p>
      <w:pPr>
        <w:pStyle w:val="56"/>
        <w:ind w:firstLine="0" w:firstLineChars="0"/>
        <w:jc w:val="center"/>
      </w:pPr>
      <w:r>
        <w:object>
          <v:shape id="_x0000_i1025" o:spt="75" type="#_x0000_t75" style="height:363pt;width:447pt;" o:ole="t" filled="f" o:preferrelative="t" stroked="f" coordsize="21600,21600">
            <v:path/>
            <v:fill on="f" focussize="0,0"/>
            <v:stroke on="f" joinstyle="miter"/>
            <v:imagedata r:id="rId15" o:title=""/>
            <o:lock v:ext="edit" aspectratio="t"/>
            <w10:wrap type="none"/>
            <w10:anchorlock/>
          </v:shape>
          <o:OLEObject Type="Embed" ProgID="Visio.Drawing.15" ShapeID="_x0000_i1025" DrawAspect="Content" ObjectID="_1468075725" r:id="rId14">
            <o:LockedField>false</o:LockedField>
          </o:OLEObject>
        </w:object>
      </w:r>
    </w:p>
    <w:p>
      <w:pPr>
        <w:pStyle w:val="114"/>
        <w:spacing w:before="156" w:after="156"/>
        <w:rPr>
          <w:lang w:val="zh-CN"/>
        </w:rPr>
      </w:pPr>
      <w:r>
        <w:rPr>
          <w:lang w:val="zh-CN"/>
        </w:rPr>
        <w:t>智慧平台总体架构</w:t>
      </w:r>
      <w:r>
        <w:rPr>
          <w:rFonts w:hint="eastAsia"/>
          <w:lang w:val="zh-CN"/>
        </w:rPr>
        <w:t>图</w:t>
      </w:r>
    </w:p>
    <w:p>
      <w:pPr>
        <w:pStyle w:val="56"/>
        <w:ind w:firstLine="420"/>
        <w:rPr>
          <w:lang w:val="zh-CN"/>
        </w:rPr>
      </w:pPr>
      <w:r>
        <w:rPr>
          <w:lang w:val="zh-CN"/>
        </w:rPr>
        <w:t>园区智慧平台采用“1+3+N+1”架构，其中：</w:t>
      </w:r>
    </w:p>
    <w:p>
      <w:pPr>
        <w:pStyle w:val="174"/>
        <w:numPr>
          <w:ilvl w:val="0"/>
          <w:numId w:val="32"/>
        </w:numPr>
        <w:rPr>
          <w:lang w:val="zh-CN"/>
        </w:rPr>
      </w:pPr>
      <w:r>
        <w:rPr>
          <w:lang w:val="zh-CN"/>
        </w:rPr>
        <w:t>“1”指一个统一的园区门户，面向用户提供信息展示和交互的窗口</w:t>
      </w:r>
      <w:r>
        <w:rPr>
          <w:rFonts w:hint="eastAsia"/>
          <w:lang w:val="zh-CN"/>
        </w:rPr>
        <w:t>；</w:t>
      </w:r>
    </w:p>
    <w:p>
      <w:pPr>
        <w:pStyle w:val="174"/>
        <w:rPr>
          <w:lang w:val="zh-CN"/>
        </w:rPr>
      </w:pPr>
      <w:r>
        <w:rPr>
          <w:lang w:val="zh-CN"/>
        </w:rPr>
        <w:t>“3”指面向用户的服务板块，即园区治理、产业服务和</w:t>
      </w:r>
      <w:r>
        <w:rPr>
          <w:rFonts w:hint="eastAsia"/>
          <w:lang w:val="zh-CN"/>
        </w:rPr>
        <w:t>生活</w:t>
      </w:r>
      <w:r>
        <w:rPr>
          <w:lang w:val="zh-CN"/>
        </w:rPr>
        <w:t>服务</w:t>
      </w:r>
      <w:r>
        <w:rPr>
          <w:rFonts w:hint="eastAsia"/>
          <w:lang w:val="zh-CN"/>
        </w:rPr>
        <w:t>；</w:t>
      </w:r>
    </w:p>
    <w:p>
      <w:pPr>
        <w:pStyle w:val="174"/>
        <w:rPr>
          <w:lang w:val="zh-CN"/>
        </w:rPr>
      </w:pPr>
      <w:r>
        <w:rPr>
          <w:lang w:val="zh-CN"/>
        </w:rPr>
        <w:t>“N”指三类服务板块分别细分出N个应用系统，N的具体数量可根据园区在不同的发展阶段和主导产业门类进行弹性增减</w:t>
      </w:r>
      <w:r>
        <w:rPr>
          <w:rFonts w:hint="eastAsia"/>
          <w:lang w:val="zh-CN"/>
        </w:rPr>
        <w:t>；</w:t>
      </w:r>
    </w:p>
    <w:p>
      <w:pPr>
        <w:pStyle w:val="174"/>
        <w:rPr>
          <w:lang w:val="zh-CN"/>
        </w:rPr>
      </w:pPr>
      <w:r>
        <w:rPr>
          <w:lang w:val="zh-CN"/>
        </w:rPr>
        <w:t>“1”指建设一个提供核心技术支撑的数据及服务融合平台，实现数据采集、存储、分类、清洗和分析，并通过接口对内部和外部的应用系统提供支撑服务。</w:t>
      </w:r>
    </w:p>
    <w:p>
      <w:pPr>
        <w:pStyle w:val="104"/>
        <w:spacing w:before="312" w:after="312"/>
        <w:rPr>
          <w:lang w:val="zh-CN"/>
        </w:rPr>
      </w:pPr>
      <w:bookmarkStart w:id="66" w:name="_Toc99033122"/>
      <w:bookmarkStart w:id="67" w:name="_Toc96346915"/>
      <w:bookmarkStart w:id="68" w:name="_Toc100578587"/>
      <w:bookmarkStart w:id="69" w:name="_Toc99019165"/>
      <w:r>
        <w:rPr>
          <w:rFonts w:hint="eastAsia"/>
          <w:lang w:val="zh-CN"/>
        </w:rPr>
        <w:t>功能要求</w:t>
      </w:r>
      <w:bookmarkEnd w:id="66"/>
      <w:bookmarkEnd w:id="67"/>
      <w:bookmarkEnd w:id="68"/>
      <w:bookmarkEnd w:id="69"/>
    </w:p>
    <w:p>
      <w:pPr>
        <w:pStyle w:val="105"/>
        <w:spacing w:before="156" w:after="156"/>
        <w:rPr>
          <w:lang w:val="zh-CN"/>
        </w:rPr>
      </w:pPr>
      <w:bookmarkStart w:id="70" w:name="_Toc96346916"/>
      <w:r>
        <w:rPr>
          <w:rFonts w:hint="eastAsia"/>
          <w:lang w:val="zh-CN"/>
        </w:rPr>
        <w:t>园区</w:t>
      </w:r>
      <w:r>
        <w:rPr>
          <w:lang w:val="zh-CN"/>
        </w:rPr>
        <w:t>门户</w:t>
      </w:r>
      <w:bookmarkEnd w:id="70"/>
    </w:p>
    <w:p>
      <w:pPr>
        <w:pStyle w:val="65"/>
        <w:spacing w:before="156" w:after="156"/>
        <w:rPr>
          <w:lang w:val="zh-CN"/>
        </w:rPr>
      </w:pPr>
      <w:r>
        <w:rPr>
          <w:rFonts w:hint="eastAsia"/>
          <w:lang w:val="zh-CN"/>
        </w:rPr>
        <w:t>园区宣传</w:t>
      </w:r>
    </w:p>
    <w:p>
      <w:pPr>
        <w:pStyle w:val="56"/>
        <w:ind w:firstLine="420"/>
        <w:rPr>
          <w:lang w:val="zh-CN"/>
        </w:rPr>
      </w:pPr>
      <w:r>
        <w:rPr>
          <w:lang w:val="zh-CN"/>
        </w:rPr>
        <w:t>园区宣传门户应提供园区基本概况、新闻动态、政策公开、招商信息、党建等信息的发布、维护、查询等功能。</w:t>
      </w:r>
    </w:p>
    <w:p>
      <w:pPr>
        <w:pStyle w:val="65"/>
        <w:spacing w:before="156" w:after="156"/>
        <w:rPr>
          <w:lang w:val="zh-CN"/>
        </w:rPr>
      </w:pPr>
      <w:r>
        <w:rPr>
          <w:lang w:val="zh-CN"/>
        </w:rPr>
        <w:t>服务中心</w:t>
      </w:r>
    </w:p>
    <w:p>
      <w:pPr>
        <w:pStyle w:val="56"/>
        <w:ind w:firstLine="420"/>
        <w:rPr>
          <w:color w:val="000000" w:themeColor="text1"/>
          <w:lang w:val="zh-CN"/>
          <w14:textFill>
            <w14:solidFill>
              <w14:schemeClr w14:val="tx1"/>
            </w14:solidFill>
          </w14:textFill>
        </w:rPr>
      </w:pPr>
      <w:r>
        <w:rPr>
          <w:color w:val="000000" w:themeColor="text1"/>
          <w:lang w:val="zh-CN"/>
          <w14:textFill>
            <w14:solidFill>
              <w14:schemeClr w14:val="tx1"/>
            </w14:solidFill>
          </w14:textFill>
        </w:rPr>
        <w:t>服务中心应为企业提供入园一站式服务、技术服务、人才服务、金融服务、公共服务、企业数字化服务等统一服务入口。服务中心应为园区员工和个人提供</w:t>
      </w:r>
      <w:r>
        <w:rPr>
          <w:rFonts w:hint="eastAsia"/>
          <w:color w:val="000000" w:themeColor="text1"/>
          <w:lang w:val="zh-CN"/>
          <w14:textFill>
            <w14:solidFill>
              <w14:schemeClr w14:val="tx1"/>
            </w14:solidFill>
          </w14:textFill>
        </w:rPr>
        <w:t>物业报修、装修申请、停车月卡缴费、会场预订等</w:t>
      </w:r>
      <w:r>
        <w:rPr>
          <w:color w:val="000000" w:themeColor="text1"/>
          <w:lang w:val="zh-CN"/>
          <w14:textFill>
            <w14:solidFill>
              <w14:schemeClr w14:val="tx1"/>
            </w14:solidFill>
          </w14:textFill>
        </w:rPr>
        <w:t>统一服务入口。</w:t>
      </w:r>
    </w:p>
    <w:p>
      <w:pPr>
        <w:pStyle w:val="65"/>
        <w:spacing w:before="156" w:after="156"/>
        <w:rPr>
          <w:color w:val="000000" w:themeColor="text1"/>
          <w:lang w:val="zh-CN"/>
          <w14:textFill>
            <w14:solidFill>
              <w14:schemeClr w14:val="tx1"/>
            </w14:solidFill>
          </w14:textFill>
        </w:rPr>
      </w:pPr>
      <w:r>
        <w:rPr>
          <w:color w:val="000000" w:themeColor="text1"/>
          <w:lang w:val="zh-CN"/>
          <w14:textFill>
            <w14:solidFill>
              <w14:schemeClr w14:val="tx1"/>
            </w14:solidFill>
          </w14:textFill>
        </w:rPr>
        <w:t>发展地图</w:t>
      </w:r>
    </w:p>
    <w:p>
      <w:pPr>
        <w:pStyle w:val="56"/>
        <w:ind w:firstLine="420"/>
        <w:rPr>
          <w:lang w:val="zh-CN"/>
        </w:rPr>
      </w:pPr>
      <w:r>
        <w:rPr>
          <w:lang w:val="zh-CN"/>
        </w:rPr>
        <w:t>发展地图应基于GIS（地理信息系统）对园区区块规划、产业布局、龙头企业等进行展示，应对园区等主要发展指标进行实时统计、分析和可视化展示，宜采用三维精细建模的方式实现园区产业发展地图的三维漫游功能。</w:t>
      </w:r>
    </w:p>
    <w:p>
      <w:pPr>
        <w:pStyle w:val="105"/>
        <w:spacing w:before="156" w:after="156"/>
        <w:rPr>
          <w:lang w:val="zh-CN"/>
        </w:rPr>
      </w:pPr>
      <w:bookmarkStart w:id="71" w:name="_Toc96346917"/>
      <w:r>
        <w:rPr>
          <w:lang w:val="zh-CN"/>
        </w:rPr>
        <w:t>产业服务</w:t>
      </w:r>
      <w:bookmarkEnd w:id="71"/>
    </w:p>
    <w:p>
      <w:pPr>
        <w:pStyle w:val="65"/>
        <w:spacing w:before="156" w:after="156"/>
        <w:rPr>
          <w:lang w:val="zh-CN"/>
        </w:rPr>
      </w:pPr>
      <w:r>
        <w:rPr>
          <w:lang w:val="zh-CN"/>
        </w:rPr>
        <w:t>商事服务</w:t>
      </w:r>
    </w:p>
    <w:p>
      <w:pPr>
        <w:pStyle w:val="56"/>
        <w:ind w:firstLine="420"/>
        <w:rPr>
          <w:lang w:val="zh-CN"/>
        </w:rPr>
      </w:pPr>
      <w:r>
        <w:rPr>
          <w:lang w:val="zh-CN"/>
        </w:rPr>
        <w:t>商事服务</w:t>
      </w:r>
      <w:r>
        <w:rPr>
          <w:rFonts w:hint="eastAsia"/>
          <w:lang w:val="zh-CN"/>
        </w:rPr>
        <w:t>应</w:t>
      </w:r>
      <w:r>
        <w:rPr>
          <w:lang w:val="zh-CN"/>
        </w:rPr>
        <w:t>包括以下内容：</w:t>
      </w:r>
    </w:p>
    <w:p>
      <w:pPr>
        <w:pStyle w:val="174"/>
        <w:numPr>
          <w:ilvl w:val="0"/>
          <w:numId w:val="33"/>
        </w:numPr>
        <w:rPr>
          <w:lang w:val="zh-CN"/>
        </w:rPr>
      </w:pPr>
      <w:r>
        <w:rPr>
          <w:lang w:val="zh-CN"/>
        </w:rPr>
        <w:t>提供企业入园事务一站式服务</w:t>
      </w:r>
      <w:r>
        <w:rPr>
          <w:rFonts w:hint="eastAsia"/>
          <w:lang w:val="zh-CN"/>
        </w:rPr>
        <w:t>；</w:t>
      </w:r>
    </w:p>
    <w:p>
      <w:pPr>
        <w:pStyle w:val="174"/>
        <w:rPr>
          <w:lang w:val="zh-CN"/>
        </w:rPr>
      </w:pPr>
      <w:r>
        <w:rPr>
          <w:lang w:val="zh-CN"/>
        </w:rPr>
        <w:t>提供企业经营过程中各项行政审批事务一站式服务</w:t>
      </w:r>
      <w:r>
        <w:rPr>
          <w:rFonts w:hint="eastAsia"/>
          <w:lang w:val="zh-CN"/>
        </w:rPr>
        <w:t>；</w:t>
      </w:r>
    </w:p>
    <w:p>
      <w:pPr>
        <w:pStyle w:val="174"/>
        <w:rPr>
          <w:lang w:val="zh-CN"/>
        </w:rPr>
      </w:pPr>
      <w:r>
        <w:rPr>
          <w:lang w:val="zh-CN"/>
        </w:rPr>
        <w:t>提供工商注册、财务代理、人事代理、税务代理等服务。</w:t>
      </w:r>
    </w:p>
    <w:p>
      <w:pPr>
        <w:pStyle w:val="65"/>
        <w:spacing w:before="156" w:after="156"/>
        <w:rPr>
          <w:lang w:val="zh-CN"/>
        </w:rPr>
      </w:pPr>
      <w:r>
        <w:rPr>
          <w:lang w:val="zh-CN"/>
        </w:rPr>
        <w:t>创新服务</w:t>
      </w:r>
    </w:p>
    <w:p>
      <w:pPr>
        <w:pStyle w:val="56"/>
        <w:ind w:firstLine="420"/>
        <w:rPr>
          <w:lang w:val="zh-CN"/>
        </w:rPr>
      </w:pPr>
      <w:r>
        <w:rPr>
          <w:lang w:val="zh-CN"/>
        </w:rPr>
        <w:t>创新服务包括以下内容：</w:t>
      </w:r>
    </w:p>
    <w:p>
      <w:pPr>
        <w:pStyle w:val="174"/>
        <w:numPr>
          <w:ilvl w:val="0"/>
          <w:numId w:val="34"/>
        </w:numPr>
        <w:rPr>
          <w:lang w:val="zh-CN"/>
        </w:rPr>
      </w:pPr>
      <w:r>
        <w:rPr>
          <w:lang w:val="zh-CN"/>
        </w:rPr>
        <w:t>应提供政策分类展示、搜索、解读、咨询、精准推送和项目申报服务</w:t>
      </w:r>
      <w:r>
        <w:rPr>
          <w:rFonts w:hint="eastAsia"/>
          <w:lang w:val="zh-CN"/>
        </w:rPr>
        <w:t>；</w:t>
      </w:r>
    </w:p>
    <w:p>
      <w:pPr>
        <w:pStyle w:val="174"/>
        <w:rPr>
          <w:lang w:val="zh-CN"/>
        </w:rPr>
      </w:pPr>
      <w:r>
        <w:rPr>
          <w:lang w:val="zh-CN"/>
        </w:rPr>
        <w:t>应提供专家认定、专家分类、专家咨询和专家推荐服务</w:t>
      </w:r>
      <w:r>
        <w:rPr>
          <w:rFonts w:hint="eastAsia"/>
          <w:lang w:val="zh-CN"/>
        </w:rPr>
        <w:t>；</w:t>
      </w:r>
    </w:p>
    <w:p>
      <w:pPr>
        <w:pStyle w:val="174"/>
        <w:rPr>
          <w:lang w:val="zh-CN"/>
        </w:rPr>
      </w:pPr>
      <w:r>
        <w:rPr>
          <w:lang w:val="zh-CN"/>
        </w:rPr>
        <w:t>应提供成果展示、智能匹配和推荐和线上交易服务</w:t>
      </w:r>
      <w:r>
        <w:rPr>
          <w:rFonts w:hint="eastAsia"/>
          <w:lang w:val="zh-CN"/>
        </w:rPr>
        <w:t>；</w:t>
      </w:r>
    </w:p>
    <w:p>
      <w:pPr>
        <w:pStyle w:val="174"/>
        <w:rPr>
          <w:lang w:val="zh-CN"/>
        </w:rPr>
      </w:pPr>
      <w:r>
        <w:rPr>
          <w:lang w:val="zh-CN"/>
        </w:rPr>
        <w:t>应提供企业资质认定、知识产权、创新创业扶持、检验检测和设备共享服务</w:t>
      </w:r>
      <w:r>
        <w:rPr>
          <w:rFonts w:hint="eastAsia"/>
          <w:lang w:val="zh-CN"/>
        </w:rPr>
        <w:t>；</w:t>
      </w:r>
    </w:p>
    <w:p>
      <w:pPr>
        <w:pStyle w:val="174"/>
        <w:rPr>
          <w:lang w:val="zh-CN"/>
        </w:rPr>
      </w:pPr>
      <w:r>
        <w:rPr>
          <w:lang w:val="zh-CN"/>
        </w:rPr>
        <w:t>宜提供创新众包服务，包括发布需求、承接任务、项目进度管理、项目验收和交付等功能</w:t>
      </w:r>
      <w:r>
        <w:rPr>
          <w:rFonts w:hint="eastAsia"/>
          <w:lang w:val="zh-CN"/>
        </w:rPr>
        <w:t>；</w:t>
      </w:r>
    </w:p>
    <w:p>
      <w:pPr>
        <w:pStyle w:val="174"/>
        <w:rPr>
          <w:lang w:val="zh-CN"/>
        </w:rPr>
      </w:pPr>
      <w:r>
        <w:rPr>
          <w:lang w:val="zh-CN"/>
        </w:rPr>
        <w:t>宜提供技术创新指数分析，综合企业填报的各类数据对企业创新能力进行判定。</w:t>
      </w:r>
    </w:p>
    <w:p>
      <w:pPr>
        <w:pStyle w:val="65"/>
        <w:spacing w:before="156" w:after="156"/>
        <w:rPr>
          <w:lang w:val="zh-CN"/>
        </w:rPr>
      </w:pPr>
      <w:r>
        <w:rPr>
          <w:lang w:val="zh-CN"/>
        </w:rPr>
        <w:t>人才服务</w:t>
      </w:r>
    </w:p>
    <w:p>
      <w:pPr>
        <w:pStyle w:val="56"/>
        <w:ind w:firstLine="420"/>
        <w:rPr>
          <w:lang w:val="zh-CN"/>
        </w:rPr>
      </w:pPr>
      <w:r>
        <w:rPr>
          <w:lang w:val="zh-CN"/>
        </w:rPr>
        <w:t>人才服务包括以下内容：</w:t>
      </w:r>
    </w:p>
    <w:p>
      <w:pPr>
        <w:pStyle w:val="174"/>
        <w:numPr>
          <w:ilvl w:val="0"/>
          <w:numId w:val="35"/>
        </w:numPr>
        <w:rPr>
          <w:lang w:val="zh-CN"/>
        </w:rPr>
      </w:pPr>
      <w:r>
        <w:rPr>
          <w:lang w:val="zh-CN"/>
        </w:rPr>
        <w:t>应提供人才信息发布功能，包括人才发布和维护简历、企业发布和维护人才需求等功能</w:t>
      </w:r>
      <w:r>
        <w:rPr>
          <w:rFonts w:hint="eastAsia"/>
          <w:lang w:val="zh-CN"/>
        </w:rPr>
        <w:t>；</w:t>
      </w:r>
    </w:p>
    <w:p>
      <w:pPr>
        <w:pStyle w:val="174"/>
        <w:rPr>
          <w:lang w:val="zh-CN"/>
        </w:rPr>
      </w:pPr>
      <w:r>
        <w:rPr>
          <w:lang w:val="zh-CN"/>
        </w:rPr>
        <w:t>应提供人才对接服务，包括企业和人才在线检索、智能匹配和双向推荐等功能</w:t>
      </w:r>
      <w:r>
        <w:rPr>
          <w:rFonts w:hint="eastAsia"/>
          <w:lang w:val="zh-CN"/>
        </w:rPr>
        <w:t>；</w:t>
      </w:r>
    </w:p>
    <w:p>
      <w:pPr>
        <w:pStyle w:val="174"/>
        <w:rPr>
          <w:lang w:val="zh-CN"/>
        </w:rPr>
      </w:pPr>
      <w:r>
        <w:rPr>
          <w:lang w:val="zh-CN"/>
        </w:rPr>
        <w:t>应提供人才增值服务，包括职称认定、资质认定、获取专项补贴等功能</w:t>
      </w:r>
      <w:r>
        <w:rPr>
          <w:rFonts w:hint="eastAsia"/>
          <w:lang w:val="zh-CN"/>
        </w:rPr>
        <w:t>；</w:t>
      </w:r>
    </w:p>
    <w:p>
      <w:pPr>
        <w:pStyle w:val="174"/>
        <w:rPr>
          <w:lang w:val="zh-CN"/>
        </w:rPr>
      </w:pPr>
      <w:r>
        <w:rPr>
          <w:lang w:val="zh-CN"/>
        </w:rPr>
        <w:t>应提供人才培养服务，包括人才培养渠道信息、人力资源培训活动组织等功能</w:t>
      </w:r>
      <w:r>
        <w:rPr>
          <w:rFonts w:hint="eastAsia"/>
          <w:lang w:val="zh-CN"/>
        </w:rPr>
        <w:t>；</w:t>
      </w:r>
    </w:p>
    <w:p>
      <w:pPr>
        <w:pStyle w:val="174"/>
      </w:pPr>
      <w:r>
        <w:rPr>
          <w:lang w:val="zh-CN"/>
        </w:rPr>
        <w:t>应提供人才引进服务，包括定向发布人力资源招聘信息、园区管理者应及时响应为企业提供服务。</w:t>
      </w:r>
    </w:p>
    <w:p>
      <w:pPr>
        <w:pStyle w:val="65"/>
        <w:spacing w:before="156" w:after="156"/>
      </w:pPr>
      <w:r>
        <w:rPr>
          <w:rFonts w:hint="eastAsia"/>
        </w:rPr>
        <w:t>金融服务</w:t>
      </w:r>
    </w:p>
    <w:p>
      <w:pPr>
        <w:pStyle w:val="56"/>
        <w:ind w:firstLine="420"/>
        <w:rPr>
          <w:lang w:val="zh-CN"/>
        </w:rPr>
      </w:pPr>
      <w:r>
        <w:rPr>
          <w:lang w:val="zh-CN"/>
        </w:rPr>
        <w:t>金融服务包括以下内容：</w:t>
      </w:r>
    </w:p>
    <w:p>
      <w:pPr>
        <w:pStyle w:val="174"/>
        <w:numPr>
          <w:ilvl w:val="0"/>
          <w:numId w:val="36"/>
        </w:numPr>
        <w:rPr>
          <w:lang w:val="zh-CN"/>
        </w:rPr>
      </w:pPr>
      <w:r>
        <w:rPr>
          <w:lang w:val="zh-CN"/>
        </w:rPr>
        <w:t>应提供金融需求管理功能，包括企业金融需求发布、企业金融需求管理等功能</w:t>
      </w:r>
      <w:r>
        <w:rPr>
          <w:rFonts w:hint="eastAsia"/>
          <w:lang w:val="zh-CN"/>
        </w:rPr>
        <w:t>；</w:t>
      </w:r>
    </w:p>
    <w:p>
      <w:pPr>
        <w:pStyle w:val="174"/>
        <w:rPr>
          <w:lang w:val="zh-CN"/>
        </w:rPr>
      </w:pPr>
      <w:r>
        <w:rPr>
          <w:lang w:val="zh-CN"/>
        </w:rPr>
        <w:t>应提供金融机构管理功</w:t>
      </w:r>
      <w:r>
        <w:rPr>
          <w:color w:val="000000" w:themeColor="text1"/>
          <w:lang w:val="zh-CN"/>
          <w14:textFill>
            <w14:solidFill>
              <w14:schemeClr w14:val="tx1"/>
            </w14:solidFill>
          </w14:textFill>
        </w:rPr>
        <w:t>能，应按照《金融业机构信息管理规</w:t>
      </w:r>
      <w:r>
        <w:rPr>
          <w:rFonts w:hint="eastAsia"/>
          <w:color w:val="000000" w:themeColor="text1"/>
          <w:lang w:val="zh-CN"/>
          <w14:textFill>
            <w14:solidFill>
              <w14:schemeClr w14:val="tx1"/>
            </w14:solidFill>
          </w14:textFill>
        </w:rPr>
        <w:t>定</w:t>
      </w:r>
      <w:r>
        <w:rPr>
          <w:color w:val="000000" w:themeColor="text1"/>
          <w:lang w:val="zh-CN"/>
          <w14:textFill>
            <w14:solidFill>
              <w14:schemeClr w14:val="tx1"/>
            </w14:solidFill>
          </w14:textFill>
        </w:rPr>
        <w:t>》要</w:t>
      </w:r>
      <w:r>
        <w:rPr>
          <w:lang w:val="zh-CN"/>
        </w:rPr>
        <w:t>求对入驻平台的金融机构信息进行管理</w:t>
      </w:r>
      <w:r>
        <w:rPr>
          <w:rFonts w:hint="eastAsia"/>
          <w:lang w:val="zh-CN"/>
        </w:rPr>
        <w:t>；</w:t>
      </w:r>
    </w:p>
    <w:p>
      <w:pPr>
        <w:pStyle w:val="174"/>
        <w:rPr>
          <w:lang w:val="zh-CN"/>
        </w:rPr>
      </w:pPr>
      <w:r>
        <w:rPr>
          <w:lang w:val="zh-CN"/>
        </w:rPr>
        <w:t>应提供资金对接服务，包括为供需双方提供信息发布、展示、搜索、智能匹配和推荐、一键预约等功能</w:t>
      </w:r>
      <w:r>
        <w:rPr>
          <w:rFonts w:hint="eastAsia"/>
          <w:lang w:val="zh-CN"/>
        </w:rPr>
        <w:t>；</w:t>
      </w:r>
    </w:p>
    <w:p>
      <w:pPr>
        <w:pStyle w:val="174"/>
        <w:rPr>
          <w:lang w:val="zh-CN"/>
        </w:rPr>
      </w:pPr>
      <w:r>
        <w:rPr>
          <w:lang w:val="zh-CN"/>
        </w:rPr>
        <w:t>应提供金融沙龙服务，包括沙龙活动的发起、审批、报名、统计、监控、分析、总结等支撑和管理功能</w:t>
      </w:r>
      <w:r>
        <w:rPr>
          <w:rFonts w:hint="eastAsia"/>
          <w:lang w:val="zh-CN"/>
        </w:rPr>
        <w:t>；</w:t>
      </w:r>
    </w:p>
    <w:p>
      <w:pPr>
        <w:pStyle w:val="174"/>
        <w:rPr>
          <w:lang w:val="zh-CN"/>
        </w:rPr>
      </w:pPr>
      <w:r>
        <w:rPr>
          <w:lang w:val="zh-CN"/>
        </w:rPr>
        <w:t>应提供项目路演服务，包括路演组织、申请、审核、咨询、推荐、记录、复盘等功能。</w:t>
      </w:r>
    </w:p>
    <w:p>
      <w:pPr>
        <w:pStyle w:val="65"/>
        <w:spacing w:before="156" w:after="156"/>
        <w:rPr>
          <w:lang w:val="zh-CN"/>
        </w:rPr>
      </w:pPr>
      <w:r>
        <w:rPr>
          <w:rFonts w:hint="eastAsia"/>
          <w:lang w:val="zh-CN"/>
        </w:rPr>
        <w:t>企管服务</w:t>
      </w:r>
    </w:p>
    <w:p>
      <w:pPr>
        <w:pStyle w:val="94"/>
        <w:spacing w:before="156" w:after="156"/>
        <w:rPr>
          <w:lang w:val="zh-CN"/>
        </w:rPr>
      </w:pPr>
      <w:r>
        <w:rPr>
          <w:lang w:val="zh-CN"/>
        </w:rPr>
        <w:t>人力资源管理</w:t>
      </w:r>
    </w:p>
    <w:p>
      <w:pPr>
        <w:pStyle w:val="56"/>
        <w:ind w:firstLine="420"/>
        <w:rPr>
          <w:lang w:val="zh-CN"/>
        </w:rPr>
      </w:pPr>
      <w:r>
        <w:rPr>
          <w:lang w:val="zh-CN"/>
        </w:rPr>
        <w:t>应提供组织架构管理、招聘管理、员工档案管理、劳动关系管理、考勤管理、培训管哩、绩效薪酬管理、报表统计等功能，宜同时提供排班管理功能。</w:t>
      </w:r>
    </w:p>
    <w:p>
      <w:pPr>
        <w:pStyle w:val="94"/>
        <w:spacing w:before="156" w:after="156"/>
        <w:rPr>
          <w:lang w:val="zh-CN"/>
        </w:rPr>
      </w:pPr>
      <w:r>
        <w:rPr>
          <w:lang w:val="zh-CN"/>
        </w:rPr>
        <w:t>协同办公</w:t>
      </w:r>
    </w:p>
    <w:p>
      <w:pPr>
        <w:pStyle w:val="56"/>
        <w:ind w:firstLine="420"/>
        <w:rPr>
          <w:lang w:val="zh-CN"/>
        </w:rPr>
      </w:pPr>
      <w:r>
        <w:rPr>
          <w:lang w:val="zh-CN"/>
        </w:rPr>
        <w:t>应提供可自定义的个人首页、流程管理和自定义、公文管理、日程管理、会议管理、电子邮件等功能。</w:t>
      </w:r>
    </w:p>
    <w:p>
      <w:pPr>
        <w:pStyle w:val="94"/>
        <w:spacing w:before="156" w:after="156"/>
        <w:rPr>
          <w:lang w:val="zh-CN"/>
        </w:rPr>
      </w:pPr>
      <w:r>
        <w:rPr>
          <w:lang w:val="zh-CN"/>
        </w:rPr>
        <w:t>财务管理</w:t>
      </w:r>
    </w:p>
    <w:p>
      <w:pPr>
        <w:pStyle w:val="56"/>
        <w:ind w:firstLine="420"/>
        <w:rPr>
          <w:lang w:val="zh-CN"/>
        </w:rPr>
      </w:pPr>
      <w:r>
        <w:rPr>
          <w:lang w:val="zh-CN"/>
        </w:rPr>
        <w:t>应提供预算编制、预算执行控制、预算变更、费用申请、费用标准制定、统计报表等功能。</w:t>
      </w:r>
    </w:p>
    <w:p>
      <w:pPr>
        <w:pStyle w:val="94"/>
        <w:spacing w:before="156" w:after="156"/>
        <w:rPr>
          <w:lang w:val="zh-CN"/>
        </w:rPr>
      </w:pPr>
      <w:r>
        <w:rPr>
          <w:lang w:val="zh-CN"/>
        </w:rPr>
        <w:t>客户管理</w:t>
      </w:r>
    </w:p>
    <w:p>
      <w:pPr>
        <w:pStyle w:val="56"/>
        <w:ind w:firstLine="420"/>
        <w:rPr>
          <w:lang w:val="zh-CN"/>
        </w:rPr>
      </w:pPr>
      <w:r>
        <w:rPr>
          <w:lang w:val="zh-CN"/>
        </w:rPr>
        <w:t>应提供客户通讯录、客户分类管理、客户标签管理、沟通记录管理、商机管理、合同管理、重要事项提醒、统计报表等功能。</w:t>
      </w:r>
    </w:p>
    <w:p>
      <w:pPr>
        <w:pStyle w:val="94"/>
        <w:spacing w:before="156" w:after="156"/>
        <w:rPr>
          <w:lang w:val="zh-CN"/>
        </w:rPr>
      </w:pPr>
      <w:r>
        <w:rPr>
          <w:lang w:val="zh-CN"/>
        </w:rPr>
        <w:t>资产管理</w:t>
      </w:r>
    </w:p>
    <w:p>
      <w:pPr>
        <w:pStyle w:val="56"/>
        <w:ind w:firstLine="420"/>
        <w:rPr>
          <w:lang w:val="zh-CN"/>
        </w:rPr>
      </w:pPr>
      <w:r>
        <w:rPr>
          <w:lang w:val="zh-CN"/>
        </w:rPr>
        <w:t>应提供资产入库、资产查询、资产盘点、资产统计、资产领用、资产调拨、资产借用、资产减损、资产报废、资产送修、资产归还、资产变更等功能。</w:t>
      </w:r>
    </w:p>
    <w:p>
      <w:pPr>
        <w:pStyle w:val="56"/>
        <w:ind w:firstLine="420"/>
        <w:rPr>
          <w:rFonts w:hint="eastAsia"/>
          <w:lang w:val="zh-CN"/>
        </w:rPr>
      </w:pPr>
    </w:p>
    <w:p>
      <w:pPr>
        <w:pStyle w:val="94"/>
        <w:spacing w:before="156" w:after="156"/>
        <w:rPr>
          <w:lang w:val="zh-CN"/>
        </w:rPr>
      </w:pPr>
      <w:r>
        <w:rPr>
          <w:lang w:val="zh-CN"/>
        </w:rPr>
        <w:t>项目管理</w:t>
      </w:r>
    </w:p>
    <w:p>
      <w:pPr>
        <w:pStyle w:val="56"/>
        <w:ind w:firstLine="420"/>
        <w:rPr>
          <w:lang w:val="zh-CN"/>
        </w:rPr>
      </w:pPr>
      <w:r>
        <w:rPr>
          <w:lang w:val="zh-CN"/>
        </w:rPr>
        <w:t>应提供项目基础信息管理、项目团队管理、项目资源管理、项目成本管理、项目计划和进度管理、项目合同管理等功能。</w:t>
      </w:r>
    </w:p>
    <w:p>
      <w:pPr>
        <w:pStyle w:val="94"/>
        <w:spacing w:before="156" w:after="156"/>
        <w:rPr>
          <w:lang w:val="zh-CN"/>
        </w:rPr>
      </w:pPr>
      <w:r>
        <w:rPr>
          <w:lang w:val="zh-CN"/>
        </w:rPr>
        <w:t>知识管理</w:t>
      </w:r>
    </w:p>
    <w:p>
      <w:pPr>
        <w:pStyle w:val="56"/>
        <w:ind w:firstLine="420"/>
        <w:rPr>
          <w:lang w:val="zh-CN"/>
        </w:rPr>
      </w:pPr>
      <w:r>
        <w:rPr>
          <w:lang w:val="zh-CN"/>
        </w:rPr>
        <w:t>应提供知识分类、知识新增、知识修改、知识删除、知识查询、知识订阅、知识共享、知识热点排行、知识贡献排行、知识统计分析等功能。</w:t>
      </w:r>
    </w:p>
    <w:p>
      <w:pPr>
        <w:pStyle w:val="105"/>
        <w:spacing w:before="156" w:after="156"/>
        <w:rPr>
          <w:lang w:val="zh-CN"/>
        </w:rPr>
      </w:pPr>
      <w:bookmarkStart w:id="72" w:name="_Toc96346918"/>
      <w:r>
        <w:rPr>
          <w:rFonts w:hint="eastAsia"/>
          <w:lang w:val="zh-CN"/>
        </w:rPr>
        <w:t>园区</w:t>
      </w:r>
      <w:r>
        <w:rPr>
          <w:lang w:val="zh-CN"/>
        </w:rPr>
        <w:t>治理</w:t>
      </w:r>
      <w:bookmarkEnd w:id="72"/>
    </w:p>
    <w:p>
      <w:pPr>
        <w:pStyle w:val="65"/>
        <w:spacing w:before="156" w:after="156"/>
        <w:rPr>
          <w:lang w:val="zh-CN"/>
        </w:rPr>
      </w:pPr>
      <w:r>
        <w:rPr>
          <w:rFonts w:hint="eastAsia"/>
          <w:lang w:val="zh-CN"/>
        </w:rPr>
        <w:t>园区治理资质要求</w:t>
      </w:r>
    </w:p>
    <w:p>
      <w:pPr>
        <w:pStyle w:val="56"/>
        <w:ind w:firstLine="420"/>
      </w:pPr>
      <w:r>
        <w:rPr>
          <w:rFonts w:hint="eastAsia"/>
        </w:rPr>
        <w:t>应具备全国多产业生态园区运营经验，且不低于10家产业园区运营经验。</w:t>
      </w:r>
    </w:p>
    <w:p>
      <w:pPr>
        <w:pStyle w:val="65"/>
        <w:spacing w:before="156" w:after="156"/>
        <w:rPr>
          <w:lang w:val="zh-CN"/>
        </w:rPr>
      </w:pPr>
      <w:r>
        <w:rPr>
          <w:lang w:val="zh-CN"/>
        </w:rPr>
        <w:t>招商管理</w:t>
      </w:r>
    </w:p>
    <w:p>
      <w:pPr>
        <w:pStyle w:val="56"/>
        <w:ind w:firstLine="420"/>
        <w:rPr>
          <w:color w:val="000000" w:themeColor="text1"/>
          <w:lang w:val="zh-CN"/>
          <w14:textFill>
            <w14:solidFill>
              <w14:schemeClr w14:val="tx1"/>
            </w14:solidFill>
          </w14:textFill>
        </w:rPr>
      </w:pPr>
      <w:r>
        <w:rPr>
          <w:color w:val="000000" w:themeColor="text1"/>
          <w:lang w:val="zh-CN"/>
          <w14:textFill>
            <w14:solidFill>
              <w14:schemeClr w14:val="tx1"/>
            </w14:solidFill>
          </w14:textFill>
        </w:rPr>
        <w:t>招商管理应提供园区宣传内容发布和维护、客户管理、商机管理、合同管理、项目管理等功能。</w:t>
      </w:r>
      <w:r>
        <w:rPr>
          <w:rFonts w:hint="eastAsia"/>
          <w:color w:val="000000" w:themeColor="text1"/>
          <w:lang w:val="zh-CN"/>
          <w14:textFill>
            <w14:solidFill>
              <w14:schemeClr w14:val="tx1"/>
            </w14:solidFill>
          </w14:textFill>
        </w:rPr>
        <w:t>宜具备产业大数据分析能力，能通过大数据招商系统赋能园区产业生态培育。应建设园区招商管理的信息化系统，主要功能宜包括：</w:t>
      </w:r>
    </w:p>
    <w:p>
      <w:pPr>
        <w:pStyle w:val="174"/>
        <w:numPr>
          <w:ilvl w:val="0"/>
          <w:numId w:val="37"/>
        </w:numPr>
        <w:rPr>
          <w:color w:val="000000" w:themeColor="text1"/>
          <w14:textFill>
            <w14:solidFill>
              <w14:schemeClr w14:val="tx1"/>
            </w14:solidFill>
          </w14:textFill>
        </w:rPr>
      </w:pPr>
      <w:r>
        <w:rPr>
          <w:rFonts w:hint="eastAsia"/>
          <w:color w:val="000000" w:themeColor="text1"/>
          <w14:textFill>
            <w14:solidFill>
              <w14:schemeClr w14:val="tx1"/>
            </w14:solidFill>
          </w14:textFill>
        </w:rPr>
        <w:t>招商数据管理：建立园区招商数据库，包括已招商客户信息库、潜在客户信息库、招商经营信息库等，结合园区产业经济分析数据，有助于判断并导入优质招商对象；</w:t>
      </w:r>
    </w:p>
    <w:p>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在线招商管理：对整个招商活动生命周期进行全程管理，基于招商信息化业务系统实现招商业务在线化，有效实施招商客户管理、招商进度管理、招商流程管理、招商合同管理、房租租赁管理等；</w:t>
      </w:r>
    </w:p>
    <w:p>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可视化招商：基于数字底板实现可视化招商，包括房源、房型的三维可视化展示、移动式展示等；提供多元化招商入口。</w:t>
      </w:r>
    </w:p>
    <w:p>
      <w:pPr>
        <w:pStyle w:val="65"/>
        <w:spacing w:before="156" w:after="156"/>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客户管理</w:t>
      </w:r>
    </w:p>
    <w:p>
      <w:pPr>
        <w:pStyle w:val="56"/>
        <w:ind w:firstLine="42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应建设园区客户管理信息化系统，主要功能宜包括：</w:t>
      </w:r>
    </w:p>
    <w:p>
      <w:pPr>
        <w:pStyle w:val="174"/>
        <w:numPr>
          <w:ilvl w:val="0"/>
          <w:numId w:val="38"/>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客户管理：对园区入驻客户（法人、员工）信息进行统一的录入、存储、管理，形成客户信息资源库；</w:t>
      </w:r>
    </w:p>
    <w:p>
      <w:pPr>
        <w:pStyle w:val="174"/>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客户画像：基于园区大数据，对园区用户、企业、访客进行画像，从而为管理、服务、产业发展提供科学建议。</w:t>
      </w:r>
    </w:p>
    <w:p>
      <w:pPr>
        <w:pStyle w:val="65"/>
        <w:spacing w:before="156" w:after="156"/>
        <w:rPr>
          <w:color w:val="000000" w:themeColor="text1"/>
          <w:lang w:val="zh-CN"/>
          <w14:textFill>
            <w14:solidFill>
              <w14:schemeClr w14:val="tx1"/>
            </w14:solidFill>
          </w14:textFill>
        </w:rPr>
      </w:pPr>
      <w:r>
        <w:rPr>
          <w:color w:val="000000" w:themeColor="text1"/>
          <w:lang w:val="zh-CN"/>
          <w14:textFill>
            <w14:solidFill>
              <w14:schemeClr w14:val="tx1"/>
            </w14:solidFill>
          </w14:textFill>
        </w:rPr>
        <w:t>物业管理</w:t>
      </w:r>
    </w:p>
    <w:p>
      <w:pPr>
        <w:pStyle w:val="56"/>
        <w:ind w:firstLine="420"/>
        <w:rPr>
          <w:color w:val="000000" w:themeColor="text1"/>
          <w:lang w:val="zh-CN"/>
          <w14:textFill>
            <w14:solidFill>
              <w14:schemeClr w14:val="tx1"/>
            </w14:solidFill>
          </w14:textFill>
        </w:rPr>
      </w:pPr>
      <w:r>
        <w:rPr>
          <w:color w:val="000000" w:themeColor="text1"/>
          <w:lang w:val="zh-CN"/>
          <w14:textFill>
            <w14:solidFill>
              <w14:schemeClr w14:val="tx1"/>
            </w14:solidFill>
          </w14:textFill>
        </w:rPr>
        <w:t>物业管理应提供人员管理、车位管理、设施管理、收费管理、仓库管理、任务管理、客服中心、工单管理和报表管理等功能。</w:t>
      </w:r>
      <w:r>
        <w:rPr>
          <w:rFonts w:hint="eastAsia"/>
          <w:color w:val="000000" w:themeColor="text1"/>
          <w:lang w:val="zh-CN"/>
          <w14:textFill>
            <w14:solidFill>
              <w14:schemeClr w14:val="tx1"/>
            </w14:solidFill>
          </w14:textFill>
        </w:rPr>
        <w:t>应建设园区物业管理的信息化系统，主要功能宜包括：</w:t>
      </w:r>
    </w:p>
    <w:p>
      <w:pPr>
        <w:pStyle w:val="174"/>
        <w:numPr>
          <w:ilvl w:val="0"/>
          <w:numId w:val="39"/>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资产管理：将园区物业所属资产统一登记、管理，实现园区设施设备信息、物料库存、设备折旧、设备采购、物业收费等信息的统一管理；</w:t>
      </w:r>
    </w:p>
    <w:p>
      <w:pPr>
        <w:pStyle w:val="174"/>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设施设备管理：对园区设施设备设置电子标签，结合物联传感设备，在数字底板上三维展现设施设备基础信息及实时运行信息，实现后台智能报警、远程控制，达到精细化管理；</w:t>
      </w:r>
    </w:p>
    <w:p>
      <w:pPr>
        <w:pStyle w:val="174"/>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物业运维管理：通过物业管理信息系统，实现物业在线报修、工单自动智能派送、维修记录、运维知识库、客户评价等功能；基于数字底板，结合AR/VR技术，利用智能移动端、智能设备等，实现隐蔽工程可视化、模型层与现实层叠加、远程模拟和知识库指导等设施设备运维应用。</w:t>
      </w:r>
    </w:p>
    <w:p>
      <w:pPr>
        <w:pStyle w:val="65"/>
        <w:spacing w:before="156" w:after="156"/>
        <w:rPr>
          <w:color w:val="000000" w:themeColor="text1"/>
          <w:lang w:val="zh-CN"/>
          <w14:textFill>
            <w14:solidFill>
              <w14:schemeClr w14:val="tx1"/>
            </w14:solidFill>
          </w14:textFill>
        </w:rPr>
      </w:pPr>
      <w:r>
        <w:rPr>
          <w:color w:val="000000" w:themeColor="text1"/>
          <w:lang w:val="zh-CN"/>
          <w14:textFill>
            <w14:solidFill>
              <w14:schemeClr w14:val="tx1"/>
            </w14:solidFill>
          </w14:textFill>
        </w:rPr>
        <w:t>楼宇自控</w:t>
      </w:r>
    </w:p>
    <w:p>
      <w:pPr>
        <w:pStyle w:val="56"/>
        <w:ind w:firstLine="420"/>
        <w:rPr>
          <w:lang w:val="zh-CN"/>
        </w:rPr>
      </w:pPr>
      <w:r>
        <w:rPr>
          <w:lang w:val="zh-CN"/>
        </w:rPr>
        <w:t>楼宇自控系统应符合GB 50314的规定，应统一各机电子系统之间的通信协议及接口，宜根据园区不同的建设规模，实现对区域内各建筑物的机电设备运行状况的监控管理。</w:t>
      </w:r>
    </w:p>
    <w:p>
      <w:pPr>
        <w:pStyle w:val="65"/>
        <w:spacing w:before="156" w:after="156"/>
        <w:rPr>
          <w:lang w:val="zh-CN"/>
        </w:rPr>
      </w:pPr>
      <w:r>
        <w:rPr>
          <w:lang w:val="zh-CN"/>
        </w:rPr>
        <w:t>智能安防</w:t>
      </w:r>
    </w:p>
    <w:p>
      <w:pPr>
        <w:pStyle w:val="56"/>
        <w:ind w:firstLine="420"/>
        <w:rPr>
          <w:lang w:val="zh-CN"/>
        </w:rPr>
      </w:pPr>
      <w:r>
        <w:rPr>
          <w:lang w:val="zh-CN"/>
        </w:rPr>
        <w:t>智能安防应符合GB 50348的规定，包括以下内容：</w:t>
      </w:r>
    </w:p>
    <w:p>
      <w:pPr>
        <w:pStyle w:val="174"/>
        <w:numPr>
          <w:ilvl w:val="0"/>
          <w:numId w:val="40"/>
        </w:numPr>
        <w:rPr>
          <w:lang w:val="zh-CN"/>
        </w:rPr>
      </w:pPr>
      <w:r>
        <w:rPr>
          <w:lang w:val="zh-CN"/>
        </w:rPr>
        <w:t>应建立园区电子地图系统</w:t>
      </w:r>
      <w:r>
        <w:rPr>
          <w:rFonts w:hint="eastAsia"/>
          <w:lang w:val="zh-CN"/>
        </w:rPr>
        <w:t>；</w:t>
      </w:r>
    </w:p>
    <w:p>
      <w:pPr>
        <w:pStyle w:val="174"/>
        <w:rPr>
          <w:lang w:val="zh-CN"/>
        </w:rPr>
      </w:pPr>
      <w:r>
        <w:rPr>
          <w:lang w:val="zh-CN"/>
        </w:rPr>
        <w:t>应至少对园区的主出入口、园区交叉路口、周界四周、建筑物一层主出入口、消防通道、门厅、电梯轿厢、机房、餐饮消费等公共区域配置视频监控系统</w:t>
      </w:r>
      <w:r>
        <w:rPr>
          <w:rFonts w:hint="eastAsia"/>
          <w:lang w:val="zh-CN"/>
        </w:rPr>
        <w:t>；</w:t>
      </w:r>
    </w:p>
    <w:p>
      <w:pPr>
        <w:pStyle w:val="174"/>
        <w:rPr>
          <w:lang w:val="zh-CN"/>
        </w:rPr>
      </w:pPr>
      <w:r>
        <w:rPr>
          <w:lang w:val="zh-CN"/>
        </w:rPr>
        <w:t>应建立基于生物识别技术的通行控制和人员布控系统</w:t>
      </w:r>
      <w:r>
        <w:rPr>
          <w:rFonts w:hint="eastAsia"/>
          <w:lang w:val="zh-CN"/>
        </w:rPr>
        <w:t>；</w:t>
      </w:r>
    </w:p>
    <w:p>
      <w:pPr>
        <w:pStyle w:val="174"/>
        <w:rPr>
          <w:lang w:val="zh-CN"/>
        </w:rPr>
      </w:pPr>
      <w:r>
        <w:rPr>
          <w:lang w:val="zh-CN"/>
        </w:rPr>
        <w:t>应在园区设置周界入侵探测报警装置</w:t>
      </w:r>
      <w:r>
        <w:rPr>
          <w:rFonts w:hint="eastAsia"/>
          <w:lang w:val="zh-CN"/>
        </w:rPr>
        <w:t>；</w:t>
      </w:r>
    </w:p>
    <w:p>
      <w:pPr>
        <w:pStyle w:val="174"/>
        <w:rPr>
          <w:color w:val="000000" w:themeColor="text1"/>
          <w:lang w:val="zh-CN"/>
          <w14:textFill>
            <w14:solidFill>
              <w14:schemeClr w14:val="tx1"/>
            </w14:solidFill>
          </w14:textFill>
        </w:rPr>
      </w:pPr>
      <w:r>
        <w:rPr>
          <w:color w:val="000000" w:themeColor="text1"/>
          <w:lang w:val="zh-CN"/>
          <w14:textFill>
            <w14:solidFill>
              <w14:schemeClr w14:val="tx1"/>
            </w14:solidFill>
          </w14:textFill>
        </w:rPr>
        <w:t>应综合采用联动控制技术，形成视频监控、防盗报警、周界报警、电子巡更、电子门禁等安防子系统之间的联动；并与其他系统（信息发布、广播、电视等系统）构成应急联动</w:t>
      </w:r>
      <w:r>
        <w:rPr>
          <w:rFonts w:hint="eastAsia"/>
          <w:color w:val="000000" w:themeColor="text1"/>
          <w:lang w:val="zh-CN"/>
          <w14:textFill>
            <w14:solidFill>
              <w14:schemeClr w14:val="tx1"/>
            </w14:solidFill>
          </w14:textFill>
        </w:rPr>
        <w:t>；</w:t>
      </w:r>
    </w:p>
    <w:p>
      <w:pPr>
        <w:pStyle w:val="174"/>
        <w:rPr>
          <w:color w:val="000000" w:themeColor="text1"/>
          <w:lang w:val="zh-CN"/>
          <w14:textFill>
            <w14:solidFill>
              <w14:schemeClr w14:val="tx1"/>
            </w14:solidFill>
          </w14:textFill>
        </w:rPr>
      </w:pPr>
      <w:r>
        <w:rPr>
          <w:color w:val="000000" w:themeColor="text1"/>
          <w:lang w:val="zh-CN"/>
          <w14:textFill>
            <w14:solidFill>
              <w14:schemeClr w14:val="tx1"/>
            </w14:solidFill>
          </w14:textFill>
        </w:rPr>
        <w:t>宜提供智能安防终端，内置APP应用。</w:t>
      </w:r>
    </w:p>
    <w:p>
      <w:pPr>
        <w:pStyle w:val="65"/>
        <w:spacing w:before="156" w:after="156"/>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协同办公</w:t>
      </w:r>
    </w:p>
    <w:p>
      <w:pPr>
        <w:pStyle w:val="56"/>
        <w:ind w:firstLine="42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协同</w:t>
      </w:r>
      <w:r>
        <w:rPr>
          <w:color w:val="000000" w:themeColor="text1"/>
          <w:lang w:val="zh-CN"/>
          <w14:textFill>
            <w14:solidFill>
              <w14:schemeClr w14:val="tx1"/>
            </w14:solidFill>
          </w14:textFill>
        </w:rPr>
        <w:t>办公应提供组织</w:t>
      </w:r>
      <w:r>
        <w:rPr>
          <w:rFonts w:hint="eastAsia"/>
          <w:color w:val="000000" w:themeColor="text1"/>
          <w:lang w:val="zh-CN"/>
          <w14:textFill>
            <w14:solidFill>
              <w14:schemeClr w14:val="tx1"/>
            </w14:solidFill>
          </w14:textFill>
        </w:rPr>
        <w:t>管理</w:t>
      </w:r>
      <w:r>
        <w:rPr>
          <w:color w:val="000000" w:themeColor="text1"/>
          <w:lang w:val="zh-CN"/>
          <w14:textFill>
            <w14:solidFill>
              <w14:schemeClr w14:val="tx1"/>
            </w14:solidFill>
          </w14:textFill>
        </w:rPr>
        <w:t>、人员管理、新闻管理、公告管理、会议管理、公文流转、审批管理、活动管理、统计报表、个人中心等功能。</w:t>
      </w:r>
    </w:p>
    <w:p>
      <w:pPr>
        <w:pStyle w:val="65"/>
        <w:spacing w:before="156" w:after="156"/>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经济运行监测</w:t>
      </w:r>
    </w:p>
    <w:p>
      <w:pPr>
        <w:pStyle w:val="56"/>
        <w:ind w:firstLine="42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园区企业经济运行监测的主要功能宜包括：</w:t>
      </w:r>
    </w:p>
    <w:p>
      <w:pPr>
        <w:pStyle w:val="174"/>
        <w:numPr>
          <w:ilvl w:val="0"/>
          <w:numId w:val="41"/>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企业经济数据库：涵盖企业基本信息、产业规模、产业机构、园区税收、园区产值、企业用工信息、企业经营效益信息等的采集、管理，打造企业经济数字底板；</w:t>
      </w:r>
    </w:p>
    <w:p>
      <w:pPr>
        <w:pStyle w:val="174"/>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产业经济运行分析：基于企业经济数字底板，实现包括产业分布分析、招商引资分析、企业增长分析、企业发展分析、企业税收分析、监管分析等，通过可视化方式展现产业情况。</w:t>
      </w:r>
    </w:p>
    <w:p>
      <w:pPr>
        <w:pStyle w:val="105"/>
        <w:spacing w:before="156" w:after="156"/>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生活服务</w:t>
      </w:r>
    </w:p>
    <w:p>
      <w:pPr>
        <w:pStyle w:val="65"/>
        <w:spacing w:before="156" w:after="156"/>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餐饮服务</w:t>
      </w:r>
    </w:p>
    <w:p>
      <w:pPr>
        <w:pStyle w:val="56"/>
        <w:ind w:firstLine="42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餐饮服务宜符合以下要求：</w:t>
      </w:r>
    </w:p>
    <w:p>
      <w:pPr>
        <w:pStyle w:val="174"/>
        <w:numPr>
          <w:ilvl w:val="0"/>
          <w:numId w:val="42"/>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通过扫描订餐二维码、打印订餐小票、人脸识别等多种方式获取身份信息、订餐信息和支付信息，核实成功后信息传入食堂管理端；</w:t>
      </w:r>
    </w:p>
    <w:p>
      <w:pPr>
        <w:pStyle w:val="174"/>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在明厨亮灶、农残检测、菜品留样、菜品溯源等方面对菜品进行把控；</w:t>
      </w:r>
    </w:p>
    <w:p>
      <w:pPr>
        <w:pStyle w:val="174"/>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结合人脸识别技术，在就餐环节，对就餐人员进行身份识别，自动扣费结算；</w:t>
      </w:r>
    </w:p>
    <w:p>
      <w:pPr>
        <w:pStyle w:val="174"/>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可精确时间段查看各食堂经营情况及就餐情况，系统自动生成报表；</w:t>
      </w:r>
    </w:p>
    <w:p>
      <w:pPr>
        <w:pStyle w:val="174"/>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发卡、核减、餐补、充值、挂失、补卡、激活、修改、退卡等在线一键操作。</w:t>
      </w:r>
    </w:p>
    <w:p>
      <w:pPr>
        <w:pStyle w:val="174"/>
        <w:numPr>
          <w:ilvl w:val="0"/>
          <w:numId w:val="0"/>
        </w:numPr>
        <w:ind w:left="851"/>
        <w:rPr>
          <w:rFonts w:hint="eastAsia"/>
          <w:color w:val="000000" w:themeColor="text1"/>
          <w:lang w:val="zh-CN"/>
          <w14:textFill>
            <w14:solidFill>
              <w14:schemeClr w14:val="tx1"/>
            </w14:solidFill>
          </w14:textFill>
        </w:rPr>
      </w:pPr>
    </w:p>
    <w:p>
      <w:pPr>
        <w:pStyle w:val="65"/>
        <w:spacing w:before="156" w:after="156"/>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综合服务</w:t>
      </w:r>
    </w:p>
    <w:p>
      <w:pPr>
        <w:pStyle w:val="56"/>
        <w:ind w:firstLine="42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园区应建设综合服务平台，依托互联网、大数据、云计算等新一代信息技术，采用O2O服务模式，通过将园区内已有线下服务资源线上化，以及第三方优质服务资源的引入，为园区内入驻企业、从业人员及周边居民提供各类工作、生活服务。</w:t>
      </w:r>
    </w:p>
    <w:p>
      <w:pPr>
        <w:pStyle w:val="105"/>
        <w:spacing w:before="156" w:after="156"/>
        <w:rPr>
          <w:color w:val="000000" w:themeColor="text1"/>
          <w:lang w:val="zh-CN"/>
          <w14:textFill>
            <w14:solidFill>
              <w14:schemeClr w14:val="tx1"/>
            </w14:solidFill>
          </w14:textFill>
        </w:rPr>
      </w:pPr>
      <w:bookmarkStart w:id="73" w:name="_Toc96346920"/>
      <w:r>
        <w:rPr>
          <w:rFonts w:hint="eastAsia"/>
          <w:color w:val="000000" w:themeColor="text1"/>
          <w:lang w:val="zh-CN"/>
          <w14:textFill>
            <w14:solidFill>
              <w14:schemeClr w14:val="tx1"/>
            </w14:solidFill>
          </w14:textFill>
        </w:rPr>
        <w:t>数据及服务</w:t>
      </w:r>
      <w:r>
        <w:rPr>
          <w:color w:val="000000" w:themeColor="text1"/>
          <w:lang w:val="zh-CN"/>
          <w14:textFill>
            <w14:solidFill>
              <w14:schemeClr w14:val="tx1"/>
            </w14:solidFill>
          </w14:textFill>
        </w:rPr>
        <w:t>融合平台</w:t>
      </w:r>
      <w:bookmarkEnd w:id="73"/>
    </w:p>
    <w:p>
      <w:pPr>
        <w:pStyle w:val="65"/>
        <w:spacing w:before="156" w:after="156"/>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数据来源</w:t>
      </w:r>
    </w:p>
    <w:p>
      <w:pPr>
        <w:pStyle w:val="56"/>
        <w:ind w:firstLine="420"/>
        <w:rPr>
          <w:rFonts w:hint="eastAsia"/>
          <w:lang w:val="zh-CN"/>
        </w:rPr>
      </w:pPr>
      <w:r>
        <w:rPr>
          <w:rFonts w:hint="eastAsia"/>
          <w:lang w:val="zh-CN"/>
        </w:rPr>
        <w:t>应遵循GB/T 34678</w:t>
      </w:r>
      <w:r>
        <w:rPr>
          <w:lang w:val="zh-CN"/>
        </w:rPr>
        <w:t>-2017</w:t>
      </w:r>
      <w:r>
        <w:rPr>
          <w:rFonts w:hint="eastAsia"/>
          <w:lang w:val="zh-CN"/>
        </w:rPr>
        <w:t>中8.4.2的</w:t>
      </w:r>
      <w:r>
        <w:rPr>
          <w:lang w:val="zh-CN"/>
        </w:rPr>
        <w:t>要求。</w:t>
      </w:r>
    </w:p>
    <w:p>
      <w:pPr>
        <w:pStyle w:val="65"/>
        <w:spacing w:before="156" w:after="156"/>
        <w:rPr>
          <w:lang w:val="zh-CN"/>
        </w:rPr>
      </w:pPr>
      <w:r>
        <w:rPr>
          <w:rFonts w:hint="eastAsia"/>
          <w:lang w:val="zh-CN"/>
        </w:rPr>
        <w:t>数据融合</w:t>
      </w:r>
    </w:p>
    <w:p>
      <w:pPr>
        <w:pStyle w:val="56"/>
        <w:ind w:firstLine="420"/>
        <w:rPr>
          <w:lang w:val="zh-CN"/>
        </w:rPr>
      </w:pPr>
      <w:r>
        <w:rPr>
          <w:rFonts w:hint="eastAsia"/>
          <w:lang w:val="zh-CN"/>
        </w:rPr>
        <w:t>应按照GB/T 34678</w:t>
      </w:r>
      <w:r>
        <w:rPr>
          <w:lang w:val="zh-CN"/>
        </w:rPr>
        <w:t>-2017</w:t>
      </w:r>
      <w:r>
        <w:rPr>
          <w:rFonts w:hint="eastAsia"/>
          <w:lang w:val="zh-CN"/>
        </w:rPr>
        <w:t>中8.4.3的</w:t>
      </w:r>
      <w:r>
        <w:rPr>
          <w:lang w:val="zh-CN"/>
        </w:rPr>
        <w:t>要求实现数据采集和汇聚</w:t>
      </w:r>
      <w:r>
        <w:rPr>
          <w:rFonts w:hint="eastAsia"/>
          <w:lang w:val="zh-CN"/>
        </w:rPr>
        <w:t>、</w:t>
      </w:r>
      <w:r>
        <w:rPr>
          <w:lang w:val="zh-CN"/>
        </w:rPr>
        <w:t>整合与处理、数据分析和数据</w:t>
      </w:r>
      <w:r>
        <w:rPr>
          <w:rFonts w:hint="eastAsia"/>
          <w:lang w:val="zh-CN"/>
        </w:rPr>
        <w:t>治理</w:t>
      </w:r>
      <w:r>
        <w:rPr>
          <w:lang w:val="zh-CN"/>
        </w:rPr>
        <w:t>。</w:t>
      </w:r>
    </w:p>
    <w:p>
      <w:pPr>
        <w:pStyle w:val="65"/>
        <w:spacing w:before="156" w:after="156"/>
        <w:rPr>
          <w:lang w:val="zh-CN"/>
        </w:rPr>
      </w:pPr>
      <w:r>
        <w:rPr>
          <w:rFonts w:hint="eastAsia"/>
          <w:lang w:val="zh-CN"/>
        </w:rPr>
        <w:t>服务</w:t>
      </w:r>
      <w:r>
        <w:rPr>
          <w:lang w:val="zh-CN"/>
        </w:rPr>
        <w:t>融合</w:t>
      </w:r>
    </w:p>
    <w:p>
      <w:pPr>
        <w:pStyle w:val="56"/>
        <w:ind w:firstLine="420"/>
        <w:rPr>
          <w:lang w:val="zh-CN"/>
        </w:rPr>
      </w:pPr>
      <w:r>
        <w:rPr>
          <w:rFonts w:hint="eastAsia"/>
          <w:lang w:val="zh-CN"/>
        </w:rPr>
        <w:t>应</w:t>
      </w:r>
      <w:r>
        <w:rPr>
          <w:lang w:val="zh-CN"/>
        </w:rPr>
        <w:t>按照</w:t>
      </w:r>
      <w:r>
        <w:rPr>
          <w:rFonts w:hint="eastAsia"/>
          <w:lang w:val="zh-CN"/>
        </w:rPr>
        <w:t>GB/T 34678</w:t>
      </w:r>
      <w:r>
        <w:rPr>
          <w:lang w:val="zh-CN"/>
        </w:rPr>
        <w:t>-2017</w:t>
      </w:r>
      <w:r>
        <w:rPr>
          <w:rFonts w:hint="eastAsia"/>
          <w:lang w:val="zh-CN"/>
        </w:rPr>
        <w:t>中8.4.4的</w:t>
      </w:r>
      <w:r>
        <w:rPr>
          <w:lang w:val="zh-CN"/>
        </w:rPr>
        <w:t>要求实现服务的管理、整合和能力开放。</w:t>
      </w:r>
    </w:p>
    <w:p>
      <w:pPr>
        <w:pStyle w:val="65"/>
        <w:spacing w:before="156" w:after="156"/>
        <w:rPr>
          <w:lang w:val="zh-CN"/>
        </w:rPr>
      </w:pPr>
      <w:r>
        <w:rPr>
          <w:rFonts w:hint="eastAsia"/>
          <w:lang w:val="zh-CN"/>
        </w:rPr>
        <w:t>运营管理</w:t>
      </w:r>
    </w:p>
    <w:p>
      <w:pPr>
        <w:pStyle w:val="56"/>
        <w:ind w:firstLine="420"/>
        <w:rPr>
          <w:lang w:val="zh-CN"/>
        </w:rPr>
      </w:pPr>
      <w:r>
        <w:rPr>
          <w:rFonts w:hint="eastAsia"/>
          <w:lang w:val="zh-CN"/>
        </w:rPr>
        <w:t>运营管理</w:t>
      </w:r>
      <w:r>
        <w:rPr>
          <w:lang w:val="zh-CN"/>
        </w:rPr>
        <w:t>应提供统一的账号管理</w:t>
      </w:r>
      <w:r>
        <w:rPr>
          <w:rFonts w:hint="eastAsia"/>
          <w:lang w:val="zh-CN"/>
        </w:rPr>
        <w:t>、身份认证</w:t>
      </w:r>
      <w:r>
        <w:rPr>
          <w:lang w:val="zh-CN"/>
        </w:rPr>
        <w:t>、权限管理</w:t>
      </w:r>
      <w:r>
        <w:rPr>
          <w:rFonts w:hint="eastAsia"/>
          <w:lang w:val="zh-CN"/>
        </w:rPr>
        <w:t>、</w:t>
      </w:r>
      <w:r>
        <w:rPr>
          <w:lang w:val="zh-CN"/>
        </w:rPr>
        <w:t>系统配置、应用配置、流程配置等功能。</w:t>
      </w:r>
    </w:p>
    <w:p>
      <w:pPr>
        <w:pStyle w:val="104"/>
        <w:spacing w:before="312" w:after="312"/>
      </w:pPr>
      <w:bookmarkStart w:id="74" w:name="_Toc96346921"/>
      <w:bookmarkStart w:id="75" w:name="_Toc100578588"/>
      <w:bookmarkStart w:id="76" w:name="_Toc99019166"/>
      <w:bookmarkStart w:id="77" w:name="_Toc99033123"/>
      <w:r>
        <w:rPr>
          <w:rFonts w:hint="eastAsia"/>
        </w:rPr>
        <w:t>信息</w:t>
      </w:r>
      <w:r>
        <w:t>共享和数据</w:t>
      </w:r>
      <w:r>
        <w:rPr>
          <w:rFonts w:hint="eastAsia"/>
        </w:rPr>
        <w:t>交换要求</w:t>
      </w:r>
      <w:bookmarkEnd w:id="74"/>
      <w:bookmarkEnd w:id="75"/>
      <w:bookmarkEnd w:id="76"/>
      <w:bookmarkEnd w:id="77"/>
    </w:p>
    <w:p>
      <w:pPr>
        <w:pStyle w:val="56"/>
        <w:ind w:firstLine="420"/>
        <w:rPr>
          <w:lang w:val="zh-CN"/>
        </w:rPr>
      </w:pPr>
      <w:r>
        <w:rPr>
          <w:lang w:val="zh-CN"/>
        </w:rPr>
        <w:t>信息共享和数据交换要求包括以下内容：</w:t>
      </w:r>
    </w:p>
    <w:p>
      <w:pPr>
        <w:pStyle w:val="174"/>
        <w:numPr>
          <w:ilvl w:val="0"/>
          <w:numId w:val="43"/>
        </w:numPr>
        <w:rPr>
          <w:lang w:val="zh-CN"/>
        </w:rPr>
      </w:pPr>
      <w:r>
        <w:rPr>
          <w:lang w:val="zh-CN"/>
        </w:rPr>
        <w:t>交换协议转换：应提供平台与外部系统之间共享数据的输入和输出传递的功能。当平台与外部系统使用不同的协议时应支持协议转换</w:t>
      </w:r>
      <w:r>
        <w:rPr>
          <w:rFonts w:hint="eastAsia"/>
          <w:lang w:val="zh-CN"/>
        </w:rPr>
        <w:t>；</w:t>
      </w:r>
    </w:p>
    <w:p>
      <w:pPr>
        <w:pStyle w:val="174"/>
        <w:rPr>
          <w:lang w:val="zh-CN"/>
        </w:rPr>
      </w:pPr>
      <w:r>
        <w:rPr>
          <w:lang w:val="zh-CN"/>
        </w:rPr>
        <w:t>共享目录管理：应提供平台对外共享数据的目录管理和发布功能</w:t>
      </w:r>
      <w:r>
        <w:rPr>
          <w:rFonts w:hint="eastAsia"/>
          <w:lang w:val="zh-CN"/>
        </w:rPr>
        <w:t>；</w:t>
      </w:r>
    </w:p>
    <w:p>
      <w:pPr>
        <w:pStyle w:val="174"/>
        <w:rPr>
          <w:lang w:val="zh-CN"/>
        </w:rPr>
      </w:pPr>
      <w:r>
        <w:rPr>
          <w:lang w:val="zh-CN"/>
        </w:rPr>
        <w:t>交换认证授权：应提供与平台进行数据共享交换的其他系统的用户进行管理的功能，在共享数据和目录查询过程中，对外部系统用户进行身份识别和权限鉴别，保障平台安全。</w:t>
      </w:r>
    </w:p>
    <w:p>
      <w:pPr>
        <w:pStyle w:val="104"/>
        <w:spacing w:before="312" w:after="312"/>
        <w:rPr>
          <w:lang w:val="zh-CN"/>
        </w:rPr>
      </w:pPr>
      <w:bookmarkStart w:id="78" w:name="_Toc96346922"/>
      <w:bookmarkStart w:id="79" w:name="_Toc99019167"/>
      <w:bookmarkStart w:id="80" w:name="_Toc100578589"/>
      <w:bookmarkStart w:id="81" w:name="_Toc99033124"/>
      <w:r>
        <w:rPr>
          <w:lang w:val="zh-CN"/>
        </w:rPr>
        <w:t>部署要求</w:t>
      </w:r>
      <w:bookmarkEnd w:id="78"/>
      <w:bookmarkEnd w:id="79"/>
      <w:bookmarkEnd w:id="80"/>
      <w:bookmarkEnd w:id="81"/>
    </w:p>
    <w:p>
      <w:pPr>
        <w:pStyle w:val="56"/>
        <w:ind w:firstLine="420"/>
        <w:rPr>
          <w:lang w:val="zh-CN"/>
        </w:rPr>
      </w:pPr>
      <w:r>
        <w:rPr>
          <w:lang w:val="zh-CN"/>
        </w:rPr>
        <w:t>平台部署要求包括以下内容：</w:t>
      </w:r>
    </w:p>
    <w:p>
      <w:pPr>
        <w:pStyle w:val="174"/>
        <w:numPr>
          <w:ilvl w:val="0"/>
          <w:numId w:val="44"/>
        </w:numPr>
        <w:rPr>
          <w:lang w:val="zh-CN"/>
        </w:rPr>
      </w:pPr>
      <w:r>
        <w:rPr>
          <w:lang w:val="zh-CN"/>
        </w:rPr>
        <w:t>应至少采用双机热备的方式以提高运行的稳定性</w:t>
      </w:r>
      <w:r>
        <w:rPr>
          <w:rFonts w:hint="eastAsia"/>
          <w:lang w:val="zh-CN"/>
        </w:rPr>
        <w:t>；</w:t>
      </w:r>
    </w:p>
    <w:p>
      <w:pPr>
        <w:pStyle w:val="174"/>
        <w:rPr>
          <w:lang w:val="zh-CN"/>
        </w:rPr>
      </w:pPr>
      <w:r>
        <w:rPr>
          <w:lang w:val="zh-CN"/>
        </w:rPr>
        <w:t>应采用数据库多节点自动备份的方式以提高数据库的抗灾能力</w:t>
      </w:r>
      <w:r>
        <w:rPr>
          <w:rFonts w:hint="eastAsia"/>
          <w:lang w:val="zh-CN"/>
        </w:rPr>
        <w:t>；</w:t>
      </w:r>
    </w:p>
    <w:p>
      <w:pPr>
        <w:pStyle w:val="174"/>
      </w:pPr>
      <w:r>
        <w:rPr>
          <w:lang w:val="zh-CN"/>
        </w:rPr>
        <w:t>宜采用云部署的方式以降低建设投入</w:t>
      </w:r>
      <w:r>
        <w:rPr>
          <w:rFonts w:hint="eastAsia"/>
          <w:lang w:val="zh-CN"/>
        </w:rPr>
        <w:t>；</w:t>
      </w:r>
    </w:p>
    <w:p>
      <w:pPr>
        <w:pStyle w:val="174"/>
      </w:pPr>
      <w:r>
        <w:rPr>
          <w:rFonts w:hint="eastAsia"/>
          <w:lang w:val="zh-CN"/>
        </w:rPr>
        <w:t>宜采用</w:t>
      </w:r>
      <w:r>
        <w:rPr>
          <w:lang w:val="zh-CN"/>
        </w:rPr>
        <w:t>主流的云安全中心以提高服务器集群的网络及系统安全性</w:t>
      </w:r>
      <w:r>
        <w:rPr>
          <w:rFonts w:hint="eastAsia"/>
          <w:lang w:val="zh-CN"/>
        </w:rPr>
        <w:t>；</w:t>
      </w:r>
    </w:p>
    <w:p>
      <w:pPr>
        <w:pStyle w:val="174"/>
      </w:pPr>
      <w:r>
        <w:rPr>
          <w:rFonts w:hint="eastAsia"/>
        </w:rPr>
        <w:t>宜采用</w:t>
      </w:r>
      <w:r>
        <w:t>多数据中心的云部署方式以提高系统异地</w:t>
      </w:r>
      <w:r>
        <w:rPr>
          <w:rFonts w:hint="eastAsia"/>
        </w:rPr>
        <w:t>备灾</w:t>
      </w:r>
      <w:r>
        <w:t>的能力。</w:t>
      </w:r>
    </w:p>
    <w:p>
      <w:pPr>
        <w:pStyle w:val="104"/>
        <w:spacing w:before="312" w:after="312"/>
      </w:pPr>
      <w:bookmarkStart w:id="82" w:name="_Toc96346923"/>
      <w:bookmarkStart w:id="83" w:name="_Toc100578590"/>
      <w:bookmarkStart w:id="84" w:name="_Toc99033125"/>
      <w:bookmarkStart w:id="85" w:name="_Toc99019168"/>
      <w:r>
        <w:rPr>
          <w:rFonts w:hint="eastAsia"/>
        </w:rPr>
        <w:t>安全</w:t>
      </w:r>
      <w:r>
        <w:t>性要求</w:t>
      </w:r>
      <w:bookmarkEnd w:id="82"/>
      <w:bookmarkEnd w:id="83"/>
      <w:bookmarkEnd w:id="84"/>
      <w:bookmarkEnd w:id="85"/>
    </w:p>
    <w:p>
      <w:pPr>
        <w:pStyle w:val="105"/>
        <w:spacing w:before="156" w:after="156"/>
      </w:pPr>
      <w:bookmarkStart w:id="86" w:name="_Toc96346924"/>
      <w:r>
        <w:rPr>
          <w:rFonts w:hint="eastAsia"/>
        </w:rPr>
        <w:t>安全可控</w:t>
      </w:r>
      <w:r>
        <w:t>要求</w:t>
      </w:r>
      <w:bookmarkEnd w:id="86"/>
    </w:p>
    <w:p>
      <w:pPr>
        <w:pStyle w:val="56"/>
        <w:ind w:firstLine="420"/>
        <w:rPr>
          <w:lang w:val="zh-CN"/>
        </w:rPr>
      </w:pPr>
      <w:r>
        <w:rPr>
          <w:lang w:val="zh-CN"/>
        </w:rPr>
        <w:t>应遵循国家现有且适合于信息系统规划、设计、建设、运维等各个环节的安全可控相关标准规范。</w:t>
      </w:r>
    </w:p>
    <w:p>
      <w:pPr>
        <w:pStyle w:val="105"/>
        <w:spacing w:before="156" w:after="156"/>
        <w:rPr>
          <w:lang w:val="zh-CN"/>
        </w:rPr>
      </w:pPr>
      <w:bookmarkStart w:id="87" w:name="_Toc96346925"/>
      <w:r>
        <w:rPr>
          <w:lang w:val="zh-CN"/>
        </w:rPr>
        <w:t>信息安全等级保护</w:t>
      </w:r>
      <w:bookmarkEnd w:id="87"/>
    </w:p>
    <w:p>
      <w:pPr>
        <w:pStyle w:val="56"/>
        <w:ind w:firstLine="420"/>
        <w:rPr>
          <w:lang w:val="zh-CN"/>
        </w:rPr>
      </w:pPr>
      <w:r>
        <w:rPr>
          <w:lang w:val="zh-CN"/>
        </w:rPr>
        <w:t>信息安全等级保护要求包括以下内容：</w:t>
      </w:r>
    </w:p>
    <w:p>
      <w:pPr>
        <w:pStyle w:val="174"/>
        <w:numPr>
          <w:ilvl w:val="0"/>
          <w:numId w:val="45"/>
        </w:numPr>
        <w:rPr>
          <w:lang w:val="zh-CN"/>
        </w:rPr>
      </w:pPr>
      <w:r>
        <w:rPr>
          <w:lang w:val="zh-CN"/>
        </w:rPr>
        <w:t>应达到GB/T 22240-2016中第二级及以上标准要求</w:t>
      </w:r>
      <w:r>
        <w:rPr>
          <w:rFonts w:hint="eastAsia"/>
          <w:lang w:val="zh-CN"/>
        </w:rPr>
        <w:t>；</w:t>
      </w:r>
    </w:p>
    <w:p>
      <w:pPr>
        <w:pStyle w:val="174"/>
        <w:rPr>
          <w:lang w:val="zh-CN"/>
        </w:rPr>
      </w:pPr>
      <w:r>
        <w:rPr>
          <w:lang w:val="zh-CN"/>
        </w:rPr>
        <w:t>应根据GB/T 25058的要求实施平台相应信息安全保护等级的信息保护工作</w:t>
      </w:r>
      <w:r>
        <w:rPr>
          <w:rFonts w:hint="eastAsia"/>
          <w:lang w:val="zh-CN"/>
        </w:rPr>
        <w:t>；</w:t>
      </w:r>
    </w:p>
    <w:p>
      <w:pPr>
        <w:pStyle w:val="174"/>
        <w:rPr>
          <w:lang w:val="zh-CN"/>
        </w:rPr>
      </w:pPr>
      <w:r>
        <w:rPr>
          <w:lang w:val="zh-CN"/>
        </w:rPr>
        <w:t>应符合GB/T 22239规定的相应信息安全保护等级的信息安全保护基本要求</w:t>
      </w:r>
      <w:r>
        <w:rPr>
          <w:rFonts w:hint="eastAsia"/>
          <w:lang w:val="zh-CN"/>
        </w:rPr>
        <w:t>；</w:t>
      </w:r>
    </w:p>
    <w:p>
      <w:pPr>
        <w:pStyle w:val="174"/>
        <w:rPr>
          <w:lang w:val="zh-CN"/>
        </w:rPr>
      </w:pPr>
      <w:r>
        <w:rPr>
          <w:lang w:val="zh-CN"/>
        </w:rPr>
        <w:t>应根据实际需求配置数据安全管理系统，确保网络传输和信息安全</w:t>
      </w:r>
      <w:r>
        <w:rPr>
          <w:rFonts w:hint="eastAsia"/>
          <w:lang w:val="zh-CN"/>
        </w:rPr>
        <w:t>；</w:t>
      </w:r>
    </w:p>
    <w:p>
      <w:pPr>
        <w:pStyle w:val="174"/>
        <w:rPr>
          <w:lang w:val="zh-CN"/>
        </w:rPr>
      </w:pPr>
      <w:r>
        <w:rPr>
          <w:lang w:val="zh-CN"/>
        </w:rPr>
        <w:t>应对关键数据进行加密存储和传输，并对访问权限进行控制</w:t>
      </w:r>
      <w:r>
        <w:rPr>
          <w:rFonts w:hint="eastAsia"/>
          <w:lang w:val="zh-CN"/>
        </w:rPr>
        <w:t>；</w:t>
      </w:r>
    </w:p>
    <w:p>
      <w:pPr>
        <w:pStyle w:val="174"/>
        <w:rPr>
          <w:lang w:val="zh-CN"/>
        </w:rPr>
      </w:pPr>
      <w:r>
        <w:rPr>
          <w:lang w:val="zh-CN"/>
        </w:rPr>
        <w:t>应满足数据存储的冗余要求，数据应定期备份。</w:t>
      </w:r>
    </w:p>
    <w:p>
      <w:pPr>
        <w:pStyle w:val="105"/>
        <w:spacing w:before="156" w:after="156"/>
      </w:pPr>
      <w:bookmarkStart w:id="88" w:name="_Toc96346926"/>
      <w:r>
        <w:rPr>
          <w:rFonts w:hint="eastAsia"/>
        </w:rPr>
        <w:t>传输过程</w:t>
      </w:r>
      <w:r>
        <w:t>中的安全要求</w:t>
      </w:r>
      <w:bookmarkEnd w:id="88"/>
    </w:p>
    <w:p>
      <w:pPr>
        <w:pStyle w:val="56"/>
        <w:ind w:firstLine="420"/>
      </w:pPr>
      <w:r>
        <w:rPr>
          <w:rFonts w:hint="eastAsia"/>
        </w:rPr>
        <w:t>数据</w:t>
      </w:r>
      <w:r>
        <w:t>传输应采用身份认证和数据加密技术，平台应能发现和记录传输异常。</w:t>
      </w:r>
    </w:p>
    <w:p>
      <w:pPr>
        <w:pStyle w:val="105"/>
        <w:spacing w:before="156" w:after="156"/>
      </w:pPr>
      <w:bookmarkStart w:id="89" w:name="_Toc96346927"/>
      <w:r>
        <w:rPr>
          <w:rFonts w:hint="eastAsia"/>
        </w:rPr>
        <w:t>安全设计</w:t>
      </w:r>
      <w:r>
        <w:t>技术要求</w:t>
      </w:r>
      <w:bookmarkEnd w:id="89"/>
    </w:p>
    <w:p>
      <w:pPr>
        <w:pStyle w:val="65"/>
        <w:spacing w:before="156" w:after="156"/>
      </w:pPr>
      <w:r>
        <w:rPr>
          <w:rFonts w:hint="eastAsia"/>
        </w:rPr>
        <w:t>安全计算</w:t>
      </w:r>
      <w:r>
        <w:t>环境</w:t>
      </w:r>
      <w:r>
        <w:rPr>
          <w:rFonts w:hint="eastAsia"/>
        </w:rPr>
        <w:t>设计</w:t>
      </w:r>
      <w:r>
        <w:t>技术要求</w:t>
      </w:r>
    </w:p>
    <w:p>
      <w:pPr>
        <w:pStyle w:val="56"/>
        <w:ind w:firstLine="420"/>
        <w:rPr>
          <w:lang w:val="zh-CN"/>
        </w:rPr>
      </w:pPr>
      <w:r>
        <w:rPr>
          <w:lang w:val="zh-CN"/>
        </w:rPr>
        <w:t>计算环境安全应实现以下设计，包括但不限于：</w:t>
      </w:r>
    </w:p>
    <w:p>
      <w:pPr>
        <w:pStyle w:val="174"/>
        <w:numPr>
          <w:ilvl w:val="0"/>
          <w:numId w:val="46"/>
        </w:numPr>
        <w:rPr>
          <w:lang w:val="zh-CN"/>
        </w:rPr>
      </w:pPr>
      <w:r>
        <w:rPr>
          <w:lang w:val="zh-CN"/>
        </w:rPr>
        <w:t>用户身份鉴别</w:t>
      </w:r>
      <w:r>
        <w:rPr>
          <w:rFonts w:hint="eastAsia"/>
          <w:lang w:val="zh-CN"/>
        </w:rPr>
        <w:t>；</w:t>
      </w:r>
    </w:p>
    <w:p>
      <w:pPr>
        <w:pStyle w:val="174"/>
        <w:rPr>
          <w:lang w:val="zh-CN"/>
        </w:rPr>
      </w:pPr>
      <w:r>
        <w:rPr>
          <w:lang w:val="zh-CN"/>
        </w:rPr>
        <w:t>自主访问控制</w:t>
      </w:r>
      <w:r>
        <w:rPr>
          <w:rFonts w:hint="eastAsia"/>
          <w:lang w:val="zh-CN"/>
        </w:rPr>
        <w:t>；</w:t>
      </w:r>
    </w:p>
    <w:p>
      <w:pPr>
        <w:pStyle w:val="174"/>
        <w:rPr>
          <w:lang w:val="zh-CN"/>
        </w:rPr>
      </w:pPr>
      <w:r>
        <w:rPr>
          <w:lang w:val="zh-CN"/>
        </w:rPr>
        <w:t>标记和强制访问控制</w:t>
      </w:r>
      <w:r>
        <w:rPr>
          <w:rFonts w:hint="eastAsia"/>
          <w:lang w:val="zh-CN"/>
        </w:rPr>
        <w:t>；</w:t>
      </w:r>
    </w:p>
    <w:p>
      <w:pPr>
        <w:pStyle w:val="174"/>
        <w:rPr>
          <w:lang w:val="zh-CN"/>
        </w:rPr>
      </w:pPr>
      <w:r>
        <w:rPr>
          <w:lang w:val="zh-CN"/>
        </w:rPr>
        <w:t>系统安全审计</w:t>
      </w:r>
      <w:r>
        <w:rPr>
          <w:rFonts w:hint="eastAsia"/>
          <w:lang w:val="zh-CN"/>
        </w:rPr>
        <w:t>；</w:t>
      </w:r>
    </w:p>
    <w:p>
      <w:pPr>
        <w:pStyle w:val="174"/>
        <w:rPr>
          <w:lang w:val="zh-CN"/>
        </w:rPr>
      </w:pPr>
      <w:r>
        <w:rPr>
          <w:lang w:val="zh-CN"/>
        </w:rPr>
        <w:t>用户数据完整性保护</w:t>
      </w:r>
      <w:r>
        <w:rPr>
          <w:rFonts w:hint="eastAsia"/>
          <w:lang w:val="zh-CN"/>
        </w:rPr>
        <w:t>；</w:t>
      </w:r>
    </w:p>
    <w:p>
      <w:pPr>
        <w:pStyle w:val="174"/>
        <w:rPr>
          <w:lang w:val="zh-CN"/>
        </w:rPr>
      </w:pPr>
      <w:r>
        <w:rPr>
          <w:lang w:val="zh-CN"/>
        </w:rPr>
        <w:t>用户数据保密性保护</w:t>
      </w:r>
      <w:r>
        <w:rPr>
          <w:rFonts w:hint="eastAsia"/>
          <w:lang w:val="zh-CN"/>
        </w:rPr>
        <w:t>；</w:t>
      </w:r>
    </w:p>
    <w:p>
      <w:pPr>
        <w:pStyle w:val="174"/>
        <w:rPr>
          <w:lang w:val="zh-CN"/>
        </w:rPr>
      </w:pPr>
      <w:r>
        <w:rPr>
          <w:lang w:val="zh-CN"/>
        </w:rPr>
        <w:t>客体安全重用</w:t>
      </w:r>
      <w:r>
        <w:rPr>
          <w:rFonts w:hint="eastAsia"/>
          <w:lang w:val="zh-CN"/>
        </w:rPr>
        <w:t>；</w:t>
      </w:r>
    </w:p>
    <w:p>
      <w:pPr>
        <w:pStyle w:val="174"/>
        <w:rPr>
          <w:lang w:val="zh-CN"/>
        </w:rPr>
      </w:pPr>
      <w:r>
        <w:rPr>
          <w:lang w:val="zh-CN"/>
        </w:rPr>
        <w:t>程序可信执行保护</w:t>
      </w:r>
      <w:r>
        <w:rPr>
          <w:rFonts w:hint="eastAsia"/>
          <w:lang w:val="zh-CN"/>
        </w:rPr>
        <w:t>。</w:t>
      </w:r>
    </w:p>
    <w:p>
      <w:pPr>
        <w:pStyle w:val="65"/>
        <w:spacing w:before="156" w:after="156"/>
        <w:rPr>
          <w:lang w:val="zh-CN"/>
        </w:rPr>
      </w:pPr>
      <w:r>
        <w:rPr>
          <w:lang w:val="zh-CN"/>
        </w:rPr>
        <w:t>安全区域边界设计技术要求</w:t>
      </w:r>
    </w:p>
    <w:p>
      <w:pPr>
        <w:pStyle w:val="56"/>
        <w:ind w:firstLine="420"/>
        <w:rPr>
          <w:lang w:val="zh-CN"/>
        </w:rPr>
      </w:pPr>
      <w:r>
        <w:rPr>
          <w:lang w:val="zh-CN"/>
        </w:rPr>
        <w:t>安全区域边界应实现以下设计，包括但不限于：</w:t>
      </w:r>
    </w:p>
    <w:p>
      <w:pPr>
        <w:pStyle w:val="174"/>
        <w:numPr>
          <w:ilvl w:val="0"/>
          <w:numId w:val="47"/>
        </w:numPr>
        <w:rPr>
          <w:lang w:val="zh-CN"/>
        </w:rPr>
      </w:pPr>
      <w:r>
        <w:rPr>
          <w:lang w:val="zh-CN"/>
        </w:rPr>
        <w:t>区域边界访问控制</w:t>
      </w:r>
      <w:r>
        <w:rPr>
          <w:rFonts w:hint="eastAsia"/>
          <w:lang w:val="zh-CN"/>
        </w:rPr>
        <w:t>；</w:t>
      </w:r>
    </w:p>
    <w:p>
      <w:pPr>
        <w:pStyle w:val="174"/>
        <w:rPr>
          <w:lang w:val="zh-CN"/>
        </w:rPr>
      </w:pPr>
      <w:r>
        <w:rPr>
          <w:lang w:val="zh-CN"/>
        </w:rPr>
        <w:t>区域边界包过滤</w:t>
      </w:r>
      <w:r>
        <w:rPr>
          <w:rFonts w:hint="eastAsia"/>
          <w:lang w:val="zh-CN"/>
        </w:rPr>
        <w:t>；</w:t>
      </w:r>
    </w:p>
    <w:p>
      <w:pPr>
        <w:pStyle w:val="174"/>
      </w:pPr>
      <w:r>
        <w:rPr>
          <w:lang w:val="zh-CN"/>
        </w:rPr>
        <w:t>区域边界安全审计</w:t>
      </w:r>
      <w:r>
        <w:rPr>
          <w:rFonts w:hint="eastAsia"/>
          <w:lang w:val="zh-CN"/>
        </w:rPr>
        <w:t>；</w:t>
      </w:r>
    </w:p>
    <w:p>
      <w:pPr>
        <w:pStyle w:val="174"/>
      </w:pPr>
      <w:r>
        <w:rPr>
          <w:rFonts w:hint="eastAsia"/>
          <w:lang w:val="zh-CN"/>
        </w:rPr>
        <w:t>区域边界</w:t>
      </w:r>
      <w:r>
        <w:rPr>
          <w:lang w:val="zh-CN"/>
        </w:rPr>
        <w:t>完整性保护。</w:t>
      </w:r>
    </w:p>
    <w:p>
      <w:pPr>
        <w:pStyle w:val="65"/>
        <w:spacing w:before="156" w:after="156"/>
      </w:pPr>
      <w:r>
        <w:rPr>
          <w:rFonts w:hint="eastAsia"/>
        </w:rPr>
        <w:t>安全管理</w:t>
      </w:r>
      <w:r>
        <w:t>中心设计技术</w:t>
      </w:r>
      <w:r>
        <w:rPr>
          <w:rFonts w:hint="eastAsia"/>
        </w:rPr>
        <w:t>要求</w:t>
      </w:r>
    </w:p>
    <w:p>
      <w:pPr>
        <w:pStyle w:val="56"/>
        <w:ind w:firstLine="420"/>
      </w:pPr>
      <w:r>
        <w:rPr>
          <w:rFonts w:hint="eastAsia"/>
        </w:rPr>
        <w:t>安全管理</w:t>
      </w:r>
      <w:r>
        <w:t>中心</w:t>
      </w:r>
      <w:r>
        <w:rPr>
          <w:rFonts w:hint="eastAsia"/>
        </w:rPr>
        <w:t>宜</w:t>
      </w:r>
      <w:r>
        <w:t>实现以下安全管理，包括但不限于：</w:t>
      </w:r>
    </w:p>
    <w:p>
      <w:pPr>
        <w:pStyle w:val="174"/>
        <w:numPr>
          <w:ilvl w:val="0"/>
          <w:numId w:val="48"/>
        </w:numPr>
      </w:pPr>
      <w:r>
        <w:rPr>
          <w:rFonts w:hint="eastAsia"/>
        </w:rPr>
        <w:t>系统管理；</w:t>
      </w:r>
    </w:p>
    <w:p>
      <w:pPr>
        <w:pStyle w:val="174"/>
      </w:pPr>
      <w:r>
        <w:rPr>
          <w:rFonts w:hint="eastAsia"/>
        </w:rPr>
        <w:t>安全管理；</w:t>
      </w:r>
    </w:p>
    <w:p>
      <w:pPr>
        <w:pStyle w:val="174"/>
      </w:pPr>
      <w:r>
        <w:rPr>
          <w:rFonts w:hint="eastAsia"/>
        </w:rPr>
        <w:t>审计</w:t>
      </w:r>
      <w:r>
        <w:t>管理</w:t>
      </w:r>
      <w:r>
        <w:rPr>
          <w:rFonts w:hint="eastAsia"/>
        </w:rPr>
        <w:t>。</w:t>
      </w:r>
    </w:p>
    <w:p>
      <w:pPr>
        <w:pStyle w:val="105"/>
        <w:spacing w:before="156" w:after="156"/>
      </w:pPr>
      <w:bookmarkStart w:id="90" w:name="_Toc96346928"/>
      <w:r>
        <w:rPr>
          <w:rFonts w:hint="eastAsia"/>
        </w:rPr>
        <w:t>大数据</w:t>
      </w:r>
      <w:r>
        <w:t>安全要求</w:t>
      </w:r>
      <w:bookmarkEnd w:id="90"/>
    </w:p>
    <w:p>
      <w:pPr>
        <w:pStyle w:val="56"/>
        <w:ind w:firstLine="420"/>
      </w:pPr>
      <w:r>
        <w:rPr>
          <w:rFonts w:hint="eastAsia"/>
        </w:rPr>
        <w:t>应</w:t>
      </w:r>
      <w:r>
        <w:t>遵循</w:t>
      </w:r>
      <w:r>
        <w:rPr>
          <w:rFonts w:hint="eastAsia"/>
        </w:rPr>
        <w:t>GB/T 37973</w:t>
      </w:r>
      <w:r>
        <w:t>-2019</w:t>
      </w:r>
      <w:r>
        <w:rPr>
          <w:rFonts w:hint="eastAsia"/>
        </w:rPr>
        <w:t>中</w:t>
      </w:r>
      <w:r>
        <w:t>对大数据安全的</w:t>
      </w:r>
      <w:r>
        <w:rPr>
          <w:rFonts w:hint="eastAsia"/>
        </w:rPr>
        <w:t>要求</w:t>
      </w:r>
      <w:r>
        <w:t>。</w:t>
      </w:r>
    </w:p>
    <w:bookmarkEnd w:id="23"/>
    <w:p>
      <w:pPr>
        <w:pStyle w:val="56"/>
        <w:ind w:firstLine="0" w:firstLineChars="0"/>
        <w:jc w:val="center"/>
      </w:pPr>
      <w:bookmarkStart w:id="91" w:name="BookMark8"/>
      <w:r>
        <w:rPr>
          <w:rFonts w:hint="eastAsia"/>
        </w:rP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1"/>
    </w:p>
    <w:sectPr>
      <w:pgSz w:w="11906" w:h="16838"/>
      <w:pgMar w:top="2410"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等线">
    <w:altName w:val="仿宋"/>
    <w:panose1 w:val="00000000000000000000"/>
    <w:charset w:val="86"/>
    <w:family w:val="auto"/>
    <w:pitch w:val="default"/>
    <w:sig w:usb0="00000000" w:usb1="00000000" w:usb2="00000016" w:usb3="00000000" w:csb0="0004000F" w:csb1="00000000"/>
  </w:font>
  <w:font w:name="等线 Light">
    <w:altName w:val="仿宋"/>
    <w:panose1 w:val="00000000000000000000"/>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Microsoft YaHei">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43/T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attachedTemplate r:id="rId1"/>
  <w:documentProtection w:edit="forms" w:enforcement="1" w:cryptProviderType="rsaAES" w:cryptAlgorithmClass="hash" w:cryptAlgorithmType="typeAny" w:cryptAlgorithmSid="14" w:cryptSpinCount="100000" w:hash="kkMrjmYT54HX7gnRBBgYtUq4LMEKRn+mpvExMx1cWJkmsxKva16WgCoqRmc5/0lvXZt21kBpciG9Sf9PvanCGA==" w:salt="94zwZKpugkoFeTrNEbpG4w=="/>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FA0"/>
    <w:rsid w:val="0000040A"/>
    <w:rsid w:val="00000A94"/>
    <w:rsid w:val="00001972"/>
    <w:rsid w:val="00001D9A"/>
    <w:rsid w:val="000070BF"/>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5246"/>
    <w:rsid w:val="00077B64"/>
    <w:rsid w:val="00080A1C"/>
    <w:rsid w:val="00082317"/>
    <w:rsid w:val="00083BEA"/>
    <w:rsid w:val="00083D2C"/>
    <w:rsid w:val="00086AA1"/>
    <w:rsid w:val="00087A77"/>
    <w:rsid w:val="00090CA6"/>
    <w:rsid w:val="00092B8A"/>
    <w:rsid w:val="00092FB0"/>
    <w:rsid w:val="000934C5"/>
    <w:rsid w:val="00093D25"/>
    <w:rsid w:val="00093DAB"/>
    <w:rsid w:val="00094D73"/>
    <w:rsid w:val="00096A49"/>
    <w:rsid w:val="00096D63"/>
    <w:rsid w:val="000A0B60"/>
    <w:rsid w:val="000A0D08"/>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1F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71CF"/>
    <w:rsid w:val="002204BB"/>
    <w:rsid w:val="00221B79"/>
    <w:rsid w:val="00221C6B"/>
    <w:rsid w:val="002253A1"/>
    <w:rsid w:val="00225CF8"/>
    <w:rsid w:val="0022794E"/>
    <w:rsid w:val="00233D64"/>
    <w:rsid w:val="0023482A"/>
    <w:rsid w:val="00234AE8"/>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0B0"/>
    <w:rsid w:val="00272B08"/>
    <w:rsid w:val="00281BB8"/>
    <w:rsid w:val="00281E9E"/>
    <w:rsid w:val="00282405"/>
    <w:rsid w:val="002847B1"/>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1927"/>
    <w:rsid w:val="002A25DC"/>
    <w:rsid w:val="002A3AAB"/>
    <w:rsid w:val="002A4CEA"/>
    <w:rsid w:val="002A5977"/>
    <w:rsid w:val="002A5A13"/>
    <w:rsid w:val="002A7248"/>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06EEB"/>
    <w:rsid w:val="00313B85"/>
    <w:rsid w:val="00317988"/>
    <w:rsid w:val="003221B4"/>
    <w:rsid w:val="0032258D"/>
    <w:rsid w:val="00322E62"/>
    <w:rsid w:val="00324D13"/>
    <w:rsid w:val="00324D2A"/>
    <w:rsid w:val="00324EDD"/>
    <w:rsid w:val="003331E4"/>
    <w:rsid w:val="00336C64"/>
    <w:rsid w:val="00337162"/>
    <w:rsid w:val="0034194F"/>
    <w:rsid w:val="00341CBA"/>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4A1"/>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2193"/>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5E0A"/>
    <w:rsid w:val="004C1FBC"/>
    <w:rsid w:val="004C3F1D"/>
    <w:rsid w:val="004C4022"/>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092E"/>
    <w:rsid w:val="00541853"/>
    <w:rsid w:val="00543BDA"/>
    <w:rsid w:val="005441CC"/>
    <w:rsid w:val="005479DA"/>
    <w:rsid w:val="00547BCC"/>
    <w:rsid w:val="0055013B"/>
    <w:rsid w:val="00551F6F"/>
    <w:rsid w:val="00555007"/>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5D57"/>
    <w:rsid w:val="005D6A95"/>
    <w:rsid w:val="005D6B2C"/>
    <w:rsid w:val="005D6D9C"/>
    <w:rsid w:val="005E0B29"/>
    <w:rsid w:val="005E2335"/>
    <w:rsid w:val="005E34CA"/>
    <w:rsid w:val="005E3C18"/>
    <w:rsid w:val="005E6812"/>
    <w:rsid w:val="005E7881"/>
    <w:rsid w:val="005E78E0"/>
    <w:rsid w:val="005F0D9C"/>
    <w:rsid w:val="005F1502"/>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0ACF"/>
    <w:rsid w:val="00693192"/>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E275F"/>
    <w:rsid w:val="006F03A8"/>
    <w:rsid w:val="006F2ACA"/>
    <w:rsid w:val="006F2ADC"/>
    <w:rsid w:val="006F2BFE"/>
    <w:rsid w:val="006F31E9"/>
    <w:rsid w:val="006F6284"/>
    <w:rsid w:val="007002C5"/>
    <w:rsid w:val="00704387"/>
    <w:rsid w:val="00707669"/>
    <w:rsid w:val="00711CBA"/>
    <w:rsid w:val="00711FB5"/>
    <w:rsid w:val="00712A01"/>
    <w:rsid w:val="00714F58"/>
    <w:rsid w:val="00716027"/>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289"/>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6466"/>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8C7"/>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C52"/>
    <w:rsid w:val="008B7E05"/>
    <w:rsid w:val="008C1797"/>
    <w:rsid w:val="008C219C"/>
    <w:rsid w:val="008C475E"/>
    <w:rsid w:val="008C5900"/>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2D97"/>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E6CF7"/>
    <w:rsid w:val="009F03B3"/>
    <w:rsid w:val="00A0096C"/>
    <w:rsid w:val="00A01757"/>
    <w:rsid w:val="00A028C0"/>
    <w:rsid w:val="00A02BAE"/>
    <w:rsid w:val="00A06A6B"/>
    <w:rsid w:val="00A07E47"/>
    <w:rsid w:val="00A129D0"/>
    <w:rsid w:val="00A12C33"/>
    <w:rsid w:val="00A138BA"/>
    <w:rsid w:val="00A14C8E"/>
    <w:rsid w:val="00A153D9"/>
    <w:rsid w:val="00A15840"/>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96FA0"/>
    <w:rsid w:val="00AA052C"/>
    <w:rsid w:val="00AA1E45"/>
    <w:rsid w:val="00AA4286"/>
    <w:rsid w:val="00AA456B"/>
    <w:rsid w:val="00AA57F5"/>
    <w:rsid w:val="00AA672E"/>
    <w:rsid w:val="00AA6EC9"/>
    <w:rsid w:val="00AB3613"/>
    <w:rsid w:val="00AB41D5"/>
    <w:rsid w:val="00AB6309"/>
    <w:rsid w:val="00AB6C5F"/>
    <w:rsid w:val="00AB7129"/>
    <w:rsid w:val="00AB74ED"/>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1607"/>
    <w:rsid w:val="00AF47C5"/>
    <w:rsid w:val="00AF5398"/>
    <w:rsid w:val="00B049AF"/>
    <w:rsid w:val="00B07242"/>
    <w:rsid w:val="00B10534"/>
    <w:rsid w:val="00B113DB"/>
    <w:rsid w:val="00B11D8A"/>
    <w:rsid w:val="00B12981"/>
    <w:rsid w:val="00B147DD"/>
    <w:rsid w:val="00B156FD"/>
    <w:rsid w:val="00B2184C"/>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0D15"/>
    <w:rsid w:val="00B72880"/>
    <w:rsid w:val="00B758BF"/>
    <w:rsid w:val="00B77EC8"/>
    <w:rsid w:val="00B827A6"/>
    <w:rsid w:val="00B831CE"/>
    <w:rsid w:val="00B86677"/>
    <w:rsid w:val="00B868A0"/>
    <w:rsid w:val="00B87131"/>
    <w:rsid w:val="00B939B1"/>
    <w:rsid w:val="00B96D40"/>
    <w:rsid w:val="00B97386"/>
    <w:rsid w:val="00BA263B"/>
    <w:rsid w:val="00BA42B2"/>
    <w:rsid w:val="00BA58D4"/>
    <w:rsid w:val="00BA5B9E"/>
    <w:rsid w:val="00BA7C9A"/>
    <w:rsid w:val="00BB45A4"/>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2C9B"/>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878"/>
    <w:rsid w:val="00C44BF5"/>
    <w:rsid w:val="00C521D6"/>
    <w:rsid w:val="00C55232"/>
    <w:rsid w:val="00C553A4"/>
    <w:rsid w:val="00C55A06"/>
    <w:rsid w:val="00C55D03"/>
    <w:rsid w:val="00C601BC"/>
    <w:rsid w:val="00C6193A"/>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C73C0"/>
    <w:rsid w:val="00CD2808"/>
    <w:rsid w:val="00CD28BF"/>
    <w:rsid w:val="00CD4092"/>
    <w:rsid w:val="00CD4A20"/>
    <w:rsid w:val="00CD50A1"/>
    <w:rsid w:val="00CD519E"/>
    <w:rsid w:val="00CE0C4F"/>
    <w:rsid w:val="00CE30EA"/>
    <w:rsid w:val="00CE4D83"/>
    <w:rsid w:val="00CF048A"/>
    <w:rsid w:val="00CF155A"/>
    <w:rsid w:val="00CF224E"/>
    <w:rsid w:val="00CF2947"/>
    <w:rsid w:val="00CF431D"/>
    <w:rsid w:val="00CF686F"/>
    <w:rsid w:val="00CF6E60"/>
    <w:rsid w:val="00CF7BCA"/>
    <w:rsid w:val="00D008FD"/>
    <w:rsid w:val="00D0321C"/>
    <w:rsid w:val="00D035EC"/>
    <w:rsid w:val="00D051BC"/>
    <w:rsid w:val="00D06AB1"/>
    <w:rsid w:val="00D072ED"/>
    <w:rsid w:val="00D07A16"/>
    <w:rsid w:val="00D1067E"/>
    <w:rsid w:val="00D10F50"/>
    <w:rsid w:val="00D11272"/>
    <w:rsid w:val="00D126F5"/>
    <w:rsid w:val="00D1489E"/>
    <w:rsid w:val="00D20737"/>
    <w:rsid w:val="00D21E81"/>
    <w:rsid w:val="00D223DE"/>
    <w:rsid w:val="00D24DED"/>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5120"/>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0A1"/>
    <w:rsid w:val="00DB38EE"/>
    <w:rsid w:val="00DB498B"/>
    <w:rsid w:val="00DB66CA"/>
    <w:rsid w:val="00DB6BCA"/>
    <w:rsid w:val="00DB6EB2"/>
    <w:rsid w:val="00DB73F7"/>
    <w:rsid w:val="00DC0321"/>
    <w:rsid w:val="00DC3067"/>
    <w:rsid w:val="00DC370B"/>
    <w:rsid w:val="00DC5B90"/>
    <w:rsid w:val="00DD00FF"/>
    <w:rsid w:val="00DD0619"/>
    <w:rsid w:val="00DD07FB"/>
    <w:rsid w:val="00DD25C6"/>
    <w:rsid w:val="00DD4FE5"/>
    <w:rsid w:val="00DD54B0"/>
    <w:rsid w:val="00DD57EE"/>
    <w:rsid w:val="00DD69BF"/>
    <w:rsid w:val="00DD6BCC"/>
    <w:rsid w:val="00DE0A4B"/>
    <w:rsid w:val="00DE2410"/>
    <w:rsid w:val="00DE2939"/>
    <w:rsid w:val="00DE6E81"/>
    <w:rsid w:val="00DE703F"/>
    <w:rsid w:val="00DE7595"/>
    <w:rsid w:val="00DE7A87"/>
    <w:rsid w:val="00DF1961"/>
    <w:rsid w:val="00DF44DE"/>
    <w:rsid w:val="00DF5F11"/>
    <w:rsid w:val="00E01138"/>
    <w:rsid w:val="00E02DFB"/>
    <w:rsid w:val="00E030F9"/>
    <w:rsid w:val="00E0311A"/>
    <w:rsid w:val="00E03138"/>
    <w:rsid w:val="00E06404"/>
    <w:rsid w:val="00E11A85"/>
    <w:rsid w:val="00E12495"/>
    <w:rsid w:val="00E15CCD"/>
    <w:rsid w:val="00E17F3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3FE0"/>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458B"/>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18AB"/>
    <w:rsid w:val="00F833BA"/>
    <w:rsid w:val="00F84FD0"/>
    <w:rsid w:val="00F859A8"/>
    <w:rsid w:val="00F86550"/>
    <w:rsid w:val="00F86D87"/>
    <w:rsid w:val="00F9108B"/>
    <w:rsid w:val="00F91349"/>
    <w:rsid w:val="00F93A8A"/>
    <w:rsid w:val="00F95248"/>
    <w:rsid w:val="00F956A9"/>
    <w:rsid w:val="00F963ED"/>
    <w:rsid w:val="00F966CF"/>
    <w:rsid w:val="00F96CAE"/>
    <w:rsid w:val="00F97C99"/>
    <w:rsid w:val="00FA2E0C"/>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F7FC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styleId="2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xjkp/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E96BFCD08EC483BB658ED5D4985DADC"/>
        <w:style w:val=""/>
        <w:category>
          <w:name w:val="常规"/>
          <w:gallery w:val="placeholder"/>
        </w:category>
        <w:types>
          <w:type w:val="bbPlcHdr"/>
        </w:types>
        <w:behaviors>
          <w:behavior w:val="content"/>
        </w:behaviors>
        <w:description w:val=""/>
        <w:guid w:val="{D1FF3155-ADB2-4B81-B02D-C42F967835F3}"/>
      </w:docPartPr>
      <w:docPartBody>
        <w:p>
          <w:pPr>
            <w:pStyle w:val="5"/>
          </w:pPr>
          <w:r>
            <w:rPr>
              <w:rStyle w:val="4"/>
              <w:rFonts w:hint="eastAsia"/>
            </w:rPr>
            <w:t>单击或点击此处输入文字。</w:t>
          </w:r>
        </w:p>
      </w:docPartBody>
    </w:docPart>
    <w:docPart>
      <w:docPartPr>
        <w:name w:val="6072DE6084FD4E3F86A398B50B92EB8F"/>
        <w:style w:val=""/>
        <w:category>
          <w:name w:val="常规"/>
          <w:gallery w:val="placeholder"/>
        </w:category>
        <w:types>
          <w:type w:val="bbPlcHdr"/>
        </w:types>
        <w:behaviors>
          <w:behavior w:val="content"/>
        </w:behaviors>
        <w:description w:val=""/>
        <w:guid w:val="{CE2EC338-2441-4884-B5AF-14EEC2AF2733}"/>
      </w:docPartPr>
      <w:docPartBody>
        <w:p>
          <w:pPr>
            <w:pStyle w:val="6"/>
          </w:pPr>
          <w:r>
            <w:rPr>
              <w:rStyle w:val="4"/>
              <w:rFonts w:hint="eastAsia"/>
            </w:rPr>
            <w:t>选择一项。</w:t>
          </w:r>
        </w:p>
      </w:docPartBody>
    </w:docPart>
    <w:docPart>
      <w:docPartPr>
        <w:name w:val="DC058E03F68C4492800A959F256A048F"/>
        <w:style w:val=""/>
        <w:category>
          <w:name w:val="常规"/>
          <w:gallery w:val="placeholder"/>
        </w:category>
        <w:types>
          <w:type w:val="bbPlcHdr"/>
        </w:types>
        <w:behaviors>
          <w:behavior w:val="content"/>
        </w:behaviors>
        <w:description w:val=""/>
        <w:guid w:val="{4FF914BE-DF17-4AF3-9D7F-51CDEDEB5E0A}"/>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16"/>
    <w:rsid w:val="00083DE4"/>
    <w:rsid w:val="00210EF3"/>
    <w:rsid w:val="003E27AB"/>
    <w:rsid w:val="004248B9"/>
    <w:rsid w:val="007252E0"/>
    <w:rsid w:val="00A95E14"/>
    <w:rsid w:val="00AF79B5"/>
    <w:rsid w:val="00B50865"/>
    <w:rsid w:val="00C32316"/>
    <w:rsid w:val="00CC5DEE"/>
    <w:rsid w:val="00EC458C"/>
    <w:rsid w:val="00FE0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E96BFCD08EC483BB658ED5D4985DA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072DE6084FD4E3F86A398B50B92EB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C058E03F68C4492800A959F256A048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11</Pages>
  <Words>1046</Words>
  <Characters>5967</Characters>
  <Lines>49</Lines>
  <Paragraphs>13</Paragraphs>
  <TotalTime>485</TotalTime>
  <ScaleCrop>false</ScaleCrop>
  <LinksUpToDate>false</LinksUpToDate>
  <CharactersWithSpaces>7000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2022-02-21T11:57:00Z</dcterms:created>
  <dc:creator>Windows 用户</dc:creator>
  <cp:lastModifiedBy>xjkp</cp:lastModifiedBy>
  <cp:lastPrinted>2022-03-24T16:51:00Z</cp:lastPrinted>
  <dcterms:modified xsi:type="dcterms:W3CDTF">2026-05-08T16:45:07Z</dcterms:modified>
  <dc:title>地方标准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2052-11.8.2.9339</vt:lpwstr>
  </property>
</Properties>
</file>