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Hgm733KAQAAXg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MU0fxqCUtgqPD1sMb&#10;bKgGNhGzZmPrTYIkNdiYrdmdrJFjZII2z6fkdkkOimOugOrY6HyIryUaln5qrpVNqkEF2+sQ0yBQ&#10;HUvStsUrpXV2Xls21PzV2ewsNwTUqknJVBZ8t15qz7aQ7k7+MivKPCzzuLHN/hBtD6QTz71ia2x2&#10;K38Ug0zM0xwuXLolD9e5+/5Z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4NJltgAAAAMAQAA&#10;DwAAAAAAAAABACAAAAA4AAAAZHJzL2Rvd25yZXYueG1sUEsBAhQAFAAAAAgAh07iQHgm733KAQAA&#10;XgMAAA4AAAAAAAAAAQAgAAAAPQEAAGRycy9lMm9Eb2MueG1sUEsFBgAAAAAGAAYAWQEAAHkFAAAA&#10;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bookmarkStart w:id="69" w:name="_GoBack"/>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肉鹅网上养殖技术规程</w:t>
      </w:r>
      <w:r>
        <w:fldChar w:fldCharType="end"/>
      </w:r>
      <w:bookmarkEnd w:id="69"/>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Technical specifications for net-rearing of meat goose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qt0+T8gBAABc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Ypo7ir5a0CI6O2gxvsKEa&#10;2EbMio2tNwmStGBjNmZ/NkaOkQnavJiS1yX5J065AqpTo/MhvpZoWPqpuVY2aQYV7G5CTINAdSpJ&#10;2xavldbZd23ZUPNX89k8NwTUqknJVBZ8t1lpz3aQbk7+MivKPCzzuLXN4RBtj6QTz4NiG2z2a38S&#10;gyzM0xyvW7ojD9e5+8+jW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qzMc+9cAAAAOAQAADwAA&#10;AAAAAAABACAAAAA4AAAAZHJzL2Rvd25yZXYueG1sUEsBAhQAFAAAAAgAh07iQKrdPk/IAQAAXAMA&#10;AA4AAAAAAAAAAQAgAAAAPAEAAGRycy9lMm9Eb2MueG1sUEsFBgAAAAAGAAYAWQEAAHYFAA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"_Toc103264805" </w:instrText>
      </w:r>
      <w:r>
        <w:fldChar w:fldCharType="separate"/>
      </w:r>
      <w:r>
        <w:rPr>
          <w:rStyle w:val="32"/>
        </w:rPr>
        <w:t>前言</w:t>
      </w:r>
      <w:r>
        <w:tab/>
      </w:r>
      <w:r>
        <w:fldChar w:fldCharType="begin"/>
      </w:r>
      <w:r>
        <w:instrText xml:space="preserve"> PAGEREF _Toc103264805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"_Toc103264806" </w:instrText>
      </w:r>
      <w:r>
        <w:fldChar w:fldCharType="separate"/>
      </w:r>
      <w:r>
        <w:rPr>
          <w:rStyle w:val="32"/>
        </w:rPr>
        <w:t>1  范围</w:t>
      </w:r>
      <w:r>
        <w:tab/>
      </w:r>
      <w:r>
        <w:fldChar w:fldCharType="begin"/>
      </w:r>
      <w:r>
        <w:instrText xml:space="preserve"> PAGEREF _Toc103264806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"_Toc103264807" </w:instrText>
      </w:r>
      <w:r>
        <w:fldChar w:fldCharType="separate"/>
      </w:r>
      <w:r>
        <w:rPr>
          <w:rStyle w:val="32"/>
        </w:rPr>
        <w:t>2  规范性引用文件</w:t>
      </w:r>
      <w:r>
        <w:tab/>
      </w:r>
      <w:r>
        <w:fldChar w:fldCharType="begin"/>
      </w:r>
      <w:r>
        <w:instrText xml:space="preserve"> PAGEREF _Toc103264807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"_Toc103264808" </w:instrText>
      </w:r>
      <w:r>
        <w:fldChar w:fldCharType="separate"/>
      </w:r>
      <w:r>
        <w:rPr>
          <w:rStyle w:val="32"/>
        </w:rPr>
        <w:t>3  术语和定义</w:t>
      </w:r>
      <w:r>
        <w:tab/>
      </w:r>
      <w:r>
        <w:fldChar w:fldCharType="begin"/>
      </w:r>
      <w:r>
        <w:instrText xml:space="preserve"> PAGEREF _Toc103264808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"_Toc103264809" </w:instrText>
      </w:r>
      <w:r>
        <w:fldChar w:fldCharType="separate"/>
      </w:r>
      <w:r>
        <w:rPr>
          <w:rStyle w:val="32"/>
        </w:rPr>
        <w:t>4  选址、布局与饲养设施</w:t>
      </w:r>
      <w:r>
        <w:tab/>
      </w:r>
      <w:r>
        <w:fldChar w:fldCharType="begin"/>
      </w:r>
      <w:r>
        <w:instrText xml:space="preserve"> PAGEREF _Toc103264809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"_Toc103264810" </w:instrText>
      </w:r>
      <w:r>
        <w:fldChar w:fldCharType="separate"/>
      </w:r>
      <w:r>
        <w:rPr>
          <w:rStyle w:val="32"/>
        </w:rPr>
        <w:t>5  饲养管理</w:t>
      </w:r>
      <w:r>
        <w:tab/>
      </w:r>
      <w:r>
        <w:fldChar w:fldCharType="begin"/>
      </w:r>
      <w:r>
        <w:instrText xml:space="preserve"> PAGEREF _Toc103264810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"_Toc103264811" </w:instrText>
      </w:r>
      <w:r>
        <w:fldChar w:fldCharType="separate"/>
      </w:r>
      <w:r>
        <w:rPr>
          <w:rStyle w:val="32"/>
        </w:rPr>
        <w:t>6  卫生管理</w:t>
      </w:r>
      <w:r>
        <w:tab/>
      </w:r>
      <w:r>
        <w:fldChar w:fldCharType="begin"/>
      </w:r>
      <w:r>
        <w:instrText xml:space="preserve"> PAGEREF _Toc103264811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"_Toc103264812" </w:instrText>
      </w:r>
      <w:r>
        <w:fldChar w:fldCharType="separate"/>
      </w:r>
      <w:r>
        <w:rPr>
          <w:rStyle w:val="32"/>
        </w:rPr>
        <w:t>7  日常管理</w:t>
      </w:r>
      <w:r>
        <w:tab/>
      </w:r>
      <w:r>
        <w:fldChar w:fldCharType="begin"/>
      </w:r>
      <w:r>
        <w:instrText xml:space="preserve"> PAGEREF _Toc103264812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"_Toc103264813" </w:instrText>
      </w:r>
      <w:r>
        <w:fldChar w:fldCharType="separate"/>
      </w:r>
      <w:r>
        <w:rPr>
          <w:rStyle w:val="32"/>
        </w:rPr>
        <w:t>8  疾病防治</w:t>
      </w:r>
      <w:r>
        <w:tab/>
      </w:r>
      <w:r>
        <w:fldChar w:fldCharType="begin"/>
      </w:r>
      <w:r>
        <w:instrText xml:space="preserve"> PAGEREF _Toc103264813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"_Toc103264814" </w:instrText>
      </w:r>
      <w:r>
        <w:fldChar w:fldCharType="separate"/>
      </w:r>
      <w:r>
        <w:rPr>
          <w:rStyle w:val="32"/>
        </w:rPr>
        <w:t>9  废弃物处理</w:t>
      </w:r>
      <w:r>
        <w:tab/>
      </w:r>
      <w:r>
        <w:fldChar w:fldCharType="begin"/>
      </w:r>
      <w:r>
        <w:instrText xml:space="preserve"> PAGEREF _Toc103264814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"_Toc103264815" </w:instrText>
      </w:r>
      <w:r>
        <w:fldChar w:fldCharType="separate"/>
      </w:r>
      <w:r>
        <w:rPr>
          <w:rStyle w:val="32"/>
        </w:rPr>
        <w:t>10  养殖档案</w:t>
      </w:r>
      <w:r>
        <w:tab/>
      </w:r>
      <w:r>
        <w:fldChar w:fldCharType="begin"/>
      </w:r>
      <w:r>
        <w:instrText xml:space="preserve"> PAGEREF _Toc103264815 \h </w:instrText>
      </w:r>
      <w:r>
        <w:fldChar w:fldCharType="separate"/>
      </w:r>
      <w:r>
        <w:t>5</w:t>
      </w:r>
      <w:r>
        <w:fldChar w:fldCharType="end"/>
      </w:r>
      <w:r>
        <w:fldChar w:fldCharType="end"/>
      </w:r>
    </w:p>
    <w:p>
      <w:pPr>
        <w:pStyle w:val="91"/>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89"/>
        <w:numPr>
          <w:ilvl w:val="0"/>
          <w:numId w:val="0"/>
        </w:numPr>
        <w:spacing w:after="468"/>
        <w:jc w:val="both"/>
        <w:rPr>
          <w:rFonts w:hint="eastAsia"/>
        </w:rPr>
      </w:pPr>
      <w:bookmarkStart w:id="22" w:name="BookMark2"/>
    </w:p>
    <w:p>
      <w:pPr>
        <w:pStyle w:val="89"/>
        <w:spacing w:after="468"/>
      </w:pPr>
      <w:bookmarkStart w:id="23" w:name="_Toc103264683"/>
      <w:bookmarkStart w:id="24" w:name="_Toc103264805"/>
      <w:r>
        <w:rPr>
          <w:spacing w:val="320"/>
        </w:rPr>
        <w:t>前</w:t>
      </w:r>
      <w:r>
        <w:t>言</w:t>
      </w:r>
      <w:bookmarkEnd w:id="23"/>
      <w:bookmarkEnd w:id="24"/>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本标准由湖南省农业农村厅提出。</w:t>
      </w:r>
    </w:p>
    <w:p>
      <w:pPr>
        <w:pStyle w:val="56"/>
        <w:ind w:firstLine="420"/>
      </w:pPr>
      <w:r>
        <w:rPr>
          <w:rFonts w:hint="eastAsia"/>
        </w:rPr>
        <w:t>本标准由湖南省农业标准化技术委员会归口。</w:t>
      </w:r>
    </w:p>
    <w:p>
      <w:pPr>
        <w:pStyle w:val="56"/>
        <w:ind w:firstLine="420"/>
      </w:pPr>
      <w:r>
        <w:rPr>
          <w:rFonts w:hint="eastAsia"/>
        </w:rPr>
        <w:t>本标准主要起草单位：湖南省畜牧兽医研究所、茶陵县舲舫鹅种业创新研究所、、湖南武冈铜鹅农业发展有限责任公司、株洲市顺丰农业科技股份有限公司、湖南福来喜鹅业有限责任公司。</w:t>
      </w:r>
    </w:p>
    <w:p>
      <w:pPr>
        <w:pStyle w:val="56"/>
        <w:ind w:firstLine="420"/>
      </w:pPr>
      <w:r>
        <w:rPr>
          <w:rFonts w:hint="eastAsia"/>
        </w:rPr>
        <w:t>本标准主要起草人：邓萍、李闯、蒋桂韬、张旭、黄璇、戴求仲、陈见林、张晓华、燕海峰。</w:t>
      </w:r>
    </w:p>
    <w:p>
      <w:pPr>
        <w:pStyle w:val="56"/>
        <w:ind w:firstLine="420"/>
      </w:pP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2"/>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F833D4907DB546B89D486B9A491FC106"/>
        </w:placeholder>
      </w:sdtPr>
      <w:sdtContent>
        <w:p>
          <w:pPr>
            <w:pStyle w:val="177"/>
            <w:spacing w:before="3" w:beforeLines="1" w:after="686" w:afterLines="220"/>
          </w:pPr>
          <w:bookmarkStart w:id="26" w:name="NEW_STAND_NAME"/>
          <w:r>
            <w:rPr>
              <w:rFonts w:hint="eastAsia"/>
            </w:rPr>
            <w:t>肉鹅网上养殖技术规程</w:t>
          </w:r>
        </w:p>
      </w:sdtContent>
    </w:sdt>
    <w:bookmarkEnd w:id="26"/>
    <w:p>
      <w:pPr>
        <w:pStyle w:val="104"/>
        <w:spacing w:before="312" w:after="312"/>
      </w:pPr>
      <w:bookmarkStart w:id="27" w:name="_Toc24884211"/>
      <w:bookmarkStart w:id="28" w:name="_Toc24884218"/>
      <w:bookmarkStart w:id="29" w:name="_Toc26648465"/>
      <w:bookmarkStart w:id="30" w:name="_Toc26718930"/>
      <w:bookmarkStart w:id="31" w:name="_Toc17233325"/>
      <w:bookmarkStart w:id="32" w:name="_Toc103264806"/>
      <w:bookmarkStart w:id="33" w:name="_Toc17233333"/>
      <w:bookmarkStart w:id="34" w:name="_Toc26986530"/>
      <w:bookmarkStart w:id="35" w:name="_Toc103264684"/>
      <w:bookmarkStart w:id="36" w:name="_Toc26986771"/>
      <w:r>
        <w:rPr>
          <w:rFonts w:hint="eastAsia"/>
        </w:rPr>
        <w:t>范围</w:t>
      </w:r>
      <w:bookmarkEnd w:id="27"/>
      <w:bookmarkEnd w:id="28"/>
      <w:bookmarkEnd w:id="29"/>
      <w:bookmarkEnd w:id="30"/>
      <w:bookmarkEnd w:id="31"/>
      <w:bookmarkEnd w:id="32"/>
      <w:bookmarkEnd w:id="33"/>
      <w:bookmarkEnd w:id="34"/>
      <w:bookmarkEnd w:id="35"/>
      <w:bookmarkEnd w:id="36"/>
    </w:p>
    <w:p>
      <w:pPr>
        <w:pStyle w:val="56"/>
        <w:ind w:firstLine="420"/>
      </w:pPr>
      <w:bookmarkStart w:id="37" w:name="_Toc17233334"/>
      <w:bookmarkStart w:id="38" w:name="_Toc17233326"/>
      <w:bookmarkStart w:id="39" w:name="_Toc26648466"/>
      <w:bookmarkStart w:id="40" w:name="_Toc24884219"/>
      <w:bookmarkStart w:id="41" w:name="_Toc24884212"/>
      <w:r>
        <w:rPr>
          <w:rFonts w:hint="eastAsia"/>
        </w:rPr>
        <w:t>本文件规定了肉鹅网上养殖的选址、布局与饲养设施、饲养管理、卫生管理、日常管理、疾病防治、废弃物处理和养殖档案。</w:t>
      </w:r>
    </w:p>
    <w:p>
      <w:pPr>
        <w:pStyle w:val="56"/>
        <w:ind w:firstLine="420"/>
      </w:pPr>
      <w:r>
        <w:rPr>
          <w:rFonts w:hint="eastAsia"/>
        </w:rPr>
        <w:t>本文件适用于肉鹅的网上养殖。</w:t>
      </w:r>
    </w:p>
    <w:p>
      <w:pPr>
        <w:pStyle w:val="104"/>
        <w:spacing w:before="312" w:after="312"/>
      </w:pPr>
      <w:bookmarkStart w:id="42" w:name="_Toc26986531"/>
      <w:bookmarkStart w:id="43" w:name="_Toc26718931"/>
      <w:bookmarkStart w:id="44" w:name="_Toc26986772"/>
      <w:bookmarkStart w:id="45" w:name="_Toc103264807"/>
      <w:bookmarkStart w:id="46" w:name="_Toc103264685"/>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0756AD226CA74900BC878ED747BBD3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13078 饲料卫生标准</w:t>
      </w:r>
    </w:p>
    <w:p>
      <w:pPr>
        <w:pStyle w:val="56"/>
        <w:ind w:firstLine="420"/>
      </w:pPr>
      <w:r>
        <w:rPr>
          <w:rFonts w:hint="eastAsia"/>
        </w:rPr>
        <w:t>GB 18596 畜禽养殖业污染物排放标准</w:t>
      </w:r>
    </w:p>
    <w:p>
      <w:pPr>
        <w:pStyle w:val="56"/>
        <w:ind w:firstLine="420"/>
      </w:pPr>
      <w:r>
        <w:rPr>
          <w:rFonts w:hint="eastAsia"/>
        </w:rPr>
        <w:t>GB/T 32148 家禽健康养殖规范</w:t>
      </w:r>
    </w:p>
    <w:p>
      <w:pPr>
        <w:pStyle w:val="56"/>
        <w:ind w:firstLine="420"/>
      </w:pPr>
      <w:r>
        <w:rPr>
          <w:rFonts w:hint="eastAsia"/>
        </w:rPr>
        <w:t>NY 5027 无公害食品 畜禽饮用水水质</w:t>
      </w:r>
    </w:p>
    <w:p>
      <w:pPr>
        <w:pStyle w:val="56"/>
        <w:ind w:firstLine="420"/>
      </w:pPr>
      <w:r>
        <w:rPr>
          <w:rFonts w:hint="eastAsia"/>
        </w:rPr>
        <w:t>NY 5266 无公害食品 鹅饲养兽医防疫准则</w:t>
      </w:r>
    </w:p>
    <w:p>
      <w:pPr>
        <w:pStyle w:val="56"/>
        <w:ind w:firstLine="420"/>
      </w:pPr>
      <w:r>
        <w:rPr>
          <w:rFonts w:hint="eastAsia"/>
        </w:rPr>
        <w:t>NY/T 388  畜禽场环境质量标准</w:t>
      </w:r>
    </w:p>
    <w:p>
      <w:pPr>
        <w:pStyle w:val="56"/>
        <w:ind w:firstLine="420"/>
      </w:pPr>
      <w:r>
        <w:rPr>
          <w:rFonts w:hint="eastAsia"/>
        </w:rPr>
        <w:t>NY /T 5030 无公害食品 兽药使用准则</w:t>
      </w:r>
    </w:p>
    <w:p>
      <w:pPr>
        <w:pStyle w:val="56"/>
        <w:ind w:firstLine="420"/>
      </w:pPr>
      <w:r>
        <w:rPr>
          <w:rFonts w:hint="eastAsia"/>
        </w:rPr>
        <w:t>中华人民共和国农业部令2006年第67号 畜禽标识和养殖档案管理办法</w:t>
      </w:r>
    </w:p>
    <w:p>
      <w:pPr>
        <w:pStyle w:val="56"/>
        <w:ind w:firstLine="420"/>
      </w:pPr>
      <w:r>
        <w:rPr>
          <w:rFonts w:hint="eastAsia"/>
        </w:rPr>
        <w:t>中华人民共和国农业部农医发2017年第25号 病死及病害动物无害化处理技术规范</w:t>
      </w:r>
    </w:p>
    <w:p>
      <w:pPr>
        <w:pStyle w:val="104"/>
        <w:spacing w:before="312" w:after="312"/>
      </w:pPr>
      <w:bookmarkStart w:id="47" w:name="_Toc103264808"/>
      <w:bookmarkStart w:id="48" w:name="_Toc103264686"/>
      <w:r>
        <w:rPr>
          <w:rFonts w:hint="eastAsia"/>
          <w:szCs w:val="21"/>
        </w:rPr>
        <w:t>术语和定义</w:t>
      </w:r>
      <w:bookmarkEnd w:id="47"/>
      <w:bookmarkEnd w:id="48"/>
    </w:p>
    <w:sdt>
      <w:sdtPr>
        <w:id w:val="-1909835108"/>
        <w:placeholder>
          <w:docPart w:val="5536C0835CDF4FE99F806E483508CBC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9" w:name="_Toc26986532"/>
          <w:bookmarkEnd w:id="49"/>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网上养殖 </w:t>
      </w:r>
      <w:r>
        <w:rPr>
          <w:rFonts w:ascii="黑体" w:hAnsi="黑体" w:eastAsia="黑体"/>
        </w:rPr>
        <w:t xml:space="preserve"> Net-rearing</w:t>
      </w:r>
      <w:r>
        <w:rPr>
          <w:rFonts w:hint="eastAsia" w:ascii="黑体" w:hAnsi="黑体" w:eastAsia="黑体"/>
        </w:rPr>
        <w:t xml:space="preserve"> </w:t>
      </w:r>
    </w:p>
    <w:p>
      <w:pPr>
        <w:pStyle w:val="56"/>
        <w:ind w:firstLine="420"/>
      </w:pPr>
      <w:r>
        <w:rPr>
          <w:rFonts w:hint="eastAsia"/>
        </w:rPr>
        <w:t>利用水泥预制件、不锈钢管架、砖墙或木料等作支撑框架，通过支架使带孔网床与地面保持一定高度。肉鹅在网床上饲养，粪尿排泄物可通过网孔漏至网下地面，实现肉鹅与地面分离，减少鹅体与粪污接触的饲养方式。</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大型肉鹅 </w:t>
      </w:r>
      <w:r>
        <w:rPr>
          <w:rFonts w:ascii="黑体" w:hAnsi="黑体" w:eastAsia="黑体"/>
        </w:rPr>
        <w:t xml:space="preserve"> Large meat goose</w:t>
      </w:r>
    </w:p>
    <w:p>
      <w:pPr>
        <w:pStyle w:val="56"/>
        <w:ind w:firstLine="420"/>
      </w:pPr>
      <w:r>
        <w:rPr>
          <w:rFonts w:hint="eastAsia"/>
        </w:rPr>
        <w:t>公、母鹅成年体重为8kg以上。</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中小型肉鹅 </w:t>
      </w:r>
      <w:r>
        <w:rPr>
          <w:rFonts w:ascii="黑体" w:hAnsi="黑体" w:eastAsia="黑体"/>
        </w:rPr>
        <w:t xml:space="preserve"> Small and medium-sized meat goose</w:t>
      </w:r>
    </w:p>
    <w:p>
      <w:pPr>
        <w:pStyle w:val="56"/>
        <w:ind w:firstLine="420"/>
      </w:pPr>
      <w:r>
        <w:rPr>
          <w:rFonts w:hint="eastAsia"/>
        </w:rPr>
        <w:t>公、母鹅成年体重为5kg～8kg。</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小型肉鹅  S</w:t>
      </w:r>
      <w:r>
        <w:rPr>
          <w:rFonts w:ascii="黑体" w:hAnsi="黑体" w:eastAsia="黑体"/>
        </w:rPr>
        <w:t>mall meat goose</w:t>
      </w:r>
    </w:p>
    <w:p>
      <w:pPr>
        <w:pStyle w:val="56"/>
        <w:ind w:firstLine="420"/>
      </w:pPr>
      <w:r>
        <w:rPr>
          <w:rFonts w:hint="eastAsia"/>
        </w:rPr>
        <w:t>公、母鹅成年体重为5kg以下。</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净道 </w:t>
      </w:r>
      <w:r>
        <w:rPr>
          <w:rFonts w:ascii="黑体" w:hAnsi="黑体" w:eastAsia="黑体"/>
        </w:rPr>
        <w:t xml:space="preserve"> unpolluted road</w:t>
      </w:r>
    </w:p>
    <w:p>
      <w:pPr>
        <w:pStyle w:val="56"/>
        <w:ind w:firstLine="420"/>
      </w:pPr>
      <w:r>
        <w:rPr>
          <w:rFonts w:hint="eastAsia"/>
        </w:rPr>
        <w:t>供肉鹅群体周转、淘汰种鹅、人员进出、运送饲料的专用道路。</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污道 </w:t>
      </w:r>
      <w:r>
        <w:rPr>
          <w:rFonts w:ascii="黑体" w:hAnsi="黑体" w:eastAsia="黑体"/>
        </w:rPr>
        <w:t xml:space="preserve"> polluted road</w:t>
      </w:r>
    </w:p>
    <w:p>
      <w:pPr>
        <w:pStyle w:val="56"/>
        <w:ind w:firstLine="420"/>
      </w:pPr>
      <w:r>
        <w:rPr>
          <w:rFonts w:hint="eastAsia"/>
        </w:rPr>
        <w:t>粪便、病死肉鹅和其他养殖废弃物出场的道路。</w:t>
      </w:r>
    </w:p>
    <w:p>
      <w:pPr>
        <w:pStyle w:val="104"/>
        <w:spacing w:before="312" w:after="312"/>
      </w:pPr>
      <w:bookmarkStart w:id="50" w:name="_Toc103264687"/>
      <w:bookmarkStart w:id="51" w:name="_Toc103264809"/>
      <w:r>
        <w:rPr>
          <w:rFonts w:hint="eastAsia"/>
        </w:rPr>
        <w:t>选址、布局与饲养设施</w:t>
      </w:r>
      <w:bookmarkEnd w:id="50"/>
      <w:bookmarkEnd w:id="51"/>
    </w:p>
    <w:p>
      <w:pPr>
        <w:pStyle w:val="105"/>
        <w:spacing w:before="156" w:after="156"/>
      </w:pPr>
      <w:bookmarkStart w:id="52" w:name="_Toc103264688"/>
      <w:r>
        <w:rPr>
          <w:rFonts w:hint="eastAsia"/>
        </w:rPr>
        <w:t>选址</w:t>
      </w:r>
      <w:bookmarkEnd w:id="52"/>
    </w:p>
    <w:p>
      <w:pPr>
        <w:pStyle w:val="56"/>
        <w:ind w:firstLine="420"/>
      </w:pPr>
      <w:r>
        <w:rPr>
          <w:rFonts w:hint="eastAsia"/>
        </w:rPr>
        <w:t>肉鹅养殖场选址符合GB/T 32148的规定</w:t>
      </w:r>
    </w:p>
    <w:p>
      <w:pPr>
        <w:pStyle w:val="105"/>
        <w:spacing w:before="156" w:after="156"/>
      </w:pPr>
      <w:bookmarkStart w:id="53" w:name="_Toc103264689"/>
      <w:r>
        <w:rPr>
          <w:rFonts w:hint="eastAsia"/>
        </w:rPr>
        <w:t>布局</w:t>
      </w:r>
      <w:bookmarkEnd w:id="53"/>
    </w:p>
    <w:p>
      <w:pPr>
        <w:pStyle w:val="165"/>
      </w:pPr>
      <w:r>
        <w:rPr>
          <w:rFonts w:hint="eastAsia"/>
        </w:rPr>
        <w:t>肉鹅养殖场分为生活区、办公区、生产区、隔离区和无害化处理区，从上风至下风向依次排列。各区之间应用生物围墙隔开，且有明确标识。生产区内地面应平整硬化，场内污道与净道不交叉。</w:t>
      </w:r>
    </w:p>
    <w:p>
      <w:pPr>
        <w:pStyle w:val="165"/>
      </w:pPr>
      <w:r>
        <w:rPr>
          <w:rFonts w:hint="eastAsia"/>
        </w:rPr>
        <w:t>肉鹅养殖场应设有相应的清洗消毒设施、更衣室、兽医室。</w:t>
      </w:r>
    </w:p>
    <w:p>
      <w:pPr>
        <w:pStyle w:val="165"/>
      </w:pPr>
      <w:r>
        <w:rPr>
          <w:rFonts w:hint="eastAsia"/>
        </w:rPr>
        <w:t>舍内净高（2.7～3.0）m，跨度（7～12）m，舍长应根据养殖规模和环境条件等确定。</w:t>
      </w:r>
    </w:p>
    <w:p>
      <w:pPr>
        <w:pStyle w:val="165"/>
      </w:pPr>
      <w:r>
        <w:rPr>
          <w:rFonts w:hint="eastAsia"/>
        </w:rPr>
        <w:t>每栋鹅舍之间应保持适当间距，以（8 ～10）m为宜 。</w:t>
      </w:r>
    </w:p>
    <w:p>
      <w:pPr>
        <w:pStyle w:val="165"/>
      </w:pPr>
      <w:r>
        <w:rPr>
          <w:rFonts w:hint="eastAsia"/>
        </w:rPr>
        <w:t>鹅舍地面和墙壁应便于清洗和消毒，耐磨损，耐酸碱。墙面不易脱落，耐磨损，不含有毒有害物质。鹅舍饮水区下方地面建设粪水沟，宽为（40c～50）cm，深为（20～35）cm；鹅舍地面向粪水沟倾斜（3～5）°。</w:t>
      </w:r>
    </w:p>
    <w:p>
      <w:pPr>
        <w:pStyle w:val="165"/>
      </w:pPr>
      <w:r>
        <w:rPr>
          <w:rFonts w:hint="eastAsia"/>
        </w:rPr>
        <w:t>鹅舍应具备良好的排水、通风换气、防鼠、防虫及防鸟设施和设备。</w:t>
      </w:r>
    </w:p>
    <w:p>
      <w:pPr>
        <w:pStyle w:val="165"/>
        <w:rPr>
          <w:rFonts w:hint="eastAsia"/>
        </w:rPr>
      </w:pPr>
      <w:r>
        <w:rPr>
          <w:rFonts w:hint="eastAsia"/>
        </w:rPr>
        <w:t>育雏舍应采用有窗封闭式，生长舍和育肥舍应采用半开放式或有窗封闭式；半开放式鹅舍南北墙高（0.7～1.0）m，封闭式鹅舍窗户面积与舍内地面面积比为1：8～10。一般檐口高（2.0～2.4）m，檐口距主体框架水平距离为（30～50）cm。</w:t>
      </w:r>
    </w:p>
    <w:p>
      <w:pPr>
        <w:pStyle w:val="105"/>
        <w:spacing w:before="156" w:after="156"/>
      </w:pPr>
      <w:bookmarkStart w:id="54" w:name="_Toc103264690"/>
      <w:r>
        <w:rPr>
          <w:rFonts w:hint="eastAsia"/>
        </w:rPr>
        <w:t>饲养设施</w:t>
      </w:r>
      <w:bookmarkEnd w:id="54"/>
    </w:p>
    <w:p>
      <w:pPr>
        <w:pStyle w:val="165"/>
        <w:rPr>
          <w:rFonts w:ascii="黑体" w:eastAsia="黑体"/>
        </w:rPr>
      </w:pPr>
      <w:r>
        <w:rPr>
          <w:rFonts w:hint="eastAsia"/>
        </w:rPr>
        <w:t>网床：采用双列式，底网用直径为（3～5）mm的聚酯塑钢线或宽度为（2～3）cm的竹条、木条均匀铺设并固定，间距为（5～10）cm，床面上铺垫软质塑料网、硬质塑料网片或镀锌钢丝网，四周设置围栏。育雏舍宜采用多层网床，生长舍和肥育舍采用单层网床。网床规格参见表1。</w:t>
      </w:r>
    </w:p>
    <w:p>
      <w:pPr>
        <w:pStyle w:val="112"/>
        <w:spacing w:before="156" w:after="156"/>
        <w:rPr>
          <w:rFonts w:hint="eastAsia"/>
        </w:rPr>
      </w:pPr>
      <w:r>
        <w:rPr>
          <w:rFonts w:hint="eastAsia"/>
        </w:rPr>
        <w:t>网床规格参数</w:t>
      </w:r>
    </w:p>
    <w:tbl>
      <w:tblPr>
        <w:tblStyle w:val="26"/>
        <w:tblW w:w="5000" w:type="pct"/>
        <w:tblInd w:w="93" w:type="dxa"/>
        <w:tblLayout w:type="fixed"/>
        <w:tblCellMar>
          <w:top w:w="0" w:type="dxa"/>
          <w:left w:w="0" w:type="dxa"/>
          <w:bottom w:w="0" w:type="dxa"/>
          <w:right w:w="0" w:type="dxa"/>
        </w:tblCellMar>
      </w:tblPr>
      <w:tblGrid>
        <w:gridCol w:w="2569"/>
        <w:gridCol w:w="3620"/>
        <w:gridCol w:w="3622"/>
      </w:tblGrid>
      <w:tr>
        <w:trPr>
          <w:trHeight w:val="801" w:hRule="exact"/>
        </w:trPr>
        <w:tc>
          <w:tcPr>
            <w:tcW w:w="2568" w:type="dxa"/>
            <w:tcBorders>
              <w:top w:val="single" w:color="auto" w:sz="8" w:space="0"/>
              <w:left w:val="single" w:color="auto" w:sz="8" w:space="0"/>
              <w:bottom w:val="single" w:color="auto" w:sz="8" w:space="0"/>
              <w:right w:val="single" w:color="auto" w:sz="4" w:space="0"/>
              <w:tl2br w:val="single" w:color="auto" w:sz="4" w:space="0"/>
            </w:tcBorders>
            <w:shd w:val="clear" w:color="auto" w:fill="auto"/>
            <w:noWrap/>
            <w:vAlign w:val="center"/>
          </w:tcPr>
          <w:p>
            <w:pPr>
              <w:widowControl/>
              <w:spacing w:line="240" w:lineRule="auto"/>
              <w:jc w:val="center"/>
              <w:rPr>
                <w:color w:val="0D0D0D"/>
                <w:kern w:val="0"/>
                <w:sz w:val="18"/>
              </w:rPr>
            </w:pPr>
            <w:r>
              <w:rPr>
                <w:rFonts w:hint="eastAsia"/>
                <w:color w:val="0D0D0D"/>
                <w:kern w:val="0"/>
                <w:sz w:val="18"/>
              </w:rPr>
              <w:t xml:space="preserve">        阶段</w:t>
            </w:r>
          </w:p>
          <w:p>
            <w:pPr>
              <w:widowControl/>
              <w:spacing w:line="240" w:lineRule="auto"/>
              <w:jc w:val="left"/>
              <w:rPr>
                <w:color w:val="0D0D0D"/>
                <w:kern w:val="0"/>
                <w:sz w:val="18"/>
              </w:rPr>
            </w:pPr>
            <w:r>
              <w:rPr>
                <w:color w:val="0D0D0D"/>
                <w:kern w:val="0"/>
                <w:sz w:val="18"/>
              </w:rPr>
              <w:t>项目</w:t>
            </w:r>
          </w:p>
        </w:tc>
        <w:tc>
          <w:tcPr>
            <w:tcW w:w="3620" w:type="dxa"/>
            <w:tcBorders>
              <w:top w:val="single" w:color="auto" w:sz="8" w:space="0"/>
              <w:left w:val="nil"/>
              <w:bottom w:val="single" w:color="auto" w:sz="8" w:space="0"/>
              <w:right w:val="single" w:color="auto" w:sz="4" w:space="0"/>
            </w:tcBorders>
            <w:shd w:val="clear" w:color="auto" w:fill="auto"/>
            <w:noWrap/>
            <w:vAlign w:val="center"/>
          </w:tcPr>
          <w:p>
            <w:pPr>
              <w:widowControl/>
              <w:spacing w:line="240" w:lineRule="auto"/>
              <w:jc w:val="center"/>
              <w:rPr>
                <w:color w:val="0D0D0D"/>
                <w:kern w:val="0"/>
                <w:sz w:val="18"/>
              </w:rPr>
            </w:pPr>
            <w:r>
              <w:rPr>
                <w:color w:val="0D0D0D"/>
                <w:kern w:val="0"/>
                <w:sz w:val="18"/>
              </w:rPr>
              <w:t>育雏</w:t>
            </w:r>
            <w:r>
              <w:rPr>
                <w:rFonts w:hint="eastAsia"/>
                <w:color w:val="0D0D0D"/>
                <w:kern w:val="0"/>
                <w:sz w:val="18"/>
              </w:rPr>
              <w:t>期</w:t>
            </w:r>
          </w:p>
        </w:tc>
        <w:tc>
          <w:tcPr>
            <w:tcW w:w="3622" w:type="dxa"/>
            <w:tcBorders>
              <w:top w:val="single" w:color="auto" w:sz="8" w:space="0"/>
              <w:left w:val="nil"/>
              <w:bottom w:val="single" w:color="auto" w:sz="8" w:space="0"/>
              <w:right w:val="single" w:color="auto" w:sz="8" w:space="0"/>
            </w:tcBorders>
            <w:shd w:val="clear" w:color="auto" w:fill="auto"/>
            <w:noWrap/>
            <w:vAlign w:val="center"/>
          </w:tcPr>
          <w:p>
            <w:pPr>
              <w:widowControl/>
              <w:spacing w:line="240" w:lineRule="auto"/>
              <w:jc w:val="center"/>
              <w:rPr>
                <w:color w:val="0D0D0D"/>
                <w:kern w:val="0"/>
                <w:sz w:val="18"/>
              </w:rPr>
            </w:pPr>
            <w:r>
              <w:rPr>
                <w:rFonts w:hint="eastAsia"/>
                <w:color w:val="0D0D0D"/>
                <w:kern w:val="0"/>
                <w:sz w:val="18"/>
              </w:rPr>
              <w:t>生长育肥期</w:t>
            </w:r>
          </w:p>
        </w:tc>
      </w:tr>
      <w:tr>
        <w:tblPrEx>
          <w:tblCellMar>
            <w:top w:w="0" w:type="dxa"/>
            <w:left w:w="0" w:type="dxa"/>
            <w:bottom w:w="0" w:type="dxa"/>
            <w:right w:w="0" w:type="dxa"/>
          </w:tblCellMar>
        </w:tblPrEx>
        <w:trPr>
          <w:trHeight w:val="490" w:hRule="exact"/>
        </w:trPr>
        <w:tc>
          <w:tcPr>
            <w:tcW w:w="2568"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olor w:val="0D0D0D"/>
                <w:kern w:val="0"/>
                <w:sz w:val="18"/>
              </w:rPr>
            </w:pPr>
            <w:r>
              <w:rPr>
                <w:rFonts w:hint="eastAsia" w:ascii="宋体" w:hAnsi="宋体"/>
                <w:color w:val="0D0D0D"/>
                <w:kern w:val="0"/>
                <w:sz w:val="18"/>
              </w:rPr>
              <w:t>网</w:t>
            </w:r>
            <w:r>
              <w:rPr>
                <w:rFonts w:ascii="宋体" w:hAnsi="宋体"/>
                <w:color w:val="0D0D0D"/>
                <w:kern w:val="0"/>
                <w:sz w:val="18"/>
              </w:rPr>
              <w:t>床高度</w:t>
            </w:r>
            <w:r>
              <w:rPr>
                <w:rFonts w:hint="eastAsia" w:ascii="宋体" w:hAnsi="宋体"/>
                <w:color w:val="0D0D0D"/>
                <w:kern w:val="0"/>
                <w:sz w:val="18"/>
              </w:rPr>
              <w:t>，</w:t>
            </w:r>
            <w:r>
              <w:rPr>
                <w:rFonts w:ascii="宋体" w:hAnsi="宋体"/>
                <w:color w:val="0D0D0D"/>
                <w:kern w:val="0"/>
                <w:sz w:val="18"/>
              </w:rPr>
              <w:t>m</w:t>
            </w:r>
          </w:p>
        </w:tc>
        <w:tc>
          <w:tcPr>
            <w:tcW w:w="3620" w:type="dxa"/>
            <w:tcBorders>
              <w:top w:val="single" w:color="auto" w:sz="8"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olor w:val="0D0D0D"/>
                <w:kern w:val="0"/>
                <w:sz w:val="18"/>
              </w:rPr>
            </w:pPr>
            <w:r>
              <w:rPr>
                <w:rFonts w:ascii="宋体" w:hAnsi="宋体"/>
                <w:color w:val="0D0D0D"/>
                <w:kern w:val="0"/>
                <w:sz w:val="18"/>
              </w:rPr>
              <w:t>0.8</w:t>
            </w:r>
            <w:r>
              <w:rPr>
                <w:rFonts w:ascii="宋体" w:hAnsi="宋体"/>
                <w:color w:val="0D0D0D"/>
                <w:sz w:val="18"/>
              </w:rPr>
              <w:t>～</w:t>
            </w:r>
            <w:r>
              <w:rPr>
                <w:rFonts w:hint="eastAsia" w:ascii="宋体" w:hAnsi="宋体"/>
                <w:color w:val="0D0D0D"/>
                <w:sz w:val="18"/>
              </w:rPr>
              <w:t>1.</w:t>
            </w:r>
            <w:r>
              <w:rPr>
                <w:rFonts w:ascii="宋体" w:hAnsi="宋体"/>
                <w:color w:val="0D0D0D"/>
                <w:sz w:val="18"/>
              </w:rPr>
              <w:t>2</w:t>
            </w:r>
          </w:p>
        </w:tc>
        <w:tc>
          <w:tcPr>
            <w:tcW w:w="3622" w:type="dxa"/>
            <w:tcBorders>
              <w:top w:val="single" w:color="auto" w:sz="8" w:space="0"/>
              <w:left w:val="nil"/>
              <w:bottom w:val="single" w:color="auto" w:sz="4" w:space="0"/>
              <w:right w:val="single" w:color="auto" w:sz="8" w:space="0"/>
            </w:tcBorders>
            <w:shd w:val="clear" w:color="auto" w:fill="auto"/>
            <w:noWrap/>
            <w:vAlign w:val="center"/>
          </w:tcPr>
          <w:p>
            <w:pPr>
              <w:widowControl/>
              <w:spacing w:line="240" w:lineRule="auto"/>
              <w:jc w:val="center"/>
              <w:rPr>
                <w:rFonts w:ascii="宋体" w:hAnsi="宋体"/>
                <w:color w:val="0D0D0D"/>
                <w:kern w:val="0"/>
                <w:sz w:val="18"/>
              </w:rPr>
            </w:pPr>
            <w:r>
              <w:rPr>
                <w:rFonts w:ascii="宋体" w:hAnsi="宋体"/>
                <w:color w:val="0D0D0D"/>
                <w:kern w:val="0"/>
                <w:sz w:val="18"/>
              </w:rPr>
              <w:t>0.6</w:t>
            </w:r>
            <w:r>
              <w:rPr>
                <w:rFonts w:ascii="宋体" w:hAnsi="宋体"/>
                <w:color w:val="0D0D0D"/>
                <w:sz w:val="18"/>
              </w:rPr>
              <w:t>～</w:t>
            </w:r>
            <w:r>
              <w:rPr>
                <w:rFonts w:hint="eastAsia" w:ascii="宋体" w:hAnsi="宋体"/>
                <w:color w:val="0D0D0D"/>
                <w:sz w:val="18"/>
              </w:rPr>
              <w:t>1.</w:t>
            </w:r>
            <w:r>
              <w:rPr>
                <w:rFonts w:ascii="宋体" w:hAnsi="宋体"/>
                <w:color w:val="0D0D0D"/>
                <w:sz w:val="18"/>
              </w:rPr>
              <w:t>0</w:t>
            </w:r>
          </w:p>
        </w:tc>
      </w:tr>
      <w:tr>
        <w:tblPrEx>
          <w:tblCellMar>
            <w:top w:w="0" w:type="dxa"/>
            <w:left w:w="0" w:type="dxa"/>
            <w:bottom w:w="0" w:type="dxa"/>
            <w:right w:w="0" w:type="dxa"/>
          </w:tblCellMar>
        </w:tblPrEx>
        <w:trPr>
          <w:trHeight w:val="490" w:hRule="exact"/>
        </w:trPr>
        <w:tc>
          <w:tcPr>
            <w:tcW w:w="2568"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olor w:val="0D0D0D"/>
                <w:kern w:val="0"/>
                <w:sz w:val="18"/>
              </w:rPr>
            </w:pPr>
            <w:r>
              <w:rPr>
                <w:rFonts w:hint="eastAsia" w:ascii="宋体" w:hAnsi="宋体"/>
                <w:color w:val="0D0D0D"/>
                <w:kern w:val="0"/>
                <w:sz w:val="18"/>
              </w:rPr>
              <w:t>网</w:t>
            </w:r>
            <w:r>
              <w:rPr>
                <w:rFonts w:ascii="宋体" w:hAnsi="宋体"/>
                <w:color w:val="0D0D0D"/>
                <w:kern w:val="0"/>
                <w:sz w:val="18"/>
              </w:rPr>
              <w:t>床宽度</w:t>
            </w:r>
            <w:r>
              <w:rPr>
                <w:rFonts w:hint="eastAsia" w:ascii="宋体" w:hAnsi="宋体"/>
                <w:color w:val="0D0D0D"/>
                <w:kern w:val="0"/>
                <w:sz w:val="18"/>
              </w:rPr>
              <w:t>，</w:t>
            </w:r>
            <w:r>
              <w:rPr>
                <w:rFonts w:ascii="宋体" w:hAnsi="宋体"/>
                <w:color w:val="0D0D0D"/>
                <w:kern w:val="0"/>
                <w:sz w:val="18"/>
              </w:rPr>
              <w:t>m</w:t>
            </w:r>
          </w:p>
        </w:tc>
        <w:tc>
          <w:tcPr>
            <w:tcW w:w="362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olor w:val="0D0D0D"/>
                <w:kern w:val="0"/>
                <w:sz w:val="18"/>
              </w:rPr>
            </w:pPr>
            <w:r>
              <w:rPr>
                <w:rFonts w:ascii="宋体" w:hAnsi="宋体"/>
                <w:color w:val="0D0D0D"/>
                <w:kern w:val="0"/>
                <w:sz w:val="18"/>
              </w:rPr>
              <w:t>2.0～2.5</w:t>
            </w:r>
          </w:p>
        </w:tc>
        <w:tc>
          <w:tcPr>
            <w:tcW w:w="3622" w:type="dxa"/>
            <w:tcBorders>
              <w:top w:val="single" w:color="auto" w:sz="4" w:space="0"/>
              <w:left w:val="nil"/>
              <w:bottom w:val="single" w:color="auto" w:sz="4" w:space="0"/>
              <w:right w:val="single" w:color="auto" w:sz="8" w:space="0"/>
            </w:tcBorders>
            <w:shd w:val="clear" w:color="auto" w:fill="auto"/>
            <w:noWrap/>
            <w:vAlign w:val="center"/>
          </w:tcPr>
          <w:p>
            <w:pPr>
              <w:widowControl/>
              <w:spacing w:line="240" w:lineRule="auto"/>
              <w:jc w:val="center"/>
              <w:rPr>
                <w:rFonts w:ascii="宋体" w:hAnsi="宋体"/>
                <w:color w:val="0D0D0D"/>
                <w:kern w:val="0"/>
                <w:sz w:val="18"/>
              </w:rPr>
            </w:pPr>
            <w:r>
              <w:rPr>
                <w:rFonts w:ascii="宋体" w:hAnsi="宋体"/>
                <w:color w:val="0D0D0D"/>
                <w:kern w:val="0"/>
                <w:sz w:val="18"/>
              </w:rPr>
              <w:t>4.0～5.0</w:t>
            </w:r>
          </w:p>
        </w:tc>
      </w:tr>
      <w:tr>
        <w:trPr>
          <w:trHeight w:val="490" w:hRule="exact"/>
        </w:trPr>
        <w:tc>
          <w:tcPr>
            <w:tcW w:w="2568"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olor w:val="0D0D0D"/>
                <w:kern w:val="0"/>
                <w:sz w:val="18"/>
              </w:rPr>
            </w:pPr>
            <w:r>
              <w:rPr>
                <w:rFonts w:hint="eastAsia" w:ascii="宋体" w:hAnsi="宋体"/>
                <w:color w:val="0D0D0D"/>
                <w:kern w:val="0"/>
                <w:sz w:val="18"/>
              </w:rPr>
              <w:t>网</w:t>
            </w:r>
            <w:r>
              <w:rPr>
                <w:rFonts w:ascii="宋体" w:hAnsi="宋体"/>
                <w:color w:val="0D0D0D"/>
                <w:kern w:val="0"/>
                <w:sz w:val="18"/>
              </w:rPr>
              <w:t>床长度</w:t>
            </w:r>
            <w:r>
              <w:rPr>
                <w:rFonts w:hint="eastAsia" w:ascii="宋体" w:hAnsi="宋体"/>
                <w:color w:val="0D0D0D"/>
                <w:kern w:val="0"/>
                <w:sz w:val="18"/>
              </w:rPr>
              <w:t>，m</w:t>
            </w:r>
          </w:p>
        </w:tc>
        <w:tc>
          <w:tcPr>
            <w:tcW w:w="362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olor w:val="0D0D0D"/>
                <w:kern w:val="0"/>
                <w:sz w:val="18"/>
              </w:rPr>
            </w:pPr>
            <w:r>
              <w:rPr>
                <w:rFonts w:ascii="宋体" w:hAnsi="宋体"/>
                <w:color w:val="0D0D0D"/>
                <w:kern w:val="0"/>
                <w:sz w:val="18"/>
              </w:rPr>
              <w:t>比</w:t>
            </w:r>
            <w:r>
              <w:rPr>
                <w:rFonts w:hint="eastAsia" w:ascii="宋体" w:hAnsi="宋体"/>
                <w:color w:val="0D0D0D"/>
                <w:kern w:val="0"/>
                <w:sz w:val="18"/>
              </w:rPr>
              <w:t>鹅</w:t>
            </w:r>
            <w:r>
              <w:rPr>
                <w:rFonts w:ascii="宋体" w:hAnsi="宋体"/>
                <w:color w:val="0D0D0D"/>
                <w:kern w:val="0"/>
                <w:sz w:val="18"/>
              </w:rPr>
              <w:t>舍短</w:t>
            </w:r>
            <w:r>
              <w:rPr>
                <w:rFonts w:hint="eastAsia" w:ascii="宋体" w:hAnsi="宋体"/>
                <w:color w:val="0D0D0D"/>
                <w:kern w:val="0"/>
                <w:sz w:val="18"/>
              </w:rPr>
              <w:t>（</w:t>
            </w:r>
            <w:r>
              <w:rPr>
                <w:rFonts w:ascii="宋体" w:hAnsi="宋体"/>
                <w:color w:val="0D0D0D"/>
                <w:kern w:val="0"/>
                <w:sz w:val="18"/>
              </w:rPr>
              <w:t>2～4</w:t>
            </w:r>
            <w:r>
              <w:rPr>
                <w:rFonts w:hint="eastAsia" w:ascii="宋体" w:hAnsi="宋体"/>
                <w:color w:val="0D0D0D"/>
                <w:kern w:val="0"/>
                <w:sz w:val="18"/>
              </w:rPr>
              <w:t>）</w:t>
            </w:r>
            <w:r>
              <w:rPr>
                <w:rFonts w:ascii="宋体" w:hAnsi="宋体"/>
                <w:color w:val="0D0D0D"/>
                <w:kern w:val="0"/>
                <w:sz w:val="18"/>
              </w:rPr>
              <w:t>m</w:t>
            </w:r>
          </w:p>
        </w:tc>
        <w:tc>
          <w:tcPr>
            <w:tcW w:w="3622" w:type="dxa"/>
            <w:tcBorders>
              <w:top w:val="single" w:color="auto" w:sz="4" w:space="0"/>
              <w:left w:val="nil"/>
              <w:bottom w:val="single" w:color="auto" w:sz="4" w:space="0"/>
              <w:right w:val="single" w:color="auto" w:sz="8" w:space="0"/>
            </w:tcBorders>
            <w:shd w:val="clear" w:color="auto" w:fill="auto"/>
            <w:noWrap/>
            <w:vAlign w:val="center"/>
          </w:tcPr>
          <w:p>
            <w:pPr>
              <w:widowControl/>
              <w:spacing w:line="240" w:lineRule="auto"/>
              <w:jc w:val="center"/>
              <w:rPr>
                <w:rFonts w:ascii="宋体" w:hAnsi="宋体"/>
                <w:color w:val="0D0D0D"/>
                <w:kern w:val="0"/>
                <w:sz w:val="18"/>
              </w:rPr>
            </w:pPr>
            <w:r>
              <w:rPr>
                <w:rFonts w:ascii="宋体" w:hAnsi="宋体"/>
                <w:color w:val="0D0D0D"/>
                <w:kern w:val="0"/>
                <w:sz w:val="18"/>
              </w:rPr>
              <w:t>比</w:t>
            </w:r>
            <w:r>
              <w:rPr>
                <w:rFonts w:hint="eastAsia" w:ascii="宋体" w:hAnsi="宋体"/>
                <w:color w:val="0D0D0D"/>
                <w:kern w:val="0"/>
                <w:sz w:val="18"/>
              </w:rPr>
              <w:t>鹅</w:t>
            </w:r>
            <w:r>
              <w:rPr>
                <w:rFonts w:ascii="宋体" w:hAnsi="宋体"/>
                <w:color w:val="0D0D0D"/>
                <w:kern w:val="0"/>
                <w:sz w:val="18"/>
              </w:rPr>
              <w:t>舍短</w:t>
            </w:r>
            <w:r>
              <w:rPr>
                <w:rFonts w:hint="eastAsia" w:ascii="宋体" w:hAnsi="宋体"/>
                <w:color w:val="0D0D0D"/>
                <w:kern w:val="0"/>
                <w:sz w:val="18"/>
              </w:rPr>
              <w:t>（</w:t>
            </w:r>
            <w:r>
              <w:rPr>
                <w:rFonts w:ascii="宋体" w:hAnsi="宋体"/>
                <w:color w:val="0D0D0D"/>
                <w:kern w:val="0"/>
                <w:sz w:val="18"/>
              </w:rPr>
              <w:t>2～</w:t>
            </w:r>
            <w:r>
              <w:rPr>
                <w:rFonts w:hint="eastAsia" w:ascii="宋体" w:hAnsi="宋体"/>
                <w:color w:val="0D0D0D"/>
                <w:kern w:val="0"/>
                <w:sz w:val="18"/>
              </w:rPr>
              <w:t>5）</w:t>
            </w:r>
            <w:r>
              <w:rPr>
                <w:rFonts w:ascii="宋体" w:hAnsi="宋体"/>
                <w:color w:val="0D0D0D"/>
                <w:kern w:val="0"/>
                <w:sz w:val="18"/>
              </w:rPr>
              <w:t>m</w:t>
            </w:r>
          </w:p>
        </w:tc>
      </w:tr>
      <w:tr>
        <w:trPr>
          <w:trHeight w:val="490" w:hRule="exact"/>
        </w:trPr>
        <w:tc>
          <w:tcPr>
            <w:tcW w:w="2568"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olor w:val="0D0D0D"/>
                <w:kern w:val="0"/>
                <w:sz w:val="18"/>
              </w:rPr>
            </w:pPr>
            <w:r>
              <w:rPr>
                <w:rFonts w:hint="eastAsia" w:ascii="宋体" w:hAnsi="宋体"/>
                <w:color w:val="0D0D0D"/>
                <w:kern w:val="0"/>
                <w:sz w:val="18"/>
              </w:rPr>
              <w:t>围栏</w:t>
            </w:r>
            <w:r>
              <w:rPr>
                <w:rFonts w:ascii="宋体" w:hAnsi="宋体"/>
                <w:color w:val="0D0D0D"/>
                <w:kern w:val="0"/>
                <w:sz w:val="18"/>
              </w:rPr>
              <w:t>高度，</w:t>
            </w:r>
            <w:r>
              <w:rPr>
                <w:rFonts w:hint="eastAsia" w:ascii="宋体" w:hAnsi="宋体"/>
                <w:color w:val="0D0D0D"/>
                <w:kern w:val="0"/>
                <w:sz w:val="18"/>
              </w:rPr>
              <w:t>m</w:t>
            </w:r>
          </w:p>
        </w:tc>
        <w:tc>
          <w:tcPr>
            <w:tcW w:w="362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olor w:val="0D0D0D"/>
                <w:kern w:val="0"/>
                <w:sz w:val="18"/>
              </w:rPr>
            </w:pPr>
            <w:r>
              <w:rPr>
                <w:rFonts w:hint="eastAsia" w:ascii="宋体" w:hAnsi="宋体"/>
                <w:color w:val="0D0D0D"/>
                <w:kern w:val="0"/>
                <w:sz w:val="18"/>
              </w:rPr>
              <w:t>0.4</w:t>
            </w:r>
            <w:r>
              <w:rPr>
                <w:rFonts w:ascii="宋体" w:hAnsi="宋体"/>
                <w:color w:val="0D0D0D"/>
                <w:kern w:val="0"/>
                <w:sz w:val="18"/>
              </w:rPr>
              <w:t>～</w:t>
            </w:r>
            <w:r>
              <w:rPr>
                <w:rFonts w:hint="eastAsia" w:ascii="宋体" w:hAnsi="宋体"/>
                <w:color w:val="0D0D0D"/>
                <w:kern w:val="0"/>
                <w:sz w:val="18"/>
              </w:rPr>
              <w:t>0.6</w:t>
            </w:r>
          </w:p>
        </w:tc>
        <w:tc>
          <w:tcPr>
            <w:tcW w:w="3622" w:type="dxa"/>
            <w:tcBorders>
              <w:top w:val="single" w:color="auto" w:sz="4" w:space="0"/>
              <w:left w:val="nil"/>
              <w:bottom w:val="single" w:color="auto" w:sz="4" w:space="0"/>
              <w:right w:val="single" w:color="auto" w:sz="8" w:space="0"/>
            </w:tcBorders>
            <w:shd w:val="clear" w:color="auto" w:fill="auto"/>
            <w:noWrap/>
            <w:vAlign w:val="center"/>
          </w:tcPr>
          <w:p>
            <w:pPr>
              <w:widowControl/>
              <w:spacing w:line="240" w:lineRule="auto"/>
              <w:jc w:val="center"/>
              <w:rPr>
                <w:rFonts w:ascii="宋体" w:hAnsi="宋体"/>
                <w:color w:val="0D0D0D"/>
                <w:kern w:val="0"/>
                <w:sz w:val="18"/>
              </w:rPr>
            </w:pPr>
            <w:r>
              <w:rPr>
                <w:rFonts w:hint="eastAsia" w:ascii="宋体" w:hAnsi="宋体"/>
                <w:color w:val="0D0D0D"/>
                <w:kern w:val="0"/>
                <w:sz w:val="18"/>
              </w:rPr>
              <w:t>1.0</w:t>
            </w:r>
            <w:r>
              <w:rPr>
                <w:rFonts w:ascii="宋体" w:hAnsi="宋体"/>
                <w:color w:val="0D0D0D"/>
                <w:kern w:val="0"/>
                <w:sz w:val="18"/>
              </w:rPr>
              <w:t>～</w:t>
            </w:r>
            <w:r>
              <w:rPr>
                <w:rFonts w:hint="eastAsia" w:ascii="宋体" w:hAnsi="宋体"/>
                <w:color w:val="0D0D0D"/>
                <w:kern w:val="0"/>
                <w:sz w:val="18"/>
              </w:rPr>
              <w:t>1.2</w:t>
            </w:r>
          </w:p>
        </w:tc>
      </w:tr>
      <w:tr>
        <w:tblPrEx>
          <w:tblCellMar>
            <w:top w:w="0" w:type="dxa"/>
            <w:left w:w="0" w:type="dxa"/>
            <w:bottom w:w="0" w:type="dxa"/>
            <w:right w:w="0" w:type="dxa"/>
          </w:tblCellMar>
        </w:tblPrEx>
        <w:trPr>
          <w:trHeight w:val="490" w:hRule="exact"/>
        </w:trPr>
        <w:tc>
          <w:tcPr>
            <w:tcW w:w="2568"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240" w:lineRule="auto"/>
              <w:jc w:val="center"/>
              <w:rPr>
                <w:rFonts w:ascii="宋体" w:hAnsi="宋体"/>
                <w:color w:val="0D0D0D"/>
                <w:kern w:val="0"/>
                <w:sz w:val="18"/>
              </w:rPr>
            </w:pPr>
            <w:r>
              <w:rPr>
                <w:rFonts w:hint="eastAsia" w:ascii="宋体" w:hAnsi="宋体"/>
                <w:color w:val="0D0D0D"/>
                <w:kern w:val="0"/>
                <w:sz w:val="18"/>
              </w:rPr>
              <w:t>垫</w:t>
            </w:r>
            <w:r>
              <w:rPr>
                <w:rFonts w:ascii="宋体" w:hAnsi="宋体"/>
                <w:color w:val="0D0D0D"/>
                <w:kern w:val="0"/>
                <w:sz w:val="18"/>
              </w:rPr>
              <w:t>网</w:t>
            </w:r>
            <w:r>
              <w:rPr>
                <w:rFonts w:hint="eastAsia" w:ascii="宋体" w:hAnsi="宋体"/>
                <w:color w:val="0D0D0D"/>
                <w:kern w:val="0"/>
                <w:sz w:val="18"/>
              </w:rPr>
              <w:t>孔</w:t>
            </w:r>
            <w:r>
              <w:rPr>
                <w:rFonts w:ascii="宋体" w:hAnsi="宋体"/>
                <w:color w:val="0D0D0D"/>
                <w:kern w:val="0"/>
                <w:sz w:val="18"/>
              </w:rPr>
              <w:t>径</w:t>
            </w:r>
            <w:r>
              <w:rPr>
                <w:rFonts w:hint="eastAsia" w:ascii="宋体" w:hAnsi="宋体"/>
                <w:color w:val="0D0D0D"/>
                <w:kern w:val="0"/>
                <w:sz w:val="18"/>
              </w:rPr>
              <w:t>，</w:t>
            </w:r>
            <w:r>
              <w:rPr>
                <w:rFonts w:ascii="宋体" w:hAnsi="宋体"/>
                <w:color w:val="0D0D0D"/>
                <w:kern w:val="0"/>
                <w:sz w:val="18"/>
              </w:rPr>
              <w:t>m</w:t>
            </w:r>
            <w:r>
              <w:rPr>
                <w:rFonts w:hint="eastAsia" w:ascii="宋体" w:hAnsi="宋体"/>
                <w:color w:val="0D0D0D"/>
                <w:kern w:val="0"/>
                <w:sz w:val="18"/>
              </w:rPr>
              <w:t>m</w:t>
            </w:r>
          </w:p>
        </w:tc>
        <w:tc>
          <w:tcPr>
            <w:tcW w:w="3620" w:type="dxa"/>
            <w:tcBorders>
              <w:top w:val="single" w:color="auto" w:sz="4" w:space="0"/>
              <w:left w:val="nil"/>
              <w:bottom w:val="single" w:color="auto" w:sz="8" w:space="0"/>
              <w:right w:val="single" w:color="auto" w:sz="4" w:space="0"/>
            </w:tcBorders>
            <w:shd w:val="clear" w:color="auto" w:fill="auto"/>
            <w:noWrap/>
            <w:vAlign w:val="center"/>
          </w:tcPr>
          <w:p>
            <w:pPr>
              <w:widowControl/>
              <w:spacing w:line="240" w:lineRule="auto"/>
              <w:jc w:val="center"/>
              <w:rPr>
                <w:rFonts w:ascii="宋体" w:hAnsi="宋体"/>
                <w:color w:val="0D0D0D"/>
                <w:kern w:val="0"/>
                <w:sz w:val="18"/>
              </w:rPr>
            </w:pPr>
            <w:r>
              <w:rPr>
                <w:rFonts w:ascii="宋体" w:hAnsi="宋体"/>
                <w:color w:val="0D0D0D"/>
                <w:kern w:val="0"/>
                <w:sz w:val="18"/>
              </w:rPr>
              <w:t>12～15</w:t>
            </w:r>
          </w:p>
        </w:tc>
        <w:tc>
          <w:tcPr>
            <w:tcW w:w="3622" w:type="dxa"/>
            <w:tcBorders>
              <w:top w:val="single" w:color="auto" w:sz="4" w:space="0"/>
              <w:left w:val="nil"/>
              <w:bottom w:val="single" w:color="auto" w:sz="8" w:space="0"/>
              <w:right w:val="single" w:color="auto" w:sz="8" w:space="0"/>
            </w:tcBorders>
            <w:shd w:val="clear" w:color="auto" w:fill="auto"/>
            <w:noWrap/>
            <w:vAlign w:val="center"/>
          </w:tcPr>
          <w:p>
            <w:pPr>
              <w:widowControl/>
              <w:spacing w:line="240" w:lineRule="auto"/>
              <w:jc w:val="center"/>
              <w:rPr>
                <w:rFonts w:ascii="宋体" w:hAnsi="宋体"/>
                <w:color w:val="0D0D0D"/>
                <w:kern w:val="0"/>
                <w:sz w:val="18"/>
              </w:rPr>
            </w:pPr>
            <w:r>
              <w:rPr>
                <w:rFonts w:ascii="宋体" w:hAnsi="宋体"/>
                <w:color w:val="0D0D0D"/>
                <w:kern w:val="0"/>
                <w:sz w:val="18"/>
              </w:rPr>
              <w:t>15～20</w:t>
            </w:r>
          </w:p>
        </w:tc>
      </w:tr>
    </w:tbl>
    <w:p>
      <w:pPr>
        <w:pStyle w:val="56"/>
        <w:ind w:firstLine="420"/>
      </w:pPr>
    </w:p>
    <w:p>
      <w:pPr>
        <w:pStyle w:val="165"/>
        <w:rPr>
          <w:rFonts w:hint="eastAsia"/>
        </w:rPr>
      </w:pPr>
      <w:r>
        <w:rPr>
          <w:rFonts w:hint="eastAsia"/>
        </w:rPr>
        <w:t>粪污处理设施</w:t>
      </w:r>
    </w:p>
    <w:p>
      <w:pPr>
        <w:pStyle w:val="164"/>
      </w:pPr>
      <w:r>
        <w:rPr>
          <w:rFonts w:hint="eastAsia"/>
        </w:rPr>
        <w:t>粪水集中收集处理设施：鹅场内应设排污管道、粪水收集处理设施。舍内粪水沟、舍外排污管道、粪水收集处理设施应防雨防渗。</w:t>
      </w:r>
    </w:p>
    <w:p>
      <w:pPr>
        <w:pStyle w:val="164"/>
      </w:pPr>
      <w:r>
        <w:rPr>
          <w:rFonts w:hint="eastAsia"/>
        </w:rPr>
        <w:t>发酵床处理设施：采用上网下床的发酵床模式。用晒干后无毒无害且未发霉的锯木屑、花生壳、秸秆等按一定比例混合后，添加发酵床菌种，覆膜发酵（3～5）天，即可制成发酵床垫料。垫料铺撒总厚度为（35～45）cm。发酵床需每个月补充1次发酵菌种，以增加垫料的活性  ；垫料的使用寿命一般2年左右，垫料颜色发暗，质地变实，降解作用变差，应淘汰和更新。</w:t>
      </w:r>
    </w:p>
    <w:p>
      <w:pPr>
        <w:pStyle w:val="165"/>
      </w:pPr>
      <w:r>
        <w:rPr>
          <w:rFonts w:hint="eastAsia"/>
        </w:rPr>
        <w:t>喂料设备：采用长条形料槽或圆形料桶，宜采用自动喂料设备。应按3周龄以内每（30～40）只、3周龄以上每（10～15）只设置1个料桶。</w:t>
      </w:r>
    </w:p>
    <w:p>
      <w:pPr>
        <w:pStyle w:val="165"/>
      </w:pPr>
      <w:r>
        <w:rPr>
          <w:rFonts w:hint="eastAsia"/>
        </w:rPr>
        <w:t>饮水设备：育雏期宜采用乳头式或普拉松式自动饮水器。生长期和育肥期饮水区应设在靠近墙壁的网床一侧，远离采食、休息区。利用外径（7.5～11.0）cm的PVC管切割开孔制成饮水槽，内置球阀控制水位，并根据鹅的日龄调整水槽和水位。按（10～15）个/m设置饮水孔，孔径比鹅子喙部稍宽但头颈不能完全伸入水槽为宜。</w:t>
      </w:r>
    </w:p>
    <w:p>
      <w:pPr>
        <w:pStyle w:val="165"/>
      </w:pPr>
      <w:r>
        <w:rPr>
          <w:rFonts w:hint="eastAsia"/>
        </w:rPr>
        <w:t>通风换气设备：确保舍内肉鹅养殖数量达到最大时舍内环境质量达到NY／T 388的要求。</w:t>
      </w:r>
    </w:p>
    <w:p>
      <w:pPr>
        <w:pStyle w:val="104"/>
        <w:spacing w:before="312" w:after="312"/>
      </w:pPr>
      <w:bookmarkStart w:id="55" w:name="_Toc103264691"/>
      <w:bookmarkStart w:id="56" w:name="_Toc103264810"/>
      <w:r>
        <w:rPr>
          <w:rFonts w:hint="eastAsia"/>
        </w:rPr>
        <w:t>饲养管理</w:t>
      </w:r>
      <w:bookmarkEnd w:id="55"/>
      <w:bookmarkEnd w:id="56"/>
    </w:p>
    <w:p>
      <w:pPr>
        <w:pStyle w:val="105"/>
        <w:spacing w:before="156" w:after="156"/>
      </w:pPr>
      <w:bookmarkStart w:id="57" w:name="_Toc103264692"/>
      <w:r>
        <w:rPr>
          <w:rFonts w:hint="eastAsia"/>
        </w:rPr>
        <w:t>育雏期（1～4周龄）</w:t>
      </w:r>
      <w:bookmarkEnd w:id="57"/>
    </w:p>
    <w:p>
      <w:pPr>
        <w:pStyle w:val="165"/>
      </w:pPr>
      <w:r>
        <w:rPr>
          <w:rFonts w:hint="eastAsia"/>
        </w:rPr>
        <w:t>实行全进全出制度。</w:t>
      </w:r>
    </w:p>
    <w:p>
      <w:pPr>
        <w:pStyle w:val="165"/>
        <w:rPr>
          <w:rFonts w:hint="eastAsia"/>
        </w:rPr>
      </w:pPr>
      <w:r>
        <w:rPr>
          <w:rFonts w:hint="eastAsia"/>
        </w:rPr>
        <w:t>进雏前准备：进雏前应对育雏舍、养殖设施和用具进行清洗和消毒。消毒后应通风24h，其它养殖用具消毒后晾干。进雏前12h育雏室应升温，室内温度应保持（31～33）℃。</w:t>
      </w:r>
    </w:p>
    <w:p>
      <w:pPr>
        <w:pStyle w:val="165"/>
      </w:pPr>
      <w:r>
        <w:rPr>
          <w:rFonts w:hint="eastAsia"/>
        </w:rPr>
        <w:t>进雏：雏鹅应来自有种畜禽生产经营许可证且连续2年未发生重大疫病的种鹅场，并经动物检疫部门检疫合格。不得从疫区引进雏鹅。</w:t>
      </w:r>
    </w:p>
    <w:p>
      <w:pPr>
        <w:pStyle w:val="165"/>
      </w:pPr>
      <w:r>
        <w:rPr>
          <w:rFonts w:hint="eastAsia"/>
        </w:rPr>
        <w:t>选雏：应选择头大颈粗、躯大脚高、胸深背阔、腹部圆而脐部平整、眼突有神、喙爪光亮油润、绒毛柔软而紧贴身体、叫声响亮、反应机灵、活泼喜动的雏鹅。</w:t>
      </w:r>
    </w:p>
    <w:p>
      <w:pPr>
        <w:pStyle w:val="165"/>
      </w:pPr>
      <w:r>
        <w:rPr>
          <w:rFonts w:hint="eastAsia"/>
        </w:rPr>
        <w:t>温度和湿度：（1～7）日龄雏鹅舍内温度保持（28～32）℃,随后每周鹅舍内环境温度下降（2～4）℃，直至室温。鹅舍地面及网床应保持干燥，舍内相对湿度保持在（60～80）%。</w:t>
      </w:r>
    </w:p>
    <w:p>
      <w:pPr>
        <w:pStyle w:val="165"/>
      </w:pPr>
      <w:r>
        <w:rPr>
          <w:rFonts w:hint="eastAsia"/>
        </w:rPr>
        <w:t>光照：采用自然光照和人工光照相结合方式。出壳后前3天光照时间为24小时/天，光照强度为25lx；三天后每日光照时间逐渐减少，直至16h/天。</w:t>
      </w:r>
    </w:p>
    <w:p>
      <w:pPr>
        <w:pStyle w:val="165"/>
      </w:pPr>
      <w:r>
        <w:rPr>
          <w:rFonts w:hint="eastAsia"/>
        </w:rPr>
        <w:t>饲养密度：饲养密度参照表2执行。</w:t>
      </w:r>
    </w:p>
    <w:p>
      <w:pPr>
        <w:pStyle w:val="112"/>
        <w:spacing w:before="156" w:after="156"/>
        <w:rPr>
          <w:rFonts w:hint="eastAsia"/>
        </w:rPr>
      </w:pPr>
      <w:r>
        <w:rPr>
          <w:rFonts w:hint="eastAsia"/>
        </w:rPr>
        <w:t>肉鹅饲养密度参数</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3110" w:type="dxa"/>
            <w:vMerge w:val="restart"/>
            <w:tcBorders>
              <w:top w:val="single" w:color="auto" w:sz="8" w:space="0"/>
            </w:tcBorders>
            <w:shd w:val="clear" w:color="auto" w:fill="auto"/>
            <w:vAlign w:val="center"/>
          </w:tcPr>
          <w:p>
            <w:pPr>
              <w:pStyle w:val="178"/>
              <w:rPr>
                <w:rFonts w:hint="eastAsia"/>
              </w:rPr>
            </w:pPr>
            <w:r>
              <w:rPr>
                <w:rFonts w:hint="eastAsia"/>
              </w:rPr>
              <w:t>品种类型</w:t>
            </w:r>
          </w:p>
        </w:tc>
        <w:tc>
          <w:tcPr>
            <w:tcW w:w="6224" w:type="dxa"/>
            <w:gridSpan w:val="2"/>
            <w:tcBorders>
              <w:top w:val="single" w:color="auto" w:sz="8" w:space="0"/>
              <w:bottom w:val="single" w:color="auto" w:sz="8" w:space="0"/>
            </w:tcBorders>
            <w:shd w:val="clear" w:color="auto" w:fill="auto"/>
            <w:vAlign w:val="center"/>
          </w:tcPr>
          <w:p>
            <w:pPr>
              <w:pStyle w:val="178"/>
              <w:rPr>
                <w:rFonts w:hint="eastAsia"/>
              </w:rPr>
            </w:pPr>
            <w:r>
              <w:rPr>
                <w:rFonts w:hint="eastAsia"/>
              </w:rPr>
              <w:t>生长周期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rPr>
                <w:rFonts w:hint="eastAsia"/>
              </w:rPr>
            </w:pPr>
          </w:p>
        </w:tc>
        <w:tc>
          <w:tcPr>
            <w:tcW w:w="3112" w:type="dxa"/>
            <w:tcBorders>
              <w:top w:val="single" w:color="auto" w:sz="8" w:space="0"/>
            </w:tcBorders>
            <w:shd w:val="clear" w:color="auto" w:fill="auto"/>
            <w:vAlign w:val="center"/>
          </w:tcPr>
          <w:p>
            <w:pPr>
              <w:pStyle w:val="178"/>
              <w:rPr>
                <w:rFonts w:hint="eastAsia"/>
              </w:rPr>
            </w:pPr>
            <w:r>
              <w:rPr>
                <w:rFonts w:hint="eastAsia" w:hAnsi="宋体"/>
                <w:szCs w:val="18"/>
              </w:rPr>
              <w:t>育雏期（只/m</w:t>
            </w:r>
            <w:r>
              <w:rPr>
                <w:rFonts w:hint="eastAsia" w:hAnsi="宋体"/>
                <w:szCs w:val="18"/>
                <w:vertAlign w:val="superscript"/>
              </w:rPr>
              <w:t>2</w:t>
            </w:r>
            <w:r>
              <w:rPr>
                <w:rFonts w:hint="eastAsia" w:hAnsi="宋体"/>
                <w:szCs w:val="18"/>
              </w:rPr>
              <w:t>）</w:t>
            </w:r>
          </w:p>
        </w:tc>
        <w:tc>
          <w:tcPr>
            <w:tcW w:w="3112" w:type="dxa"/>
            <w:tcBorders>
              <w:top w:val="single" w:color="auto" w:sz="8" w:space="0"/>
            </w:tcBorders>
            <w:shd w:val="clear" w:color="auto" w:fill="auto"/>
            <w:vAlign w:val="center"/>
          </w:tcPr>
          <w:p>
            <w:pPr>
              <w:pStyle w:val="178"/>
              <w:rPr>
                <w:rFonts w:hint="eastAsia"/>
              </w:rPr>
            </w:pPr>
            <w:r>
              <w:rPr>
                <w:rFonts w:hint="eastAsia" w:hAnsi="宋体"/>
                <w:szCs w:val="18"/>
              </w:rPr>
              <w:t>生长育肥期（只/m</w:t>
            </w:r>
            <w:r>
              <w:rPr>
                <w:rFonts w:hint="eastAsia" w:hAnsi="宋体"/>
                <w:szCs w:val="18"/>
                <w:vertAlign w:val="superscript"/>
              </w:rPr>
              <w:t>2</w:t>
            </w:r>
            <w:r>
              <w:rPr>
                <w:rFonts w:hint="eastAsia" w:hAnsi="宋体"/>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shd w:val="clear" w:color="auto" w:fill="auto"/>
            <w:vAlign w:val="center"/>
          </w:tcPr>
          <w:p>
            <w:pPr>
              <w:pStyle w:val="178"/>
              <w:rPr>
                <w:rFonts w:hint="eastAsia"/>
              </w:rPr>
            </w:pPr>
            <w:r>
              <w:rPr>
                <w:rFonts w:hint="eastAsia"/>
                <w:szCs w:val="18"/>
              </w:rPr>
              <w:t>大型肉鹅品种</w:t>
            </w:r>
          </w:p>
        </w:tc>
        <w:tc>
          <w:tcPr>
            <w:tcW w:w="3112" w:type="dxa"/>
            <w:shd w:val="clear" w:color="auto" w:fill="auto"/>
            <w:vAlign w:val="center"/>
          </w:tcPr>
          <w:p>
            <w:pPr>
              <w:pStyle w:val="178"/>
              <w:rPr>
                <w:rFonts w:hint="eastAsia"/>
              </w:rPr>
            </w:pPr>
            <w:r>
              <w:rPr>
                <w:rFonts w:hint="eastAsia" w:hAnsi="宋体"/>
                <w:szCs w:val="18"/>
              </w:rPr>
              <w:t>≤</w:t>
            </w:r>
            <w:r>
              <w:rPr>
                <w:szCs w:val="18"/>
              </w:rPr>
              <w:t>8</w:t>
            </w:r>
          </w:p>
        </w:tc>
        <w:tc>
          <w:tcPr>
            <w:tcW w:w="3112" w:type="dxa"/>
            <w:shd w:val="clear" w:color="auto" w:fill="auto"/>
            <w:vAlign w:val="center"/>
          </w:tcPr>
          <w:p>
            <w:pPr>
              <w:pStyle w:val="178"/>
              <w:rPr>
                <w:rFonts w:hint="eastAsia"/>
              </w:rPr>
            </w:pPr>
            <w:r>
              <w:rPr>
                <w:rFonts w:hint="eastAsia"/>
                <w:szCs w:val="18"/>
              </w:rPr>
              <w:t>≤</w:t>
            </w:r>
            <w:r>
              <w:rPr>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shd w:val="clear" w:color="auto" w:fill="auto"/>
            <w:vAlign w:val="center"/>
          </w:tcPr>
          <w:p>
            <w:pPr>
              <w:pStyle w:val="178"/>
              <w:rPr>
                <w:rFonts w:hint="eastAsia"/>
              </w:rPr>
            </w:pPr>
            <w:r>
              <w:rPr>
                <w:rFonts w:hint="eastAsia"/>
                <w:szCs w:val="18"/>
              </w:rPr>
              <w:t>中型肉鹅品种</w:t>
            </w:r>
          </w:p>
        </w:tc>
        <w:tc>
          <w:tcPr>
            <w:tcW w:w="3112" w:type="dxa"/>
            <w:shd w:val="clear" w:color="auto" w:fill="auto"/>
            <w:vAlign w:val="center"/>
          </w:tcPr>
          <w:p>
            <w:pPr>
              <w:pStyle w:val="178"/>
              <w:rPr>
                <w:rFonts w:hint="eastAsia"/>
              </w:rPr>
            </w:pPr>
            <w:r>
              <w:rPr>
                <w:rFonts w:hint="eastAsia"/>
                <w:szCs w:val="18"/>
              </w:rPr>
              <w:t>≤</w:t>
            </w:r>
            <w:r>
              <w:rPr>
                <w:szCs w:val="18"/>
              </w:rPr>
              <w:t>10</w:t>
            </w:r>
          </w:p>
        </w:tc>
        <w:tc>
          <w:tcPr>
            <w:tcW w:w="3112" w:type="dxa"/>
            <w:shd w:val="clear" w:color="auto" w:fill="auto"/>
            <w:vAlign w:val="center"/>
          </w:tcPr>
          <w:p>
            <w:pPr>
              <w:pStyle w:val="178"/>
              <w:rPr>
                <w:rFonts w:hint="eastAsia"/>
              </w:rPr>
            </w:pPr>
            <w:r>
              <w:rPr>
                <w:rFonts w:hint="eastAsia"/>
                <w:szCs w:val="18"/>
              </w:rPr>
              <w:t>≤</w:t>
            </w:r>
            <w:r>
              <w:rPr>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shd w:val="clear" w:color="auto" w:fill="auto"/>
            <w:vAlign w:val="center"/>
          </w:tcPr>
          <w:p>
            <w:pPr>
              <w:pStyle w:val="178"/>
              <w:rPr>
                <w:rFonts w:hint="eastAsia"/>
              </w:rPr>
            </w:pPr>
            <w:r>
              <w:rPr>
                <w:rFonts w:hint="eastAsia"/>
                <w:szCs w:val="18"/>
              </w:rPr>
              <w:t>小型肉鹅品种</w:t>
            </w:r>
          </w:p>
        </w:tc>
        <w:tc>
          <w:tcPr>
            <w:tcW w:w="3112" w:type="dxa"/>
            <w:shd w:val="clear" w:color="auto" w:fill="auto"/>
            <w:vAlign w:val="center"/>
          </w:tcPr>
          <w:p>
            <w:pPr>
              <w:pStyle w:val="178"/>
              <w:rPr>
                <w:rFonts w:hint="eastAsia"/>
              </w:rPr>
            </w:pPr>
            <w:r>
              <w:rPr>
                <w:rFonts w:hint="eastAsia"/>
                <w:szCs w:val="18"/>
              </w:rPr>
              <w:t>≤</w:t>
            </w:r>
            <w:r>
              <w:rPr>
                <w:szCs w:val="18"/>
              </w:rPr>
              <w:t>12</w:t>
            </w:r>
          </w:p>
        </w:tc>
        <w:tc>
          <w:tcPr>
            <w:tcW w:w="3112" w:type="dxa"/>
            <w:shd w:val="clear" w:color="auto" w:fill="auto"/>
            <w:vAlign w:val="center"/>
          </w:tcPr>
          <w:p>
            <w:pPr>
              <w:pStyle w:val="178"/>
              <w:rPr>
                <w:rFonts w:hint="eastAsia"/>
              </w:rPr>
            </w:pPr>
            <w:r>
              <w:rPr>
                <w:rFonts w:hint="eastAsia"/>
                <w:szCs w:val="18"/>
              </w:rPr>
              <w:t>≤</w:t>
            </w:r>
            <w:r>
              <w:rPr>
                <w:szCs w:val="18"/>
              </w:rPr>
              <w:t>5</w:t>
            </w:r>
          </w:p>
        </w:tc>
      </w:tr>
    </w:tbl>
    <w:p>
      <w:pPr>
        <w:pStyle w:val="56"/>
        <w:ind w:firstLine="0" w:firstLineChars="0"/>
        <w:rPr>
          <w:rFonts w:hint="eastAsia"/>
        </w:rPr>
      </w:pPr>
    </w:p>
    <w:p>
      <w:pPr>
        <w:pStyle w:val="165"/>
      </w:pPr>
      <w:r>
        <w:rPr>
          <w:rFonts w:hint="eastAsia"/>
        </w:rPr>
        <w:t>饮水：雏鹅出生后24h左右第一次饮水，自由饮水，应确保饮水器不漏水。饮用水水质应符合NY 5027的要求，饮水中可以添加葡萄糖、电解质和多种维生素类添加剂。</w:t>
      </w:r>
    </w:p>
    <w:p>
      <w:pPr>
        <w:pStyle w:val="165"/>
      </w:pPr>
      <w:r>
        <w:rPr>
          <w:rFonts w:hint="eastAsia"/>
        </w:rPr>
        <w:t>喂料：第一次饮水后（0.5 ～1.0 ）h后喂料。开食饲料可选用适口性好的破碎料或湿拌料。每天饲喂（4～6）次，其中夜晚（1～2）次。饲料卫生指标应达到GB 13078的要求。</w:t>
      </w:r>
    </w:p>
    <w:p>
      <w:pPr>
        <w:pStyle w:val="105"/>
        <w:spacing w:before="156" w:after="156"/>
      </w:pPr>
      <w:bookmarkStart w:id="58" w:name="_Toc103264693"/>
      <w:r>
        <w:rPr>
          <w:rFonts w:hint="eastAsia"/>
        </w:rPr>
        <w:t>生长育肥期（4～10周龄）</w:t>
      </w:r>
      <w:bookmarkEnd w:id="58"/>
    </w:p>
    <w:p>
      <w:pPr>
        <w:pStyle w:val="165"/>
      </w:pPr>
      <w:r>
        <w:rPr>
          <w:rFonts w:hint="eastAsia"/>
        </w:rPr>
        <w:t>鹅舍准备：转群前，应先将鹅舍打扫干净，冲洗网床、地面、粪沟和养殖用具，再消毒。</w:t>
      </w:r>
    </w:p>
    <w:p>
      <w:pPr>
        <w:pStyle w:val="165"/>
        <w:rPr>
          <w:rFonts w:hint="eastAsia"/>
        </w:rPr>
      </w:pPr>
      <w:r>
        <w:rPr>
          <w:rFonts w:hint="eastAsia"/>
        </w:rPr>
        <w:t>转群和分群：应根据鹅的个体大小、强弱进行分群饲养，及时淘汰病残鹅。</w:t>
      </w:r>
    </w:p>
    <w:p>
      <w:pPr>
        <w:pStyle w:val="165"/>
      </w:pPr>
      <w:r>
        <w:rPr>
          <w:rFonts w:hint="eastAsia"/>
        </w:rPr>
        <w:t>光照：白天自然光照；夜晚补光（2～4）h，光照量由定时器与各种养殖专业灯（不同光照强度与颜色）控制，灯泡高度距网床上方（1.2～1.5）m，光照强度（5～10）Lux。全舍光照应均匀一致。</w:t>
      </w:r>
    </w:p>
    <w:p>
      <w:pPr>
        <w:pStyle w:val="165"/>
      </w:pPr>
      <w:r>
        <w:rPr>
          <w:rFonts w:hint="eastAsia"/>
        </w:rPr>
        <w:t>通风：采用自然通风与人工强制通风相结合方式。在保证鹅舍环境温度要求的同时，通风换气，使鹅舍内空气质量符合NY/T 388的要求。注意防止贼风和过堂风。</w:t>
      </w:r>
    </w:p>
    <w:p>
      <w:pPr>
        <w:pStyle w:val="165"/>
      </w:pPr>
      <w:r>
        <w:rPr>
          <w:rFonts w:hint="eastAsia"/>
        </w:rPr>
        <w:t>饲喂与饮水：每天应饲喂（3～4）次，每次添料根据需要确定，尽量保持饲料新鲜，防止饲料发生霉变。全天自由饮水，水质符合NY 5027的规定。</w:t>
      </w:r>
    </w:p>
    <w:p>
      <w:pPr>
        <w:pStyle w:val="165"/>
      </w:pPr>
      <w:r>
        <w:rPr>
          <w:rFonts w:hint="eastAsia"/>
        </w:rPr>
        <w:t>上市前2周左右，视鹅的体况决定是否驱虫一次。驱虫药物应该符合NY/T 5030的规定。</w:t>
      </w:r>
    </w:p>
    <w:p>
      <w:pPr>
        <w:pStyle w:val="104"/>
        <w:spacing w:before="312" w:after="312"/>
      </w:pPr>
      <w:bookmarkStart w:id="59" w:name="_Toc103264811"/>
      <w:bookmarkStart w:id="60" w:name="_Toc103264694"/>
      <w:r>
        <w:rPr>
          <w:rFonts w:hint="eastAsia"/>
        </w:rPr>
        <w:t>卫生管理</w:t>
      </w:r>
      <w:bookmarkEnd w:id="59"/>
      <w:bookmarkEnd w:id="60"/>
      <w:r>
        <w:rPr>
          <w:rFonts w:hint="eastAsia"/>
        </w:rPr>
        <w:t xml:space="preserve"> </w:t>
      </w:r>
    </w:p>
    <w:p>
      <w:pPr>
        <w:pStyle w:val="162"/>
      </w:pPr>
      <w:r>
        <w:rPr>
          <w:rFonts w:hint="eastAsia"/>
        </w:rPr>
        <w:t>消毒剂使用应符合GB/T 16569和NY 5030的规定。</w:t>
      </w:r>
    </w:p>
    <w:p>
      <w:pPr>
        <w:pStyle w:val="162"/>
      </w:pPr>
      <w:r>
        <w:rPr>
          <w:rFonts w:hint="eastAsia"/>
        </w:rPr>
        <w:t>车辆进入鹅场冲洗后通过消毒池，并对车身喷雾消毒。</w:t>
      </w:r>
    </w:p>
    <w:p>
      <w:pPr>
        <w:pStyle w:val="162"/>
      </w:pPr>
      <w:r>
        <w:rPr>
          <w:rFonts w:hint="eastAsia"/>
        </w:rPr>
        <w:t>鹅舍周围环境每2周消毒1次。鹅场周围及场内粪污池和下水道出口等每月消毒1次。</w:t>
      </w:r>
    </w:p>
    <w:p>
      <w:pPr>
        <w:pStyle w:val="162"/>
      </w:pPr>
      <w:r>
        <w:rPr>
          <w:rFonts w:hint="eastAsia"/>
        </w:rPr>
        <w:t>外来人员进场须更换一次性防疫服和工作鞋，经紫外线照射或超声波雾化消毒后方可进入生产区。工作人员须更换工作服和工作鞋。</w:t>
      </w:r>
    </w:p>
    <w:p>
      <w:pPr>
        <w:pStyle w:val="162"/>
      </w:pPr>
      <w:r>
        <w:rPr>
          <w:rFonts w:hint="eastAsia"/>
        </w:rPr>
        <w:t>鹅舍清空后应立即清洗、消毒，关闭密封（3～7）天后方可使用，期间防止其它动物进入舍内。</w:t>
      </w:r>
    </w:p>
    <w:p>
      <w:pPr>
        <w:pStyle w:val="162"/>
      </w:pPr>
      <w:r>
        <w:rPr>
          <w:rFonts w:hint="eastAsia"/>
        </w:rPr>
        <w:t>定期清洗、消毒喂料和饮水等用具。</w:t>
      </w:r>
    </w:p>
    <w:p>
      <w:pPr>
        <w:pStyle w:val="162"/>
      </w:pPr>
      <w:r>
        <w:rPr>
          <w:rFonts w:hint="eastAsia"/>
        </w:rPr>
        <w:t>鹅舍每（1～2）周带鹅消毒和场地消毒各1次，周边养殖场发生疫情时，应每隔（1～2）天消毒1次。</w:t>
      </w:r>
    </w:p>
    <w:p>
      <w:pPr>
        <w:pStyle w:val="162"/>
      </w:pPr>
      <w:r>
        <w:rPr>
          <w:rFonts w:hint="eastAsia"/>
        </w:rPr>
        <w:t>应及时清粪，每天清粪1次，保持舍内干燥，定期更换垫料。</w:t>
      </w:r>
    </w:p>
    <w:p>
      <w:pPr>
        <w:pStyle w:val="104"/>
        <w:spacing w:before="312" w:after="312"/>
      </w:pPr>
      <w:bookmarkStart w:id="61" w:name="_Toc103264812"/>
      <w:bookmarkStart w:id="62" w:name="_Toc103264695"/>
      <w:r>
        <w:rPr>
          <w:rFonts w:hint="eastAsia"/>
        </w:rPr>
        <w:t>日常管理</w:t>
      </w:r>
      <w:bookmarkEnd w:id="61"/>
      <w:bookmarkEnd w:id="62"/>
    </w:p>
    <w:p>
      <w:pPr>
        <w:pStyle w:val="162"/>
      </w:pPr>
      <w:r>
        <w:rPr>
          <w:rFonts w:hint="eastAsia"/>
        </w:rPr>
        <w:t>防止鸟和鼠进入鹅舍，定期灭鼠。及时收集死鼠、死鸟和残余鼠药进行无害化处理。</w:t>
      </w:r>
    </w:p>
    <w:p>
      <w:pPr>
        <w:pStyle w:val="162"/>
      </w:pPr>
      <w:r>
        <w:rPr>
          <w:rFonts w:hint="eastAsia"/>
        </w:rPr>
        <w:t>定期采用高效低毒化学药物杀虫，防止昆虫传播疾病，应避免杀虫剂喷洒到饮水、饲料中和鹅体上。</w:t>
      </w:r>
    </w:p>
    <w:p>
      <w:pPr>
        <w:pStyle w:val="162"/>
      </w:pPr>
      <w:r>
        <w:rPr>
          <w:rFonts w:hint="eastAsia"/>
        </w:rPr>
        <w:t>新员工上岗前须进行体检和技术培训，合格后方可上岗。定期对员工进行技术培训。</w:t>
      </w:r>
    </w:p>
    <w:p>
      <w:pPr>
        <w:pStyle w:val="162"/>
      </w:pPr>
      <w:r>
        <w:rPr>
          <w:rFonts w:hint="eastAsia"/>
        </w:rPr>
        <w:t>建立员工健康档案，所有员工至少每年进行1次健康检查。禁止患有人畜共患传染病的人员从事饲养管理和兽医防疫工作。</w:t>
      </w:r>
    </w:p>
    <w:p>
      <w:pPr>
        <w:pStyle w:val="162"/>
      </w:pPr>
      <w:r>
        <w:rPr>
          <w:rFonts w:hint="eastAsia"/>
        </w:rPr>
        <w:t>舍内工具应定点存放，不得互相串用，进舍的所有用具必须消毒。</w:t>
      </w:r>
    </w:p>
    <w:p>
      <w:pPr>
        <w:pStyle w:val="162"/>
      </w:pPr>
      <w:r>
        <w:rPr>
          <w:rFonts w:hint="eastAsia"/>
        </w:rPr>
        <w:t>鹅场内不得饲养其他动物。</w:t>
      </w:r>
    </w:p>
    <w:p>
      <w:pPr>
        <w:pStyle w:val="104"/>
        <w:spacing w:before="312" w:after="312"/>
      </w:pPr>
      <w:bookmarkStart w:id="63" w:name="_Toc103264813"/>
      <w:bookmarkStart w:id="64" w:name="_Toc103264696"/>
      <w:r>
        <w:rPr>
          <w:rFonts w:hint="eastAsia"/>
        </w:rPr>
        <w:t>疾病防治</w:t>
      </w:r>
      <w:bookmarkEnd w:id="63"/>
      <w:bookmarkEnd w:id="64"/>
      <w:r>
        <w:rPr>
          <w:rFonts w:hint="eastAsia"/>
        </w:rPr>
        <w:t xml:space="preserve"> </w:t>
      </w:r>
    </w:p>
    <w:p>
      <w:pPr>
        <w:pStyle w:val="162"/>
      </w:pPr>
      <w:r>
        <w:rPr>
          <w:rFonts w:hint="eastAsia"/>
        </w:rPr>
        <w:t>应符合NY 5266的规定。</w:t>
      </w:r>
    </w:p>
    <w:p>
      <w:pPr>
        <w:pStyle w:val="162"/>
      </w:pPr>
      <w:r>
        <w:rPr>
          <w:rFonts w:hint="eastAsia"/>
        </w:rPr>
        <w:t>应结合本场及周边地区疫病流行情况制定合理的免疫程序，进行预防接种。可参考表3设定免疫程序。</w:t>
      </w:r>
    </w:p>
    <w:p>
      <w:pPr>
        <w:pStyle w:val="112"/>
        <w:spacing w:before="156" w:after="156"/>
      </w:pPr>
      <w:r>
        <w:rPr>
          <w:rFonts w:hint="eastAsia"/>
        </w:rPr>
        <w:t>肉鹅推荐免疫程序表</w:t>
      </w:r>
    </w:p>
    <w:tbl>
      <w:tblPr>
        <w:tblStyle w:val="26"/>
        <w:tblW w:w="92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95"/>
        <w:gridCol w:w="1559"/>
        <w:gridCol w:w="3402"/>
        <w:gridCol w:w="34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95" w:type="dxa"/>
            <w:tcBorders>
              <w:top w:val="single" w:color="auto" w:sz="8" w:space="0"/>
              <w:bottom w:val="single" w:color="auto" w:sz="8" w:space="0"/>
            </w:tcBorders>
            <w:shd w:val="clear" w:color="auto" w:fill="auto"/>
            <w:vAlign w:val="center"/>
          </w:tcPr>
          <w:p>
            <w:pPr>
              <w:pStyle w:val="230"/>
              <w:ind w:firstLine="0" w:firstLineChars="0"/>
              <w:jc w:val="left"/>
              <w:rPr>
                <w:rFonts w:hint="eastAsia"/>
                <w:sz w:val="18"/>
                <w:szCs w:val="21"/>
              </w:rPr>
            </w:pPr>
            <w:r>
              <w:rPr>
                <w:rFonts w:hint="eastAsia"/>
                <w:sz w:val="18"/>
                <w:szCs w:val="21"/>
              </w:rPr>
              <w:t>日龄</w:t>
            </w:r>
          </w:p>
        </w:tc>
        <w:tc>
          <w:tcPr>
            <w:tcW w:w="1559" w:type="dxa"/>
            <w:tcBorders>
              <w:top w:val="single" w:color="auto" w:sz="8" w:space="0"/>
              <w:bottom w:val="single" w:color="auto" w:sz="8" w:space="0"/>
            </w:tcBorders>
            <w:shd w:val="clear" w:color="auto" w:fill="auto"/>
            <w:vAlign w:val="center"/>
          </w:tcPr>
          <w:p>
            <w:pPr>
              <w:pStyle w:val="230"/>
              <w:ind w:firstLine="0" w:firstLineChars="0"/>
              <w:jc w:val="center"/>
              <w:rPr>
                <w:rFonts w:hint="eastAsia" w:hAnsi="宋体"/>
                <w:sz w:val="18"/>
                <w:szCs w:val="21"/>
              </w:rPr>
            </w:pPr>
            <w:r>
              <w:rPr>
                <w:rFonts w:hint="eastAsia" w:hAnsi="宋体"/>
                <w:sz w:val="18"/>
                <w:szCs w:val="21"/>
              </w:rPr>
              <w:t>防疫疾病</w:t>
            </w:r>
          </w:p>
        </w:tc>
        <w:tc>
          <w:tcPr>
            <w:tcW w:w="3402" w:type="dxa"/>
            <w:tcBorders>
              <w:top w:val="single" w:color="auto" w:sz="8" w:space="0"/>
              <w:bottom w:val="single" w:color="auto" w:sz="8" w:space="0"/>
            </w:tcBorders>
            <w:shd w:val="clear" w:color="auto" w:fill="auto"/>
            <w:vAlign w:val="center"/>
          </w:tcPr>
          <w:p>
            <w:pPr>
              <w:pStyle w:val="230"/>
              <w:ind w:firstLine="28" w:firstLineChars="16"/>
              <w:jc w:val="center"/>
              <w:rPr>
                <w:rFonts w:hint="eastAsia" w:hAnsi="宋体"/>
                <w:sz w:val="18"/>
                <w:szCs w:val="21"/>
              </w:rPr>
            </w:pPr>
            <w:r>
              <w:rPr>
                <w:rFonts w:hint="eastAsia" w:hAnsi="宋体"/>
                <w:sz w:val="18"/>
                <w:szCs w:val="21"/>
              </w:rPr>
              <w:t>疫苗种类及用法</w:t>
            </w:r>
          </w:p>
        </w:tc>
        <w:tc>
          <w:tcPr>
            <w:tcW w:w="3487" w:type="dxa"/>
            <w:tcBorders>
              <w:top w:val="single" w:color="auto" w:sz="8" w:space="0"/>
              <w:bottom w:val="single" w:color="auto" w:sz="8" w:space="0"/>
            </w:tcBorders>
            <w:shd w:val="clear" w:color="auto" w:fill="auto"/>
            <w:vAlign w:val="center"/>
          </w:tcPr>
          <w:p>
            <w:pPr>
              <w:pStyle w:val="230"/>
              <w:ind w:firstLine="27" w:firstLineChars="15"/>
              <w:jc w:val="center"/>
              <w:rPr>
                <w:rFonts w:hint="eastAsia" w:hAnsi="宋体"/>
                <w:sz w:val="18"/>
                <w:szCs w:val="21"/>
              </w:rPr>
            </w:pPr>
            <w:r>
              <w:rPr>
                <w:rFonts w:hint="eastAsia" w:hAnsi="宋体"/>
                <w:sz w:val="18"/>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95" w:type="dxa"/>
            <w:tcBorders>
              <w:top w:val="single" w:color="auto" w:sz="8" w:space="0"/>
            </w:tcBorders>
            <w:shd w:val="clear" w:color="auto" w:fill="auto"/>
            <w:vAlign w:val="center"/>
          </w:tcPr>
          <w:p>
            <w:pPr>
              <w:pStyle w:val="230"/>
              <w:ind w:firstLine="28" w:firstLineChars="16"/>
              <w:jc w:val="center"/>
              <w:rPr>
                <w:rFonts w:hint="eastAsia"/>
                <w:sz w:val="18"/>
                <w:szCs w:val="21"/>
              </w:rPr>
            </w:pPr>
            <w:r>
              <w:rPr>
                <w:rFonts w:hint="eastAsia"/>
                <w:sz w:val="18"/>
                <w:szCs w:val="21"/>
              </w:rPr>
              <w:t>1</w:t>
            </w:r>
            <w:r>
              <w:rPr>
                <w:rFonts w:hint="eastAsia" w:ascii="Times New Roman"/>
                <w:color w:val="0D0D0D"/>
                <w:sz w:val="18"/>
                <w:szCs w:val="24"/>
              </w:rPr>
              <w:t>～3</w:t>
            </w:r>
          </w:p>
        </w:tc>
        <w:tc>
          <w:tcPr>
            <w:tcW w:w="1559" w:type="dxa"/>
            <w:tcBorders>
              <w:top w:val="single" w:color="auto" w:sz="8" w:space="0"/>
            </w:tcBorders>
            <w:shd w:val="clear" w:color="auto" w:fill="auto"/>
            <w:vAlign w:val="center"/>
          </w:tcPr>
          <w:p>
            <w:pPr>
              <w:pStyle w:val="230"/>
              <w:ind w:firstLine="0" w:firstLineChars="0"/>
              <w:jc w:val="center"/>
              <w:rPr>
                <w:rFonts w:hAnsi="宋体"/>
                <w:sz w:val="18"/>
                <w:szCs w:val="21"/>
              </w:rPr>
            </w:pPr>
            <w:r>
              <w:rPr>
                <w:rFonts w:hint="eastAsia" w:hAnsi="宋体"/>
                <w:sz w:val="18"/>
                <w:szCs w:val="21"/>
              </w:rPr>
              <w:t>小鹅瘟</w:t>
            </w:r>
          </w:p>
          <w:p>
            <w:pPr>
              <w:pStyle w:val="230"/>
              <w:ind w:firstLine="0" w:firstLineChars="0"/>
              <w:jc w:val="center"/>
              <w:rPr>
                <w:rFonts w:hAnsi="宋体"/>
                <w:sz w:val="18"/>
                <w:szCs w:val="21"/>
              </w:rPr>
            </w:pPr>
            <w:r>
              <w:rPr>
                <w:rFonts w:hint="eastAsia" w:hAnsi="宋体"/>
                <w:sz w:val="18"/>
                <w:szCs w:val="21"/>
              </w:rPr>
              <w:t>鹅副黏病毒</w:t>
            </w:r>
          </w:p>
          <w:p>
            <w:pPr>
              <w:pStyle w:val="230"/>
              <w:ind w:firstLine="0" w:firstLineChars="0"/>
              <w:jc w:val="center"/>
              <w:rPr>
                <w:rFonts w:hint="eastAsia"/>
                <w:sz w:val="18"/>
                <w:szCs w:val="21"/>
              </w:rPr>
            </w:pPr>
            <w:r>
              <w:rPr>
                <w:rFonts w:hint="eastAsia" w:hAnsi="宋体"/>
                <w:sz w:val="18"/>
                <w:szCs w:val="21"/>
              </w:rPr>
              <w:t>禽流感</w:t>
            </w:r>
          </w:p>
        </w:tc>
        <w:tc>
          <w:tcPr>
            <w:tcW w:w="3402" w:type="dxa"/>
            <w:tcBorders>
              <w:top w:val="single" w:color="auto" w:sz="8" w:space="0"/>
            </w:tcBorders>
            <w:shd w:val="clear" w:color="auto" w:fill="auto"/>
            <w:vAlign w:val="center"/>
          </w:tcPr>
          <w:p>
            <w:pPr>
              <w:pStyle w:val="230"/>
              <w:ind w:firstLine="0" w:firstLineChars="0"/>
              <w:jc w:val="center"/>
              <w:rPr>
                <w:rFonts w:hint="eastAsia"/>
                <w:sz w:val="18"/>
                <w:szCs w:val="21"/>
              </w:rPr>
            </w:pPr>
            <w:r>
              <w:rPr>
                <w:rFonts w:hint="eastAsia"/>
                <w:sz w:val="18"/>
                <w:szCs w:val="21"/>
              </w:rPr>
              <w:t>小鹅瘟-鹅副黏病毒-禽流感三联灭活油佐剂苗0</w:t>
            </w:r>
            <w:r>
              <w:rPr>
                <w:sz w:val="18"/>
                <w:szCs w:val="21"/>
              </w:rPr>
              <w:t>.3</w:t>
            </w:r>
            <w:r>
              <w:rPr>
                <w:rFonts w:hint="eastAsia"/>
                <w:sz w:val="18"/>
                <w:szCs w:val="21"/>
              </w:rPr>
              <w:t>毫升/羽，皮下注射；小鹅瘟-鹅副黏病毒二联高免血清0</w:t>
            </w:r>
            <w:r>
              <w:rPr>
                <w:sz w:val="18"/>
                <w:szCs w:val="21"/>
              </w:rPr>
              <w:t>.5</w:t>
            </w:r>
            <w:r>
              <w:rPr>
                <w:rFonts w:hint="eastAsia"/>
                <w:sz w:val="18"/>
                <w:szCs w:val="21"/>
              </w:rPr>
              <w:t>毫升/羽，肌内注射</w:t>
            </w:r>
          </w:p>
        </w:tc>
        <w:tc>
          <w:tcPr>
            <w:tcW w:w="3487" w:type="dxa"/>
            <w:tcBorders>
              <w:top w:val="single" w:color="auto" w:sz="8" w:space="0"/>
            </w:tcBorders>
            <w:shd w:val="clear" w:color="auto" w:fill="auto"/>
            <w:vAlign w:val="center"/>
          </w:tcPr>
          <w:p>
            <w:pPr>
              <w:pStyle w:val="230"/>
              <w:ind w:firstLine="27" w:firstLineChars="15"/>
              <w:jc w:val="center"/>
              <w:rPr>
                <w:rFonts w:hint="eastAsia"/>
                <w:sz w:val="18"/>
                <w:szCs w:val="21"/>
              </w:rPr>
            </w:pPr>
            <w:r>
              <w:rPr>
                <w:rFonts w:hint="eastAsia"/>
                <w:sz w:val="18"/>
                <w:szCs w:val="21"/>
              </w:rPr>
              <w:t>抗体油苗同时应用，抗体可保护（1～1</w:t>
            </w:r>
            <w:r>
              <w:rPr>
                <w:sz w:val="18"/>
                <w:szCs w:val="21"/>
              </w:rPr>
              <w:t>4</w:t>
            </w:r>
            <w:r>
              <w:rPr>
                <w:rFonts w:hint="eastAsia"/>
                <w:sz w:val="18"/>
                <w:szCs w:val="21"/>
              </w:rPr>
              <w:t>）天，油苗（1</w:t>
            </w:r>
            <w:r>
              <w:rPr>
                <w:sz w:val="18"/>
                <w:szCs w:val="21"/>
              </w:rPr>
              <w:t>0</w:t>
            </w:r>
            <w:r>
              <w:rPr>
                <w:rFonts w:hint="eastAsia"/>
                <w:sz w:val="18"/>
                <w:szCs w:val="21"/>
              </w:rPr>
              <w:t>～1</w:t>
            </w:r>
            <w:r>
              <w:rPr>
                <w:sz w:val="18"/>
                <w:szCs w:val="21"/>
              </w:rPr>
              <w:t>5</w:t>
            </w:r>
            <w:r>
              <w:rPr>
                <w:rFonts w:hint="eastAsia"/>
                <w:sz w:val="18"/>
                <w:szCs w:val="21"/>
              </w:rPr>
              <w:t>）天起效，两者恰好衔接。抗体可为高免血清或高免卵黄液。抗体内最好加入些抗生素、氢考类药物以防注射污染及降低应激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95" w:type="dxa"/>
            <w:shd w:val="clear" w:color="auto" w:fill="auto"/>
            <w:vAlign w:val="center"/>
          </w:tcPr>
          <w:p>
            <w:pPr>
              <w:pStyle w:val="230"/>
              <w:ind w:firstLine="28" w:firstLineChars="16"/>
              <w:jc w:val="center"/>
              <w:rPr>
                <w:rFonts w:hint="eastAsia"/>
                <w:sz w:val="18"/>
                <w:szCs w:val="21"/>
              </w:rPr>
            </w:pPr>
            <w:r>
              <w:rPr>
                <w:sz w:val="18"/>
                <w:szCs w:val="21"/>
              </w:rPr>
              <w:t>8</w:t>
            </w:r>
            <w:r>
              <w:rPr>
                <w:rFonts w:hint="eastAsia" w:ascii="Times New Roman"/>
                <w:color w:val="0D0D0D"/>
                <w:sz w:val="18"/>
                <w:szCs w:val="24"/>
              </w:rPr>
              <w:t>～</w:t>
            </w:r>
            <w:r>
              <w:rPr>
                <w:rFonts w:ascii="Times New Roman"/>
                <w:color w:val="0D0D0D"/>
                <w:sz w:val="18"/>
                <w:szCs w:val="24"/>
              </w:rPr>
              <w:t>10</w:t>
            </w:r>
          </w:p>
        </w:tc>
        <w:tc>
          <w:tcPr>
            <w:tcW w:w="1559" w:type="dxa"/>
            <w:shd w:val="clear" w:color="auto" w:fill="auto"/>
            <w:vAlign w:val="center"/>
          </w:tcPr>
          <w:p>
            <w:pPr>
              <w:pStyle w:val="230"/>
              <w:ind w:firstLine="0" w:firstLineChars="0"/>
              <w:jc w:val="center"/>
              <w:rPr>
                <w:rFonts w:hAnsi="宋体"/>
                <w:sz w:val="18"/>
                <w:szCs w:val="21"/>
              </w:rPr>
            </w:pPr>
            <w:r>
              <w:rPr>
                <w:rFonts w:hint="eastAsia" w:hAnsi="宋体"/>
                <w:sz w:val="18"/>
                <w:szCs w:val="21"/>
              </w:rPr>
              <w:t>鹅副黏病毒</w:t>
            </w:r>
          </w:p>
          <w:p>
            <w:pPr>
              <w:pStyle w:val="230"/>
              <w:ind w:firstLine="0" w:firstLineChars="0"/>
              <w:jc w:val="center"/>
              <w:rPr>
                <w:rFonts w:hint="eastAsia"/>
                <w:sz w:val="18"/>
                <w:szCs w:val="21"/>
              </w:rPr>
            </w:pPr>
            <w:r>
              <w:rPr>
                <w:rFonts w:hint="eastAsia" w:hAnsi="宋体"/>
                <w:sz w:val="18"/>
                <w:szCs w:val="21"/>
              </w:rPr>
              <w:t>禽流感</w:t>
            </w:r>
          </w:p>
        </w:tc>
        <w:tc>
          <w:tcPr>
            <w:tcW w:w="3402" w:type="dxa"/>
            <w:shd w:val="clear" w:color="auto" w:fill="auto"/>
            <w:vAlign w:val="center"/>
          </w:tcPr>
          <w:p>
            <w:pPr>
              <w:pStyle w:val="230"/>
              <w:ind w:firstLine="0" w:firstLineChars="0"/>
              <w:jc w:val="center"/>
              <w:rPr>
                <w:rFonts w:hint="eastAsia"/>
                <w:sz w:val="18"/>
                <w:szCs w:val="21"/>
              </w:rPr>
            </w:pPr>
            <w:r>
              <w:rPr>
                <w:rFonts w:hint="eastAsia"/>
                <w:sz w:val="18"/>
                <w:szCs w:val="21"/>
              </w:rPr>
              <w:t>鹅副黏病毒-禽流感（H</w:t>
            </w:r>
            <w:r>
              <w:rPr>
                <w:sz w:val="18"/>
                <w:szCs w:val="21"/>
              </w:rPr>
              <w:t>5</w:t>
            </w:r>
            <w:r>
              <w:rPr>
                <w:rFonts w:hint="eastAsia"/>
                <w:sz w:val="18"/>
                <w:szCs w:val="21"/>
              </w:rPr>
              <w:t>、</w:t>
            </w:r>
            <w:r>
              <w:rPr>
                <w:sz w:val="18"/>
                <w:szCs w:val="21"/>
              </w:rPr>
              <w:t>H9</w:t>
            </w:r>
            <w:r>
              <w:rPr>
                <w:rFonts w:hint="eastAsia"/>
                <w:sz w:val="18"/>
                <w:szCs w:val="21"/>
              </w:rPr>
              <w:t>）二联灭活油佐剂苗0</w:t>
            </w:r>
            <w:r>
              <w:rPr>
                <w:sz w:val="18"/>
                <w:szCs w:val="21"/>
              </w:rPr>
              <w:t>.5</w:t>
            </w:r>
            <w:r>
              <w:rPr>
                <w:rFonts w:hint="eastAsia"/>
                <w:sz w:val="18"/>
                <w:szCs w:val="21"/>
              </w:rPr>
              <w:t>毫升/羽，皮下注射</w:t>
            </w:r>
          </w:p>
        </w:tc>
        <w:tc>
          <w:tcPr>
            <w:tcW w:w="3487" w:type="dxa"/>
            <w:shd w:val="clear" w:color="auto" w:fill="auto"/>
            <w:vAlign w:val="center"/>
          </w:tcPr>
          <w:p>
            <w:pPr>
              <w:pStyle w:val="230"/>
              <w:ind w:firstLine="0" w:firstLineChars="0"/>
              <w:jc w:val="center"/>
              <w:rPr>
                <w:rFonts w:hint="eastAsia"/>
                <w:sz w:val="18"/>
                <w:szCs w:val="21"/>
              </w:rPr>
            </w:pPr>
            <w:r>
              <w:rPr>
                <w:rFonts w:hint="eastAsia"/>
                <w:sz w:val="18"/>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5" w:type="dxa"/>
            <w:shd w:val="clear" w:color="auto" w:fill="auto"/>
            <w:vAlign w:val="center"/>
          </w:tcPr>
          <w:p>
            <w:pPr>
              <w:pStyle w:val="230"/>
              <w:ind w:firstLine="28" w:firstLineChars="16"/>
              <w:jc w:val="center"/>
              <w:rPr>
                <w:rFonts w:hint="eastAsia"/>
                <w:sz w:val="18"/>
                <w:szCs w:val="21"/>
              </w:rPr>
            </w:pPr>
            <w:r>
              <w:rPr>
                <w:rFonts w:hint="eastAsia"/>
                <w:sz w:val="18"/>
                <w:szCs w:val="21"/>
              </w:rPr>
              <w:t>3</w:t>
            </w:r>
            <w:r>
              <w:rPr>
                <w:sz w:val="18"/>
                <w:szCs w:val="21"/>
              </w:rPr>
              <w:t>0</w:t>
            </w:r>
          </w:p>
        </w:tc>
        <w:tc>
          <w:tcPr>
            <w:tcW w:w="1559" w:type="dxa"/>
            <w:shd w:val="clear" w:color="auto" w:fill="auto"/>
            <w:vAlign w:val="center"/>
          </w:tcPr>
          <w:p>
            <w:pPr>
              <w:pStyle w:val="230"/>
              <w:ind w:firstLine="0" w:firstLineChars="0"/>
              <w:jc w:val="center"/>
              <w:rPr>
                <w:sz w:val="18"/>
                <w:szCs w:val="21"/>
              </w:rPr>
            </w:pPr>
            <w:r>
              <w:rPr>
                <w:rFonts w:hint="eastAsia"/>
                <w:sz w:val="18"/>
                <w:szCs w:val="21"/>
              </w:rPr>
              <w:t>鹅霍乱</w:t>
            </w:r>
          </w:p>
          <w:p>
            <w:pPr>
              <w:pStyle w:val="230"/>
              <w:ind w:firstLine="0" w:firstLineChars="0"/>
              <w:jc w:val="center"/>
              <w:rPr>
                <w:rFonts w:hint="eastAsia"/>
                <w:sz w:val="18"/>
                <w:szCs w:val="21"/>
              </w:rPr>
            </w:pPr>
            <w:r>
              <w:rPr>
                <w:rFonts w:hint="eastAsia"/>
                <w:sz w:val="18"/>
                <w:szCs w:val="21"/>
              </w:rPr>
              <w:t>大肠杆菌病</w:t>
            </w:r>
          </w:p>
        </w:tc>
        <w:tc>
          <w:tcPr>
            <w:tcW w:w="3402" w:type="dxa"/>
            <w:shd w:val="clear" w:color="auto" w:fill="auto"/>
            <w:vAlign w:val="center"/>
          </w:tcPr>
          <w:p>
            <w:pPr>
              <w:pStyle w:val="230"/>
              <w:ind w:firstLine="0" w:firstLineChars="0"/>
              <w:jc w:val="center"/>
              <w:rPr>
                <w:rFonts w:hint="eastAsia"/>
                <w:sz w:val="18"/>
                <w:szCs w:val="21"/>
              </w:rPr>
            </w:pPr>
            <w:r>
              <w:rPr>
                <w:rFonts w:hint="eastAsia"/>
                <w:sz w:val="18"/>
                <w:szCs w:val="21"/>
              </w:rPr>
              <w:t>鹅霍乱-大肠杆菌病二联灭活油佐剂苗1</w:t>
            </w:r>
            <w:r>
              <w:rPr>
                <w:sz w:val="18"/>
                <w:szCs w:val="21"/>
              </w:rPr>
              <w:t>.0</w:t>
            </w:r>
            <w:r>
              <w:rPr>
                <w:rFonts w:hint="eastAsia"/>
                <w:sz w:val="18"/>
                <w:szCs w:val="21"/>
              </w:rPr>
              <w:t>毫升/羽，皮下注射</w:t>
            </w:r>
          </w:p>
        </w:tc>
        <w:tc>
          <w:tcPr>
            <w:tcW w:w="3487" w:type="dxa"/>
            <w:shd w:val="clear" w:color="auto" w:fill="auto"/>
            <w:vAlign w:val="center"/>
          </w:tcPr>
          <w:p>
            <w:pPr>
              <w:pStyle w:val="230"/>
              <w:ind w:firstLine="0" w:firstLineChars="0"/>
              <w:jc w:val="center"/>
              <w:rPr>
                <w:rFonts w:hint="eastAsia"/>
                <w:sz w:val="18"/>
                <w:szCs w:val="21"/>
              </w:rPr>
            </w:pPr>
            <w:r>
              <w:rPr>
                <w:sz w:val="18"/>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95" w:type="dxa"/>
            <w:shd w:val="clear" w:color="auto" w:fill="auto"/>
            <w:vAlign w:val="center"/>
          </w:tcPr>
          <w:p>
            <w:pPr>
              <w:pStyle w:val="230"/>
              <w:ind w:firstLine="28" w:firstLineChars="16"/>
              <w:jc w:val="center"/>
              <w:rPr>
                <w:rFonts w:hint="eastAsia"/>
                <w:sz w:val="18"/>
                <w:szCs w:val="21"/>
              </w:rPr>
            </w:pPr>
            <w:r>
              <w:rPr>
                <w:rFonts w:hint="eastAsia"/>
                <w:sz w:val="18"/>
                <w:szCs w:val="21"/>
              </w:rPr>
              <w:t>3</w:t>
            </w:r>
            <w:r>
              <w:rPr>
                <w:sz w:val="18"/>
                <w:szCs w:val="21"/>
              </w:rPr>
              <w:t>5</w:t>
            </w:r>
          </w:p>
        </w:tc>
        <w:tc>
          <w:tcPr>
            <w:tcW w:w="1559" w:type="dxa"/>
            <w:shd w:val="clear" w:color="auto" w:fill="auto"/>
            <w:vAlign w:val="center"/>
          </w:tcPr>
          <w:p>
            <w:pPr>
              <w:pStyle w:val="230"/>
              <w:ind w:firstLine="0" w:firstLineChars="0"/>
              <w:jc w:val="center"/>
              <w:rPr>
                <w:rFonts w:hAnsi="宋体"/>
                <w:sz w:val="18"/>
                <w:szCs w:val="21"/>
              </w:rPr>
            </w:pPr>
            <w:r>
              <w:rPr>
                <w:rFonts w:hint="eastAsia" w:hAnsi="宋体"/>
                <w:sz w:val="18"/>
                <w:szCs w:val="21"/>
              </w:rPr>
              <w:t>鹅副黏病毒</w:t>
            </w:r>
          </w:p>
          <w:p>
            <w:pPr>
              <w:pStyle w:val="230"/>
              <w:ind w:firstLine="0" w:firstLineChars="0"/>
              <w:jc w:val="center"/>
              <w:rPr>
                <w:rFonts w:hint="eastAsia"/>
                <w:sz w:val="18"/>
                <w:szCs w:val="21"/>
              </w:rPr>
            </w:pPr>
            <w:r>
              <w:rPr>
                <w:rFonts w:hint="eastAsia" w:hAnsi="宋体"/>
                <w:sz w:val="18"/>
                <w:szCs w:val="21"/>
              </w:rPr>
              <w:t>禽流感</w:t>
            </w:r>
          </w:p>
        </w:tc>
        <w:tc>
          <w:tcPr>
            <w:tcW w:w="3402" w:type="dxa"/>
            <w:shd w:val="clear" w:color="auto" w:fill="auto"/>
            <w:vAlign w:val="center"/>
          </w:tcPr>
          <w:p>
            <w:pPr>
              <w:pStyle w:val="230"/>
              <w:ind w:firstLine="0" w:firstLineChars="0"/>
              <w:jc w:val="center"/>
              <w:rPr>
                <w:rFonts w:hint="eastAsia"/>
                <w:sz w:val="18"/>
                <w:szCs w:val="21"/>
              </w:rPr>
            </w:pPr>
            <w:r>
              <w:rPr>
                <w:rFonts w:hint="eastAsia"/>
                <w:sz w:val="18"/>
                <w:szCs w:val="21"/>
              </w:rPr>
              <w:t>鹅副黏病毒-禽流感（H</w:t>
            </w:r>
            <w:r>
              <w:rPr>
                <w:sz w:val="18"/>
                <w:szCs w:val="21"/>
              </w:rPr>
              <w:t>5</w:t>
            </w:r>
            <w:r>
              <w:rPr>
                <w:rFonts w:hint="eastAsia"/>
                <w:sz w:val="18"/>
                <w:szCs w:val="21"/>
              </w:rPr>
              <w:t>、</w:t>
            </w:r>
            <w:r>
              <w:rPr>
                <w:sz w:val="18"/>
                <w:szCs w:val="21"/>
              </w:rPr>
              <w:t>H9</w:t>
            </w:r>
            <w:r>
              <w:rPr>
                <w:rFonts w:hint="eastAsia"/>
                <w:sz w:val="18"/>
                <w:szCs w:val="21"/>
              </w:rPr>
              <w:t>）二联灭活油佐剂苗0</w:t>
            </w:r>
            <w:r>
              <w:rPr>
                <w:sz w:val="18"/>
                <w:szCs w:val="21"/>
              </w:rPr>
              <w:t>.5</w:t>
            </w:r>
            <w:r>
              <w:rPr>
                <w:rFonts w:hint="eastAsia"/>
                <w:sz w:val="18"/>
                <w:szCs w:val="21"/>
              </w:rPr>
              <w:t>毫升/羽，皮下注射</w:t>
            </w:r>
          </w:p>
        </w:tc>
        <w:tc>
          <w:tcPr>
            <w:tcW w:w="3487" w:type="dxa"/>
            <w:shd w:val="clear" w:color="auto" w:fill="auto"/>
            <w:vAlign w:val="center"/>
          </w:tcPr>
          <w:p>
            <w:pPr>
              <w:pStyle w:val="230"/>
              <w:ind w:firstLine="0" w:firstLineChars="0"/>
              <w:jc w:val="center"/>
              <w:rPr>
                <w:rFonts w:hint="eastAsia"/>
                <w:sz w:val="18"/>
                <w:szCs w:val="21"/>
              </w:rPr>
            </w:pPr>
            <w:r>
              <w:rPr>
                <w:rFonts w:hint="eastAsia"/>
                <w:sz w:val="18"/>
                <w:szCs w:val="21"/>
              </w:rPr>
              <w:t>/</w:t>
            </w:r>
          </w:p>
        </w:tc>
      </w:tr>
    </w:tbl>
    <w:p>
      <w:pPr>
        <w:pStyle w:val="56"/>
        <w:ind w:firstLine="0" w:firstLineChars="0"/>
        <w:rPr>
          <w:rFonts w:hint="eastAsia"/>
        </w:rPr>
      </w:pPr>
    </w:p>
    <w:p>
      <w:pPr>
        <w:pStyle w:val="104"/>
        <w:spacing w:before="312" w:after="312"/>
      </w:pPr>
      <w:bookmarkStart w:id="65" w:name="_Toc103264697"/>
      <w:bookmarkStart w:id="66" w:name="_Toc103264814"/>
      <w:r>
        <w:rPr>
          <w:rFonts w:hint="eastAsia"/>
        </w:rPr>
        <w:t>废弃物处理</w:t>
      </w:r>
      <w:bookmarkEnd w:id="65"/>
      <w:bookmarkEnd w:id="66"/>
    </w:p>
    <w:p>
      <w:pPr>
        <w:pStyle w:val="162"/>
      </w:pPr>
      <w:r>
        <w:rPr>
          <w:rFonts w:hint="eastAsia"/>
        </w:rPr>
        <w:t>鹅场粪便、污水和垫料等废弃物处理应符合GB 18596的规定。</w:t>
      </w:r>
    </w:p>
    <w:p>
      <w:pPr>
        <w:pStyle w:val="162"/>
      </w:pPr>
      <w:r>
        <w:rPr>
          <w:rFonts w:hint="eastAsia"/>
        </w:rPr>
        <w:t>病死鹅处理应符合中华人民共和国农业部农医发2017年第25号文件的规定。</w:t>
      </w:r>
    </w:p>
    <w:p>
      <w:pPr>
        <w:pStyle w:val="104"/>
        <w:spacing w:before="312" w:after="312"/>
      </w:pPr>
      <w:bookmarkStart w:id="67" w:name="_Toc103264698"/>
      <w:bookmarkStart w:id="68" w:name="_Toc103264815"/>
      <w:r>
        <w:rPr>
          <w:rFonts w:hint="eastAsia"/>
        </w:rPr>
        <w:t>养殖档案</w:t>
      </w:r>
      <w:bookmarkEnd w:id="67"/>
      <w:bookmarkEnd w:id="68"/>
    </w:p>
    <w:p>
      <w:pPr>
        <w:pStyle w:val="56"/>
        <w:ind w:firstLine="420"/>
      </w:pPr>
      <w:r>
        <w:rPr>
          <w:rFonts w:hint="eastAsia"/>
        </w:rPr>
        <w:t>鹅场应当建立养殖档案，记录内容应符合中华人民共和国农业部令第67号《畜禽标识和养殖档案管理办法》的规定。记录档案保存期2年。</w:t>
      </w:r>
    </w:p>
    <w:p>
      <w:pPr>
        <w:pStyle w:val="56"/>
        <w:ind w:firstLine="0" w:firstLineChars="0"/>
        <w:rPr>
          <w:rFonts w:hint="eastAsia"/>
        </w:rPr>
      </w:pPr>
    </w:p>
    <w:bookmarkEnd w:id="25"/>
    <w:p>
      <w:pPr>
        <w:pStyle w:val="56"/>
        <w:ind w:firstLine="0" w:firstLineChars="0"/>
        <w:rPr>
          <w:rFonts w:hint="eastAsia"/>
        </w:rPr>
      </w:pPr>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OK2EzcVsQRtUty/D2g/FNbGvmUp7yiLZzSa3PsyI5pzK6TVBugPHx/wzoXAqzAa4XGAtwGNUHFM2+3tPDRVpHg==" w:salt="z/bodDaxgLbxFo7dVSA8J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D5"/>
    <w:rsid w:val="0000040A"/>
    <w:rsid w:val="00000A94"/>
    <w:rsid w:val="00001972"/>
    <w:rsid w:val="00001D9A"/>
    <w:rsid w:val="00007B3A"/>
    <w:rsid w:val="000107E0"/>
    <w:rsid w:val="00011FDE"/>
    <w:rsid w:val="00012FFD"/>
    <w:rsid w:val="00014162"/>
    <w:rsid w:val="00014340"/>
    <w:rsid w:val="00016A9C"/>
    <w:rsid w:val="00017079"/>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C8A"/>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28ED"/>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07E"/>
    <w:rsid w:val="00243540"/>
    <w:rsid w:val="0024497B"/>
    <w:rsid w:val="0024515B"/>
    <w:rsid w:val="00246021"/>
    <w:rsid w:val="0024666E"/>
    <w:rsid w:val="00247F52"/>
    <w:rsid w:val="00250B25"/>
    <w:rsid w:val="00250BBE"/>
    <w:rsid w:val="002515C2"/>
    <w:rsid w:val="0025194F"/>
    <w:rsid w:val="00253C9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297"/>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F48"/>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E72C4"/>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02F"/>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655B"/>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420"/>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6D0F"/>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4E3A"/>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2"/>
    <w:rsid w:val="00756B26"/>
    <w:rsid w:val="00756EDF"/>
    <w:rsid w:val="007600E3"/>
    <w:rsid w:val="00765C43"/>
    <w:rsid w:val="00765EFB"/>
    <w:rsid w:val="007671CA"/>
    <w:rsid w:val="00767C61"/>
    <w:rsid w:val="0077008A"/>
    <w:rsid w:val="00773C1F"/>
    <w:rsid w:val="00774DA4"/>
    <w:rsid w:val="00776599"/>
    <w:rsid w:val="0078114B"/>
    <w:rsid w:val="00781DD2"/>
    <w:rsid w:val="00782465"/>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0DD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BB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795F"/>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259"/>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2A8D"/>
    <w:rsid w:val="00DA38D3"/>
    <w:rsid w:val="00DA3932"/>
    <w:rsid w:val="00DA3AFC"/>
    <w:rsid w:val="00DA54A9"/>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DAA"/>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07E2E"/>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5EC8"/>
    <w:rsid w:val="00F46496"/>
    <w:rsid w:val="00F474D0"/>
    <w:rsid w:val="00F50179"/>
    <w:rsid w:val="00F515EE"/>
    <w:rsid w:val="00F56511"/>
    <w:rsid w:val="00F6194E"/>
    <w:rsid w:val="00F623AC"/>
    <w:rsid w:val="00F6412A"/>
    <w:rsid w:val="00F64EB7"/>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C58"/>
    <w:rsid w:val="00FF3E7D"/>
    <w:rsid w:val="00FF5B99"/>
    <w:rsid w:val="00FF730C"/>
    <w:rsid w:val="00FF73F4"/>
    <w:rsid w:val="00FF7CE4"/>
    <w:rsid w:val="00FF7E39"/>
    <w:rsid w:val="FFEF6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二级条标题"/>
    <w:basedOn w:val="233"/>
    <w:next w:val="230"/>
    <w:qFormat/>
    <w:uiPriority w:val="0"/>
    <w:pPr>
      <w:ind w:left="284"/>
      <w:outlineLvl w:val="3"/>
    </w:pPr>
  </w:style>
  <w:style w:type="paragraph" w:customStyle="1" w:styleId="233">
    <w:name w:val="一级条标题"/>
    <w:basedOn w:val="234"/>
    <w:next w:val="230"/>
    <w:qFormat/>
    <w:uiPriority w:val="0"/>
    <w:pPr>
      <w:spacing w:before="0" w:beforeLines="0" w:after="0" w:afterLines="0"/>
      <w:ind w:left="0" w:firstLine="0"/>
      <w:outlineLvl w:val="2"/>
    </w:pPr>
  </w:style>
  <w:style w:type="paragraph" w:customStyle="1" w:styleId="234">
    <w:name w:val="章标题"/>
    <w:next w:val="230"/>
    <w:qFormat/>
    <w:uiPriority w:val="0"/>
    <w:pPr>
      <w:spacing w:before="156" w:beforeLines="50" w:after="156" w:afterLines="50"/>
      <w:ind w:left="420" w:hanging="42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33D4907DB546B89D486B9A491FC106"/>
        <w:style w:val=""/>
        <w:category>
          <w:name w:val="常规"/>
          <w:gallery w:val="placeholder"/>
        </w:category>
        <w:types>
          <w:type w:val="bbPlcHdr"/>
        </w:types>
        <w:behaviors>
          <w:behavior w:val="content"/>
        </w:behaviors>
        <w:description w:val=""/>
        <w:guid w:val="{CECD5B74-95BF-4030-BF47-0B0CBF1EA3A4}"/>
      </w:docPartPr>
      <w:docPartBody>
        <w:p>
          <w:pPr>
            <w:pStyle w:val="5"/>
          </w:pPr>
          <w:r>
            <w:rPr>
              <w:rStyle w:val="4"/>
              <w:rFonts w:hint="eastAsia"/>
            </w:rPr>
            <w:t>单击或点击此处输入文字。</w:t>
          </w:r>
        </w:p>
      </w:docPartBody>
    </w:docPart>
    <w:docPart>
      <w:docPartPr>
        <w:name w:val="0756AD226CA74900BC878ED747BBD3E1"/>
        <w:style w:val=""/>
        <w:category>
          <w:name w:val="常规"/>
          <w:gallery w:val="placeholder"/>
        </w:category>
        <w:types>
          <w:type w:val="bbPlcHdr"/>
        </w:types>
        <w:behaviors>
          <w:behavior w:val="content"/>
        </w:behaviors>
        <w:description w:val=""/>
        <w:guid w:val="{C753BFC9-5BB5-4D4D-BBD5-1133380FFBC4}"/>
      </w:docPartPr>
      <w:docPartBody>
        <w:p>
          <w:pPr>
            <w:pStyle w:val="6"/>
          </w:pPr>
          <w:r>
            <w:rPr>
              <w:rStyle w:val="4"/>
              <w:rFonts w:hint="eastAsia"/>
            </w:rPr>
            <w:t>选择一项。</w:t>
          </w:r>
        </w:p>
      </w:docPartBody>
    </w:docPart>
    <w:docPart>
      <w:docPartPr>
        <w:name w:val="5536C0835CDF4FE99F806E483508CBCD"/>
        <w:style w:val=""/>
        <w:category>
          <w:name w:val="常规"/>
          <w:gallery w:val="placeholder"/>
        </w:category>
        <w:types>
          <w:type w:val="bbPlcHdr"/>
        </w:types>
        <w:behaviors>
          <w:behavior w:val="content"/>
        </w:behaviors>
        <w:description w:val=""/>
        <w:guid w:val="{F2FEEC6E-DB66-470E-BA33-97F2AC5B3466}"/>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D4"/>
    <w:rsid w:val="002714F9"/>
    <w:rsid w:val="00502CD4"/>
    <w:rsid w:val="00A9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833D4907DB546B89D486B9A491FC1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756AD226CA74900BC878ED747BBD3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536C0835CDF4FE99F806E483508CBC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858</Words>
  <Characters>4892</Characters>
  <Lines>40</Lines>
  <Paragraphs>11</Paragraphs>
  <TotalTime>119</TotalTime>
  <ScaleCrop>false</ScaleCrop>
  <LinksUpToDate>false</LinksUpToDate>
  <CharactersWithSpaces>5739</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2022-05-12T11:34:00Z</dcterms:created>
  <dc:creator>User</dc:creator>
  <dc:description>&lt;config cover="true" show_menu="true" version="1.0.0" doctype="SDKXY"&gt;_x000d_
&lt;/config&gt;</dc:description>
  <cp:lastModifiedBy>xjkp</cp:lastModifiedBy>
  <cp:lastPrinted>2020-08-30T18:00:00Z</cp:lastPrinted>
  <dcterms:modified xsi:type="dcterms:W3CDTF">2026-05-08T14:45:44Z</dcterms:modified>
  <dc:title>地方标准</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2052-11.8.2.9339</vt:lpwstr>
  </property>
</Properties>
</file>