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</w:pPr>
    </w:p>
    <w:p>
      <w:pPr>
        <w:spacing w:line="266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before="183" w:line="180" w:lineRule="auto"/>
        <w:ind w:firstLine="46"/>
      </w:pPr>
    </w:p>
    <w:p/>
    <w:p>
      <w:pPr>
        <w:spacing w:line="50" w:lineRule="exact"/>
      </w:pPr>
    </w:p>
    <w:p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>
      <w:pPr>
        <w:spacing w:line="266" w:lineRule="auto"/>
      </w:pPr>
    </w:p>
    <w:p>
      <w:pPr>
        <w:spacing w:line="267" w:lineRule="auto"/>
      </w:pPr>
    </w:p>
    <w:p>
      <w:pPr>
        <w:spacing w:before="276"/>
        <w:ind w:firstLine="4847"/>
        <w:jc w:val="left"/>
        <w:rPr>
          <w:rFonts w:ascii="黑体" w:hAnsi="黑体" w:eastAsia="黑体" w:cs="黑体"/>
          <w:sz w:val="52"/>
          <w:szCs w:val="52"/>
        </w:rPr>
      </w:pPr>
      <w:r>
        <w:rPr>
          <w:rFonts w:eastAsia="Arial"/>
          <w:spacing w:val="53"/>
          <w:w w:val="113"/>
          <w:sz w:val="96"/>
          <w:szCs w:val="96"/>
          <w14:textOutline w14:w="1270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DB43</w:t>
      </w:r>
      <w:r>
        <w:rPr>
          <w:rFonts w:hint="eastAsia" w:ascii="黑体" w:hAnsi="黑体" w:eastAsia="黑体" w:cs="黑体"/>
          <w:snapToGrid w:val="0"/>
          <w:color w:val="000000"/>
          <w:spacing w:val="-20"/>
          <w:kern w:val="0"/>
          <w:sz w:val="52"/>
          <w:szCs w:val="52"/>
        </w:rPr>
        <w:t>湖   南   省   地   方   标   准</w:t>
      </w:r>
    </w:p>
    <w:p>
      <w:pPr>
        <w:spacing w:before="103" w:line="193" w:lineRule="auto"/>
        <w:ind w:firstLine="5031"/>
        <w:rPr>
          <w:rFonts w:ascii="FZHei-B01" w:hAnsi="FZHei-B01" w:eastAsia="FZHei-B01" w:cs="FZHei-B01"/>
          <w:spacing w:val="8"/>
          <w:sz w:val="28"/>
          <w:szCs w:val="28"/>
        </w:rPr>
      </w:pPr>
    </w:p>
    <w:p>
      <w:pPr>
        <w:spacing w:before="103" w:line="193" w:lineRule="auto"/>
        <w:ind w:firstLine="5031"/>
        <w:rPr>
          <w:sz w:val="28"/>
          <w:szCs w:val="28"/>
        </w:rPr>
      </w:pPr>
      <w:r>
        <w:rPr>
          <w:rFonts w:eastAsia="FZHei-B01"/>
          <w:spacing w:val="8"/>
          <w:sz w:val="28"/>
          <w:szCs w:val="28"/>
        </w:rPr>
        <w:t>DB43/T</w:t>
      </w:r>
      <w:r>
        <w:rPr>
          <w:rFonts w:eastAsia="FZHei-B01"/>
          <w:spacing w:val="14"/>
          <w:sz w:val="28"/>
          <w:szCs w:val="28"/>
        </w:rPr>
        <w:t xml:space="preserve">  </w:t>
      </w:r>
      <w:r>
        <w:rPr>
          <w:spacing w:val="8"/>
          <w:sz w:val="28"/>
          <w:szCs w:val="28"/>
        </w:rPr>
        <w:t>XXX</w:t>
      </w:r>
      <w:r>
        <w:rPr>
          <w:rFonts w:eastAsia="FZHei-B01"/>
          <w:spacing w:val="8"/>
          <w:sz w:val="28"/>
          <w:szCs w:val="28"/>
        </w:rPr>
        <w:t>—</w:t>
      </w:r>
      <w:r>
        <w:rPr>
          <w:rFonts w:hint="eastAsia" w:eastAsia="黑体"/>
          <w:spacing w:val="20"/>
        </w:rPr>
        <w:t>XXXX</w:t>
      </w:r>
    </w:p>
    <w:p>
      <w:pPr>
        <w:sectPr>
          <w:footerReference r:id="rId3" w:type="default"/>
          <w:pgSz w:w="11900" w:h="16840"/>
          <w:pgMar w:top="384" w:right="836" w:bottom="0" w:left="1420" w:header="0" w:footer="0" w:gutter="0"/>
          <w:cols w:equalWidth="0" w:num="2">
            <w:col w:w="1462" w:space="100"/>
            <w:col w:w="8082"/>
          </w:cols>
        </w:sectPr>
      </w:pPr>
    </w:p>
    <w:p>
      <w:pPr>
        <w:spacing w:line="295" w:lineRule="auto"/>
      </w:pPr>
    </w:p>
    <w:p>
      <w:pPr>
        <w:spacing w:line="295" w:lineRule="auto"/>
      </w:pPr>
    </w:p>
    <w:p>
      <w:pPr>
        <w:spacing w:line="22" w:lineRule="exact"/>
        <w:textAlignment w:val="center"/>
      </w:pPr>
      <w:r>
        <w:drawing>
          <wp:inline distT="0" distB="0" distL="0" distR="0">
            <wp:extent cx="6120130" cy="1333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before="190" w:line="395" w:lineRule="auto"/>
        <w:ind w:right="1448"/>
        <w:jc w:val="center"/>
        <w:rPr>
          <w:rFonts w:ascii="黑体" w:hAnsi="黑体" w:eastAsia="黑体" w:cs="黑体"/>
          <w:spacing w:val="1"/>
          <w:sz w:val="52"/>
          <w:szCs w:val="52"/>
        </w:rPr>
      </w:pPr>
      <w:r>
        <w:rPr>
          <w:rFonts w:hint="eastAsia" w:ascii="黑体" w:hAnsi="黑体" w:eastAsia="黑体" w:cs="黑体"/>
          <w:spacing w:val="7"/>
          <w:sz w:val="52"/>
          <w:szCs w:val="5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7"/>
          <w:sz w:val="52"/>
          <w:szCs w:val="52"/>
        </w:rPr>
        <w:t>饲料添加剂  苏氨酸锌螯合物</w:t>
      </w:r>
    </w:p>
    <w:p>
      <w:pPr>
        <w:spacing w:before="190" w:line="395" w:lineRule="auto"/>
        <w:ind w:right="1448"/>
        <w:jc w:val="center"/>
        <w:rPr>
          <w:rFonts w:eastAsiaTheme="minorEastAsia"/>
          <w:spacing w:val="7"/>
          <w:w w:val="110"/>
          <w:sz w:val="28"/>
          <w:szCs w:val="28"/>
        </w:rPr>
      </w:pPr>
      <w:r>
        <w:rPr>
          <w:rFonts w:hint="eastAsia"/>
          <w:spacing w:val="7"/>
          <w:w w:val="110"/>
          <w:sz w:val="28"/>
          <w:szCs w:val="28"/>
          <w:lang w:val="en-US" w:eastAsia="zh-CN"/>
        </w:rPr>
        <w:t xml:space="preserve">   </w:t>
      </w:r>
      <w:r>
        <w:rPr>
          <w:rFonts w:hint="eastAsia" w:eastAsia="Times New Roman"/>
          <w:spacing w:val="7"/>
          <w:w w:val="110"/>
          <w:sz w:val="28"/>
          <w:szCs w:val="28"/>
        </w:rPr>
        <w:t>F</w:t>
      </w:r>
      <w:r>
        <w:rPr>
          <w:rFonts w:eastAsia="Times New Roman"/>
          <w:spacing w:val="7"/>
          <w:w w:val="110"/>
          <w:sz w:val="28"/>
          <w:szCs w:val="28"/>
        </w:rPr>
        <w:t>eed additive</w:t>
      </w:r>
      <w:r>
        <w:rPr>
          <w:rFonts w:hint="eastAsia"/>
          <w:spacing w:val="7"/>
          <w:w w:val="110"/>
          <w:sz w:val="28"/>
          <w:szCs w:val="28"/>
        </w:rPr>
        <w:t xml:space="preserve">  </w:t>
      </w:r>
      <w:r>
        <w:rPr>
          <w:spacing w:val="7"/>
          <w:w w:val="110"/>
          <w:sz w:val="28"/>
          <w:szCs w:val="28"/>
        </w:rPr>
        <w:t>Threonine zinc chelate</w:t>
      </w:r>
    </w:p>
    <w:p>
      <w:pPr>
        <w:spacing w:before="190" w:line="395" w:lineRule="auto"/>
        <w:ind w:right="1448"/>
        <w:jc w:val="center"/>
        <w:rPr>
          <w:rFonts w:eastAsia="Times New Roman"/>
          <w:sz w:val="28"/>
          <w:szCs w:val="28"/>
        </w:rPr>
      </w:pPr>
      <w:r>
        <w:rPr>
          <w:rFonts w:hint="eastAsia"/>
          <w:spacing w:val="7"/>
          <w:w w:val="110"/>
          <w:sz w:val="28"/>
          <w:szCs w:val="28"/>
          <w:lang w:val="en-US" w:eastAsia="zh-CN"/>
        </w:rPr>
        <w:t xml:space="preserve">     </w:t>
      </w:r>
      <w:r>
        <w:rPr>
          <w:rFonts w:hint="eastAsia"/>
          <w:spacing w:val="7"/>
          <w:w w:val="110"/>
          <w:sz w:val="28"/>
          <w:szCs w:val="28"/>
        </w:rPr>
        <w:t>（征求意见稿）</w:t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tabs>
          <w:tab w:val="left" w:pos="7414"/>
        </w:tabs>
        <w:spacing w:line="243" w:lineRule="auto"/>
      </w:pPr>
      <w:r>
        <w:tab/>
      </w: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line="244" w:lineRule="auto"/>
      </w:pPr>
    </w:p>
    <w:p>
      <w:pPr>
        <w:spacing w:before="110" w:line="180" w:lineRule="auto"/>
        <w:ind w:firstLine="8"/>
        <w:rPr>
          <w:rFonts w:ascii="FZHei-B01" w:hAnsi="FZHei-B01" w:eastAsia="FZHei-B01" w:cs="FZHei-B01"/>
          <w:sz w:val="30"/>
          <w:szCs w:val="30"/>
        </w:rPr>
      </w:pPr>
      <w:r>
        <w:rPr>
          <w:rFonts w:hint="eastAsia" w:cs="FZHei-B01" w:asciiTheme="minorEastAsia" w:hAnsiTheme="minorEastAsia"/>
          <w:spacing w:val="10"/>
          <w:sz w:val="30"/>
          <w:szCs w:val="30"/>
        </w:rPr>
        <w:t>XXXX</w:t>
      </w:r>
      <w:r>
        <w:rPr>
          <w:rFonts w:ascii="FZHei-B01" w:hAnsi="FZHei-B01" w:eastAsia="FZHei-B01" w:cs="FZHei-B01"/>
          <w:spacing w:val="-28"/>
          <w:sz w:val="30"/>
          <w:szCs w:val="30"/>
        </w:rPr>
        <w:t xml:space="preserve"> </w:t>
      </w:r>
      <w:r>
        <w:rPr>
          <w:rFonts w:ascii="FZHei-B01" w:hAnsi="FZHei-B01" w:eastAsia="FZHei-B01" w:cs="FZHei-B01"/>
          <w:spacing w:val="10"/>
          <w:sz w:val="30"/>
          <w:szCs w:val="30"/>
        </w:rPr>
        <w:t>-</w:t>
      </w:r>
      <w:r>
        <w:rPr>
          <w:rFonts w:ascii="FZHei-B01" w:hAnsi="FZHei-B01" w:eastAsia="FZHei-B01" w:cs="FZHei-B01"/>
          <w:spacing w:val="-31"/>
          <w:sz w:val="30"/>
          <w:szCs w:val="30"/>
        </w:rPr>
        <w:t xml:space="preserve"> </w:t>
      </w:r>
      <w:r>
        <w:rPr>
          <w:rFonts w:hint="eastAsia" w:cs="FZHei-B01" w:asciiTheme="minorEastAsia" w:hAnsiTheme="minorEastAsia"/>
          <w:spacing w:val="10"/>
          <w:sz w:val="30"/>
          <w:szCs w:val="30"/>
        </w:rPr>
        <w:t>XX</w:t>
      </w:r>
      <w:r>
        <w:rPr>
          <w:rFonts w:ascii="FZHei-B01" w:hAnsi="FZHei-B01" w:eastAsia="FZHei-B01" w:cs="FZHei-B01"/>
          <w:spacing w:val="10"/>
          <w:sz w:val="30"/>
          <w:szCs w:val="30"/>
        </w:rPr>
        <w:t xml:space="preserve"> -</w:t>
      </w:r>
      <w:r>
        <w:rPr>
          <w:rFonts w:hint="eastAsia" w:cs="FZHei-B01" w:asciiTheme="minorEastAsia" w:hAnsiTheme="minorEastAsia"/>
          <w:spacing w:val="10"/>
          <w:sz w:val="30"/>
          <w:szCs w:val="30"/>
        </w:rPr>
        <w:t>XX</w:t>
      </w:r>
      <w:r>
        <w:rPr>
          <w:rFonts w:ascii="FZHei-B01" w:hAnsi="FZHei-B01" w:eastAsia="FZHei-B01" w:cs="FZHei-B01"/>
          <w:spacing w:val="10"/>
          <w:sz w:val="30"/>
          <w:szCs w:val="30"/>
        </w:rPr>
        <w:t>发布</w:t>
      </w:r>
      <w:r>
        <w:rPr>
          <w:rFonts w:ascii="FZHei-B01" w:hAnsi="FZHei-B01" w:eastAsia="FZHei-B01" w:cs="FZHei-B01"/>
          <w:spacing w:val="1"/>
          <w:sz w:val="30"/>
          <w:szCs w:val="30"/>
        </w:rPr>
        <w:t xml:space="preserve">                              </w:t>
      </w:r>
      <w:r>
        <w:rPr>
          <w:rFonts w:hint="eastAsia" w:cs="FZHei-B01" w:asciiTheme="minorEastAsia" w:hAnsiTheme="minorEastAsia"/>
          <w:spacing w:val="10"/>
          <w:sz w:val="30"/>
          <w:szCs w:val="30"/>
        </w:rPr>
        <w:t>XXXX</w:t>
      </w:r>
      <w:r>
        <w:rPr>
          <w:rFonts w:ascii="FZHei-B01" w:hAnsi="FZHei-B01" w:eastAsia="FZHei-B01" w:cs="FZHei-B01"/>
          <w:spacing w:val="-28"/>
          <w:sz w:val="30"/>
          <w:szCs w:val="30"/>
        </w:rPr>
        <w:t xml:space="preserve"> </w:t>
      </w:r>
      <w:r>
        <w:rPr>
          <w:rFonts w:ascii="FZHei-B01" w:hAnsi="FZHei-B01" w:eastAsia="FZHei-B01" w:cs="FZHei-B01"/>
          <w:spacing w:val="10"/>
          <w:sz w:val="30"/>
          <w:szCs w:val="30"/>
        </w:rPr>
        <w:t>-</w:t>
      </w:r>
      <w:r>
        <w:rPr>
          <w:rFonts w:ascii="FZHei-B01" w:hAnsi="FZHei-B01" w:eastAsia="FZHei-B01" w:cs="FZHei-B01"/>
          <w:spacing w:val="-31"/>
          <w:sz w:val="30"/>
          <w:szCs w:val="30"/>
        </w:rPr>
        <w:t xml:space="preserve"> </w:t>
      </w:r>
      <w:r>
        <w:rPr>
          <w:rFonts w:hint="eastAsia" w:cs="FZHei-B01" w:asciiTheme="minorEastAsia" w:hAnsiTheme="minorEastAsia"/>
          <w:spacing w:val="10"/>
          <w:sz w:val="30"/>
          <w:szCs w:val="30"/>
        </w:rPr>
        <w:t>XX</w:t>
      </w:r>
      <w:r>
        <w:rPr>
          <w:rFonts w:ascii="FZHei-B01" w:hAnsi="FZHei-B01" w:eastAsia="FZHei-B01" w:cs="FZHei-B01"/>
          <w:spacing w:val="10"/>
          <w:sz w:val="30"/>
          <w:szCs w:val="30"/>
        </w:rPr>
        <w:t xml:space="preserve"> -</w:t>
      </w:r>
      <w:r>
        <w:rPr>
          <w:rFonts w:hint="eastAsia" w:cs="FZHei-B01" w:asciiTheme="minorEastAsia" w:hAnsiTheme="minorEastAsia"/>
          <w:spacing w:val="10"/>
          <w:sz w:val="30"/>
          <w:szCs w:val="30"/>
        </w:rPr>
        <w:t>XX</w:t>
      </w:r>
      <w:r>
        <w:rPr>
          <w:rFonts w:ascii="FZHei-B01" w:hAnsi="FZHei-B01" w:eastAsia="FZHei-B01" w:cs="FZHei-B01"/>
          <w:spacing w:val="10"/>
          <w:sz w:val="30"/>
          <w:szCs w:val="30"/>
        </w:rPr>
        <w:t>实施</w:t>
      </w:r>
    </w:p>
    <w:p>
      <w:pPr>
        <w:spacing w:before="68" w:line="22" w:lineRule="exact"/>
        <w:textAlignment w:val="center"/>
      </w:pPr>
      <w:r>
        <w:drawing>
          <wp:inline distT="0" distB="0" distL="0" distR="0">
            <wp:extent cx="6120130" cy="133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</w:pPr>
    </w:p>
    <w:p>
      <w:pPr>
        <w:spacing w:before="128" w:line="321" w:lineRule="exact"/>
        <w:ind w:firstLine="1172"/>
        <w:rPr>
          <w:rFonts w:ascii="FZHei-B01" w:hAnsi="FZHei-B01" w:eastAsia="FZHei-B01" w:cs="FZHei-B01"/>
          <w:sz w:val="30"/>
          <w:szCs w:val="30"/>
        </w:rPr>
      </w:pPr>
      <w:r>
        <w:rPr>
          <w:rFonts w:ascii="FZHei-B01" w:hAnsi="FZHei-B01" w:eastAsia="FZHei-B01" w:cs="FZHei-B01"/>
          <w:spacing w:val="60"/>
          <w:w w:val="131"/>
          <w:position w:val="-2"/>
          <w:sz w:val="35"/>
          <w:szCs w:val="35"/>
        </w:rPr>
        <w:t>湖南省市场监督管理局</w:t>
      </w:r>
      <w:r>
        <w:rPr>
          <w:rFonts w:ascii="FZHei-B01" w:hAnsi="FZHei-B01" w:eastAsia="FZHei-B01" w:cs="FZHei-B01"/>
          <w:spacing w:val="9"/>
          <w:position w:val="-2"/>
          <w:sz w:val="35"/>
          <w:szCs w:val="35"/>
        </w:rPr>
        <w:t xml:space="preserve">     </w:t>
      </w:r>
      <w:r>
        <w:rPr>
          <w:rFonts w:ascii="FZHei-B01" w:hAnsi="FZHei-B01" w:eastAsia="FZHei-B01" w:cs="FZHei-B01"/>
          <w:spacing w:val="60"/>
          <w:w w:val="131"/>
          <w:position w:val="-1"/>
          <w:sz w:val="30"/>
          <w:szCs w:val="30"/>
        </w:rPr>
        <w:t>发</w:t>
      </w:r>
      <w:r>
        <w:rPr>
          <w:rFonts w:ascii="FZHei-B01" w:hAnsi="FZHei-B01" w:eastAsia="FZHei-B01" w:cs="FZHei-B01"/>
          <w:spacing w:val="70"/>
          <w:position w:val="-1"/>
          <w:sz w:val="30"/>
          <w:szCs w:val="30"/>
        </w:rPr>
        <w:t xml:space="preserve"> </w:t>
      </w:r>
      <w:r>
        <w:rPr>
          <w:rFonts w:ascii="FZHei-B01" w:hAnsi="FZHei-B01" w:eastAsia="FZHei-B01" w:cs="FZHei-B01"/>
          <w:spacing w:val="60"/>
          <w:w w:val="131"/>
          <w:position w:val="-1"/>
          <w:sz w:val="30"/>
          <w:szCs w:val="30"/>
        </w:rPr>
        <w:t>布</w:t>
      </w:r>
    </w:p>
    <w:p>
      <w:pPr>
        <w:sectPr>
          <w:type w:val="continuous"/>
          <w:pgSz w:w="11900" w:h="16840"/>
          <w:pgMar w:top="384" w:right="836" w:bottom="0" w:left="1420" w:header="0" w:footer="0" w:gutter="0"/>
          <w:cols w:equalWidth="0" w:num="1">
            <w:col w:w="9644"/>
          </w:cols>
        </w:sectPr>
      </w:pPr>
    </w:p>
    <w:p>
      <w:pPr>
        <w:spacing w:line="288" w:lineRule="auto"/>
      </w:pPr>
    </w:p>
    <w:p>
      <w:pPr>
        <w:spacing w:line="288" w:lineRule="auto"/>
      </w:pPr>
    </w:p>
    <w:p>
      <w:pPr>
        <w:spacing w:before="68" w:line="182" w:lineRule="auto"/>
        <w:ind w:firstLine="8159"/>
      </w:pPr>
      <w:r>
        <w:rPr>
          <w:rFonts w:ascii="黑体" w:hAnsi="黑体" w:eastAsia="黑体" w:cs="黑体"/>
          <w:spacing w:val="-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DB43/T</w:t>
      </w:r>
      <w:r>
        <w:rPr>
          <w:rFonts w:ascii="黑体" w:hAnsi="黑体" w:eastAsia="黑体" w:cs="黑体"/>
          <w:spacing w:val="24"/>
        </w:rPr>
        <w:t xml:space="preserve"> </w:t>
      </w:r>
      <w:r>
        <w:rPr>
          <w:rFonts w:hint="eastAsia" w:ascii="黑体" w:hAnsi="黑体" w:eastAsia="黑体" w:cs="黑体"/>
          <w:spacing w:val="-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XXX</w:t>
      </w:r>
      <w:r>
        <w:rPr>
          <w:rFonts w:ascii="黑体" w:hAnsi="黑体" w:eastAsia="黑体" w:cs="黑体"/>
          <w:spacing w:val="-2"/>
        </w:rPr>
        <w:t>—</w:t>
      </w:r>
      <w:r>
        <w:rPr>
          <w:rFonts w:hint="eastAsia" w:ascii="黑体" w:hAnsi="黑体" w:eastAsia="黑体" w:cs="黑体"/>
          <w:spacing w:val="-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XXXX</w:t>
      </w:r>
    </w:p>
    <w:p>
      <w:pPr>
        <w:spacing w:before="117" w:line="180" w:lineRule="auto"/>
        <w:ind w:firstLine="4673"/>
        <w:rPr>
          <w:rFonts w:ascii="FZHei-B01" w:hAnsi="FZHei-B01" w:eastAsia="FZHei-B01" w:cs="FZHei-B01"/>
          <w:sz w:val="32"/>
          <w:szCs w:val="32"/>
        </w:rPr>
      </w:pPr>
      <w:r>
        <w:rPr>
          <w:rFonts w:ascii="FZHei-B01" w:hAnsi="FZHei-B01" w:eastAsia="FZHei-B01" w:cs="FZHei-B01"/>
          <w:spacing w:val="-29"/>
          <w:sz w:val="32"/>
          <w:szCs w:val="32"/>
        </w:rPr>
        <w:t>目</w:t>
      </w:r>
      <w:r>
        <w:rPr>
          <w:rFonts w:ascii="FZHei-B01" w:hAnsi="FZHei-B01" w:eastAsia="FZHei-B01" w:cs="FZHei-B01"/>
          <w:spacing w:val="4"/>
          <w:sz w:val="32"/>
          <w:szCs w:val="32"/>
        </w:rPr>
        <w:t xml:space="preserve">       </w:t>
      </w:r>
      <w:r>
        <w:rPr>
          <w:rFonts w:ascii="FZHei-B01" w:hAnsi="FZHei-B01" w:eastAsia="FZHei-B01" w:cs="FZHei-B01"/>
          <w:spacing w:val="-29"/>
          <w:sz w:val="32"/>
          <w:szCs w:val="32"/>
        </w:rPr>
        <w:t>次</w:t>
      </w:r>
    </w:p>
    <w:p>
      <w:pPr>
        <w:spacing w:line="272" w:lineRule="auto"/>
      </w:pPr>
    </w:p>
    <w:p>
      <w:pPr>
        <w:spacing w:line="272" w:lineRule="auto"/>
      </w:pPr>
    </w:p>
    <w:p>
      <w:pPr>
        <w:spacing w:before="68" w:line="278" w:lineRule="exact"/>
        <w:ind w:firstLine="903"/>
        <w:jc w:val="distribute"/>
        <w:rPr>
          <w:rFonts w:ascii="宋体" w:hAnsi="宋体" w:cs="宋体" w:eastAsiaTheme="minorEastAsia"/>
        </w:rPr>
      </w:pPr>
      <w:r>
        <w:rPr>
          <w:rFonts w:ascii="宋体" w:hAnsi="宋体" w:cs="宋体"/>
          <w:spacing w:val="-15"/>
        </w:rPr>
        <w:t>前言</w:t>
      </w:r>
      <w:r>
        <w:rPr>
          <w:rFonts w:eastAsia="Times New Roman"/>
          <w:spacing w:val="-1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4"/>
          <w:sz w:val="18"/>
          <w:szCs w:val="18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>
      <w:pPr>
        <w:spacing w:before="82" w:line="278" w:lineRule="exact"/>
        <w:ind w:firstLine="919"/>
        <w:jc w:val="distribute"/>
        <w:rPr>
          <w:rFonts w:ascii="宋体" w:hAnsi="宋体" w:cs="宋体"/>
        </w:rPr>
      </w:pPr>
      <w:r>
        <w:rPr>
          <w:rFonts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cs="宋体"/>
          <w:spacing w:val="13"/>
        </w:rPr>
        <w:t xml:space="preserve"> </w:t>
      </w:r>
      <w:r>
        <w:rPr>
          <w:rFonts w:hint="eastAsia" w:ascii="宋体" w:hAnsi="宋体" w:cs="宋体"/>
          <w:spacing w:val="13"/>
        </w:rPr>
        <w:t xml:space="preserve"> </w:t>
      </w:r>
      <w:r>
        <w:rPr>
          <w:rFonts w:ascii="宋体" w:hAnsi="宋体" w:cs="宋体"/>
          <w:spacing w:val="13"/>
        </w:rPr>
        <w:t xml:space="preserve"> </w:t>
      </w:r>
      <w:r>
        <w:rPr>
          <w:rFonts w:ascii="宋体" w:hAnsi="宋体" w:cs="宋体"/>
          <w:spacing w:val="-9"/>
          <w:w w:val="92"/>
        </w:rPr>
        <w:t>范围</w:t>
      </w:r>
      <w:r>
        <w:rPr>
          <w:rFonts w:ascii="宋体" w:hAnsi="宋体" w:cs="宋体"/>
          <w:spacing w:val="-71"/>
        </w:rPr>
        <w:t xml:space="preserve"> </w:t>
      </w:r>
      <w:r>
        <w:rPr>
          <w:rFonts w:eastAsia="Times New Roman"/>
          <w:spacing w:val="-9"/>
          <w:w w:val="92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spacing w:before="82" w:line="278" w:lineRule="exact"/>
        <w:ind w:firstLine="905"/>
        <w:jc w:val="distribute"/>
        <w:rPr>
          <w:rFonts w:ascii="宋体" w:hAnsi="宋体" w:cs="宋体"/>
        </w:rPr>
      </w:pPr>
      <w:r>
        <w:rPr>
          <w:rFonts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cs="宋体"/>
          <w:spacing w:val="48"/>
        </w:rPr>
        <w:t xml:space="preserve">  </w:t>
      </w:r>
      <w:r>
        <w:rPr>
          <w:rFonts w:ascii="宋体" w:hAnsi="宋体" w:cs="宋体"/>
          <w:spacing w:val="-10"/>
          <w:w w:val="94"/>
        </w:rPr>
        <w:t>规范性引用文件</w:t>
      </w:r>
      <w:r>
        <w:rPr>
          <w:rFonts w:ascii="宋体" w:hAnsi="宋体" w:cs="宋体"/>
          <w:spacing w:val="-73"/>
        </w:rPr>
        <w:t xml:space="preserve"> </w:t>
      </w:r>
      <w:r>
        <w:rPr>
          <w:rFonts w:eastAsia="Times New Roman"/>
          <w:spacing w:val="-10"/>
          <w:w w:val="94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spacing w:before="82" w:line="278" w:lineRule="exact"/>
        <w:ind w:firstLine="907"/>
        <w:jc w:val="distribute"/>
        <w:rPr>
          <w:rFonts w:ascii="宋体" w:hAnsi="宋体" w:cs="宋体"/>
        </w:rPr>
      </w:pPr>
      <w:r>
        <w:rPr>
          <w:rFonts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宋体" w:hAnsi="宋体" w:cs="宋体"/>
          <w:spacing w:val="59"/>
        </w:rPr>
        <w:t xml:space="preserve"> </w:t>
      </w:r>
      <w:r>
        <w:rPr>
          <w:rFonts w:hint="eastAsia" w:ascii="宋体" w:hAnsi="宋体" w:cs="宋体"/>
          <w:spacing w:val="-9"/>
          <w:w w:val="92"/>
        </w:rPr>
        <w:t>化学名称、分子式、相对分子质量和结构式</w:t>
      </w:r>
      <w:r>
        <w:rPr>
          <w:rFonts w:eastAsia="Times New Roman"/>
          <w:spacing w:val="-9"/>
          <w:w w:val="92"/>
        </w:rPr>
        <w:t>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spacing w:before="82" w:line="278" w:lineRule="exact"/>
        <w:ind w:firstLine="902"/>
        <w:jc w:val="distribute"/>
        <w:rPr>
          <w:rFonts w:ascii="宋体" w:hAnsi="宋体" w:cs="宋体" w:eastAsiaTheme="minorEastAsia"/>
        </w:rPr>
      </w:pPr>
      <w:r>
        <w:rPr>
          <w:rFonts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4  </w:t>
      </w: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宋体" w:hAnsi="宋体" w:cs="宋体"/>
          <w:spacing w:val="-9"/>
          <w:w w:val="92"/>
        </w:rPr>
        <w:t>术语和定义</w:t>
      </w:r>
      <w:r>
        <w:rPr>
          <w:rFonts w:hint="eastAsia" w:eastAsia="Times New Roman"/>
          <w:spacing w:val="-9"/>
          <w:w w:val="92"/>
        </w:rPr>
        <w:t>············</w:t>
      </w:r>
      <w:r>
        <w:rPr>
          <w:rFonts w:eastAsia="Times New Roman"/>
          <w:spacing w:val="-9"/>
          <w:w w:val="92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spacing w:before="82" w:line="278" w:lineRule="exact"/>
        <w:ind w:firstLine="907"/>
        <w:jc w:val="distribute"/>
        <w:rPr>
          <w:rFonts w:ascii="宋体" w:hAnsi="宋体" w:cs="宋体"/>
        </w:rPr>
      </w:pPr>
      <w:r>
        <w:rPr>
          <w:rFonts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宋体" w:hAnsi="宋体" w:cs="宋体"/>
          <w:spacing w:val="45"/>
        </w:rPr>
        <w:t xml:space="preserve">  </w:t>
      </w:r>
      <w:r>
        <w:rPr>
          <w:rFonts w:ascii="宋体" w:hAnsi="宋体" w:cs="宋体"/>
          <w:spacing w:val="-9"/>
          <w:w w:val="92"/>
        </w:rPr>
        <w:t>技术</w:t>
      </w:r>
      <w:r>
        <w:rPr>
          <w:rFonts w:hint="eastAsia" w:ascii="宋体" w:hAnsi="宋体" w:cs="宋体"/>
          <w:spacing w:val="-9"/>
          <w:w w:val="92"/>
        </w:rPr>
        <w:t>要求</w:t>
      </w:r>
      <w:r>
        <w:rPr>
          <w:rFonts w:eastAsia="Times New Roman"/>
          <w:spacing w:val="-9"/>
          <w:w w:val="92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82" w:line="278" w:lineRule="exact"/>
        <w:ind w:firstLine="1118"/>
        <w:jc w:val="distribute"/>
        <w:rPr>
          <w:rFonts w:ascii="宋体" w:hAnsi="宋体" w:cs="宋体" w:eastAsiaTheme="minorEastAsia"/>
        </w:rPr>
      </w:pPr>
      <w:r>
        <w:rPr>
          <w:rFonts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5.1</w:t>
      </w:r>
      <w:r>
        <w:rPr>
          <w:rFonts w:ascii="宋体" w:hAnsi="宋体" w:cs="宋体"/>
          <w:spacing w:val="37"/>
        </w:rPr>
        <w:t xml:space="preserve">  </w:t>
      </w:r>
      <w:r>
        <w:rPr>
          <w:rFonts w:hint="eastAsia" w:ascii="宋体" w:hAnsi="宋体" w:cs="宋体"/>
          <w:spacing w:val="-9"/>
          <w:w w:val="92"/>
        </w:rPr>
        <w:t>外观与性状</w:t>
      </w:r>
      <w:r>
        <w:rPr>
          <w:rFonts w:eastAsia="Times New Roman"/>
          <w:spacing w:val="-9"/>
          <w:w w:val="92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eastAsia="Times New Roman"/>
          <w:spacing w:val="7"/>
        </w:rPr>
        <w:t xml:space="preserve"> </w:t>
      </w: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82" w:line="278" w:lineRule="exact"/>
        <w:ind w:firstLine="1118"/>
        <w:jc w:val="distribute"/>
        <w:rPr>
          <w:rFonts w:ascii="宋体" w:hAnsi="宋体" w:cs="宋体"/>
        </w:rPr>
      </w:pPr>
      <w:r>
        <w:rPr>
          <w:rFonts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5.2</w:t>
      </w:r>
      <w:r>
        <w:rPr>
          <w:rFonts w:ascii="宋体" w:hAnsi="宋体" w:cs="宋体"/>
          <w:spacing w:val="40"/>
        </w:rPr>
        <w:t xml:space="preserve">  </w:t>
      </w:r>
      <w:r>
        <w:rPr>
          <w:rFonts w:hint="eastAsia" w:ascii="宋体" w:hAnsi="宋体" w:cs="宋体"/>
          <w:spacing w:val="-10"/>
          <w:w w:val="94"/>
        </w:rPr>
        <w:t>技术指标</w:t>
      </w:r>
      <w:r>
        <w:rPr>
          <w:rFonts w:ascii="宋体" w:hAnsi="宋体" w:cs="宋体"/>
          <w:spacing w:val="-73"/>
        </w:rPr>
        <w:t xml:space="preserve"> </w:t>
      </w:r>
      <w:r>
        <w:rPr>
          <w:rFonts w:eastAsia="Times New Roman"/>
          <w:spacing w:val="-10"/>
          <w:w w:val="94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/>
          <w:spacing w:val="7"/>
        </w:rPr>
        <w:t xml:space="preserve"> </w:t>
      </w:r>
      <w:r>
        <w:rPr>
          <w:rFonts w:hint="eastAsia"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82" w:line="278" w:lineRule="exact"/>
        <w:ind w:firstLine="905"/>
        <w:jc w:val="distribute"/>
        <w:rPr>
          <w:rFonts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6</w:t>
      </w:r>
      <w:r>
        <w:rPr>
          <w:rFonts w:ascii="宋体" w:hAnsi="宋体" w:cs="宋体"/>
          <w:spacing w:val="46"/>
        </w:rPr>
        <w:t xml:space="preserve">  </w:t>
      </w:r>
      <w:r>
        <w:rPr>
          <w:rFonts w:hint="eastAsia" w:ascii="宋体" w:hAnsi="宋体" w:cs="宋体"/>
          <w:spacing w:val="-9"/>
          <w:w w:val="92"/>
        </w:rPr>
        <w:t>采样</w:t>
      </w:r>
      <w:r>
        <w:rPr>
          <w:rFonts w:ascii="宋体" w:hAnsi="宋体" w:cs="宋体"/>
          <w:spacing w:val="-48"/>
        </w:rPr>
        <w:t xml:space="preserve"> </w:t>
      </w:r>
      <w:r>
        <w:rPr>
          <w:rFonts w:eastAsia="Times New Roman"/>
          <w:spacing w:val="-9"/>
          <w:w w:val="92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82" w:line="278" w:lineRule="exact"/>
        <w:ind w:firstLine="905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46"/>
        </w:rPr>
        <w:t xml:space="preserve">  </w:t>
      </w:r>
      <w:r>
        <w:rPr>
          <w:rFonts w:hint="eastAsia" w:ascii="宋体" w:hAnsi="宋体" w:cs="宋体"/>
          <w:spacing w:val="-9"/>
          <w:w w:val="92"/>
        </w:rPr>
        <w:t>试验方法</w:t>
      </w:r>
      <w:r>
        <w:rPr>
          <w:rFonts w:eastAsia="Times New Roman"/>
          <w:spacing w:val="-9"/>
          <w:w w:val="92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82" w:line="278" w:lineRule="exact"/>
        <w:ind w:firstLine="1074" w:firstLineChars="600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7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.1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感官检验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.2</w:t>
      </w:r>
      <w:r>
        <w:rPr>
          <w:rFonts w:ascii="宋体" w:hAnsi="宋体" w:cs="宋体"/>
          <w:spacing w:val="28"/>
        </w:rPr>
        <w:t xml:space="preserve"> </w:t>
      </w:r>
      <w:r>
        <w:rPr>
          <w:rFonts w:hint="eastAsia" w:ascii="宋体" w:hAnsi="宋体" w:cs="宋体"/>
          <w:spacing w:val="28"/>
        </w:rPr>
        <w:t xml:space="preserve"> </w:t>
      </w:r>
      <w:r>
        <w:rPr>
          <w:rFonts w:hint="eastAsia" w:ascii="宋体" w:hAnsi="宋体" w:cs="宋体"/>
          <w:spacing w:val="-10"/>
          <w:w w:val="95"/>
        </w:rPr>
        <w:t>鉴别实验</w:t>
      </w:r>
      <w:r>
        <w:rPr>
          <w:rFonts w:ascii="宋体" w:hAnsi="宋体" w:cs="宋体"/>
          <w:spacing w:val="-42"/>
        </w:rPr>
        <w:t xml:space="preserve"> 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3 </w:t>
      </w:r>
      <w:r>
        <w:rPr>
          <w:rFonts w:hint="eastAsia" w:ascii="宋体" w:hAnsi="宋体" w:cs="宋体"/>
          <w:spacing w:val="-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锌含量的测定</w:t>
      </w:r>
      <w:r>
        <w:rPr>
          <w:rFonts w:eastAsia="Times New Roman"/>
          <w:spacing w:val="-6"/>
          <w:w w:val="87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6"/>
          <w:w w:val="87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4   </w:t>
      </w:r>
      <w:r>
        <w:rPr>
          <w:rFonts w:hint="eastAsia" w:ascii="宋体" w:hAnsi="宋体" w:cs="宋体"/>
          <w:spacing w:val="-9"/>
          <w:w w:val="93"/>
        </w:rPr>
        <w:t>苏氨酸及苏氨酸锌含量的测定</w:t>
      </w:r>
      <w:r>
        <w:rPr>
          <w:rFonts w:eastAsia="Times New Roman"/>
          <w:spacing w:val="-9"/>
          <w:w w:val="93"/>
        </w:rPr>
        <w:t>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5   </w:t>
      </w:r>
      <w:r>
        <w:rPr>
          <w:rFonts w:hint="eastAsia" w:ascii="宋体" w:hAnsi="宋体" w:cs="宋体"/>
          <w:spacing w:val="-9"/>
          <w:w w:val="93"/>
        </w:rPr>
        <w:t>粒度的测定</w:t>
      </w:r>
      <w:r>
        <w:rPr>
          <w:rFonts w:eastAsia="Times New Roman"/>
          <w:spacing w:val="-10"/>
          <w:w w:val="94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6   </w:t>
      </w:r>
      <w:r>
        <w:rPr>
          <w:rFonts w:hint="eastAsia" w:ascii="宋体" w:hAnsi="宋体" w:cs="宋体"/>
          <w:spacing w:val="-10"/>
          <w:w w:val="95"/>
        </w:rPr>
        <w:t>水分的测定</w:t>
      </w:r>
      <w:r>
        <w:rPr>
          <w:rFonts w:ascii="宋体" w:hAnsi="宋体" w:cs="宋体"/>
          <w:spacing w:val="-63"/>
        </w:rPr>
        <w:t xml:space="preserve"> </w:t>
      </w:r>
      <w:r>
        <w:rPr>
          <w:rFonts w:eastAsia="Times New Roman"/>
          <w:spacing w:val="-10"/>
          <w:w w:val="94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eastAsia="Times New Roman"/>
          <w:spacing w:val="5"/>
        </w:rPr>
        <w:t xml:space="preserve"> 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10"/>
          <w:w w:val="94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7   </w:t>
      </w:r>
      <w:r>
        <w:rPr>
          <w:rFonts w:hint="eastAsia" w:ascii="宋体" w:hAnsi="宋体" w:cs="宋体"/>
          <w:spacing w:val="-10"/>
          <w:w w:val="95"/>
        </w:rPr>
        <w:t>砷</w:t>
      </w:r>
      <w:r>
        <w:rPr>
          <w:rFonts w:hint="eastAsia" w:ascii="宋体" w:hAnsi="宋体" w:cs="宋体"/>
          <w:spacing w:val="-10"/>
          <w:w w:val="94"/>
        </w:rPr>
        <w:t>的测定</w:t>
      </w:r>
      <w:r>
        <w:rPr>
          <w:rFonts w:eastAsia="Times New Roman"/>
          <w:spacing w:val="-10"/>
          <w:w w:val="94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eastAsia="Times New Roman"/>
          <w:spacing w:val="5"/>
        </w:rPr>
        <w:t xml:space="preserve"> 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8   </w:t>
      </w:r>
      <w:r>
        <w:rPr>
          <w:rFonts w:hint="eastAsia" w:ascii="宋体" w:hAnsi="宋体" w:cs="宋体"/>
          <w:spacing w:val="-10"/>
          <w:w w:val="95"/>
        </w:rPr>
        <w:t>铅的测定</w:t>
      </w:r>
      <w:r>
        <w:rPr>
          <w:rFonts w:eastAsia="Times New Roman"/>
          <w:spacing w:val="-9"/>
          <w:w w:val="93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9   </w:t>
      </w:r>
      <w:r>
        <w:rPr>
          <w:rFonts w:hint="eastAsia" w:ascii="宋体" w:hAnsi="宋体" w:cs="宋体"/>
          <w:spacing w:val="-10"/>
          <w:w w:val="95"/>
        </w:rPr>
        <w:t>隔的测定</w:t>
      </w:r>
      <w:r>
        <w:rPr>
          <w:rFonts w:eastAsia="Times New Roman"/>
          <w:spacing w:val="-9"/>
          <w:w w:val="93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10  </w:t>
      </w:r>
      <w:r>
        <w:rPr>
          <w:rFonts w:hint="eastAsia" w:ascii="宋体" w:hAnsi="宋体" w:cs="宋体"/>
          <w:spacing w:val="-10"/>
          <w:w w:val="95"/>
        </w:rPr>
        <w:t>净含量及允许短缺量</w:t>
      </w:r>
      <w:r>
        <w:rPr>
          <w:rFonts w:eastAsia="Times New Roman"/>
          <w:spacing w:val="-9"/>
          <w:w w:val="93"/>
        </w:rPr>
        <w:t>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</w:p>
    <w:p>
      <w:pPr>
        <w:spacing w:before="82" w:line="278" w:lineRule="exact"/>
        <w:ind w:firstLine="907"/>
        <w:jc w:val="distribut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  <w:r>
        <w:rPr>
          <w:rFonts w:ascii="宋体" w:hAnsi="宋体" w:cs="宋体"/>
          <w:spacing w:val="45"/>
        </w:rPr>
        <w:t xml:space="preserve">  </w:t>
      </w:r>
      <w:r>
        <w:rPr>
          <w:rFonts w:hint="eastAsia" w:ascii="宋体" w:hAnsi="宋体" w:cs="宋体"/>
          <w:spacing w:val="-9"/>
          <w:w w:val="92"/>
        </w:rPr>
        <w:t>检查规则</w:t>
      </w:r>
      <w:r>
        <w:rPr>
          <w:rFonts w:eastAsia="Times New Roman"/>
          <w:spacing w:val="-9"/>
          <w:w w:val="92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2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</w:p>
    <w:p>
      <w:pPr>
        <w:spacing w:before="82" w:line="278" w:lineRule="exact"/>
        <w:ind w:firstLine="1116"/>
        <w:jc w:val="distribut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.1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组批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3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  <w:bookmarkStart w:id="0" w:name="_GoBack"/>
      <w:bookmarkEnd w:id="0"/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出厂检验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型式检验</w:t>
      </w:r>
      <w:r>
        <w:rPr>
          <w:rFonts w:ascii="宋体" w:hAnsi="宋体" w:cs="宋体"/>
          <w:spacing w:val="-42"/>
        </w:rPr>
        <w:t xml:space="preserve"> 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9"/>
          <w:w w:val="93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8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判定规则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</w:p>
    <w:p>
      <w:pPr>
        <w:spacing w:before="82" w:line="278" w:lineRule="exact"/>
        <w:ind w:firstLine="907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9"/>
          <w:w w:val="92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宋体" w:hAnsi="宋体" w:cs="宋体"/>
          <w:spacing w:val="45"/>
        </w:rPr>
        <w:t xml:space="preserve">  </w:t>
      </w:r>
      <w:r>
        <w:rPr>
          <w:rFonts w:hint="eastAsia" w:ascii="宋体" w:hAnsi="宋体" w:cs="宋体"/>
          <w:spacing w:val="-9"/>
          <w:w w:val="92"/>
        </w:rPr>
        <w:t>标签、包装、运输、贮存和保质期</w:t>
      </w:r>
      <w:r>
        <w:rPr>
          <w:rFonts w:eastAsia="Times New Roman"/>
          <w:spacing w:val="-9"/>
          <w:w w:val="92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.1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标签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eastAsia="Times New Roman"/>
          <w:spacing w:val="7"/>
          <w:w w:val="101"/>
        </w:rPr>
        <w:t xml:space="preserve"> 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.2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包装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eastAsia="Times New Roman"/>
          <w:spacing w:val="7"/>
          <w:w w:val="101"/>
        </w:rPr>
        <w:t xml:space="preserve"> 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运输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eastAsia="Times New Roman"/>
          <w:spacing w:val="7"/>
          <w:w w:val="101"/>
        </w:rPr>
        <w:t xml:space="preserve"> 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</w:p>
    <w:p>
      <w:pPr>
        <w:spacing w:before="82" w:line="278" w:lineRule="exact"/>
        <w:ind w:firstLine="1116"/>
        <w:jc w:val="distribute"/>
        <w:rPr>
          <w:rFonts w:hint="eastAsia" w:ascii="宋体" w:hAnsi="宋体" w:cs="宋体"/>
          <w:spacing w:val="-10"/>
          <w:w w:val="95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贮存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eastAsia="Times New Roman"/>
          <w:spacing w:val="7"/>
          <w:w w:val="101"/>
        </w:rPr>
        <w:t xml:space="preserve"> </w:t>
      </w:r>
      <w:r>
        <w:rPr>
          <w:rFonts w:hint="eastAsia" w:ascii="宋体" w:hAnsi="宋体" w:cs="宋体"/>
          <w:spacing w:val="-10"/>
          <w:w w:val="95"/>
          <w:lang w:val="en-US"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</w:p>
    <w:p>
      <w:pPr>
        <w:spacing w:before="82" w:line="278" w:lineRule="exact"/>
        <w:ind w:firstLine="1116"/>
        <w:jc w:val="distribute"/>
        <w:rPr>
          <w:rFonts w:ascii="宋体" w:hAnsi="宋体" w:cs="宋体"/>
        </w:rPr>
      </w:pP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宋体" w:hAnsi="宋体" w:cs="宋体"/>
          <w:spacing w:val="28"/>
        </w:rPr>
        <w:t xml:space="preserve">  </w:t>
      </w:r>
      <w:r>
        <w:rPr>
          <w:rFonts w:hint="eastAsia" w:ascii="宋体" w:hAnsi="宋体" w:cs="宋体"/>
          <w:spacing w:val="-10"/>
          <w:w w:val="95"/>
        </w:rPr>
        <w:t>保质期</w:t>
      </w:r>
      <w:r>
        <w:rPr>
          <w:rFonts w:eastAsia="Times New Roman"/>
          <w:spacing w:val="-10"/>
          <w:w w:val="95"/>
        </w:rPr>
        <w:t>········································································································································</w:t>
      </w:r>
      <w:r>
        <w:rPr>
          <w:rFonts w:hint="eastAsia" w:ascii="宋体" w:hAnsi="宋体" w:cs="宋体"/>
          <w:spacing w:val="-10"/>
          <w:w w:val="95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10</w:t>
      </w:r>
    </w:p>
    <w:p>
      <w:pPr>
        <w:spacing w:before="83" w:line="292" w:lineRule="auto"/>
        <w:ind w:right="818"/>
        <w:sectPr>
          <w:headerReference r:id="rId4" w:type="default"/>
          <w:footerReference r:id="rId5" w:type="default"/>
          <w:pgSz w:w="11900" w:h="16840"/>
          <w:pgMar w:top="400" w:right="353" w:bottom="794" w:left="695" w:header="0" w:footer="360" w:gutter="0"/>
          <w:pgNumType w:start="1"/>
          <w:cols w:space="720" w:num="1"/>
        </w:sectPr>
      </w:pPr>
    </w:p>
    <w:p>
      <w:pPr>
        <w:spacing w:line="361" w:lineRule="exact"/>
        <w:textAlignment w:val="center"/>
      </w:pPr>
      <w:r>
        <w:drawing>
          <wp:inline distT="0" distB="0" distL="0" distR="0">
            <wp:extent cx="6889750" cy="229235"/>
            <wp:effectExtent l="0" t="0" r="6350" b="1841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90004" cy="2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4" w:line="183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前</w:t>
      </w:r>
      <w:r>
        <w:rPr>
          <w:rFonts w:ascii="黑体" w:hAnsi="黑体" w:eastAsia="黑体" w:cs="黑体"/>
          <w:spacing w:val="8"/>
          <w:sz w:val="32"/>
          <w:szCs w:val="32"/>
        </w:rPr>
        <w:t xml:space="preserve">   </w:t>
      </w:r>
      <w:r>
        <w:rPr>
          <w:rFonts w:ascii="黑体" w:hAnsi="黑体" w:eastAsia="黑体" w:cs="黑体"/>
          <w:spacing w:val="-11"/>
          <w:sz w:val="32"/>
          <w:szCs w:val="32"/>
        </w:rPr>
        <w:t>言</w:t>
      </w:r>
    </w:p>
    <w:p>
      <w:pPr>
        <w:spacing w:line="291" w:lineRule="auto"/>
      </w:pPr>
    </w:p>
    <w:p>
      <w:pPr>
        <w:spacing w:line="292" w:lineRule="auto"/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本文件按照GB/T 1.1-2020《标准化工作导则  第1部分：标准化文件的结构和起草规则》的规定起草。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本文件的某些内容可能涉及专利。本文件的发布机构不承担识别这些专利的责任。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本文件由湖南省市场监督管理局提出并归口。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本文件起草单位：长沙兴嘉生物工程股份有限公司。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本文件主要起草人：黄逸强、彭红星、洪双胜、钟芳、罗丹。</w:t>
      </w: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pStyle w:val="20"/>
        <w:spacing w:before="100" w:after="100" w:line="360" w:lineRule="auto"/>
        <w:jc w:val="both"/>
        <w:rPr>
          <w:rFonts w:cs="黑体"/>
          <w:b/>
          <w:sz w:val="24"/>
          <w:szCs w:val="24"/>
        </w:rPr>
      </w:pPr>
    </w:p>
    <w:p>
      <w:pPr>
        <w:pStyle w:val="20"/>
        <w:spacing w:before="100" w:after="100" w:line="360" w:lineRule="auto"/>
        <w:rPr>
          <w:rFonts w:cs="黑体"/>
          <w:b/>
          <w:sz w:val="24"/>
          <w:szCs w:val="24"/>
        </w:rPr>
      </w:pPr>
    </w:p>
    <w:p>
      <w:pPr>
        <w:pStyle w:val="20"/>
        <w:spacing w:before="100" w:after="100" w:line="360" w:lineRule="auto"/>
        <w:rPr>
          <w:rFonts w:cs="黑体"/>
          <w:b/>
          <w:sz w:val="24"/>
          <w:szCs w:val="24"/>
        </w:rPr>
      </w:pPr>
    </w:p>
    <w:p>
      <w:pPr>
        <w:pStyle w:val="20"/>
        <w:spacing w:before="100" w:after="100" w:line="360" w:lineRule="auto"/>
        <w:rPr>
          <w:rFonts w:cs="黑体"/>
          <w:b/>
          <w:sz w:val="24"/>
          <w:szCs w:val="24"/>
        </w:rPr>
      </w:pPr>
    </w:p>
    <w:p>
      <w:pPr>
        <w:pStyle w:val="20"/>
        <w:spacing w:before="100" w:after="100" w:line="360" w:lineRule="auto"/>
        <w:rPr>
          <w:rFonts w:cs="黑体"/>
          <w:b/>
          <w:sz w:val="24"/>
          <w:szCs w:val="24"/>
        </w:rPr>
      </w:pPr>
    </w:p>
    <w:p>
      <w:pPr>
        <w:pStyle w:val="20"/>
        <w:spacing w:before="100" w:after="100" w:line="360" w:lineRule="auto"/>
        <w:rPr>
          <w:rFonts w:cs="黑体"/>
          <w:b/>
          <w:sz w:val="24"/>
          <w:szCs w:val="24"/>
        </w:rPr>
      </w:pPr>
    </w:p>
    <w:p>
      <w:pPr>
        <w:pStyle w:val="20"/>
        <w:spacing w:before="100" w:after="100" w:line="360" w:lineRule="auto"/>
        <w:rPr>
          <w:rFonts w:cs="黑体"/>
          <w:b/>
          <w:sz w:val="24"/>
          <w:szCs w:val="24"/>
        </w:rPr>
      </w:pPr>
    </w:p>
    <w:p>
      <w:pPr>
        <w:pStyle w:val="20"/>
        <w:spacing w:before="100" w:after="100" w:line="360" w:lineRule="auto"/>
        <w:rPr>
          <w:rFonts w:cs="黑体"/>
          <w:b/>
          <w:sz w:val="24"/>
          <w:szCs w:val="24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0"/>
        <w:spacing w:before="100" w:after="100" w:line="360" w:lineRule="auto"/>
        <w:rPr>
          <w:rFonts w:cs="黑体"/>
          <w:b/>
          <w:szCs w:val="32"/>
        </w:rPr>
      </w:pPr>
      <w:r>
        <w:rPr>
          <w:rFonts w:hint="eastAsia" w:cs="黑体"/>
          <w:b/>
          <w:szCs w:val="32"/>
        </w:rPr>
        <w:t>饲料添加剂  苏氨酸锌螯合物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b/>
          <w:bCs/>
          <w:szCs w:val="21"/>
        </w:rPr>
      </w:pPr>
      <w:r>
        <w:rPr>
          <w:rFonts w:hint="eastAsia" w:ascii="黑体" w:eastAsia="黑体" w:cs="黑体"/>
          <w:b/>
          <w:bCs/>
          <w:szCs w:val="21"/>
        </w:rPr>
        <w:t>1  范围</w:t>
      </w:r>
    </w:p>
    <w:p>
      <w:pPr>
        <w:spacing w:before="69" w:line="360" w:lineRule="auto"/>
        <w:ind w:left="40" w:right="3" w:firstLine="416" w:firstLineChars="200"/>
        <w:rPr>
          <w:rFonts w:ascii="宋体" w:cs="宋体"/>
          <w:spacing w:val="-1"/>
          <w:szCs w:val="21"/>
        </w:rPr>
      </w:pPr>
      <w:r>
        <w:rPr>
          <w:rFonts w:ascii="宋体" w:cs="宋体"/>
          <w:spacing w:val="-1"/>
          <w:szCs w:val="21"/>
        </w:rPr>
        <w:t>本</w:t>
      </w:r>
      <w:r>
        <w:rPr>
          <w:rFonts w:hint="eastAsia" w:ascii="宋体" w:cs="宋体"/>
          <w:spacing w:val="-1"/>
          <w:szCs w:val="21"/>
        </w:rPr>
        <w:t>标</w:t>
      </w:r>
      <w:r>
        <w:rPr>
          <w:rFonts w:ascii="宋体" w:cs="宋体"/>
          <w:spacing w:val="-1"/>
          <w:szCs w:val="21"/>
        </w:rPr>
        <w:t>准规定了饲料添加剂</w:t>
      </w:r>
      <w:r>
        <w:rPr>
          <w:rFonts w:hint="eastAsia" w:ascii="宋体" w:cs="宋体"/>
          <w:spacing w:val="-1"/>
          <w:szCs w:val="21"/>
        </w:rPr>
        <w:t>苏氨酸锌螯合物的术语和定义</w:t>
      </w:r>
      <w:r>
        <w:rPr>
          <w:rFonts w:ascii="宋体" w:cs="宋体"/>
          <w:spacing w:val="-1"/>
          <w:szCs w:val="21"/>
        </w:rPr>
        <w:t>、</w:t>
      </w:r>
      <w:r>
        <w:rPr>
          <w:rFonts w:hint="eastAsia" w:ascii="宋体" w:cs="宋体"/>
          <w:spacing w:val="-1"/>
          <w:szCs w:val="21"/>
        </w:rPr>
        <w:t>要求、试验方法、检验规则及标签、包装、运输、贮存和保质期。</w:t>
      </w:r>
    </w:p>
    <w:p>
      <w:pPr>
        <w:spacing w:before="69" w:line="360" w:lineRule="auto"/>
        <w:ind w:right="3" w:firstLine="416" w:firstLineChars="200"/>
        <w:rPr>
          <w:rFonts w:ascii="宋体" w:cs="宋体"/>
          <w:szCs w:val="21"/>
        </w:rPr>
      </w:pPr>
      <w:r>
        <w:rPr>
          <w:rFonts w:hint="eastAsia" w:ascii="宋体" w:cs="宋体"/>
          <w:spacing w:val="-1"/>
          <w:szCs w:val="21"/>
        </w:rPr>
        <w:t>本</w:t>
      </w:r>
      <w:r>
        <w:rPr>
          <w:rFonts w:ascii="宋体" w:cs="宋体"/>
          <w:spacing w:val="-1"/>
          <w:szCs w:val="21"/>
        </w:rPr>
        <w:t>标准适用于饲料添加剂苏氨酸锌螯合物的生产、销售和使用。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b/>
          <w:bCs/>
          <w:szCs w:val="21"/>
        </w:rPr>
      </w:pPr>
      <w:r>
        <w:rPr>
          <w:rFonts w:hint="eastAsia" w:ascii="黑体" w:eastAsia="黑体" w:cs="黑体"/>
          <w:b/>
          <w:bCs/>
          <w:szCs w:val="21"/>
        </w:rPr>
        <w:t>2  规范性引用文件</w:t>
      </w:r>
    </w:p>
    <w:p>
      <w:pPr>
        <w:spacing w:before="69" w:line="360" w:lineRule="auto"/>
        <w:ind w:right="10" w:firstLine="420" w:firstLineChars="202"/>
        <w:rPr>
          <w:rFonts w:ascii="宋体" w:cs="宋体"/>
          <w:spacing w:val="-1"/>
          <w:szCs w:val="21"/>
        </w:rPr>
      </w:pPr>
      <w:r>
        <w:rPr>
          <w:rFonts w:ascii="宋体" w:cs="宋体"/>
          <w:spacing w:val="-1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szCs w:val="21"/>
        </w:rPr>
        <w:t>GB/T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5917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饲料粒度测定方法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szCs w:val="21"/>
        </w:rPr>
        <w:t xml:space="preserve">GB/T 6435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饲料</w:t>
      </w:r>
      <w:r>
        <w:rPr>
          <w:rFonts w:hint="eastAsia"/>
          <w:szCs w:val="21"/>
        </w:rPr>
        <w:t>水分的</w:t>
      </w:r>
      <w:r>
        <w:rPr>
          <w:szCs w:val="21"/>
        </w:rPr>
        <w:t>测定</w:t>
      </w:r>
      <w:r>
        <w:rPr>
          <w:rFonts w:hint="eastAsia"/>
          <w:szCs w:val="21"/>
        </w:rPr>
        <w:t>方</w:t>
      </w:r>
      <w:r>
        <w:rPr>
          <w:szCs w:val="21"/>
        </w:rPr>
        <w:t>法</w:t>
      </w:r>
    </w:p>
    <w:p>
      <w:pPr>
        <w:pStyle w:val="21"/>
        <w:spacing w:line="360" w:lineRule="auto"/>
        <w:ind w:firstLine="840" w:firstLineChars="400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t>GB/T 6682</w:t>
      </w:r>
      <w:r>
        <w:rPr>
          <w:rFonts w:hint="eastAsia" w:ascii="Times New Roman" w:cs="Times New Roman"/>
          <w:szCs w:val="21"/>
        </w:rPr>
        <w:t xml:space="preserve">        </w:t>
      </w:r>
      <w:r>
        <w:rPr>
          <w:rFonts w:ascii="Times New Roman" w:cs="Times New Roman"/>
          <w:szCs w:val="21"/>
        </w:rPr>
        <w:t>分析实验室用水规格和试验方法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szCs w:val="21"/>
        </w:rPr>
        <w:t>GB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10648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饲料标签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szCs w:val="21"/>
        </w:rPr>
        <w:t>GB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13078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饲料卫生标准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szCs w:val="21"/>
        </w:rPr>
        <w:t>GB/T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13079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饲料中总砷的测定方法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szCs w:val="21"/>
        </w:rPr>
        <w:t>GB/T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13080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饲料中铅的测定方法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 xml:space="preserve">GB 13082         </w:t>
      </w:r>
      <w:r>
        <w:rPr>
          <w:szCs w:val="21"/>
        </w:rPr>
        <w:t>饲料中</w:t>
      </w:r>
      <w:r>
        <w:rPr>
          <w:rFonts w:hint="eastAsia"/>
          <w:szCs w:val="21"/>
        </w:rPr>
        <w:t>镉</w:t>
      </w:r>
      <w:r>
        <w:rPr>
          <w:szCs w:val="21"/>
        </w:rPr>
        <w:t>的测定方法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szCs w:val="21"/>
        </w:rPr>
        <w:t>GB/T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</w:t>
      </w:r>
      <w:r>
        <w:rPr>
          <w:rFonts w:hint="eastAsia"/>
          <w:szCs w:val="21"/>
        </w:rPr>
        <w:t>4699.1      饲料采样</w:t>
      </w:r>
    </w:p>
    <w:p>
      <w:pPr>
        <w:spacing w:line="360" w:lineRule="auto"/>
        <w:ind w:firstLine="840" w:firstLineChars="400"/>
        <w:rPr>
          <w:szCs w:val="21"/>
        </w:rPr>
      </w:pPr>
      <w:r>
        <w:rPr>
          <w:rFonts w:hint="eastAsia"/>
          <w:szCs w:val="21"/>
        </w:rPr>
        <w:t xml:space="preserve">GB/T 18823       </w:t>
      </w:r>
      <w:r>
        <w:rPr>
          <w:szCs w:val="21"/>
        </w:rPr>
        <w:t>饲料检测结果判定的允许误差</w:t>
      </w:r>
      <w:r>
        <w:rPr>
          <w:rFonts w:hint="eastAsia"/>
          <w:szCs w:val="21"/>
        </w:rPr>
        <w:t xml:space="preserve">   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b/>
          <w:bCs/>
          <w:szCs w:val="21"/>
        </w:rPr>
      </w:pPr>
      <w:r>
        <w:rPr>
          <w:rFonts w:hint="eastAsia" w:ascii="黑体" w:eastAsia="黑体" w:cs="黑体"/>
          <w:b/>
          <w:bCs/>
          <w:szCs w:val="21"/>
        </w:rPr>
        <w:t>3  化学名称、分子式、相对分子质量和结构式</w:t>
      </w:r>
    </w:p>
    <w:p>
      <w:pPr>
        <w:spacing w:line="360" w:lineRule="auto"/>
        <w:ind w:firstLine="525"/>
        <w:rPr>
          <w:szCs w:val="21"/>
        </w:rPr>
      </w:pPr>
      <w:r>
        <w:rPr>
          <w:szCs w:val="21"/>
        </w:rPr>
        <w:t>化学名称：</w:t>
      </w:r>
      <w:r>
        <w:rPr>
          <w:rFonts w:hint="eastAsia"/>
          <w:szCs w:val="21"/>
        </w:rPr>
        <w:t>苏氨酸锌螯合物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分子式：</w:t>
      </w:r>
      <w:r>
        <w:rPr>
          <w:rFonts w:hint="eastAsia"/>
          <w:szCs w:val="21"/>
        </w:rPr>
        <w:t>C</w:t>
      </w:r>
      <w:r>
        <w:rPr>
          <w:rFonts w:hint="eastAsia"/>
          <w:szCs w:val="21"/>
          <w:vertAlign w:val="subscript"/>
        </w:rPr>
        <w:t>8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20</w:t>
      </w:r>
      <w:r>
        <w:rPr>
          <w:rFonts w:hint="eastAsia"/>
          <w:szCs w:val="21"/>
        </w:rPr>
        <w:t>N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8</w:t>
      </w:r>
      <w:r>
        <w:rPr>
          <w:rFonts w:hint="eastAsia"/>
          <w:szCs w:val="21"/>
        </w:rPr>
        <w:t>Zn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相对分子质量：</w:t>
      </w:r>
      <w:r>
        <w:rPr>
          <w:rFonts w:hint="eastAsia"/>
          <w:szCs w:val="21"/>
        </w:rPr>
        <w:t>337.63</w:t>
      </w:r>
      <w:r>
        <w:rPr>
          <w:szCs w:val="21"/>
        </w:rPr>
        <w:t xml:space="preserve"> (按2011年国际相对原子质量计)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结构式：(C</w:t>
      </w:r>
      <w:r>
        <w:rPr>
          <w:szCs w:val="21"/>
          <w:vertAlign w:val="subscript"/>
        </w:rPr>
        <w:t>4</w:t>
      </w:r>
      <w:r>
        <w:rPr>
          <w:szCs w:val="21"/>
        </w:rPr>
        <w:t>H</w:t>
      </w:r>
      <w:r>
        <w:rPr>
          <w:szCs w:val="21"/>
          <w:vertAlign w:val="subscript"/>
        </w:rPr>
        <w:t>8</w:t>
      </w:r>
      <w:r>
        <w:rPr>
          <w:szCs w:val="21"/>
        </w:rPr>
        <w:t>N</w:t>
      </w:r>
      <w:r>
        <w:rPr>
          <w:rFonts w:hint="eastAsia"/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Zn·2H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b/>
          <w:bCs/>
          <w:szCs w:val="21"/>
        </w:rPr>
      </w:pPr>
      <w:r>
        <w:rPr>
          <w:rFonts w:hint="eastAsia" w:ascii="黑体" w:eastAsia="黑体" w:cs="黑体"/>
          <w:b/>
          <w:bCs/>
          <w:szCs w:val="21"/>
        </w:rPr>
        <w:t>4  术语和定义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本文件没有需要界定的术语和定义。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b/>
          <w:bCs/>
          <w:szCs w:val="21"/>
        </w:rPr>
      </w:pPr>
      <w:r>
        <w:rPr>
          <w:rFonts w:hint="eastAsia" w:ascii="黑体" w:eastAsia="黑体" w:cs="黑体"/>
          <w:b/>
          <w:bCs/>
          <w:szCs w:val="21"/>
        </w:rPr>
        <w:t>5  技术要求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>5.1  外观与性状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本品浅黄色或类白色结晶性粉末或细小颗粒，微溶于水，溶于酸，无刺激性气味。</w:t>
      </w:r>
    </w:p>
    <w:p>
      <w:pPr>
        <w:pStyle w:val="10"/>
        <w:spacing w:after="120" w:line="360" w:lineRule="auto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>5.2  技术指标</w:t>
      </w:r>
    </w:p>
    <w:p>
      <w:pPr>
        <w:pStyle w:val="21"/>
        <w:ind w:firstLine="0" w:firstLineChars="0"/>
        <w:jc w:val="center"/>
        <w:rPr>
          <w:szCs w:val="21"/>
        </w:rPr>
      </w:pPr>
      <w:r>
        <w:rPr>
          <w:rFonts w:hint="eastAsia"/>
          <w:szCs w:val="21"/>
        </w:rPr>
        <w:t>表</w:t>
      </w:r>
      <w:r>
        <w:rPr>
          <w:rFonts w:ascii="Times New Roman"/>
          <w:szCs w:val="21"/>
        </w:rPr>
        <w:t xml:space="preserve"> </w:t>
      </w:r>
      <w:r>
        <w:rPr>
          <w:rFonts w:hint="eastAsia" w:ascii="Times New Roman"/>
          <w:szCs w:val="21"/>
        </w:rPr>
        <w:t>1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1"/>
        <w:gridCol w:w="491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1680" w:firstLineChars="800"/>
              <w:rPr>
                <w:szCs w:val="21"/>
              </w:rPr>
            </w:pP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目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锌（</w:t>
            </w:r>
            <w:r>
              <w:rPr>
                <w:szCs w:val="21"/>
              </w:rPr>
              <w:t>以</w:t>
            </w:r>
            <w:r>
              <w:rPr>
                <w:rFonts w:hint="eastAsia"/>
                <w:szCs w:val="21"/>
              </w:rPr>
              <w:t>Zn</w:t>
            </w:r>
            <w:r>
              <w:rPr>
                <w:szCs w:val="21"/>
              </w:rPr>
              <w:t>计</w:t>
            </w:r>
            <w:r>
              <w:rPr>
                <w:rFonts w:hint="eastAsia"/>
                <w:szCs w:val="21"/>
              </w:rPr>
              <w:t>） %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≥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总苏氨酸      %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≥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砷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As</w:t>
            </w:r>
            <w:r>
              <w:rPr>
                <w:rFonts w:hint="eastAsia"/>
                <w:szCs w:val="21"/>
              </w:rPr>
              <w:t>）     %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≤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  <w:r>
              <w:rPr>
                <w:rFonts w:hint="eastAsia"/>
                <w:szCs w:val="21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铅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Pb</w:t>
            </w:r>
            <w:r>
              <w:rPr>
                <w:rFonts w:hint="eastAsia"/>
                <w:szCs w:val="21"/>
              </w:rPr>
              <w:t>）     %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≤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镉（Cd）     %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≤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水分         %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≤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粒</w:t>
            </w:r>
            <w:r>
              <w:rPr>
                <w:szCs w:val="21"/>
              </w:rPr>
              <w:t>度</w:t>
            </w:r>
            <w:r>
              <w:rPr>
                <w:rFonts w:hint="eastAsia"/>
                <w:szCs w:val="21"/>
              </w:rPr>
              <w:t>（孔径0.</w:t>
            </w:r>
            <w:r>
              <w:rPr>
                <w:rFonts w:hint="eastAsia"/>
                <w:szCs w:val="21"/>
                <w:lang w:val="en-US" w:eastAsia="zh-CN"/>
              </w:rPr>
              <w:t>84</w:t>
            </w:r>
            <w:r>
              <w:rPr>
                <w:rFonts w:hint="eastAsia"/>
                <w:szCs w:val="21"/>
              </w:rPr>
              <w:t>mm试验筛</w:t>
            </w:r>
            <w:r>
              <w:rPr>
                <w:szCs w:val="21"/>
              </w:rPr>
              <w:t>通过率</w:t>
            </w:r>
            <w:r>
              <w:rPr>
                <w:rFonts w:hint="eastAsia"/>
                <w:szCs w:val="21"/>
              </w:rPr>
              <w:t>%）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≥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95.0</w:t>
            </w:r>
          </w:p>
        </w:tc>
      </w:tr>
    </w:tbl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b/>
          <w:bCs/>
          <w:szCs w:val="21"/>
        </w:rPr>
      </w:pPr>
      <w:r>
        <w:rPr>
          <w:rFonts w:hint="eastAsia" w:ascii="黑体" w:eastAsia="黑体" w:cs="黑体"/>
          <w:b/>
          <w:bCs/>
          <w:szCs w:val="21"/>
        </w:rPr>
        <w:t>6  采样</w:t>
      </w:r>
    </w:p>
    <w:p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按GB/T 14699.1的规定进行采样。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b/>
          <w:bCs/>
          <w:szCs w:val="21"/>
        </w:rPr>
      </w:pPr>
      <w:r>
        <w:rPr>
          <w:rFonts w:hint="eastAsia" w:ascii="黑体" w:eastAsia="黑体" w:cs="黑体"/>
          <w:b/>
          <w:bCs/>
          <w:szCs w:val="21"/>
        </w:rPr>
        <w:t>7  试验方法</w:t>
      </w:r>
    </w:p>
    <w:p>
      <w:pPr>
        <w:pStyle w:val="10"/>
        <w:spacing w:before="156" w:beforeLines="50" w:line="360" w:lineRule="auto"/>
        <w:ind w:firstLine="420" w:firstLineChars="200"/>
        <w:jc w:val="left"/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除非另有规定，本文件所用试剂和水，均指分析纯试剂</w:t>
      </w:r>
      <w:r>
        <w:rPr>
          <w:rFonts w:hint="eastAsia" w:ascii="Times New Roman"/>
          <w:szCs w:val="21"/>
        </w:rPr>
        <w:t>和GB/T 6682中规</w:t>
      </w:r>
      <w:r>
        <w:rPr>
          <w:rFonts w:hint="eastAsia" w:hAnsi="宋体" w:cs="宋体"/>
          <w:szCs w:val="21"/>
        </w:rPr>
        <w:t>定的三级水，</w:t>
      </w:r>
      <w:r>
        <w:rPr>
          <w:rFonts w:ascii="Times New Roman" w:eastAsiaTheme="minorEastAsia"/>
          <w:szCs w:val="21"/>
        </w:rPr>
        <w:t>所用标准溶液、制剂及制品，均按GB/T 601、GB/T 602、GB/T 603规定的方法制备。</w:t>
      </w:r>
    </w:p>
    <w:p>
      <w:pPr>
        <w:pStyle w:val="9"/>
        <w:spacing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>7.1  感官检验</w:t>
      </w:r>
    </w:p>
    <w:p>
      <w:pPr>
        <w:pStyle w:val="19"/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取约20g的试样置于清洁、干燥的白瓷盘内，在自然光下目视观察其色泽和状态。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>7.2  鉴别实验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7.2.1  试剂或材料</w:t>
      </w:r>
    </w:p>
    <w:p>
      <w:pPr>
        <w:pStyle w:val="9"/>
        <w:spacing w:after="0" w:line="360" w:lineRule="auto"/>
        <w:ind w:left="0" w:leftChars="0"/>
        <w:rPr>
          <w:szCs w:val="21"/>
        </w:rPr>
      </w:pPr>
      <w:r>
        <w:rPr>
          <w:rFonts w:hint="eastAsia" w:ascii="黑体" w:eastAsia="黑体" w:cs="黑体"/>
          <w:szCs w:val="21"/>
        </w:rPr>
        <w:t>7.2.1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eastAsia="黑体" w:cs="黑体"/>
          <w:szCs w:val="21"/>
        </w:rPr>
        <w:t xml:space="preserve">1 </w:t>
      </w:r>
      <w:r>
        <w:rPr>
          <w:rFonts w:hint="eastAsia" w:ascii="宋体" w:hAnsi="宋体" w:eastAsia="宋体" w:cs="宋体"/>
          <w:szCs w:val="21"/>
        </w:rPr>
        <w:t xml:space="preserve"> 盐酸溶液</w:t>
      </w:r>
      <w:r>
        <w:rPr>
          <w:rFonts w:hint="eastAsia"/>
          <w:szCs w:val="21"/>
        </w:rPr>
        <w:t>（1+10，v/v）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/>
          <w:szCs w:val="21"/>
        </w:rPr>
        <w:t>取100mL浓盐酸缓缓加入到1000mL水中，即得。</w:t>
      </w:r>
    </w:p>
    <w:p>
      <w:pPr>
        <w:pStyle w:val="9"/>
        <w:spacing w:after="0" w:line="360" w:lineRule="auto"/>
        <w:ind w:left="0" w:leftChars="0"/>
        <w:rPr>
          <w:szCs w:val="21"/>
        </w:rPr>
      </w:pPr>
      <w:r>
        <w:rPr>
          <w:rFonts w:hint="eastAsia" w:ascii="黑体" w:eastAsia="黑体" w:cs="黑体"/>
          <w:szCs w:val="21"/>
        </w:rPr>
        <w:t>7.2.1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eastAsia="黑体" w:cs="黑体"/>
          <w:szCs w:val="21"/>
        </w:rPr>
        <w:t xml:space="preserve">2  </w:t>
      </w:r>
      <w:r>
        <w:rPr>
          <w:rFonts w:hint="eastAsia" w:ascii="宋体" w:hAnsi="宋体" w:eastAsia="宋体" w:cs="宋体"/>
          <w:szCs w:val="21"/>
        </w:rPr>
        <w:t>氨水溶液</w:t>
      </w:r>
      <w:r>
        <w:rPr>
          <w:rFonts w:hint="eastAsia"/>
          <w:szCs w:val="21"/>
        </w:rPr>
        <w:t>（1+1，v/v）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/>
          <w:szCs w:val="21"/>
        </w:rPr>
        <w:t>取水100mL加入到100mL浓氨水中，即得。</w:t>
      </w:r>
    </w:p>
    <w:p>
      <w:pPr>
        <w:pStyle w:val="9"/>
        <w:spacing w:after="0"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>7.2.1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eastAsia="黑体" w:cs="黑体"/>
          <w:szCs w:val="21"/>
        </w:rPr>
        <w:t xml:space="preserve">3  </w:t>
      </w:r>
      <w:r>
        <w:rPr>
          <w:rFonts w:hint="eastAsia" w:ascii="宋体" w:hAnsi="宋体" w:eastAsia="宋体" w:cs="宋体"/>
          <w:szCs w:val="21"/>
        </w:rPr>
        <w:t>硫酸钠溶液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/>
          <w:szCs w:val="21"/>
        </w:rPr>
        <w:t>250g</w:t>
      </w:r>
      <w:r>
        <w:rPr>
          <w:szCs w:val="21"/>
        </w:rPr>
        <w:t>/</w:t>
      </w:r>
      <w:r>
        <w:rPr>
          <w:rFonts w:hint="eastAsia"/>
          <w:szCs w:val="21"/>
        </w:rPr>
        <w:t>L</w:t>
      </w:r>
      <w:r>
        <w:rPr>
          <w:rFonts w:hint="eastAsia" w:ascii="黑体" w:eastAsia="黑体" w:cs="黑体"/>
          <w:szCs w:val="21"/>
        </w:rPr>
        <w:t>。</w:t>
      </w:r>
    </w:p>
    <w:p>
      <w:pPr>
        <w:pStyle w:val="9"/>
        <w:spacing w:after="0" w:line="360" w:lineRule="auto"/>
        <w:ind w:left="0" w:leftChars="0"/>
        <w:rPr>
          <w:szCs w:val="21"/>
        </w:rPr>
      </w:pPr>
      <w:r>
        <w:rPr>
          <w:rFonts w:hint="eastAsia" w:ascii="黑体" w:eastAsia="黑体" w:cs="黑体"/>
          <w:szCs w:val="21"/>
        </w:rPr>
        <w:t>7.2.1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eastAsia="黑体" w:cs="黑体"/>
          <w:szCs w:val="21"/>
        </w:rPr>
        <w:t>4  10g</w:t>
      </w:r>
      <w:r>
        <w:rPr>
          <w:rFonts w:ascii="黑体" w:eastAsia="黑体" w:cs="黑体"/>
          <w:szCs w:val="21"/>
        </w:rPr>
        <w:t>/</w:t>
      </w:r>
      <w:r>
        <w:rPr>
          <w:rFonts w:hint="eastAsia" w:ascii="黑体" w:eastAsia="黑体" w:cs="黑体"/>
          <w:szCs w:val="21"/>
        </w:rPr>
        <w:t>L</w:t>
      </w:r>
      <w:r>
        <w:rPr>
          <w:rFonts w:hint="eastAsia" w:ascii="宋体" w:hAnsi="宋体" w:eastAsia="宋体" w:cs="宋体"/>
          <w:szCs w:val="21"/>
        </w:rPr>
        <w:t>双硫腙四氯化碳溶液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/>
          <w:szCs w:val="21"/>
        </w:rPr>
        <w:t>取双硫腙1g加四氯化碳使其溶解至100mL，即得，使用期为两周。</w:t>
      </w:r>
    </w:p>
    <w:p>
      <w:pPr>
        <w:spacing w:line="360" w:lineRule="auto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7.2.1.5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三氯甲烷 AR。</w:t>
      </w:r>
    </w:p>
    <w:p>
      <w:pPr>
        <w:spacing w:line="360" w:lineRule="auto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7.2.1.6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茚三酮溶液</w:t>
      </w:r>
      <w:r>
        <w:rPr>
          <w:rFonts w:hint="eastAsia" w:ascii="黑体" w:eastAsia="黑体" w:cs="黑体"/>
          <w:szCs w:val="21"/>
        </w:rPr>
        <w:t>：1g</w:t>
      </w:r>
      <w:r>
        <w:rPr>
          <w:rFonts w:hint="eastAsia" w:cs="黑体"/>
          <w:szCs w:val="21"/>
        </w:rPr>
        <w:t>/L水溶液。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7.2.2  仪器设备</w:t>
      </w:r>
    </w:p>
    <w:p>
      <w:pPr>
        <w:adjustRightInd w:val="0"/>
        <w:snapToGrid w:val="0"/>
        <w:spacing w:line="360" w:lineRule="auto"/>
        <w:rPr>
          <w:rFonts w:cs="黑体"/>
          <w:szCs w:val="21"/>
        </w:rPr>
      </w:pPr>
      <w:r>
        <w:rPr>
          <w:rFonts w:hint="eastAsia" w:ascii="黑体" w:hAnsi="黑体" w:eastAsia="黑体" w:cs="黑体"/>
          <w:szCs w:val="21"/>
        </w:rPr>
        <w:t>7.2.2</w:t>
      </w:r>
      <w:r>
        <w:rPr>
          <w:rFonts w:hint="eastAsia" w:ascii="黑体" w:eastAsia="黑体" w:cs="黑体"/>
          <w:szCs w:val="21"/>
        </w:rPr>
        <w:t xml:space="preserve">.1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分析天平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 w:cs="黑体"/>
          <w:szCs w:val="21"/>
        </w:rPr>
        <w:t>感量0.0001g。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7.2.3  锌离子的鉴别</w:t>
      </w:r>
    </w:p>
    <w:p>
      <w:pPr>
        <w:pStyle w:val="9"/>
        <w:spacing w:line="360" w:lineRule="auto"/>
        <w:ind w:left="0" w:leftChars="0" w:firstLine="480"/>
        <w:rPr>
          <w:szCs w:val="21"/>
        </w:rPr>
      </w:pPr>
      <w:r>
        <w:rPr>
          <w:rFonts w:hint="eastAsia"/>
          <w:szCs w:val="21"/>
        </w:rPr>
        <w:t>称取0.2g试样，加（1+10）10mL（7.2.1.1）盐酸溶液，加热至试样全部溶解，加5mL水，用氨水（7.2.1.2）调节试验溶液PH值为4～5，加两滴硫酸钠溶液（7.2.1.3），再加数滴双硫腙四氯化碳溶液（7.2.1.4），和1mL三氯甲烷（7.2.1.5），振摇后，有机层显紫红色。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7.2.4  苏氨酸的鉴别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>7.2.4.1  茚三酮试验</w:t>
      </w:r>
    </w:p>
    <w:p>
      <w:pPr>
        <w:pStyle w:val="23"/>
        <w:spacing w:before="0" w:beforeLines="0" w:after="120" w:afterLines="0"/>
        <w:ind w:firstLine="480"/>
        <w:rPr>
          <w:rFonts w:cs="黑体"/>
          <w:sz w:val="21"/>
          <w:szCs w:val="21"/>
        </w:rPr>
      </w:pPr>
      <w:r>
        <w:rPr>
          <w:rFonts w:hint="eastAsia" w:cs="黑体"/>
          <w:sz w:val="21"/>
          <w:szCs w:val="21"/>
        </w:rPr>
        <w:t>称取试样0.1g，溶于100mL水中，取该溶液5mL，加1mL茚三酮溶液（7.2.1.6），加热，溶液呈蓝紫色，随温度升高颜色加重。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7.3  </w:t>
      </w:r>
      <w:r>
        <w:rPr>
          <w:rFonts w:hint="eastAsia" w:ascii="黑体" w:hAnsi="黑体" w:eastAsia="黑体" w:cs="黑体"/>
          <w:szCs w:val="21"/>
        </w:rPr>
        <w:t>锌含量的测定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7.3.1  试剂或材料</w:t>
      </w:r>
    </w:p>
    <w:p>
      <w:pPr>
        <w:spacing w:line="360" w:lineRule="auto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7.3.1.1 </w:t>
      </w:r>
      <w:r>
        <w:rPr>
          <w:rFonts w:hint="eastAsia" w:ascii="宋体" w:hAnsi="宋体" w:eastAsia="宋体" w:cs="宋体"/>
          <w:szCs w:val="21"/>
        </w:rPr>
        <w:t xml:space="preserve"> 盐酸溶液</w:t>
      </w:r>
      <w:r>
        <w:rPr>
          <w:rFonts w:hint="eastAsia"/>
          <w:szCs w:val="21"/>
        </w:rPr>
        <w:t>（1+3，v/v）</w:t>
      </w:r>
      <w:r>
        <w:rPr>
          <w:rFonts w:ascii="黑体" w:eastAsia="黑体" w:cs="黑体"/>
          <w:szCs w:val="21"/>
        </w:rPr>
        <w:t>：</w:t>
      </w:r>
      <w:r>
        <w:rPr>
          <w:szCs w:val="21"/>
        </w:rPr>
        <w:t>移取25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mL盐酸（</w:t>
      </w:r>
      <w:r>
        <w:rPr>
          <w:rFonts w:hint="eastAsia"/>
          <w:szCs w:val="21"/>
        </w:rPr>
        <w:t>优级纯或更高纯度</w:t>
      </w:r>
      <w:r>
        <w:rPr>
          <w:szCs w:val="21"/>
        </w:rPr>
        <w:t>）加入至75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mL水中，混匀。</w:t>
      </w:r>
    </w:p>
    <w:p>
      <w:pPr>
        <w:spacing w:line="360" w:lineRule="auto"/>
        <w:rPr>
          <w:szCs w:val="21"/>
        </w:rPr>
      </w:pPr>
      <w:r>
        <w:rPr>
          <w:rFonts w:hint="eastAsia" w:ascii="黑体" w:eastAsia="黑体" w:cs="黑体"/>
          <w:szCs w:val="21"/>
        </w:rPr>
        <w:t>7.3.1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eastAsia="黑体" w:cs="黑体"/>
          <w:szCs w:val="21"/>
        </w:rPr>
        <w:t xml:space="preserve">2  </w:t>
      </w:r>
      <w:r>
        <w:rPr>
          <w:rFonts w:hint="eastAsia" w:ascii="宋体" w:hAnsi="宋体" w:eastAsia="宋体" w:cs="宋体"/>
          <w:szCs w:val="21"/>
        </w:rPr>
        <w:t xml:space="preserve"> 20%六次甲基四胺溶液：</w:t>
      </w:r>
      <w:r>
        <w:rPr>
          <w:rFonts w:hint="eastAsia"/>
          <w:szCs w:val="21"/>
        </w:rPr>
        <w:t>称取200g六次甲基四胺试剂溶解于700mL水中，然后定容至1000mL容量瓶中，摇匀备用</w:t>
      </w:r>
      <w:r>
        <w:rPr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 w:ascii="黑体" w:eastAsia="黑体" w:cs="黑体"/>
          <w:szCs w:val="21"/>
        </w:rPr>
        <w:t>7.3.1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eastAsia="黑体" w:cs="黑体"/>
          <w:szCs w:val="21"/>
        </w:rPr>
        <w:t xml:space="preserve">3  </w:t>
      </w:r>
      <w:r>
        <w:rPr>
          <w:rFonts w:hint="eastAsia" w:ascii="宋体" w:hAnsi="宋体" w:eastAsia="宋体" w:cs="宋体"/>
          <w:szCs w:val="21"/>
        </w:rPr>
        <w:t xml:space="preserve"> 0.2%二甲酚橙指示剂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/>
          <w:szCs w:val="21"/>
        </w:rPr>
        <w:t>称取0.2g二甲酚橙指示剂于烧杯中，加适量水溶解，然后定容至100mL容量瓶中，摇匀，使用期限两周</w:t>
      </w:r>
      <w:r>
        <w:rPr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 w:ascii="黑体" w:eastAsia="黑体" w:cs="黑体"/>
          <w:szCs w:val="21"/>
        </w:rPr>
        <w:t>7.3.1</w:t>
      </w:r>
      <w:r>
        <w:rPr>
          <w:rFonts w:hint="eastAsia" w:ascii="黑体" w:hAnsi="黑体" w:eastAsia="黑体" w:cs="黑体"/>
          <w:szCs w:val="21"/>
        </w:rPr>
        <w:t>.</w:t>
      </w:r>
      <w:r>
        <w:rPr>
          <w:rFonts w:hint="eastAsia" w:ascii="黑体" w:eastAsia="黑体" w:cs="黑体"/>
          <w:szCs w:val="21"/>
        </w:rPr>
        <w:t xml:space="preserve">4   </w:t>
      </w:r>
      <w:r>
        <w:rPr>
          <w:rFonts w:hint="default" w:ascii="Times New Roman" w:hAnsi="Times New Roman" w:eastAsia="宋体" w:cs="Times New Roman"/>
          <w:szCs w:val="21"/>
        </w:rPr>
        <w:t>0.05mol/L EDTA-2Na</w:t>
      </w:r>
      <w:r>
        <w:rPr>
          <w:rFonts w:hint="eastAsia" w:ascii="宋体" w:hAnsi="宋体" w:eastAsia="宋体" w:cs="宋体"/>
          <w:szCs w:val="21"/>
        </w:rPr>
        <w:t>标准滴定溶液。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7.3.2  仪器设备</w:t>
      </w:r>
    </w:p>
    <w:p>
      <w:pPr>
        <w:adjustRightInd w:val="0"/>
        <w:snapToGrid w:val="0"/>
        <w:spacing w:line="360" w:lineRule="auto"/>
        <w:rPr>
          <w:rFonts w:cs="黑体"/>
          <w:szCs w:val="21"/>
        </w:rPr>
      </w:pPr>
      <w:r>
        <w:rPr>
          <w:rFonts w:hint="eastAsia" w:ascii="黑体" w:hAnsi="黑体" w:eastAsia="黑体" w:cs="黑体"/>
          <w:szCs w:val="21"/>
        </w:rPr>
        <w:t>7.3.2</w:t>
      </w:r>
      <w:r>
        <w:rPr>
          <w:rFonts w:hint="eastAsia" w:ascii="黑体" w:eastAsia="黑体" w:cs="黑体"/>
          <w:szCs w:val="21"/>
        </w:rPr>
        <w:t xml:space="preserve">.1 </w:t>
      </w:r>
      <w:r>
        <w:rPr>
          <w:rFonts w:hint="eastAsia" w:ascii="宋体" w:hAnsi="宋体" w:eastAsia="宋体" w:cs="宋体"/>
          <w:szCs w:val="21"/>
        </w:rPr>
        <w:t xml:space="preserve"> 分析天平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 w:cs="黑体"/>
          <w:szCs w:val="21"/>
        </w:rPr>
        <w:t>感量0.0001g。</w:t>
      </w:r>
    </w:p>
    <w:p>
      <w:pPr>
        <w:adjustRightInd w:val="0"/>
        <w:snapToGrid w:val="0"/>
        <w:spacing w:line="360" w:lineRule="auto"/>
        <w:rPr>
          <w:rFonts w:cs="黑体"/>
          <w:szCs w:val="21"/>
        </w:rPr>
      </w:pPr>
      <w:r>
        <w:rPr>
          <w:rFonts w:hint="eastAsia" w:ascii="黑体" w:hAnsi="黑体" w:eastAsia="黑体" w:cs="黑体"/>
          <w:szCs w:val="21"/>
        </w:rPr>
        <w:t>7.3.2</w:t>
      </w:r>
      <w:r>
        <w:rPr>
          <w:rFonts w:hint="eastAsia" w:ascii="黑体" w:eastAsia="黑体" w:cs="黑体"/>
          <w:szCs w:val="21"/>
        </w:rPr>
        <w:t xml:space="preserve">.2  </w:t>
      </w:r>
      <w:r>
        <w:rPr>
          <w:rFonts w:hint="eastAsia" w:ascii="宋体" w:hAnsi="宋体" w:eastAsia="宋体" w:cs="宋体"/>
          <w:szCs w:val="21"/>
        </w:rPr>
        <w:t>酸式滴定管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 w:cs="黑体"/>
          <w:szCs w:val="21"/>
        </w:rPr>
        <w:t>50mL。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7.3.3 方法原理</w:t>
      </w:r>
    </w:p>
    <w:p>
      <w:pPr>
        <w:spacing w:line="360" w:lineRule="auto"/>
        <w:ind w:firstLine="420" w:firstLineChars="200"/>
        <w:rPr>
          <w:rFonts w:cs="黑体"/>
          <w:szCs w:val="21"/>
        </w:rPr>
      </w:pPr>
      <w:r>
        <w:rPr>
          <w:rFonts w:hint="eastAsia" w:cs="黑体"/>
          <w:szCs w:val="21"/>
        </w:rPr>
        <w:t>将样品处理后，用酸溶解，加适量水，以六次甲基四胺调节溶液的pH值至5</w:t>
      </w:r>
      <w:r>
        <w:rPr>
          <w:rFonts w:hint="eastAsia" w:ascii="宋体" w:hAnsi="宋体" w:cs="黑体"/>
          <w:szCs w:val="21"/>
        </w:rPr>
        <w:t>～</w:t>
      </w:r>
      <w:r>
        <w:rPr>
          <w:rFonts w:hint="eastAsia" w:cs="黑体"/>
          <w:szCs w:val="21"/>
        </w:rPr>
        <w:t>6，以二甲酚橙为指示剂，用EDTA-2Na标准滴定溶液滴定至颜色由紫红色变为亮黄色即为终点。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7.3.4 测定步骤</w:t>
      </w:r>
    </w:p>
    <w:p>
      <w:pPr>
        <w:spacing w:line="360" w:lineRule="auto"/>
        <w:ind w:firstLine="420" w:firstLineChars="200"/>
        <w:rPr>
          <w:rFonts w:cs="黑体"/>
          <w:szCs w:val="21"/>
        </w:rPr>
      </w:pPr>
      <w:r>
        <w:rPr>
          <w:rFonts w:hint="eastAsia" w:cs="黑体"/>
          <w:szCs w:val="21"/>
        </w:rPr>
        <w:t>准确称取样品0.2-0.5g（精确至0.0002g），加5mL（1+3）的盐酸（7.3.1.1），加入适量水加热溶解，加2滴二甲酚橙指示剂（7.3.1.3），然后滴加六次甲基四胺溶液（7.3.1.2）至溶液呈稳定的紫红色后再过量5mL，用0.05mol/L EDTA标准溶液（7.3.1.4）滴定至溶液由紫红色突跃为亮黄色或橙黄色即为终点。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7.3.5 结果计算：</w:t>
      </w:r>
    </w:p>
    <w:p>
      <w:pPr>
        <w:spacing w:line="360" w:lineRule="auto"/>
        <w:ind w:firstLine="420" w:firstLineChars="200"/>
        <w:rPr>
          <w:rFonts w:cs="黑体"/>
          <w:szCs w:val="21"/>
        </w:rPr>
      </w:pPr>
      <w:r>
        <w:rPr>
          <w:rFonts w:hint="eastAsia" w:cs="黑体"/>
          <w:szCs w:val="21"/>
        </w:rPr>
        <w:t>试样中锌含量以</w:t>
      </w:r>
      <m:oMath>
        <m:r>
          <m:rPr/>
          <w:rPr>
            <w:rFonts w:ascii="Cambria Math" w:hAnsi="Cambria Math" w:eastAsiaTheme="minorEastAsia"/>
            <w:szCs w:val="21"/>
          </w:rPr>
          <m:t>ω</m:t>
        </m:r>
      </m:oMath>
      <w:r>
        <w:rPr>
          <w:rFonts w:hint="eastAsia" w:cs="黑体"/>
          <w:szCs w:val="21"/>
        </w:rPr>
        <w:t>计，质量分数用（%）表示，按以下式（1）计算：</w:t>
      </w:r>
    </w:p>
    <w:p>
      <w:pPr>
        <w:spacing w:line="360" w:lineRule="auto"/>
        <w:ind w:firstLine="420" w:firstLineChars="200"/>
        <w:jc w:val="center"/>
        <w:rPr>
          <w:rFonts w:cs="黑体"/>
          <w:szCs w:val="21"/>
        </w:rPr>
      </w:pPr>
      <m:oMath>
        <m:r>
          <m:rPr/>
          <w:rPr>
            <w:rFonts w:ascii="Cambria Math" w:hAnsi="Cambria Math" w:eastAsiaTheme="minorEastAsia"/>
            <w:szCs w:val="21"/>
          </w:rPr>
          <m:t>ω=</m:t>
        </m:r>
        <m:f>
          <m:fPr>
            <m:ctrlPr>
              <w:rPr>
                <w:rFonts w:ascii="Cambria Math" w:hAnsi="Cambria Math" w:eastAsiaTheme="minorEastAsia"/>
                <w:i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c×V×0.06539</m:t>
            </m:r>
            <m:ctrlPr>
              <w:rPr>
                <w:rFonts w:ascii="Cambria Math" w:hAnsi="Cambria Math" w:eastAsiaTheme="minorEastAsia"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m</m:t>
            </m:r>
            <m:ctrlPr>
              <w:rPr>
                <w:rFonts w:ascii="Cambria Math" w:hAnsi="Cambria Math" w:eastAsiaTheme="minorEastAsia"/>
                <w:iCs/>
                <w:szCs w:val="21"/>
              </w:rPr>
            </m:ctrlPr>
          </m:den>
        </m:f>
        <m:r>
          <m:rPr/>
          <w:rPr>
            <w:rFonts w:ascii="Cambria Math" w:hAnsi="Cambria Math" w:eastAsiaTheme="minorEastAsia"/>
            <w:szCs w:val="21"/>
          </w:rPr>
          <m:t>×100</m:t>
        </m:r>
      </m:oMath>
      <w:r>
        <w:rPr>
          <w:rFonts w:hint="eastAsia" w:cs="黑体"/>
          <w:szCs w:val="21"/>
        </w:rPr>
        <w:t xml:space="preserve">     ┈┈┈┈┈┈┈（1）</w:t>
      </w:r>
    </w:p>
    <w:p>
      <w:pPr>
        <w:spacing w:line="360" w:lineRule="auto"/>
        <w:ind w:firstLine="420" w:firstLineChars="200"/>
        <w:rPr>
          <w:rFonts w:cs="黑体"/>
          <w:szCs w:val="21"/>
        </w:rPr>
      </w:pPr>
      <w:r>
        <w:rPr>
          <w:rFonts w:hint="eastAsia" w:cs="黑体"/>
          <w:szCs w:val="21"/>
        </w:rPr>
        <w:t xml:space="preserve">式中： </w:t>
      </w:r>
    </w:p>
    <w:p>
      <w:pPr>
        <w:spacing w:line="360" w:lineRule="auto"/>
        <w:ind w:firstLine="420" w:firstLineChars="200"/>
        <w:rPr>
          <w:rFonts w:cs="黑体"/>
          <w:szCs w:val="21"/>
        </w:rPr>
      </w:pPr>
      <w:r>
        <w:rPr>
          <w:rFonts w:hint="eastAsia" w:cs="黑体"/>
          <w:szCs w:val="21"/>
        </w:rPr>
        <w:t>c</w:t>
      </w:r>
      <w:r>
        <w:rPr>
          <w:rFonts w:cs="黑体"/>
          <w:szCs w:val="21"/>
        </w:rPr>
        <w:softHyphen/>
      </w:r>
      <w:r>
        <w:rPr>
          <w:rFonts w:hint="eastAsia" w:cs="黑体"/>
          <w:szCs w:val="21"/>
        </w:rPr>
        <w:softHyphen/>
      </w:r>
      <w:r>
        <w:rPr>
          <w:rFonts w:cs="黑体"/>
          <w:szCs w:val="21"/>
        </w:rPr>
        <w:softHyphen/>
      </w:r>
      <w:r>
        <w:rPr>
          <w:rFonts w:hint="eastAsia" w:cs="黑体"/>
          <w:szCs w:val="21"/>
        </w:rPr>
        <w:softHyphen/>
      </w:r>
      <w:r>
        <w:rPr>
          <w:rFonts w:hint="eastAsia" w:cs="黑体"/>
          <w:szCs w:val="21"/>
        </w:rPr>
        <w:t>——乙二胺四乙酸二钠标准滴定溶液的浓度，mol/L；</w:t>
      </w:r>
    </w:p>
    <w:p>
      <w:pPr>
        <w:spacing w:line="360" w:lineRule="auto"/>
        <w:ind w:firstLine="420" w:firstLineChars="200"/>
        <w:rPr>
          <w:rFonts w:cs="黑体"/>
          <w:szCs w:val="21"/>
        </w:rPr>
      </w:pPr>
      <w:r>
        <w:rPr>
          <w:rFonts w:hint="eastAsia" w:cs="黑体"/>
          <w:szCs w:val="21"/>
        </w:rPr>
        <w:t>V——滴定样品消耗乙二胺四乙酸二钠标准溶液的体积，mL；</w:t>
      </w:r>
    </w:p>
    <w:p>
      <w:pPr>
        <w:spacing w:line="360" w:lineRule="auto"/>
        <w:ind w:firstLine="420" w:firstLineChars="200"/>
        <w:rPr>
          <w:rFonts w:cs="黑体"/>
          <w:szCs w:val="21"/>
        </w:rPr>
      </w:pPr>
      <w:r>
        <w:rPr>
          <w:rFonts w:hint="eastAsia" w:cs="黑体"/>
          <w:szCs w:val="21"/>
        </w:rPr>
        <w:t>m——称样试样的质量，g；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0.06539</w:t>
      </w:r>
      <w:r>
        <w:rPr>
          <w:rFonts w:hint="eastAsia" w:cs="黑体"/>
          <w:szCs w:val="21"/>
        </w:rPr>
        <w:t>——与1.00mL乙二胺四乙酸二钠标准溶液（cEDTA-2Na=1.000mol/L）相当的</w:t>
      </w:r>
      <w:r>
        <w:rPr>
          <w:rFonts w:hint="eastAsia"/>
          <w:szCs w:val="21"/>
        </w:rPr>
        <w:t>锌的质量，g。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测定结果以两次平形测定的算术平均值表示，结果保留两位有效数字。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7.3.6  精密度</w:t>
      </w:r>
    </w:p>
    <w:p>
      <w:pPr>
        <w:pStyle w:val="23"/>
        <w:spacing w:before="0" w:beforeLines="0" w:after="0" w:afterLines="0"/>
        <w:ind w:firstLine="420" w:firstLineChars="200"/>
        <w:rPr>
          <w:rFonts w:ascii="黑体" w:eastAsia="黑体" w:cs="黑体"/>
          <w:sz w:val="21"/>
          <w:szCs w:val="21"/>
        </w:rPr>
      </w:pPr>
      <w:r>
        <w:rPr>
          <w:rFonts w:hint="eastAsia"/>
          <w:sz w:val="21"/>
          <w:szCs w:val="21"/>
        </w:rPr>
        <w:t>在重复性条件下，两次独立测定结果绝对差值不得超过0.3%。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7.4  苏氨酸及苏氨酸锌含量的测定</w:t>
      </w:r>
    </w:p>
    <w:p>
      <w:pPr>
        <w:pStyle w:val="23"/>
        <w:spacing w:before="0" w:beforeLines="0" w:after="120" w:afterLines="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7.4.1  试剂或材料</w:t>
      </w:r>
    </w:p>
    <w:p>
      <w:pPr>
        <w:spacing w:line="360" w:lineRule="auto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7.4.1.1  </w:t>
      </w:r>
      <w:r>
        <w:rPr>
          <w:rFonts w:hint="eastAsia" w:ascii="宋体" w:hAnsi="宋体" w:eastAsia="宋体" w:cs="宋体"/>
          <w:szCs w:val="21"/>
        </w:rPr>
        <w:t>硫酸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/>
          <w:szCs w:val="21"/>
        </w:rPr>
        <w:t>分析纯。</w:t>
      </w:r>
    </w:p>
    <w:p>
      <w:pPr>
        <w:spacing w:line="360" w:lineRule="auto"/>
        <w:rPr>
          <w:szCs w:val="21"/>
        </w:rPr>
      </w:pPr>
      <w:r>
        <w:rPr>
          <w:rFonts w:hint="eastAsia" w:ascii="黑体" w:eastAsia="黑体" w:cs="黑体"/>
          <w:szCs w:val="21"/>
        </w:rPr>
        <w:t xml:space="preserve">7.4.1.2  </w:t>
      </w:r>
      <w:r>
        <w:rPr>
          <w:rFonts w:hint="eastAsia" w:ascii="宋体" w:hAnsi="宋体" w:eastAsia="宋体" w:cs="宋体"/>
          <w:szCs w:val="21"/>
        </w:rPr>
        <w:t>氢氧化钠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/>
          <w:szCs w:val="21"/>
        </w:rPr>
        <w:t>分析纯</w:t>
      </w:r>
      <w:r>
        <w:rPr>
          <w:szCs w:val="21"/>
        </w:rPr>
        <w:t>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7.4.1.3  </w:t>
      </w:r>
      <w:r>
        <w:rPr>
          <w:rFonts w:hint="eastAsia" w:ascii="宋体" w:hAnsi="宋体" w:eastAsia="宋体" w:cs="宋体"/>
          <w:szCs w:val="21"/>
        </w:rPr>
        <w:t>硼酸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 w:cs="黑体"/>
          <w:szCs w:val="21"/>
        </w:rPr>
        <w:t>分析纯</w:t>
      </w:r>
      <w:r>
        <w:rPr>
          <w:rFonts w:cs="黑体"/>
          <w:szCs w:val="21"/>
        </w:rPr>
        <w:t>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7.4.1.4  </w:t>
      </w:r>
      <w:r>
        <w:rPr>
          <w:rFonts w:hint="eastAsia" w:ascii="宋体" w:hAnsi="宋体" w:eastAsia="宋体" w:cs="宋体"/>
          <w:szCs w:val="21"/>
        </w:rPr>
        <w:t>蔗糖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 w:cs="黑体"/>
          <w:szCs w:val="21"/>
        </w:rPr>
        <w:t>分析纯</w:t>
      </w:r>
      <w:r>
        <w:rPr>
          <w:rFonts w:cs="黑体"/>
          <w:szCs w:val="21"/>
        </w:rPr>
        <w:t>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7.4.1.5  </w:t>
      </w:r>
      <w:r>
        <w:rPr>
          <w:rFonts w:hint="eastAsia" w:ascii="宋体" w:hAnsi="宋体" w:eastAsia="宋体" w:cs="宋体"/>
          <w:szCs w:val="21"/>
        </w:rPr>
        <w:t>硫酸铵</w:t>
      </w:r>
      <w:r>
        <w:rPr>
          <w:rFonts w:ascii="黑体" w:eastAsia="黑体" w:cs="黑体"/>
          <w:szCs w:val="21"/>
        </w:rPr>
        <w:t>：</w:t>
      </w:r>
      <w:r>
        <w:rPr>
          <w:rFonts w:hint="eastAsia" w:cs="黑体"/>
          <w:szCs w:val="21"/>
        </w:rPr>
        <w:t>分析纯</w:t>
      </w:r>
      <w:r>
        <w:rPr>
          <w:rFonts w:cs="黑体"/>
          <w:szCs w:val="21"/>
        </w:rPr>
        <w:t>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>7.4.1.6</w:t>
      </w:r>
      <w:r>
        <w:rPr>
          <w:rFonts w:ascii="黑体" w:eastAsia="黑体" w:cs="黑体"/>
          <w:szCs w:val="21"/>
        </w:rPr>
        <w:t xml:space="preserve"> </w:t>
      </w:r>
      <w:r>
        <w:rPr>
          <w:rFonts w:hint="eastAsia" w:ascii="黑体" w:eastAsia="黑体" w:cs="黑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混合催化剂</w:t>
      </w:r>
      <w:r>
        <w:rPr>
          <w:rFonts w:hint="eastAsia"/>
          <w:szCs w:val="21"/>
        </w:rPr>
        <w:t>：</w:t>
      </w:r>
      <w:r>
        <w:rPr>
          <w:rFonts w:hint="eastAsia" w:cs="黑体"/>
          <w:szCs w:val="21"/>
        </w:rPr>
        <w:t>称取0.4g五水硫酸铜、6.0g硫酸钾或硫酸钠，研磨混匀，或购买商品化的凯氏定氮催化剂片</w:t>
      </w:r>
      <w:r>
        <w:rPr>
          <w:rFonts w:cs="黑体"/>
          <w:szCs w:val="21"/>
        </w:rPr>
        <w:t>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7.4.1.7  </w:t>
      </w:r>
      <w:r>
        <w:rPr>
          <w:rFonts w:hint="eastAsia" w:ascii="宋体" w:hAnsi="宋体" w:eastAsia="宋体" w:cs="宋体"/>
          <w:szCs w:val="21"/>
        </w:rPr>
        <w:t>硼酸吸收液I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 w:cs="黑体"/>
          <w:szCs w:val="21"/>
        </w:rPr>
        <w:t>称取20g硼酸，用水溶解并稀释至1000mL。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>7.4.1.8</w:t>
      </w:r>
      <w:r>
        <w:rPr>
          <w:rFonts w:ascii="黑体" w:eastAsia="黑体" w:cs="黑体"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>硼酸吸收液II</w:t>
      </w:r>
      <w:r>
        <w:rPr>
          <w:rFonts w:hint="eastAsia" w:ascii="黑体" w:eastAsia="黑体" w:cs="黑体"/>
          <w:szCs w:val="21"/>
        </w:rPr>
        <w:t>：</w:t>
      </w:r>
      <w:r>
        <w:rPr>
          <w:rFonts w:hint="eastAsia" w:cs="黑体"/>
          <w:szCs w:val="21"/>
        </w:rPr>
        <w:t>1%硼酸水溶液1000mL,加入0.1%溴甲酚绿乙醇10mL，0.1%甲基红乙醇溶液7mL，4%氢氧化钠水溶液0.5mL，混匀，室温保存期为1个月（全自动程序用）。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7.4.1.9  </w:t>
      </w:r>
      <w:r>
        <w:rPr>
          <w:rFonts w:hint="eastAsia" w:ascii="宋体" w:hAnsi="宋体" w:eastAsia="宋体" w:cs="宋体"/>
          <w:szCs w:val="21"/>
        </w:rPr>
        <w:t>氢氧化钠溶液：</w:t>
      </w:r>
      <w:r>
        <w:rPr>
          <w:rFonts w:hint="eastAsia" w:cs="黑体"/>
          <w:szCs w:val="21"/>
        </w:rPr>
        <w:t>称取40g氢氧化钠，用水溶液，待冷却至室温后，用水稀释至100mL</w:t>
      </w:r>
      <w:r>
        <w:rPr>
          <w:rFonts w:cs="黑体"/>
          <w:szCs w:val="21"/>
        </w:rPr>
        <w:t>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7.4.1.10  </w:t>
      </w:r>
      <w:r>
        <w:rPr>
          <w:rFonts w:hint="default" w:ascii="Times New Roman" w:hAnsi="Times New Roman" w:eastAsia="黑体" w:cs="Times New Roman"/>
          <w:szCs w:val="21"/>
        </w:rPr>
        <w:t>0.1mol/L</w:t>
      </w:r>
      <w:r>
        <w:rPr>
          <w:rFonts w:hint="eastAsia" w:ascii="宋体" w:hAnsi="宋体" w:eastAsia="宋体" w:cs="宋体"/>
          <w:szCs w:val="21"/>
        </w:rPr>
        <w:t>盐酸标准滴定溶液。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>7.4.1.11</w:t>
      </w:r>
      <w:r>
        <w:rPr>
          <w:rFonts w:hint="eastAsia" w:ascii="宋体" w:hAnsi="宋体" w:eastAsia="宋体" w:cs="宋体"/>
          <w:szCs w:val="21"/>
        </w:rPr>
        <w:t xml:space="preserve">  甲基红乙醇溶液：</w:t>
      </w:r>
      <w:r>
        <w:rPr>
          <w:rFonts w:hint="eastAsia" w:cs="黑体"/>
          <w:szCs w:val="21"/>
        </w:rPr>
        <w:t>称取0.1g甲基红，用乙醇溶液溶解并稀释至100mL。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7.4.1.12  </w:t>
      </w:r>
      <w:r>
        <w:rPr>
          <w:rFonts w:hint="eastAsia" w:ascii="宋体" w:hAnsi="宋体" w:eastAsia="宋体" w:cs="宋体"/>
          <w:szCs w:val="21"/>
        </w:rPr>
        <w:t>溴甲酚绿乙醇溶液：</w:t>
      </w:r>
      <w:r>
        <w:rPr>
          <w:rFonts w:hint="eastAsia" w:cs="黑体"/>
          <w:szCs w:val="21"/>
        </w:rPr>
        <w:t>称取0.5g溴甲酚绿，用乙醇溶解并稀释至100mL。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7.4.1.13  </w:t>
      </w:r>
      <w:r>
        <w:rPr>
          <w:rFonts w:hint="eastAsia" w:ascii="宋体" w:hAnsi="宋体" w:eastAsia="宋体" w:cs="宋体"/>
          <w:szCs w:val="21"/>
        </w:rPr>
        <w:t>混合指示剂溶液：</w:t>
      </w:r>
      <w:r>
        <w:rPr>
          <w:rFonts w:hint="eastAsia" w:cs="黑体"/>
          <w:szCs w:val="21"/>
        </w:rPr>
        <w:t>将甲基红乙醇溶液和溴甲酚绿乙醇溶液等体积</w:t>
      </w:r>
      <w:r>
        <w:rPr>
          <w:rFonts w:cs="黑体"/>
          <w:szCs w:val="21"/>
        </w:rPr>
        <w:t>混</w:t>
      </w:r>
      <w:r>
        <w:rPr>
          <w:rFonts w:hint="eastAsia" w:cs="黑体"/>
          <w:szCs w:val="21"/>
        </w:rPr>
        <w:t>合。该溶液室温避光保存，有效期为3个月</w:t>
      </w:r>
      <w:r>
        <w:rPr>
          <w:rFonts w:cs="黑体"/>
          <w:szCs w:val="21"/>
        </w:rPr>
        <w:t>。</w:t>
      </w:r>
    </w:p>
    <w:p>
      <w:pPr>
        <w:pStyle w:val="23"/>
        <w:spacing w:before="0" w:beforeLines="0" w:after="120" w:afterLines="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7.4.2  仪器设备</w:t>
      </w:r>
    </w:p>
    <w:p>
      <w:pPr>
        <w:adjustRightInd w:val="0"/>
        <w:snapToGrid w:val="0"/>
        <w:spacing w:line="360" w:lineRule="auto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7.4.2.1  </w:t>
      </w:r>
      <w:r>
        <w:rPr>
          <w:rFonts w:hint="eastAsia" w:ascii="宋体" w:hAnsi="宋体" w:eastAsia="宋体" w:cs="宋体"/>
          <w:szCs w:val="21"/>
        </w:rPr>
        <w:t>消煮炉或电炉</w:t>
      </w:r>
      <w:r>
        <w:rPr>
          <w:rFonts w:hint="eastAsia" w:ascii="黑体" w:eastAsia="黑体" w:cs="黑体"/>
          <w:szCs w:val="21"/>
        </w:rPr>
        <w:t>。</w:t>
      </w:r>
    </w:p>
    <w:p>
      <w:pPr>
        <w:adjustRightInd w:val="0"/>
        <w:snapToGrid w:val="0"/>
        <w:spacing w:line="360" w:lineRule="auto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7.4.2.2 </w:t>
      </w:r>
      <w:r>
        <w:rPr>
          <w:rFonts w:hint="eastAsia" w:ascii="宋体" w:hAnsi="宋体" w:eastAsia="宋体" w:cs="宋体"/>
          <w:szCs w:val="21"/>
        </w:rPr>
        <w:t xml:space="preserve"> 消煮管。</w:t>
      </w:r>
    </w:p>
    <w:p>
      <w:pPr>
        <w:adjustRightInd w:val="0"/>
        <w:snapToGrid w:val="0"/>
        <w:spacing w:line="360" w:lineRule="auto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7.4.2.3  </w:t>
      </w:r>
      <w:r>
        <w:rPr>
          <w:rFonts w:hint="eastAsia" w:ascii="宋体" w:hAnsi="宋体" w:eastAsia="宋体" w:cs="宋体"/>
          <w:szCs w:val="21"/>
        </w:rPr>
        <w:t>凯氏蒸馏装置：</w:t>
      </w:r>
      <w:r>
        <w:rPr>
          <w:rFonts w:hint="eastAsia" w:cs="黑体"/>
          <w:szCs w:val="21"/>
        </w:rPr>
        <w:t>常量直接蒸馏式或半微量水蒸气蒸馏式。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7.4.2.4  </w:t>
      </w:r>
      <w:r>
        <w:rPr>
          <w:rFonts w:hint="eastAsia" w:ascii="宋体" w:hAnsi="宋体" w:eastAsia="宋体" w:cs="宋体"/>
          <w:szCs w:val="21"/>
        </w:rPr>
        <w:t>定氮仪：</w:t>
      </w:r>
      <w:r>
        <w:rPr>
          <w:rFonts w:hint="eastAsia" w:cs="黑体"/>
          <w:szCs w:val="21"/>
        </w:rPr>
        <w:t>以凯氏原理制造的各类型半自动或全自动定氮仪。</w:t>
      </w:r>
    </w:p>
    <w:p>
      <w:pPr>
        <w:spacing w:line="360" w:lineRule="auto"/>
        <w:rPr>
          <w:rFonts w:cs="黑体"/>
          <w:szCs w:val="21"/>
        </w:rPr>
      </w:pPr>
      <w:r>
        <w:rPr>
          <w:rFonts w:hint="eastAsia" w:ascii="黑体" w:eastAsia="黑体" w:cs="黑体"/>
          <w:szCs w:val="21"/>
        </w:rPr>
        <w:t>7.4.2.5</w:t>
      </w:r>
      <w:r>
        <w:rPr>
          <w:rFonts w:hint="eastAsia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酸式滴定管：</w:t>
      </w:r>
      <w:r>
        <w:rPr>
          <w:rFonts w:hint="eastAsia" w:cs="黑体"/>
          <w:szCs w:val="21"/>
        </w:rPr>
        <w:t>50mL。</w:t>
      </w:r>
    </w:p>
    <w:p>
      <w:pPr>
        <w:pStyle w:val="9"/>
        <w:spacing w:line="360" w:lineRule="auto"/>
        <w:ind w:left="0" w:leftChars="0"/>
        <w:rPr>
          <w:rFonts w:ascii="黑体" w:hAns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7.4.3 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 w:ascii="黑体" w:eastAsia="黑体" w:cs="黑体"/>
          <w:szCs w:val="21"/>
        </w:rPr>
        <w:t>苏氨酸含量及苏氨酸锌含量的测定</w:t>
      </w:r>
    </w:p>
    <w:p>
      <w:pPr>
        <w:pStyle w:val="23"/>
        <w:spacing w:before="0" w:beforeLines="0" w:after="120" w:afterLines="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7.4.3.1  方法原理</w:t>
      </w:r>
    </w:p>
    <w:p>
      <w:pPr>
        <w:pStyle w:val="23"/>
        <w:spacing w:before="0" w:beforeLines="0" w:after="0" w:afterLines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样品在催化剂的作用下，经硫酸消解，含氮化合物转化成硫酸铵，加碱蒸馏使氮逸出，用硼酸吸收后，再用盐酸标准滴定溶液滴定，根据氮含量计算出苏氨酸的含量，从而计算出苏氨酸锌的含量。</w:t>
      </w:r>
    </w:p>
    <w:p>
      <w:pPr>
        <w:pStyle w:val="23"/>
        <w:spacing w:before="0" w:beforeLines="0" w:after="120" w:afterLines="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7.4.3.2  测定步骤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7.4.3.2.1 试样消煮</w:t>
      </w:r>
    </w:p>
    <w:p>
      <w:pPr>
        <w:spacing w:line="360" w:lineRule="auto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7.4.3.2.1.1 凯氏烧瓶消煮法：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称取试样1g（准确至0.0001g），置于凯氏烧瓶中，加入6.4g混合催化剂（7.4.1.6），混匀，加入12mL硫酸（7.4.1.1）和2粒玻璃珠，将凯氏烧瓶置于电炉上，开始于约200℃加热，待试样焦化、泡沫消失后，再提高温度至约450℃，直至呈透明的蓝绿色，然后继续加热至少2h。取出，冷却至室温。平行做两份试验。</w:t>
      </w:r>
    </w:p>
    <w:p>
      <w:pPr>
        <w:spacing w:line="360" w:lineRule="auto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7.4.3.2.1.2 消煮管消煮：</w:t>
      </w:r>
    </w:p>
    <w:p>
      <w:pPr>
        <w:pStyle w:val="23"/>
        <w:spacing w:before="0" w:beforeLines="0" w:after="0" w:afterLines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称取试样1g（准确至0.0001g），放入消煮管中，加入2片凯氏定氮催化剂片或6.4g混合催化剂（7.4.1.6），12mL硫酸（7.4.1.1），于450℃消煮炉上消化2h直至呈透明的蓝绿色，然后继续加热至少2h。取出，冷却至室温。平行做两份试验。</w:t>
      </w:r>
    </w:p>
    <w:p>
      <w:pPr>
        <w:pStyle w:val="23"/>
        <w:spacing w:before="0" w:beforeLines="0" w:after="120" w:afterLines="0"/>
        <w:rPr>
          <w:rFonts w:ascii="黑体" w:eastAsia="黑体" w:cs="黑体"/>
          <w:sz w:val="21"/>
          <w:szCs w:val="21"/>
        </w:rPr>
      </w:pPr>
      <w:r>
        <w:rPr>
          <w:rFonts w:hint="eastAsia" w:ascii="黑体" w:eastAsia="黑体" w:cs="黑体"/>
          <w:sz w:val="21"/>
          <w:szCs w:val="21"/>
        </w:rPr>
        <w:t>7.</w:t>
      </w:r>
      <w:r>
        <w:rPr>
          <w:rFonts w:hint="eastAsia" w:ascii="黑体" w:hAnsi="黑体" w:eastAsia="黑体" w:cs="黑体"/>
          <w:sz w:val="21"/>
          <w:szCs w:val="21"/>
        </w:rPr>
        <w:t xml:space="preserve">4.3.2.2 </w:t>
      </w:r>
      <w:r>
        <w:rPr>
          <w:rFonts w:hint="eastAsia" w:ascii="黑体" w:eastAsia="黑体" w:cs="黑体"/>
          <w:b/>
          <w:bCs/>
          <w:sz w:val="21"/>
          <w:szCs w:val="21"/>
        </w:rPr>
        <w:t xml:space="preserve"> </w:t>
      </w:r>
      <w:r>
        <w:rPr>
          <w:rFonts w:hint="eastAsia" w:ascii="黑体" w:eastAsia="黑体" w:cs="黑体"/>
          <w:sz w:val="21"/>
          <w:szCs w:val="21"/>
        </w:rPr>
        <w:t>氨的蒸馏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待试样消煮液冷却，加入20mL蒸馏水，摇匀，冷却。将蒸馏装置的冷凝管末端浸入装有25 mL硼酸吸收液I（7.4.1.7）和2滴混合指示剂（7.4.1.13）的锥形瓶中。然后小心地向凯氏烧瓶中加入50mL 氢氧化钠溶液（7.4.1.9），摇匀后加热蒸馏，直至流出液体积约为100mL。降下锥形瓶，使冷凝管末端离开液面，继续蒸馏1min～2min，至流出液pH值为中性。用水冲洗冷凝管末端，洗液均需流入锥形瓶内，然后停止蒸馏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采用半自动凯氏定氮仪时，将带消煮液的消煮管插在蒸馏装置上，以25mL硼酸吸收液I（7.4.1.7）为吸收液，加入2滴混合指示剂（7.4.1.13），蒸馏装置的冷凝管末端要浸入装有吸收液的锥形瓶内，然后向消煮管中加入50mL氢氧化钠溶液（7.4.1.9）进行蒸馏，至流出液pH值为中性。蒸馏时间以吸收液体积达到约100mL时为宜。降下锥形瓶，用水冲洗冷凝管末端，洗液均需流入锥形瓶内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采用全自动凯氏定氮仪时，按仪器操作说明书进行测定。</w:t>
      </w:r>
    </w:p>
    <w:p>
      <w:pPr>
        <w:pStyle w:val="23"/>
        <w:spacing w:before="0" w:beforeLines="0" w:after="120" w:afterLines="0"/>
        <w:rPr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7.4.3.2.3 </w:t>
      </w:r>
      <w:r>
        <w:rPr>
          <w:rFonts w:hint="eastAsia" w:ascii="黑体" w:eastAsia="黑体" w:cs="黑体"/>
          <w:sz w:val="21"/>
          <w:szCs w:val="21"/>
        </w:rPr>
        <w:t xml:space="preserve"> 滴定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用0.1mol／L盐酸标准滴定溶液（7.4.1.10）滴定吸收液，溶液由蓝绿色变成灰红色为终点。记录样品消耗盐酸标准滴定溶液的体积。</w:t>
      </w:r>
    </w:p>
    <w:p>
      <w:pPr>
        <w:pStyle w:val="23"/>
        <w:spacing w:before="0" w:beforeLines="0" w:after="120" w:afterLines="0"/>
        <w:rPr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7.4.3.2.4 </w:t>
      </w:r>
      <w:r>
        <w:rPr>
          <w:rFonts w:hint="eastAsia" w:ascii="黑体" w:eastAsia="黑体" w:cs="黑体"/>
          <w:sz w:val="21"/>
          <w:szCs w:val="21"/>
        </w:rPr>
        <w:t xml:space="preserve"> 蒸馏步骤查验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精确称取0.2g硫酸铵（精确至0.0001g），代替试样，按7.4.3.2.2进行操作，测得硫酸铵含氮量应为（21.19±0.2）％，否则应检查加碱、蒸馏和滴定各步骤是否正确。</w:t>
      </w:r>
    </w:p>
    <w:p>
      <w:pPr>
        <w:pStyle w:val="23"/>
        <w:spacing w:before="0" w:beforeLines="0" w:after="120" w:afterLines="0"/>
        <w:rPr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7.4.3.2.5 </w:t>
      </w:r>
      <w:r>
        <w:rPr>
          <w:rFonts w:hint="eastAsia" w:ascii="黑体" w:eastAsia="黑体" w:cs="黑体"/>
          <w:sz w:val="21"/>
          <w:szCs w:val="21"/>
        </w:rPr>
        <w:t xml:space="preserve"> 空白测定</w:t>
      </w:r>
    </w:p>
    <w:p>
      <w:pPr>
        <w:pStyle w:val="23"/>
        <w:spacing w:before="0" w:beforeLines="0" w:after="0" w:afterLines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精确称取0.5g蔗糖（精确至0.0001g），代替试样，按7.4.3.2.2进行空白测定，消耗0.1 mol／L盐酸标准滴定溶液的体积不得超过0.2mL。</w:t>
      </w:r>
    </w:p>
    <w:p>
      <w:pPr>
        <w:pStyle w:val="23"/>
        <w:spacing w:before="0" w:beforeLines="0" w:after="120" w:afterLines="0"/>
        <w:rPr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7.4.3.2.6 </w:t>
      </w:r>
      <w:r>
        <w:rPr>
          <w:rFonts w:hint="eastAsia" w:ascii="黑体" w:eastAsia="黑体" w:cs="黑体"/>
          <w:sz w:val="21"/>
          <w:szCs w:val="21"/>
        </w:rPr>
        <w:t xml:space="preserve">  苏氨酸及苏氨酸锌含量的结果计算：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试样中苏氨酸含量以</w:t>
      </w:r>
      <m:oMath>
        <m:sSub>
          <m:sSubPr>
            <m:ctrlPr>
              <w:rPr>
                <w:rFonts w:ascii="Cambria Math" w:hAnsi="Cambria Math" w:eastAsiaTheme="minorEastAsia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Theme="minorEastAsia"/>
                <w:szCs w:val="21"/>
              </w:rPr>
              <m:t>ω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Theme="minorEastAsia"/>
                <w:szCs w:val="21"/>
              </w:rPr>
              <m:t>1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sub>
        </m:sSub>
      </m:oMath>
      <w:r>
        <w:rPr>
          <w:rFonts w:hint="eastAsia"/>
          <w:szCs w:val="21"/>
        </w:rPr>
        <w:t>计，质量分数用（%）表示，按以下公式（2）计算：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m:oMath>
        <m:sSub>
          <m:sSubPr>
            <m:ctrlPr>
              <w:rPr>
                <w:rFonts w:ascii="Cambria Math" w:hAnsi="Cambria Math" w:eastAsiaTheme="minorEastAsia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Theme="minorEastAsia"/>
                <w:szCs w:val="21"/>
              </w:rPr>
              <m:t>ω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Theme="minorEastAsia"/>
                <w:szCs w:val="21"/>
              </w:rPr>
              <m:t>1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sub>
        </m:sSub>
        <m:r>
          <m:rPr/>
          <w:rPr>
            <w:rFonts w:ascii="Cambria Math" w:hAnsi="Cambria Math" w:eastAsiaTheme="minorEastAsia"/>
            <w:szCs w:val="21"/>
          </w:rPr>
          <m:t>=</m:t>
        </m:r>
        <m:f>
          <m:fPr>
            <m:ctrlPr>
              <w:rPr>
                <w:rFonts w:ascii="Cambria Math" w:hAnsi="Cambria Math" w:eastAsiaTheme="minorEastAsia"/>
                <w:i/>
                <w:i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c</m:t>
            </m:r>
            <m:r>
              <m:rPr/>
              <w:rPr>
                <w:rFonts w:ascii="Cambria Math" w:hAnsi="Cambria Math" w:eastAsiaTheme="minorEastAsia"/>
                <w:szCs w:val="21"/>
              </w:rPr>
              <m:t>×(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/>
                    <w:szCs w:val="21"/>
                  </w:rPr>
                  <m:t>V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Theme="minorEastAsia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 w:eastAsiaTheme="minorEastAsia"/>
                    <w:i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V</m:t>
                </m:r>
                <m:ctrlPr>
                  <w:rPr>
                    <w:rFonts w:ascii="Cambria Math" w:hAnsi="Cambria Math" w:eastAsiaTheme="minorEastAsia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Theme="minorEastAsia"/>
                    <w:szCs w:val="21"/>
                  </w:rPr>
                  <m:t>0</m:t>
                </m:r>
                <m:ctrlPr>
                  <w:rPr>
                    <w:rFonts w:ascii="Cambria Math" w:hAnsi="Cambria Math" w:eastAsiaTheme="minorEastAsia"/>
                    <w:i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Theme="minorEastAsia"/>
                <w:szCs w:val="21"/>
              </w:rPr>
              <m:t>)×0.11912</m:t>
            </m:r>
            <m:ctrlPr>
              <w:rPr>
                <w:rFonts w:ascii="Cambria Math" w:hAnsi="Cambria Math" w:eastAsiaTheme="minorEastAsia"/>
                <w:i/>
                <w:iCs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/>
                    <w:szCs w:val="21"/>
                  </w:rPr>
                  <m:t>m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Theme="minorEastAsia"/>
                    <w:szCs w:val="21"/>
                  </w:rPr>
                  <m:t>1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</m:sSub>
            <m:ctrlPr>
              <w:rPr>
                <w:rFonts w:ascii="Cambria Math" w:hAnsi="Cambria Math" w:eastAsiaTheme="minorEastAsia"/>
                <w:i/>
                <w:iCs/>
                <w:szCs w:val="21"/>
              </w:rPr>
            </m:ctrlPr>
          </m:den>
        </m:f>
        <m:r>
          <m:rPr/>
          <w:rPr>
            <w:rFonts w:ascii="Cambria Math" w:hAnsi="Cambria Math" w:eastAsiaTheme="minorEastAsia"/>
            <w:szCs w:val="21"/>
          </w:rPr>
          <m:t>×100</m:t>
        </m:r>
      </m:oMath>
      <w:r>
        <w:rPr>
          <w:rFonts w:hint="eastAsia"/>
          <w:szCs w:val="21"/>
        </w:rPr>
        <w:t xml:space="preserve">    ┈┈┈┈┈┈┈（2）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试样中苏氨酸锌含量以</w:t>
      </w:r>
      <m:oMath>
        <m:sSub>
          <m:sSubPr>
            <m:ctrlPr>
              <w:rPr>
                <w:rFonts w:ascii="Cambria Math" w:hAnsi="Cambria Math" w:eastAsiaTheme="minorEastAsia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Theme="minorEastAsia"/>
                <w:szCs w:val="21"/>
              </w:rPr>
              <m:t>ω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Theme="minorEastAsia"/>
                <w:szCs w:val="21"/>
              </w:rPr>
              <m:t>2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sub>
        </m:sSub>
      </m:oMath>
      <w:r>
        <w:rPr>
          <w:rFonts w:hint="eastAsia"/>
          <w:szCs w:val="21"/>
        </w:rPr>
        <w:t>计，质量分数用（%）表示，按以下公式（3）计算：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m:oMath>
        <m:sSub>
          <m:sSubPr>
            <m:ctrlPr>
              <w:rPr>
                <w:rFonts w:ascii="Cambria Math" w:hAnsi="Cambria Math" w:eastAsiaTheme="minorEastAsia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 w:eastAsiaTheme="minorEastAsia"/>
                <w:szCs w:val="21"/>
              </w:rPr>
              <m:t>ω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 w:eastAsiaTheme="minorEastAsia"/>
                <w:szCs w:val="21"/>
              </w:rPr>
              <m:t>2</m:t>
            </m:r>
            <m:ctrlPr>
              <w:rPr>
                <w:rFonts w:ascii="Cambria Math" w:hAnsi="Cambria Math" w:eastAsiaTheme="minorEastAsia"/>
                <w:i/>
                <w:szCs w:val="21"/>
              </w:rPr>
            </m:ctrlPr>
          </m:sub>
        </m:sSub>
        <m:r>
          <m:rPr/>
          <w:rPr>
            <w:rFonts w:ascii="Cambria Math" w:hAnsi="Cambria Math" w:eastAsiaTheme="minorEastAsia"/>
            <w:szCs w:val="21"/>
          </w:rPr>
          <m:t>=</m:t>
        </m:r>
        <m:f>
          <m:fPr>
            <m:ctrlPr>
              <w:rPr>
                <w:rFonts w:ascii="Cambria Math" w:hAnsi="Cambria Math" w:eastAsiaTheme="minorEastAsia"/>
                <w:i/>
                <w:iCs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Cs w:val="21"/>
              </w:rPr>
              <m:t>c</m:t>
            </m:r>
            <m:r>
              <m:rPr/>
              <w:rPr>
                <w:rFonts w:ascii="Cambria Math" w:hAnsi="Cambria Math" w:eastAsiaTheme="minorEastAsia"/>
                <w:szCs w:val="21"/>
              </w:rPr>
              <m:t>×(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V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1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Theme="minorEastAsia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V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Theme="minorEastAsia"/>
                    <w:szCs w:val="21"/>
                  </w:rPr>
                  <m:t>0</m:t>
                </m:r>
                <m:ctrlPr>
                  <w:rPr>
                    <w:rFonts w:ascii="Cambria Math" w:hAnsi="Cambria Math" w:eastAsiaTheme="minorEastAsia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Theme="minorEastAsia"/>
                <w:szCs w:val="21"/>
              </w:rPr>
              <m:t>)×0.33763</m:t>
            </m:r>
            <m:ctrlPr>
              <w:rPr>
                <w:rFonts w:ascii="Cambria Math" w:hAnsi="Cambria Math" w:eastAsiaTheme="minorEastAsia"/>
                <w:i/>
                <w:iCs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Theme="minorEastAsia"/>
                    <w:i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Theme="minorEastAsia"/>
                    <w:szCs w:val="21"/>
                  </w:rPr>
                  <m:t>m</m:t>
                </m:r>
                <m:ctrlPr>
                  <w:rPr>
                    <w:rFonts w:ascii="Cambria Math" w:hAnsi="Cambria Math" w:eastAsiaTheme="minorEastAsia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Theme="minorEastAsia"/>
                    <w:szCs w:val="21"/>
                  </w:rPr>
                  <m:t>2</m:t>
                </m:r>
                <m:ctrlPr>
                  <w:rPr>
                    <w:rFonts w:ascii="Cambria Math" w:hAnsi="Cambria Math" w:eastAsiaTheme="minorEastAsia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 w:eastAsiaTheme="minorEastAsia"/>
                <w:i/>
                <w:iCs/>
                <w:szCs w:val="21"/>
              </w:rPr>
            </m:ctrlPr>
          </m:den>
        </m:f>
        <m:r>
          <m:rPr/>
          <w:rPr>
            <w:rFonts w:ascii="Cambria Math" w:hAnsi="Cambria Math" w:eastAsiaTheme="minorEastAsia"/>
            <w:szCs w:val="21"/>
          </w:rPr>
          <m:t>×100</m:t>
        </m:r>
      </m:oMath>
      <w:r>
        <w:rPr>
          <w:rFonts w:ascii="Cambria Math" w:hAnsi="Cambria Math" w:eastAsiaTheme="minorEastAsia"/>
          <w:i/>
          <w:szCs w:val="21"/>
        </w:rPr>
        <w:t xml:space="preserve"> </w:t>
      </w:r>
      <w:r>
        <w:rPr>
          <w:rFonts w:hint="eastAsia" w:ascii="Cambria Math" w:hAnsi="Cambria Math" w:eastAsiaTheme="minorEastAsia"/>
          <w:i/>
          <w:szCs w:val="21"/>
        </w:rPr>
        <w:t xml:space="preserve">    </w:t>
      </w:r>
      <w:r>
        <w:rPr>
          <w:rFonts w:hint="eastAsia"/>
          <w:szCs w:val="21"/>
        </w:rPr>
        <w:t>┈┈┈┈┈┈┈（3）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式中：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c ——  盐酸标准溶液的浓度，单位为摩尔每升（mol/L）；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——  样品消耗盐酸标准滴定溶液的体积，单位为毫升（mL）；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——  空白样品消耗盐酸标准滴定溶液的体积，单位为毫升（mL）；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 xml:space="preserve">——  试样的质量，单位为克（g）； 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——  试样的质量，单位为克（g）；</w:t>
      </w:r>
    </w:p>
    <w:p>
      <w:pPr>
        <w:spacing w:line="360" w:lineRule="auto"/>
        <w:ind w:firstLine="420" w:firstLineChars="200"/>
        <w:rPr>
          <w:color w:val="0000FF"/>
          <w:szCs w:val="21"/>
        </w:rPr>
      </w:pPr>
      <w:r>
        <w:rPr>
          <w:rFonts w:hint="eastAsia"/>
          <w:szCs w:val="21"/>
        </w:rPr>
        <w:t>0.11912——</w:t>
      </w:r>
      <w:r>
        <w:rPr>
          <w:rFonts w:hint="eastAsia" w:cs="黑体"/>
          <w:szCs w:val="21"/>
        </w:rPr>
        <w:t>与1.00mL盐酸标准溶液（cHCl=1.000mol/L）相当的</w:t>
      </w:r>
      <w:r>
        <w:rPr>
          <w:rFonts w:hint="eastAsia"/>
          <w:szCs w:val="21"/>
        </w:rPr>
        <w:t>苏氨酸的质量，g。</w:t>
      </w:r>
    </w:p>
    <w:p>
      <w:pPr>
        <w:spacing w:line="360" w:lineRule="auto"/>
        <w:ind w:firstLine="420" w:firstLineChars="200"/>
        <w:rPr>
          <w:color w:val="0000FF"/>
          <w:szCs w:val="21"/>
        </w:rPr>
      </w:pPr>
      <w:r>
        <w:rPr>
          <w:rFonts w:hint="eastAsia"/>
          <w:szCs w:val="21"/>
        </w:rPr>
        <w:t>0.</w:t>
      </w:r>
      <w:r>
        <w:rPr>
          <w:szCs w:val="21"/>
        </w:rPr>
        <w:t>33763</w:t>
      </w:r>
      <w:r>
        <w:rPr>
          <w:rFonts w:hint="eastAsia"/>
          <w:szCs w:val="21"/>
        </w:rPr>
        <w:t>——</w:t>
      </w:r>
      <w:r>
        <w:rPr>
          <w:rFonts w:hint="eastAsia" w:cs="黑体"/>
          <w:szCs w:val="21"/>
        </w:rPr>
        <w:t>与1.00mL盐酸标准溶液（cHCl=1.000mol/L）相当的</w:t>
      </w:r>
      <w:r>
        <w:rPr>
          <w:rFonts w:hint="eastAsia"/>
          <w:szCs w:val="21"/>
        </w:rPr>
        <w:t>苏氨酸锌的质量，g。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7.4.3.2.7   精密度</w:t>
      </w:r>
    </w:p>
    <w:p>
      <w:pPr>
        <w:pStyle w:val="23"/>
        <w:spacing w:before="0" w:beforeLines="0" w:after="0" w:afterLines="0"/>
        <w:ind w:firstLine="420" w:firstLineChars="200"/>
        <w:rPr>
          <w:rFonts w:ascii="黑体" w:eastAsia="黑体" w:cs="黑体"/>
          <w:sz w:val="21"/>
          <w:szCs w:val="21"/>
        </w:rPr>
      </w:pPr>
      <w:r>
        <w:rPr>
          <w:rFonts w:hint="eastAsia"/>
          <w:sz w:val="21"/>
          <w:szCs w:val="21"/>
        </w:rPr>
        <w:t>在重复性条件下，两次独立测定结果的绝对差值不超过0.5%。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7.5  粒度的测定</w:t>
      </w:r>
    </w:p>
    <w:p>
      <w:pPr>
        <w:pStyle w:val="23"/>
        <w:spacing w:before="0" w:beforeLines="0" w:after="120" w:afterLines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按GB/T 5917的规定执行。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7.6  水分的测定</w:t>
      </w:r>
    </w:p>
    <w:p>
      <w:pPr>
        <w:pStyle w:val="23"/>
        <w:spacing w:before="0" w:beforeLines="0" w:after="120" w:afterLines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按照GB/T 6435的规定执行。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7.7  砷的测定</w:t>
      </w:r>
    </w:p>
    <w:p>
      <w:pPr>
        <w:pStyle w:val="23"/>
        <w:spacing w:before="0" w:beforeLines="0" w:after="120" w:afterLines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按照GB/T 13079的规定执行。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7.8  铅的测定</w:t>
      </w:r>
    </w:p>
    <w:p>
      <w:pPr>
        <w:pStyle w:val="23"/>
        <w:spacing w:before="0" w:beforeLines="0" w:after="120" w:afterLines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按照GB/T13080的规定执行。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7.9  镉的测定</w:t>
      </w:r>
    </w:p>
    <w:p>
      <w:pPr>
        <w:pStyle w:val="23"/>
        <w:spacing w:before="0" w:beforeLines="0" w:after="120" w:afterLines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按照GB 13082的规定执行。</w:t>
      </w:r>
    </w:p>
    <w:p>
      <w:pPr>
        <w:pStyle w:val="23"/>
        <w:spacing w:before="0" w:beforeLines="0" w:after="120" w:afterLines="0"/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7.10  净含量及允许短缺量</w:t>
      </w:r>
    </w:p>
    <w:p>
      <w:pPr>
        <w:pStyle w:val="23"/>
        <w:spacing w:before="0" w:beforeLines="0" w:after="120" w:afterLines="0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按照JJF1070-2005执行。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b/>
          <w:bCs/>
          <w:szCs w:val="21"/>
        </w:rPr>
      </w:pPr>
      <w:r>
        <w:rPr>
          <w:rFonts w:hint="eastAsia" w:ascii="黑体" w:eastAsia="黑体" w:cs="黑体"/>
          <w:b/>
          <w:bCs/>
          <w:szCs w:val="21"/>
        </w:rPr>
        <w:t>8  检验规则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>8.1 组批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产品以同一班组、同种原料生产的在规定限度内具有同一性质和质量产品为一批。</w:t>
      </w:r>
    </w:p>
    <w:p>
      <w:pPr>
        <w:pStyle w:val="9"/>
        <w:spacing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8.2  </w:t>
      </w:r>
      <w:r>
        <w:rPr>
          <w:rFonts w:ascii="黑体" w:eastAsia="黑体" w:cs="黑体"/>
          <w:szCs w:val="21"/>
        </w:rPr>
        <w:t>出厂检验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每批产品应进行出厂检验，出厂检验项目包括水分、粒度、锌、总苏氨酸。</w:t>
      </w:r>
    </w:p>
    <w:p>
      <w:pPr>
        <w:pStyle w:val="9"/>
        <w:spacing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8.3  </w:t>
      </w:r>
      <w:r>
        <w:rPr>
          <w:rFonts w:ascii="黑体" w:eastAsia="黑体" w:cs="黑体"/>
          <w:szCs w:val="21"/>
        </w:rPr>
        <w:t>型式检验</w:t>
      </w:r>
    </w:p>
    <w:p>
      <w:pPr>
        <w:pStyle w:val="21"/>
        <w:spacing w:line="360" w:lineRule="auto"/>
        <w:ind w:firstLine="420"/>
        <w:rPr>
          <w:rFonts w:ascii="Times New Roman" w:cs="Times New Roman"/>
          <w:kern w:val="2"/>
          <w:szCs w:val="21"/>
        </w:rPr>
      </w:pPr>
      <w:r>
        <w:rPr>
          <w:rFonts w:ascii="Times New Roman" w:cs="Times New Roman"/>
          <w:kern w:val="2"/>
          <w:szCs w:val="21"/>
        </w:rPr>
        <w:t>型式检验项目为本</w:t>
      </w:r>
      <w:r>
        <w:rPr>
          <w:rFonts w:hint="eastAsia" w:ascii="Times New Roman" w:cs="Times New Roman"/>
          <w:kern w:val="2"/>
          <w:szCs w:val="21"/>
        </w:rPr>
        <w:t>文件</w:t>
      </w:r>
      <w:r>
        <w:rPr>
          <w:rFonts w:ascii="Times New Roman" w:cs="Times New Roman"/>
          <w:kern w:val="2"/>
          <w:szCs w:val="21"/>
        </w:rPr>
        <w:t>第5章规定的所有项目。在正常生产情况下，每半年至少进行1次型式检验。有下列情况之一时，亦应进行型式检验</w:t>
      </w:r>
      <w:r>
        <w:rPr>
          <w:rFonts w:hint="eastAsia" w:ascii="Times New Roman" w:cs="Times New Roman"/>
          <w:kern w:val="2"/>
          <w:szCs w:val="21"/>
        </w:rPr>
        <w:t>有下列情形之一时应进行型式检验：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a）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产品定型投产时；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b）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生产工艺、配方或主要原料来源有较大改变，可能影响产品质量时；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c）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停产3个月以上，重新恢复生产时；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d）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出厂检验结果与上次型式检验结果有较大差异时；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e）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饲料行政管理部门提出检验要求时。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ascii="黑体" w:eastAsia="黑体" w:cs="黑体"/>
          <w:szCs w:val="21"/>
        </w:rPr>
        <w:t>8.4</w:t>
      </w:r>
      <w:r>
        <w:rPr>
          <w:rFonts w:hint="eastAsia" w:ascii="黑体" w:eastAsia="黑体" w:cs="黑体"/>
          <w:szCs w:val="21"/>
        </w:rPr>
        <w:t xml:space="preserve">  </w:t>
      </w:r>
      <w:r>
        <w:rPr>
          <w:rFonts w:ascii="黑体" w:eastAsia="黑体" w:cs="黑体"/>
          <w:szCs w:val="21"/>
        </w:rPr>
        <w:t>判定规则</w:t>
      </w:r>
    </w:p>
    <w:p>
      <w:pPr>
        <w:spacing w:line="360" w:lineRule="auto"/>
        <w:rPr>
          <w:szCs w:val="21"/>
        </w:rPr>
      </w:pPr>
      <w:r>
        <w:rPr>
          <w:rFonts w:ascii="黑体" w:hAnsi="黑体" w:eastAsia="黑体" w:cs="黑体"/>
          <w:szCs w:val="21"/>
        </w:rPr>
        <w:t>8.4.1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所有项目全部合格，判定为该批次产品合格。</w:t>
      </w:r>
    </w:p>
    <w:p>
      <w:pPr>
        <w:spacing w:line="360" w:lineRule="auto"/>
        <w:rPr>
          <w:szCs w:val="21"/>
        </w:rPr>
      </w:pPr>
      <w:r>
        <w:rPr>
          <w:rFonts w:ascii="黑体" w:hAnsi="黑体" w:eastAsia="黑体" w:cs="黑体"/>
          <w:szCs w:val="21"/>
        </w:rPr>
        <w:t xml:space="preserve">8.4.2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检测结果中有任何指标不符合本部分规定时，可自同批产品中重新加倍取样进行复检。复检结果有一项指标不符合本部分规定，即判定该批产品不合格。</w:t>
      </w:r>
    </w:p>
    <w:p>
      <w:pPr>
        <w:spacing w:line="360" w:lineRule="auto"/>
        <w:rPr>
          <w:szCs w:val="21"/>
        </w:rPr>
      </w:pPr>
      <w:r>
        <w:rPr>
          <w:rFonts w:ascii="黑体" w:hAnsi="黑体" w:eastAsia="黑体" w:cs="黑体"/>
          <w:szCs w:val="21"/>
        </w:rPr>
        <w:t xml:space="preserve">8.4.3 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szCs w:val="21"/>
        </w:rPr>
        <w:t>各项目指标的极限数值判定按GB/T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8170中修约值比较法执行。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b/>
          <w:bCs/>
          <w:szCs w:val="21"/>
        </w:rPr>
      </w:pPr>
      <w:r>
        <w:rPr>
          <w:rFonts w:hint="eastAsia" w:ascii="黑体" w:eastAsia="黑体" w:cs="黑体"/>
          <w:b/>
          <w:bCs/>
          <w:szCs w:val="21"/>
        </w:rPr>
        <w:t>9  标签、包装、运输、贮存和保质期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9.1 </w:t>
      </w:r>
      <w:r>
        <w:rPr>
          <w:rFonts w:ascii="黑体" w:eastAsia="黑体" w:cs="黑体"/>
          <w:szCs w:val="21"/>
        </w:rPr>
        <w:t>标签</w:t>
      </w:r>
    </w:p>
    <w:p>
      <w:pPr>
        <w:pStyle w:val="27"/>
        <w:spacing w:line="360" w:lineRule="auto"/>
        <w:ind w:firstLine="420" w:firstLineChars="200"/>
        <w:rPr>
          <w:rFonts w:hint="default" w:ascii="Times New Roman" w:hAnsi="Times New Roman" w:eastAsia="宋体"/>
          <w:sz w:val="21"/>
          <w:szCs w:val="21"/>
        </w:rPr>
      </w:pPr>
      <w:r>
        <w:rPr>
          <w:rFonts w:hint="default" w:ascii="Times New Roman" w:hAnsi="Times New Roman" w:eastAsia="宋体"/>
          <w:sz w:val="21"/>
          <w:szCs w:val="21"/>
        </w:rPr>
        <w:t>标签应符合GB10648的规定。</w:t>
      </w:r>
    </w:p>
    <w:p>
      <w:pPr>
        <w:pStyle w:val="9"/>
        <w:spacing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9.2 </w:t>
      </w:r>
      <w:r>
        <w:rPr>
          <w:rFonts w:ascii="黑体" w:eastAsia="黑体" w:cs="黑体"/>
          <w:szCs w:val="21"/>
        </w:rPr>
        <w:t>包装</w:t>
      </w:r>
    </w:p>
    <w:p>
      <w:pPr>
        <w:pStyle w:val="27"/>
        <w:spacing w:line="360" w:lineRule="auto"/>
        <w:ind w:firstLine="420" w:firstLineChars="200"/>
        <w:rPr>
          <w:rFonts w:hint="default" w:ascii="Times New Roman" w:hAnsi="Times New Roman" w:eastAsia="宋体"/>
          <w:sz w:val="21"/>
          <w:szCs w:val="21"/>
        </w:rPr>
      </w:pPr>
      <w:r>
        <w:rPr>
          <w:rFonts w:hint="default" w:ascii="Times New Roman" w:hAnsi="Times New Roman" w:eastAsia="宋体"/>
          <w:sz w:val="21"/>
          <w:szCs w:val="21"/>
        </w:rPr>
        <w:t>采用复合编织袋，内加塑料袋包装。净含量应符合《定量包装商品计量监督管理办法》的规定。</w:t>
      </w:r>
    </w:p>
    <w:p>
      <w:pPr>
        <w:pStyle w:val="9"/>
        <w:spacing w:before="156" w:beforeLines="50" w:after="156" w:afterLines="50"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9.3 </w:t>
      </w:r>
      <w:r>
        <w:rPr>
          <w:rFonts w:ascii="黑体" w:eastAsia="黑体" w:cs="黑体"/>
          <w:szCs w:val="21"/>
        </w:rPr>
        <w:t>运输</w:t>
      </w:r>
    </w:p>
    <w:p>
      <w:pPr>
        <w:pStyle w:val="27"/>
        <w:spacing w:line="360" w:lineRule="auto"/>
        <w:ind w:firstLine="420" w:firstLineChars="200"/>
        <w:rPr>
          <w:rFonts w:hint="default" w:ascii="Times New Roman" w:hAnsi="Times New Roman" w:eastAsia="宋体"/>
          <w:sz w:val="21"/>
          <w:szCs w:val="21"/>
        </w:rPr>
      </w:pPr>
      <w:r>
        <w:rPr>
          <w:rFonts w:hint="default" w:ascii="Times New Roman" w:hAnsi="Times New Roman" w:eastAsia="宋体"/>
          <w:sz w:val="21"/>
          <w:szCs w:val="21"/>
        </w:rPr>
        <w:t>产品在运输过程中应防潮、防高温、防包装破损，严禁与有毒有害物质混运。</w:t>
      </w:r>
    </w:p>
    <w:p>
      <w:pPr>
        <w:pStyle w:val="9"/>
        <w:spacing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9.4 </w:t>
      </w:r>
      <w:r>
        <w:rPr>
          <w:rFonts w:ascii="黑体" w:eastAsia="黑体" w:cs="黑体"/>
          <w:szCs w:val="21"/>
        </w:rPr>
        <w:t>贮存</w:t>
      </w:r>
    </w:p>
    <w:p>
      <w:pPr>
        <w:pStyle w:val="27"/>
        <w:spacing w:line="360" w:lineRule="auto"/>
        <w:ind w:firstLine="420" w:firstLineChars="200"/>
        <w:rPr>
          <w:rFonts w:hint="default" w:ascii="Times New Roman" w:hAnsi="Times New Roman" w:eastAsia="宋体"/>
          <w:sz w:val="21"/>
          <w:szCs w:val="21"/>
        </w:rPr>
      </w:pPr>
      <w:r>
        <w:rPr>
          <w:rFonts w:hint="default" w:ascii="Times New Roman" w:hAnsi="Times New Roman" w:eastAsia="宋体"/>
          <w:sz w:val="21"/>
          <w:szCs w:val="21"/>
        </w:rPr>
        <w:t>产品应贮存于通风、干燥、无污染、无有毒有害物质处。</w:t>
      </w:r>
    </w:p>
    <w:p>
      <w:pPr>
        <w:pStyle w:val="9"/>
        <w:spacing w:line="360" w:lineRule="auto"/>
        <w:ind w:left="0" w:leftChars="0"/>
        <w:rPr>
          <w:rFonts w:ascii="黑体" w:eastAsia="黑体" w:cs="黑体"/>
          <w:szCs w:val="21"/>
        </w:rPr>
      </w:pPr>
      <w:r>
        <w:rPr>
          <w:rFonts w:hint="eastAsia" w:ascii="黑体" w:eastAsia="黑体" w:cs="黑体"/>
          <w:szCs w:val="21"/>
        </w:rPr>
        <w:t xml:space="preserve">9.5 </w:t>
      </w:r>
      <w:r>
        <w:rPr>
          <w:rFonts w:ascii="黑体" w:eastAsia="黑体" w:cs="黑体"/>
          <w:szCs w:val="21"/>
        </w:rPr>
        <w:t>保质期</w:t>
      </w:r>
    </w:p>
    <w:p>
      <w:pPr>
        <w:pStyle w:val="27"/>
        <w:spacing w:line="360" w:lineRule="auto"/>
        <w:ind w:firstLine="420" w:firstLineChars="200"/>
        <w:rPr>
          <w:rFonts w:hint="default" w:ascii="Times New Roman" w:hAnsi="Times New Roman" w:eastAsia="宋体"/>
          <w:sz w:val="21"/>
          <w:szCs w:val="21"/>
        </w:rPr>
      </w:pPr>
      <w:r>
        <w:rPr>
          <w:rFonts w:hint="default" w:ascii="Times New Roman" w:hAnsi="Times New Roman" w:eastAsia="宋体"/>
          <w:sz w:val="21"/>
          <w:szCs w:val="21"/>
        </w:rPr>
        <w:t>产品在规定的贮存条件下，从生产之日起保质期为12个月。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  <w:lang w:val="en-US" w:eastAsia="zh-CN"/>
        </w:rPr>
        <w:t xml:space="preserve">                        </w:t>
      </w:r>
    </w:p>
    <w:p/>
    <w:p/>
    <w:p/>
    <w:p/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FZHei-B0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9417922"/>
      <w:showingPlcHdr/>
    </w:sdtPr>
    <w:sdtContent>
      <w:p>
        <w:pPr>
          <w:pStyle w:val="8"/>
          <w:ind w:right="720"/>
          <w:jc w:val="center"/>
        </w:pPr>
        <w:r>
          <w:t xml:space="preserve">     </w:t>
        </w:r>
      </w:p>
    </w:sdtContent>
  </w:sdt>
  <w:p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877750"/>
    </w:sdtPr>
    <w:sdtContent>
      <w:p>
        <w:pPr>
          <w:pStyle w:val="8"/>
          <w:jc w:val="center"/>
        </w:pPr>
        <w:r>
          <w:rPr>
            <w:rFonts w:hint="eastAsia"/>
          </w:rPr>
          <w:t>1</w:t>
        </w:r>
      </w:p>
    </w:sdtContent>
  </w:sdt>
  <w:p>
    <w:pPr>
      <w:pStyle w:val="26"/>
      <w:jc w:val="center"/>
      <w:rPr>
        <w:rStyle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6099729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6"/>
      <w:jc w:val="center"/>
      <w:rPr>
        <w:rStyle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right="210" w:firstLine="420"/>
      <w:jc w:val="left"/>
      <w:rPr>
        <w:rFonts w:eastAsia="黑体"/>
        <w:spacing w:val="20"/>
      </w:rPr>
    </w:pPr>
    <w:r>
      <w:rPr>
        <w:rFonts w:hint="eastAsia" w:eastAsia="黑体"/>
        <w:spacing w:val="20"/>
      </w:rPr>
      <w:t>DB43/T XXX—XXXX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713CD"/>
    <w:multiLevelType w:val="singleLevel"/>
    <w:tmpl w:val="895713CD"/>
    <w:lvl w:ilvl="0" w:tentative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9AF2A24B"/>
    <w:multiLevelType w:val="singleLevel"/>
    <w:tmpl w:val="9AF2A24B"/>
    <w:lvl w:ilvl="0" w:tentative="0">
      <w:start w:val="1"/>
      <w:numFmt w:val="bullet"/>
      <w:pStyle w:val="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306669"/>
    <w:rsid w:val="0000045C"/>
    <w:rsid w:val="000A0991"/>
    <w:rsid w:val="000B16F4"/>
    <w:rsid w:val="000C3418"/>
    <w:rsid w:val="000D0FA4"/>
    <w:rsid w:val="00164BD8"/>
    <w:rsid w:val="0017167A"/>
    <w:rsid w:val="00186825"/>
    <w:rsid w:val="001D5D6C"/>
    <w:rsid w:val="00212A4F"/>
    <w:rsid w:val="00234B34"/>
    <w:rsid w:val="00262925"/>
    <w:rsid w:val="002C1287"/>
    <w:rsid w:val="00302C89"/>
    <w:rsid w:val="00303C0F"/>
    <w:rsid w:val="00306669"/>
    <w:rsid w:val="00322941"/>
    <w:rsid w:val="00401BC1"/>
    <w:rsid w:val="004323CB"/>
    <w:rsid w:val="004578DD"/>
    <w:rsid w:val="00473F99"/>
    <w:rsid w:val="004B40CF"/>
    <w:rsid w:val="0050686D"/>
    <w:rsid w:val="0053020D"/>
    <w:rsid w:val="0057111E"/>
    <w:rsid w:val="005D7629"/>
    <w:rsid w:val="006246BC"/>
    <w:rsid w:val="00635F76"/>
    <w:rsid w:val="00654A3C"/>
    <w:rsid w:val="00661730"/>
    <w:rsid w:val="00661FED"/>
    <w:rsid w:val="00692F47"/>
    <w:rsid w:val="0071265F"/>
    <w:rsid w:val="00740102"/>
    <w:rsid w:val="00745F7E"/>
    <w:rsid w:val="00757979"/>
    <w:rsid w:val="007738AD"/>
    <w:rsid w:val="00781834"/>
    <w:rsid w:val="00797744"/>
    <w:rsid w:val="007C2692"/>
    <w:rsid w:val="008047F5"/>
    <w:rsid w:val="00804FB0"/>
    <w:rsid w:val="00872D2C"/>
    <w:rsid w:val="008842D7"/>
    <w:rsid w:val="009752DC"/>
    <w:rsid w:val="009C6B36"/>
    <w:rsid w:val="009D3224"/>
    <w:rsid w:val="009F0058"/>
    <w:rsid w:val="00A13BE5"/>
    <w:rsid w:val="00A13ED6"/>
    <w:rsid w:val="00A27DE4"/>
    <w:rsid w:val="00AA00DC"/>
    <w:rsid w:val="00AF4460"/>
    <w:rsid w:val="00B07E45"/>
    <w:rsid w:val="00B147F0"/>
    <w:rsid w:val="00B65392"/>
    <w:rsid w:val="00BA365A"/>
    <w:rsid w:val="00BB6C10"/>
    <w:rsid w:val="00BD2C0C"/>
    <w:rsid w:val="00C31F17"/>
    <w:rsid w:val="00C55DD0"/>
    <w:rsid w:val="00C75FFA"/>
    <w:rsid w:val="00C76226"/>
    <w:rsid w:val="00C96CA3"/>
    <w:rsid w:val="00CA33E8"/>
    <w:rsid w:val="00CD6B4E"/>
    <w:rsid w:val="00DB4171"/>
    <w:rsid w:val="00DB6E85"/>
    <w:rsid w:val="00EC10B5"/>
    <w:rsid w:val="00F0653A"/>
    <w:rsid w:val="00F14E8A"/>
    <w:rsid w:val="00F247DE"/>
    <w:rsid w:val="00FA19E3"/>
    <w:rsid w:val="00FB6868"/>
    <w:rsid w:val="00FD65C8"/>
    <w:rsid w:val="099D3B73"/>
    <w:rsid w:val="0ECD0BC8"/>
    <w:rsid w:val="178F1F77"/>
    <w:rsid w:val="1B6D1771"/>
    <w:rsid w:val="21580EAE"/>
    <w:rsid w:val="2A8F792B"/>
    <w:rsid w:val="2FF063B6"/>
    <w:rsid w:val="3C3C6E3B"/>
    <w:rsid w:val="3E993E3A"/>
    <w:rsid w:val="3FD15131"/>
    <w:rsid w:val="442A6F9F"/>
    <w:rsid w:val="456B5F85"/>
    <w:rsid w:val="4C9E41B3"/>
    <w:rsid w:val="563C2402"/>
    <w:rsid w:val="5A236552"/>
    <w:rsid w:val="66434C5E"/>
    <w:rsid w:val="685876BF"/>
    <w:rsid w:val="722332FF"/>
    <w:rsid w:val="72A91F4D"/>
    <w:rsid w:val="739621E7"/>
    <w:rsid w:val="7C1A138F"/>
    <w:rsid w:val="7DCC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6">
    <w:name w:val="List Bullet"/>
    <w:basedOn w:val="1"/>
    <w:qFormat/>
    <w:uiPriority w:val="0"/>
    <w:pPr>
      <w:numPr>
        <w:ilvl w:val="0"/>
        <w:numId w:val="2"/>
      </w:numPr>
    </w:pPr>
  </w:style>
  <w:style w:type="paragraph" w:styleId="7">
    <w:name w:val="annotation text"/>
    <w:next w:val="8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link w:val="30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9">
    <w:name w:val="Body Text Indent"/>
    <w:basedOn w:val="1"/>
    <w:qFormat/>
    <w:uiPriority w:val="0"/>
    <w:pPr>
      <w:spacing w:after="120"/>
      <w:ind w:left="200" w:leftChars="200"/>
    </w:pPr>
  </w:style>
  <w:style w:type="paragraph" w:styleId="10">
    <w:name w:val="Plain Text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styleId="11">
    <w:name w:val="Balloon Text"/>
    <w:basedOn w:val="1"/>
    <w:link w:val="29"/>
    <w:qFormat/>
    <w:uiPriority w:val="0"/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List"/>
    <w:basedOn w:val="1"/>
    <w:qFormat/>
    <w:uiPriority w:val="0"/>
    <w:pPr>
      <w:ind w:left="420" w:hanging="420"/>
    </w:pPr>
  </w:style>
  <w:style w:type="paragraph" w:styleId="14">
    <w:name w:val="toc 9"/>
    <w:basedOn w:val="1"/>
    <w:next w:val="1"/>
    <w:qFormat/>
    <w:uiPriority w:val="0"/>
    <w:pPr>
      <w:ind w:left="3360"/>
    </w:pPr>
  </w:style>
  <w:style w:type="character" w:styleId="17">
    <w:name w:val="endnote reference"/>
    <w:basedOn w:val="16"/>
    <w:qFormat/>
    <w:uiPriority w:val="0"/>
    <w:rPr>
      <w:vertAlign w:val="superscript"/>
    </w:r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paragraph" w:styleId="19">
    <w:name w:val="List Paragraph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目次、标准名称标题"/>
    <w:qFormat/>
    <w:uiPriority w:val="0"/>
    <w:pPr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Arial"/>
      <w:sz w:val="32"/>
      <w:szCs w:val="22"/>
      <w:lang w:val="en-US" w:eastAsia="zh-CN" w:bidi="ar-SA"/>
    </w:rPr>
  </w:style>
  <w:style w:type="paragraph" w:customStyle="1" w:styleId="21">
    <w:name w:val="段"/>
    <w:next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Arial"/>
      <w:sz w:val="21"/>
      <w:szCs w:val="22"/>
      <w:lang w:val="en-US" w:eastAsia="zh-CN" w:bidi="ar-SA"/>
    </w:rPr>
  </w:style>
  <w:style w:type="paragraph" w:customStyle="1" w:styleId="22">
    <w:name w:val="我的正文文本缩进"/>
    <w:qFormat/>
    <w:uiPriority w:val="0"/>
    <w:pPr>
      <w:widowControl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我的三级标题"/>
    <w:qFormat/>
    <w:uiPriority w:val="0"/>
    <w:pPr>
      <w:widowControl w:val="0"/>
      <w:spacing w:before="50" w:beforeLines="50" w:after="50" w:afterLines="50"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4">
    <w:name w:val="Body text|1"/>
    <w:qFormat/>
    <w:uiPriority w:val="0"/>
    <w:pPr>
      <w:widowControl w:val="0"/>
      <w:spacing w:line="437" w:lineRule="auto"/>
      <w:ind w:firstLine="400"/>
      <w:jc w:val="both"/>
    </w:pPr>
    <w:rPr>
      <w:rFonts w:ascii="宋体" w:hAnsi="Times New Roman" w:eastAsia="宋体" w:cs="宋体"/>
      <w:kern w:val="2"/>
      <w:sz w:val="30"/>
      <w:szCs w:val="30"/>
      <w:lang w:val="zh-TW" w:eastAsia="zh-TW" w:bidi="zh-TW"/>
    </w:rPr>
  </w:style>
  <w:style w:type="paragraph" w:customStyle="1" w:styleId="25">
    <w:name w:val="标准书眉_奇数页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Calibri" w:hAnsi="Calibri" w:eastAsia="宋体" w:cs="Arial"/>
      <w:sz w:val="21"/>
      <w:szCs w:val="22"/>
      <w:lang w:val="en-US" w:eastAsia="zh-CN" w:bidi="ar-SA"/>
    </w:rPr>
  </w:style>
  <w:style w:type="paragraph" w:customStyle="1" w:styleId="26">
    <w:name w:val="标准书脚_奇数页"/>
    <w:qFormat/>
    <w:uiPriority w:val="0"/>
    <w:pPr>
      <w:spacing w:before="120"/>
      <w:jc w:val="right"/>
    </w:pPr>
    <w:rPr>
      <w:rFonts w:ascii="Calibri" w:hAnsi="Calibri" w:eastAsia="宋体" w:cs="Arial"/>
      <w:sz w:val="18"/>
      <w:szCs w:val="22"/>
      <w:lang w:val="en-US" w:eastAsia="zh-CN" w:bidi="ar-SA"/>
    </w:rPr>
  </w:style>
  <w:style w:type="paragraph" w:customStyle="1" w:styleId="27">
    <w:name w:val="HTML 预设格式1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Arial Unicode MS" w:hAnsi="Arial Unicode MS" w:eastAsia="Arial Unicode MS"/>
      <w:sz w:val="20"/>
      <w:szCs w:val="20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批注框文本 Char"/>
    <w:basedOn w:val="16"/>
    <w:link w:val="11"/>
    <w:qFormat/>
    <w:uiPriority w:val="0"/>
    <w:rPr>
      <w:kern w:val="2"/>
      <w:sz w:val="18"/>
      <w:szCs w:val="18"/>
    </w:rPr>
  </w:style>
  <w:style w:type="character" w:customStyle="1" w:styleId="30">
    <w:name w:val="页脚 Char"/>
    <w:basedOn w:val="16"/>
    <w:link w:val="8"/>
    <w:qFormat/>
    <w:uiPriority w:val="99"/>
    <w:rPr>
      <w:kern w:val="2"/>
      <w:sz w:val="18"/>
      <w:szCs w:val="24"/>
    </w:rPr>
  </w:style>
  <w:style w:type="paragraph" w:customStyle="1" w:styleId="31">
    <w:name w:val="一级条标题"/>
    <w:basedOn w:val="1"/>
    <w:next w:val="1"/>
    <w:link w:val="32"/>
    <w:qFormat/>
    <w:uiPriority w:val="0"/>
    <w:pPr>
      <w:widowControl/>
      <w:outlineLvl w:val="2"/>
    </w:pPr>
    <w:rPr>
      <w:rFonts w:ascii="黑体" w:eastAsia="黑体" w:hAnsiTheme="minorHAnsi" w:cstheme="minorBidi"/>
      <w:kern w:val="0"/>
      <w:szCs w:val="22"/>
    </w:rPr>
  </w:style>
  <w:style w:type="character" w:customStyle="1" w:styleId="32">
    <w:name w:val="一级条标题 Char"/>
    <w:basedOn w:val="16"/>
    <w:link w:val="31"/>
    <w:qFormat/>
    <w:uiPriority w:val="0"/>
    <w:rPr>
      <w:rFonts w:ascii="黑体" w:eastAsia="黑体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FB86FD-B62A-4C4E-B5E8-EF68B4ED0A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12</Pages>
  <Words>1605</Words>
  <Characters>9152</Characters>
  <Lines>76</Lines>
  <Paragraphs>21</Paragraphs>
  <TotalTime>1</TotalTime>
  <ScaleCrop>false</ScaleCrop>
  <LinksUpToDate>false</LinksUpToDate>
  <CharactersWithSpaces>10736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2022-04-19T06:39:00Z</dcterms:created>
  <dc:creator>User274</dc:creator>
  <cp:lastModifiedBy>兴嘉生物-洪双胜</cp:lastModifiedBy>
  <dcterms:modified xsi:type="dcterms:W3CDTF">2022-04-22T14:53:31Z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18646C80436E4AF1BE5295B67133BDD6</vt:lpwstr>
  </property>
  <property fmtid="{D5CDD505-2E9C-101B-9397-08002B2CF9AE}" pid="4" name="commondata">
    <vt:lpwstr>eyJoZGlkIjoiNjM3MTQ4MGJjOTZlNjQzZTNhMzM2MDdjMWJhODk5M2QifQ==</vt:lpwstr>
  </property>
</Properties>
</file>