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2022</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农村卷烟营销网络 第8部分：</w:t>
      </w:r>
    </w:p>
    <w:p>
      <w:pPr>
        <w:pStyle w:val="197"/>
        <w:framePr w:h="6974" w:hRule="exact" w:wrap="around" w:x="1419" w:anchorLock="1"/>
      </w:pPr>
      <w:r>
        <w:t>营销服务规范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99631198"/>
      <w:bookmarkStart w:id="23" w:name="_Toc99629584"/>
      <w:bookmarkStart w:id="24" w:name="_Toc99629572"/>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"_Toc99631918" </w:instrText>
      </w:r>
      <w:r>
        <w:fldChar w:fldCharType="separate"/>
      </w:r>
      <w:r>
        <w:rPr>
          <w:rStyle w:val="32"/>
        </w:rPr>
        <w:t>前言</w:t>
      </w:r>
      <w:r>
        <w:tab/>
      </w:r>
      <w:r>
        <w:fldChar w:fldCharType="begin"/>
      </w:r>
      <w:r>
        <w:instrText xml:space="preserve"> PAGEREF _Toc99631918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"_Toc99631919" </w:instrText>
      </w:r>
      <w:r>
        <w:fldChar w:fldCharType="separate"/>
      </w:r>
      <w:r>
        <w:rPr>
          <w:rStyle w:val="32"/>
        </w:rPr>
        <w:t>引言</w:t>
      </w:r>
      <w:r>
        <w:tab/>
      </w:r>
      <w:r>
        <w:fldChar w:fldCharType="begin"/>
      </w:r>
      <w:r>
        <w:instrText xml:space="preserve"> PAGEREF _Toc99631919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"_Toc99631920" </w:instrText>
      </w:r>
      <w:r>
        <w:fldChar w:fldCharType="separate"/>
      </w:r>
      <w:r>
        <w:rPr>
          <w:rStyle w:val="32"/>
        </w:rPr>
        <w:t>1  范围</w:t>
      </w:r>
      <w:r>
        <w:tab/>
      </w:r>
      <w:r>
        <w:fldChar w:fldCharType="begin"/>
      </w:r>
      <w:r>
        <w:instrText xml:space="preserve"> PAGEREF _Toc99631920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"_Toc99631921" </w:instrText>
      </w:r>
      <w:r>
        <w:fldChar w:fldCharType="separate"/>
      </w:r>
      <w:r>
        <w:rPr>
          <w:rStyle w:val="32"/>
        </w:rPr>
        <w:t>2  规范性引用文件</w:t>
      </w:r>
      <w:r>
        <w:tab/>
      </w:r>
      <w:r>
        <w:fldChar w:fldCharType="begin"/>
      </w:r>
      <w:r>
        <w:instrText xml:space="preserve"> PAGEREF _Toc99631921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"_Toc99631922" </w:instrText>
      </w:r>
      <w:r>
        <w:fldChar w:fldCharType="separate"/>
      </w:r>
      <w:r>
        <w:rPr>
          <w:rStyle w:val="32"/>
        </w:rPr>
        <w:t>3  术语和定义</w:t>
      </w:r>
      <w:r>
        <w:tab/>
      </w:r>
      <w:r>
        <w:fldChar w:fldCharType="begin"/>
      </w:r>
      <w:r>
        <w:instrText xml:space="preserve"> PAGEREF _Toc99631922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"_Toc99631923" </w:instrText>
      </w:r>
      <w:r>
        <w:fldChar w:fldCharType="separate"/>
      </w:r>
      <w:r>
        <w:rPr>
          <w:rStyle w:val="32"/>
        </w:rPr>
        <w:t>4  服务类型</w:t>
      </w:r>
      <w:r>
        <w:tab/>
      </w:r>
      <w:r>
        <w:fldChar w:fldCharType="begin"/>
      </w:r>
      <w:r>
        <w:instrText xml:space="preserve"> PAGEREF _Toc99631923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"_Toc99631924" </w:instrText>
      </w:r>
      <w:r>
        <w:fldChar w:fldCharType="separate"/>
      </w:r>
      <w:r>
        <w:rPr>
          <w:rStyle w:val="32"/>
        </w:rPr>
        <w:t>5  基础服务</w:t>
      </w:r>
      <w:r>
        <w:tab/>
      </w:r>
      <w:r>
        <w:fldChar w:fldCharType="begin"/>
      </w:r>
      <w:r>
        <w:instrText xml:space="preserve"> PAGEREF _Toc99631924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"_Toc99631925" </w:instrText>
      </w:r>
      <w:r>
        <w:fldChar w:fldCharType="separate"/>
      </w:r>
      <w:r>
        <w:rPr>
          <w:rStyle w:val="32"/>
          <w14:scene3d w14:prst="orthographicFront">
            <w14:lightRig w14:rig="threePt" w14:dir="t">
              <w14:rot w14:lat="0" w14:lon="0" w14:rev="0"/>
            </w14:lightRig>
          </w14:scene3d>
        </w:rPr>
        <w:t xml:space="preserve">5.1 </w:t>
      </w:r>
      <w:r>
        <w:rPr>
          <w:rStyle w:val="32"/>
        </w:rPr>
        <w:t xml:space="preserve"> 客户入网</w:t>
      </w:r>
      <w:r>
        <w:tab/>
      </w:r>
      <w:r>
        <w:fldChar w:fldCharType="begin"/>
      </w:r>
      <w:r>
        <w:instrText xml:space="preserve"> PAGEREF _Toc99631925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"_Toc99631926" </w:instrText>
      </w:r>
      <w:r>
        <w:fldChar w:fldCharType="separate"/>
      </w:r>
      <w:r>
        <w:rPr>
          <w:rStyle w:val="32"/>
          <w14:scene3d w14:prst="orthographicFront">
            <w14:lightRig w14:rig="threePt" w14:dir="t">
              <w14:rot w14:lat="0" w14:lon="0" w14:rev="0"/>
            </w14:lightRig>
          </w14:scene3d>
        </w:rPr>
        <w:t xml:space="preserve">5.2 </w:t>
      </w:r>
      <w:r>
        <w:rPr>
          <w:rStyle w:val="32"/>
        </w:rPr>
        <w:t xml:space="preserve"> 卷烟订货结算服务</w:t>
      </w:r>
      <w:r>
        <w:tab/>
      </w:r>
      <w:r>
        <w:fldChar w:fldCharType="begin"/>
      </w:r>
      <w:r>
        <w:instrText xml:space="preserve"> PAGEREF _Toc99631926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"_Toc99631927" </w:instrText>
      </w:r>
      <w:r>
        <w:fldChar w:fldCharType="separate"/>
      </w:r>
      <w:r>
        <w:rPr>
          <w:rStyle w:val="32"/>
          <w14:scene3d w14:prst="orthographicFront">
            <w14:lightRig w14:rig="threePt" w14:dir="t">
              <w14:rot w14:lat="0" w14:lon="0" w14:rev="0"/>
            </w14:lightRig>
          </w14:scene3d>
        </w:rPr>
        <w:t xml:space="preserve">5.3 </w:t>
      </w:r>
      <w:r>
        <w:rPr>
          <w:rStyle w:val="32"/>
        </w:rPr>
        <w:t xml:space="preserve"> 客户拜访</w:t>
      </w:r>
      <w:r>
        <w:tab/>
      </w:r>
      <w:r>
        <w:fldChar w:fldCharType="begin"/>
      </w:r>
      <w:r>
        <w:instrText xml:space="preserve"> PAGEREF _Toc99631927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"_Toc99631928" </w:instrText>
      </w:r>
      <w:r>
        <w:fldChar w:fldCharType="separate"/>
      </w:r>
      <w:r>
        <w:rPr>
          <w:rStyle w:val="32"/>
          <w14:scene3d w14:prst="orthographicFront">
            <w14:lightRig w14:rig="threePt" w14:dir="t">
              <w14:rot w14:lat="0" w14:lon="0" w14:rev="0"/>
            </w14:lightRig>
          </w14:scene3d>
        </w:rPr>
        <w:t xml:space="preserve">5.4 </w:t>
      </w:r>
      <w:r>
        <w:rPr>
          <w:rStyle w:val="32"/>
        </w:rPr>
        <w:t xml:space="preserve"> 咨询反馈</w:t>
      </w:r>
      <w:r>
        <w:tab/>
      </w:r>
      <w:r>
        <w:fldChar w:fldCharType="begin"/>
      </w:r>
      <w:r>
        <w:instrText xml:space="preserve"> PAGEREF _Toc99631928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"_Toc99631929" </w:instrText>
      </w:r>
      <w:r>
        <w:fldChar w:fldCharType="separate"/>
      </w:r>
      <w:r>
        <w:rPr>
          <w:rStyle w:val="32"/>
          <w14:scene3d w14:prst="orthographicFront">
            <w14:lightRig w14:rig="threePt" w14:dir="t">
              <w14:rot w14:lat="0" w14:lon="0" w14:rev="0"/>
            </w14:lightRig>
          </w14:scene3d>
        </w:rPr>
        <w:t xml:space="preserve">5.5 </w:t>
      </w:r>
      <w:r>
        <w:rPr>
          <w:rStyle w:val="32"/>
        </w:rPr>
        <w:t xml:space="preserve"> 送货服务</w:t>
      </w:r>
      <w:r>
        <w:tab/>
      </w:r>
      <w:r>
        <w:fldChar w:fldCharType="begin"/>
      </w:r>
      <w:r>
        <w:instrText xml:space="preserve"> PAGEREF _Toc99631929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"_Toc99631930" </w:instrText>
      </w:r>
      <w:r>
        <w:fldChar w:fldCharType="separate"/>
      </w:r>
      <w:r>
        <w:rPr>
          <w:rStyle w:val="32"/>
          <w14:scene3d w14:prst="orthographicFront">
            <w14:lightRig w14:rig="threePt" w14:dir="t">
              <w14:rot w14:lat="0" w14:lon="0" w14:rev="0"/>
            </w14:lightRig>
          </w14:scene3d>
        </w:rPr>
        <w:t xml:space="preserve">5.6 </w:t>
      </w:r>
      <w:r>
        <w:rPr>
          <w:rStyle w:val="32"/>
        </w:rPr>
        <w:t xml:space="preserve"> 退货服务</w:t>
      </w:r>
      <w:r>
        <w:tab/>
      </w:r>
      <w:r>
        <w:fldChar w:fldCharType="begin"/>
      </w:r>
      <w:r>
        <w:instrText xml:space="preserve"> PAGEREF _Toc99631930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"_Toc99631931" </w:instrText>
      </w:r>
      <w:r>
        <w:fldChar w:fldCharType="separate"/>
      </w:r>
      <w:r>
        <w:rPr>
          <w:rStyle w:val="32"/>
          <w14:scene3d w14:prst="orthographicFront">
            <w14:lightRig w14:rig="threePt" w14:dir="t">
              <w14:rot w14:lat="0" w14:lon="0" w14:rev="0"/>
            </w14:lightRig>
          </w14:scene3d>
        </w:rPr>
        <w:t xml:space="preserve">5.7 </w:t>
      </w:r>
      <w:r>
        <w:rPr>
          <w:rStyle w:val="32"/>
        </w:rPr>
        <w:t xml:space="preserve"> 调换服务</w:t>
      </w:r>
      <w:r>
        <w:tab/>
      </w:r>
      <w:r>
        <w:fldChar w:fldCharType="begin"/>
      </w:r>
      <w:r>
        <w:instrText xml:space="preserve"> PAGEREF _Toc99631931 \h </w:instrText>
      </w:r>
      <w:r>
        <w:fldChar w:fldCharType="separate"/>
      </w:r>
      <w:r>
        <w:t>13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"_Toc99631932" </w:instrText>
      </w:r>
      <w:r>
        <w:fldChar w:fldCharType="separate"/>
      </w:r>
      <w:r>
        <w:rPr>
          <w:rStyle w:val="32"/>
          <w14:scene3d w14:prst="orthographicFront">
            <w14:lightRig w14:rig="threePt" w14:dir="t">
              <w14:rot w14:lat="0" w14:lon="0" w14:rev="0"/>
            </w14:lightRig>
          </w14:scene3d>
        </w:rPr>
        <w:t xml:space="preserve">5.8 </w:t>
      </w:r>
      <w:r>
        <w:rPr>
          <w:rStyle w:val="32"/>
        </w:rPr>
        <w:t xml:space="preserve"> 客户培训</w:t>
      </w:r>
      <w:r>
        <w:tab/>
      </w:r>
      <w:r>
        <w:fldChar w:fldCharType="begin"/>
      </w:r>
      <w:r>
        <w:instrText xml:space="preserve"> PAGEREF _Toc99631932 \h </w:instrText>
      </w:r>
      <w:r>
        <w:fldChar w:fldCharType="separate"/>
      </w:r>
      <w:r>
        <w:t>13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"_Toc99631933" </w:instrText>
      </w:r>
      <w:r>
        <w:fldChar w:fldCharType="separate"/>
      </w:r>
      <w:r>
        <w:rPr>
          <w:rStyle w:val="32"/>
          <w14:scene3d w14:prst="orthographicFront">
            <w14:lightRig w14:rig="threePt" w14:dir="t">
              <w14:rot w14:lat="0" w14:lon="0" w14:rev="0"/>
            </w14:lightRig>
          </w14:scene3d>
        </w:rPr>
        <w:t xml:space="preserve">5.9 </w:t>
      </w:r>
      <w:r>
        <w:rPr>
          <w:rStyle w:val="32"/>
        </w:rPr>
        <w:t xml:space="preserve"> 经营指导</w:t>
      </w:r>
      <w:r>
        <w:tab/>
      </w:r>
      <w:r>
        <w:fldChar w:fldCharType="begin"/>
      </w:r>
      <w:r>
        <w:instrText xml:space="preserve"> PAGEREF _Toc99631933 \h </w:instrText>
      </w:r>
      <w:r>
        <w:fldChar w:fldCharType="separate"/>
      </w:r>
      <w:r>
        <w:t>13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"_Toc99631934" </w:instrText>
      </w:r>
      <w:r>
        <w:fldChar w:fldCharType="separate"/>
      </w:r>
      <w:r>
        <w:rPr>
          <w:rStyle w:val="32"/>
        </w:rPr>
        <w:t>6  个性化服务</w:t>
      </w:r>
      <w:r>
        <w:tab/>
      </w:r>
      <w:r>
        <w:fldChar w:fldCharType="begin"/>
      </w:r>
      <w:r>
        <w:instrText xml:space="preserve"> PAGEREF _Toc99631934 \h </w:instrText>
      </w:r>
      <w:r>
        <w:fldChar w:fldCharType="separate"/>
      </w:r>
      <w:r>
        <w:t>16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"_Toc99631935" </w:instrText>
      </w:r>
      <w:r>
        <w:fldChar w:fldCharType="separate"/>
      </w:r>
      <w:r>
        <w:rPr>
          <w:rStyle w:val="32"/>
        </w:rPr>
        <w:t>7  特色服务</w:t>
      </w:r>
      <w:r>
        <w:tab/>
      </w:r>
      <w:r>
        <w:fldChar w:fldCharType="begin"/>
      </w:r>
      <w:r>
        <w:instrText xml:space="preserve"> PAGEREF _Toc99631935 \h </w:instrText>
      </w:r>
      <w:r>
        <w:fldChar w:fldCharType="separate"/>
      </w:r>
      <w:r>
        <w:t>16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"_Toc99631936" </w:instrText>
      </w:r>
      <w:r>
        <w:fldChar w:fldCharType="separate"/>
      </w:r>
      <w:r>
        <w:rPr>
          <w:rStyle w:val="32"/>
          <w14:scene3d w14:prst="orthographicFront">
            <w14:lightRig w14:rig="threePt" w14:dir="t">
              <w14:rot w14:lat="0" w14:lon="0" w14:rev="0"/>
            </w14:lightRig>
          </w14:scene3d>
        </w:rPr>
        <w:t xml:space="preserve">7.1 </w:t>
      </w:r>
      <w:r>
        <w:rPr>
          <w:rStyle w:val="32"/>
        </w:rPr>
        <w:t xml:space="preserve"> 情感维系</w:t>
      </w:r>
      <w:r>
        <w:tab/>
      </w:r>
      <w:r>
        <w:fldChar w:fldCharType="begin"/>
      </w:r>
      <w:r>
        <w:instrText xml:space="preserve"> PAGEREF _Toc99631936 \h </w:instrText>
      </w:r>
      <w:r>
        <w:fldChar w:fldCharType="separate"/>
      </w:r>
      <w:r>
        <w:t>16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"_Toc99631937" </w:instrText>
      </w:r>
      <w:r>
        <w:fldChar w:fldCharType="separate"/>
      </w:r>
      <w:r>
        <w:rPr>
          <w:rStyle w:val="32"/>
          <w14:scene3d w14:prst="orthographicFront">
            <w14:lightRig w14:rig="threePt" w14:dir="t">
              <w14:rot w14:lat="0" w14:lon="0" w14:rev="0"/>
            </w14:lightRig>
          </w14:scene3d>
        </w:rPr>
        <w:t xml:space="preserve">7.2 </w:t>
      </w:r>
      <w:r>
        <w:rPr>
          <w:rStyle w:val="32"/>
        </w:rPr>
        <w:t xml:space="preserve"> 货源供应</w:t>
      </w:r>
      <w:r>
        <w:tab/>
      </w:r>
      <w:r>
        <w:fldChar w:fldCharType="begin"/>
      </w:r>
      <w:r>
        <w:instrText xml:space="preserve"> PAGEREF _Toc99631937 \h </w:instrText>
      </w:r>
      <w:r>
        <w:fldChar w:fldCharType="separate"/>
      </w:r>
      <w:r>
        <w:t>16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"_Toc99631938" </w:instrText>
      </w:r>
      <w:r>
        <w:fldChar w:fldCharType="separate"/>
      </w:r>
      <w:r>
        <w:rPr>
          <w:rStyle w:val="32"/>
          <w14:scene3d w14:prst="orthographicFront">
            <w14:lightRig w14:rig="threePt" w14:dir="t">
              <w14:rot w14:lat="0" w14:lon="0" w14:rev="0"/>
            </w14:lightRig>
          </w14:scene3d>
        </w:rPr>
        <w:t xml:space="preserve">7.3 </w:t>
      </w:r>
      <w:r>
        <w:rPr>
          <w:rStyle w:val="32"/>
        </w:rPr>
        <w:t xml:space="preserve"> 爱心帮扶</w:t>
      </w:r>
      <w:r>
        <w:tab/>
      </w:r>
      <w:r>
        <w:fldChar w:fldCharType="begin"/>
      </w:r>
      <w:r>
        <w:instrText xml:space="preserve"> PAGEREF _Toc99631938 \h </w:instrText>
      </w:r>
      <w:r>
        <w:fldChar w:fldCharType="separate"/>
      </w:r>
      <w:r>
        <w:t>16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"_Toc99631939" </w:instrText>
      </w:r>
      <w:r>
        <w:fldChar w:fldCharType="separate"/>
      </w:r>
      <w:r>
        <w:rPr>
          <w:rStyle w:val="32"/>
          <w14:scene3d w14:prst="orthographicFront">
            <w14:lightRig w14:rig="threePt" w14:dir="t">
              <w14:rot w14:lat="0" w14:lon="0" w14:rev="0"/>
            </w14:lightRig>
          </w14:scene3d>
        </w:rPr>
        <w:t xml:space="preserve">7.4 </w:t>
      </w:r>
      <w:r>
        <w:rPr>
          <w:rStyle w:val="32"/>
        </w:rPr>
        <w:t xml:space="preserve"> 送课下乡</w:t>
      </w:r>
      <w:r>
        <w:tab/>
      </w:r>
      <w:r>
        <w:fldChar w:fldCharType="begin"/>
      </w:r>
      <w:r>
        <w:instrText xml:space="preserve"> PAGEREF _Toc99631939 \h </w:instrText>
      </w:r>
      <w:r>
        <w:fldChar w:fldCharType="separate"/>
      </w:r>
      <w:r>
        <w:t>16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"_Toc99631940" </w:instrText>
      </w:r>
      <w:r>
        <w:fldChar w:fldCharType="separate"/>
      </w:r>
      <w:r>
        <w:rPr>
          <w:rStyle w:val="32"/>
          <w14:scene3d w14:prst="orthographicFront">
            <w14:lightRig w14:rig="threePt" w14:dir="t">
              <w14:rot w14:lat="0" w14:lon="0" w14:rev="0"/>
            </w14:lightRig>
          </w14:scene3d>
        </w:rPr>
        <w:t xml:space="preserve">7.5 </w:t>
      </w:r>
      <w:r>
        <w:rPr>
          <w:rStyle w:val="32"/>
        </w:rPr>
        <w:t xml:space="preserve"> 法律咨询</w:t>
      </w:r>
      <w:r>
        <w:tab/>
      </w:r>
      <w:r>
        <w:fldChar w:fldCharType="begin"/>
      </w:r>
      <w:r>
        <w:instrText xml:space="preserve"> PAGEREF _Toc99631940 \h </w:instrText>
      </w:r>
      <w:r>
        <w:fldChar w:fldCharType="separate"/>
      </w:r>
      <w:r>
        <w:t>16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"_Toc99631941" </w:instrText>
      </w:r>
      <w:r>
        <w:fldChar w:fldCharType="separate"/>
      </w:r>
      <w:r>
        <w:rPr>
          <w:rStyle w:val="32"/>
        </w:rPr>
        <w:t>8  服务监测</w:t>
      </w:r>
      <w:r>
        <w:tab/>
      </w:r>
      <w:r>
        <w:fldChar w:fldCharType="begin"/>
      </w:r>
      <w:r>
        <w:instrText xml:space="preserve"> PAGEREF _Toc99631941 \h </w:instrText>
      </w:r>
      <w:r>
        <w:fldChar w:fldCharType="separate"/>
      </w:r>
      <w:r>
        <w:t>16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"_Toc99631942" </w:instrText>
      </w:r>
      <w:r>
        <w:fldChar w:fldCharType="separate"/>
      </w:r>
      <w:r>
        <w:rPr>
          <w:rStyle w:val="32"/>
          <w14:scene3d w14:prst="orthographicFront">
            <w14:lightRig w14:rig="threePt" w14:dir="t">
              <w14:rot w14:lat="0" w14:lon="0" w14:rev="0"/>
            </w14:lightRig>
          </w14:scene3d>
        </w:rPr>
        <w:t xml:space="preserve">8.1 </w:t>
      </w:r>
      <w:r>
        <w:rPr>
          <w:rStyle w:val="32"/>
        </w:rPr>
        <w:t xml:space="preserve"> 监测方式</w:t>
      </w:r>
      <w:r>
        <w:tab/>
      </w:r>
      <w:r>
        <w:fldChar w:fldCharType="begin"/>
      </w:r>
      <w:r>
        <w:instrText xml:space="preserve"> PAGEREF _Toc99631942 \h </w:instrText>
      </w:r>
      <w:r>
        <w:fldChar w:fldCharType="separate"/>
      </w:r>
      <w:r>
        <w:t>16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"_Toc99631943" </w:instrText>
      </w:r>
      <w:r>
        <w:fldChar w:fldCharType="separate"/>
      </w:r>
      <w:r>
        <w:rPr>
          <w:rStyle w:val="32"/>
          <w14:scene3d w14:prst="orthographicFront">
            <w14:lightRig w14:rig="threePt" w14:dir="t">
              <w14:rot w14:lat="0" w14:lon="0" w14:rev="0"/>
            </w14:lightRig>
          </w14:scene3d>
        </w:rPr>
        <w:t xml:space="preserve">8.2 </w:t>
      </w:r>
      <w:r>
        <w:rPr>
          <w:rStyle w:val="32"/>
        </w:rPr>
        <w:t xml:space="preserve"> 监测内容</w:t>
      </w:r>
      <w:r>
        <w:tab/>
      </w:r>
      <w:r>
        <w:fldChar w:fldCharType="begin"/>
      </w:r>
      <w:r>
        <w:instrText xml:space="preserve"> PAGEREF _Toc99631943 \h </w:instrText>
      </w:r>
      <w:r>
        <w:fldChar w:fldCharType="separate"/>
      </w:r>
      <w:r>
        <w:t>16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"_Toc99631944" </w:instrText>
      </w:r>
      <w:r>
        <w:fldChar w:fldCharType="separate"/>
      </w:r>
      <w:r>
        <w:rPr>
          <w:rStyle w:val="32"/>
          <w14:scene3d w14:prst="orthographicFront">
            <w14:lightRig w14:rig="threePt" w14:dir="t">
              <w14:rot w14:lat="0" w14:lon="0" w14:rev="0"/>
            </w14:lightRig>
          </w14:scene3d>
        </w:rPr>
        <w:t xml:space="preserve">8.3 </w:t>
      </w:r>
      <w:r>
        <w:rPr>
          <w:rStyle w:val="32"/>
        </w:rPr>
        <w:t xml:space="preserve"> 监测要求</w:t>
      </w:r>
      <w:r>
        <w:tab/>
      </w:r>
      <w:r>
        <w:fldChar w:fldCharType="begin"/>
      </w:r>
      <w:r>
        <w:instrText xml:space="preserve"> PAGEREF _Toc99631944 \h </w:instrText>
      </w:r>
      <w:r>
        <w:fldChar w:fldCharType="separate"/>
      </w:r>
      <w:r>
        <w:t>17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"_Toc99631945" </w:instrText>
      </w:r>
      <w:r>
        <w:fldChar w:fldCharType="separate"/>
      </w:r>
      <w:r>
        <w:rPr>
          <w:rStyle w:val="32"/>
        </w:rPr>
        <w:t>9  服务评价与改进</w:t>
      </w:r>
      <w:r>
        <w:tab/>
      </w:r>
      <w:r>
        <w:fldChar w:fldCharType="begin"/>
      </w:r>
      <w:r>
        <w:instrText xml:space="preserve"> PAGEREF _Toc99631945 \h </w:instrText>
      </w:r>
      <w:r>
        <w:fldChar w:fldCharType="separate"/>
      </w:r>
      <w:r>
        <w:t>17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"_Toc99631946" </w:instrText>
      </w:r>
      <w:r>
        <w:fldChar w:fldCharType="separate"/>
      </w:r>
      <w:r>
        <w:rPr>
          <w:rStyle w:val="32"/>
          <w14:scene3d w14:prst="orthographicFront">
            <w14:lightRig w14:rig="threePt" w14:dir="t">
              <w14:rot w14:lat="0" w14:lon="0" w14:rev="0"/>
            </w14:lightRig>
          </w14:scene3d>
        </w:rPr>
        <w:t xml:space="preserve">9.1 </w:t>
      </w:r>
      <w:r>
        <w:rPr>
          <w:rStyle w:val="32"/>
        </w:rPr>
        <w:t xml:space="preserve"> 服务评价</w:t>
      </w:r>
      <w:r>
        <w:tab/>
      </w:r>
      <w:r>
        <w:fldChar w:fldCharType="begin"/>
      </w:r>
      <w:r>
        <w:instrText xml:space="preserve"> PAGEREF _Toc99631946 \h </w:instrText>
      </w:r>
      <w:r>
        <w:fldChar w:fldCharType="separate"/>
      </w:r>
      <w:r>
        <w:t>17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"_Toc99631947" </w:instrText>
      </w:r>
      <w:r>
        <w:fldChar w:fldCharType="separate"/>
      </w:r>
      <w:r>
        <w:rPr>
          <w:rStyle w:val="32"/>
          <w14:scene3d w14:prst="orthographicFront">
            <w14:lightRig w14:rig="threePt" w14:dir="t">
              <w14:rot w14:lat="0" w14:lon="0" w14:rev="0"/>
            </w14:lightRig>
          </w14:scene3d>
        </w:rPr>
        <w:t xml:space="preserve">9.2 </w:t>
      </w:r>
      <w:r>
        <w:rPr>
          <w:rStyle w:val="32"/>
        </w:rPr>
        <w:t xml:space="preserve"> 服务改进与创新</w:t>
      </w:r>
      <w:r>
        <w:tab/>
      </w:r>
      <w:r>
        <w:fldChar w:fldCharType="begin"/>
      </w:r>
      <w:r>
        <w:instrText xml:space="preserve"> PAGEREF _Toc99631947 \h </w:instrText>
      </w:r>
      <w:r>
        <w:fldChar w:fldCharType="separate"/>
      </w:r>
      <w:r>
        <w:t>17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"_Toc99631948" </w:instrText>
      </w:r>
      <w:r>
        <w:fldChar w:fldCharType="separate"/>
      </w:r>
      <w:r>
        <w:rPr>
          <w:rStyle w:val="32"/>
          <w14:scene3d w14:prst="orthographicFront">
            <w14:lightRig w14:rig="threePt" w14:dir="t">
              <w14:rot w14:lat="0" w14:lon="0" w14:rev="0"/>
            </w14:lightRig>
          </w14:scene3d>
        </w:rPr>
        <w:t xml:space="preserve">9.3 </w:t>
      </w:r>
      <w:r>
        <w:rPr>
          <w:rStyle w:val="32"/>
        </w:rPr>
        <w:t xml:space="preserve"> 课题创新</w:t>
      </w:r>
      <w:r>
        <w:tab/>
      </w:r>
      <w:r>
        <w:fldChar w:fldCharType="begin"/>
      </w:r>
      <w:r>
        <w:instrText xml:space="preserve"> PAGEREF _Toc99631948 \h </w:instrText>
      </w:r>
      <w:r>
        <w:fldChar w:fldCharType="separate"/>
      </w:r>
      <w:r>
        <w:t>17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"_Toc99631949" </w:instrText>
      </w:r>
      <w:r>
        <w:fldChar w:fldCharType="separate"/>
      </w:r>
      <w:r>
        <w:rPr>
          <w:rStyle w:val="32"/>
        </w:rPr>
        <w:t>附录A（规范性）  个性化服务内容明细表</w:t>
      </w:r>
      <w:r>
        <w:tab/>
      </w:r>
      <w:r>
        <w:fldChar w:fldCharType="begin"/>
      </w:r>
      <w:r>
        <w:instrText xml:space="preserve"> PAGEREF _Toc99631949 \h </w:instrText>
      </w:r>
      <w:r>
        <w:fldChar w:fldCharType="separate"/>
      </w:r>
      <w:r>
        <w:t>19</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5" w:name="_Toc99631918"/>
      <w:bookmarkStart w:id="26" w:name="BookMark2"/>
      <w:r>
        <w:rPr>
          <w:spacing w:val="320"/>
        </w:rPr>
        <w:t>前</w:t>
      </w:r>
      <w:r>
        <w:t>言</w:t>
      </w:r>
      <w:bookmarkEnd w:id="22"/>
      <w:bookmarkEnd w:id="23"/>
      <w:bookmarkEnd w:id="24"/>
      <w:bookmarkEnd w:id="25"/>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rPr>
          <w:rFonts w:hint="eastAsia"/>
        </w:rPr>
      </w:pPr>
      <w:r>
        <w:rPr>
          <w:rFonts w:hint="eastAsia"/>
        </w:rPr>
        <w:t>DB43/T ×× 《农村卷烟营销网络》分为8个部分：</w:t>
      </w:r>
    </w:p>
    <w:p>
      <w:pPr>
        <w:pStyle w:val="132"/>
        <w:rPr>
          <w:rFonts w:hint="eastAsia"/>
        </w:rPr>
      </w:pPr>
      <w:r>
        <w:rPr>
          <w:rFonts w:hint="eastAsia"/>
        </w:rPr>
        <w:t>第1部分：服务乡村振兴指南；</w:t>
      </w:r>
    </w:p>
    <w:p>
      <w:pPr>
        <w:pStyle w:val="132"/>
        <w:rPr>
          <w:rFonts w:hint="eastAsia"/>
        </w:rPr>
      </w:pPr>
      <w:r>
        <w:rPr>
          <w:rFonts w:hint="eastAsia"/>
        </w:rPr>
        <w:t>第2部分：零售终端建设规范；</w:t>
      </w:r>
    </w:p>
    <w:p>
      <w:pPr>
        <w:pStyle w:val="132"/>
        <w:rPr>
          <w:rFonts w:hint="eastAsia"/>
        </w:rPr>
      </w:pPr>
      <w:r>
        <w:rPr>
          <w:rFonts w:hint="eastAsia"/>
        </w:rPr>
        <w:t>第3部分：零售终端数字化建设指南；</w:t>
      </w:r>
    </w:p>
    <w:p>
      <w:pPr>
        <w:pStyle w:val="132"/>
        <w:rPr>
          <w:rFonts w:hint="eastAsia"/>
        </w:rPr>
      </w:pPr>
      <w:r>
        <w:rPr>
          <w:rFonts w:hint="eastAsia"/>
        </w:rPr>
        <w:t>第4部分：零售终端星级评定；</w:t>
      </w:r>
    </w:p>
    <w:p>
      <w:pPr>
        <w:pStyle w:val="132"/>
        <w:rPr>
          <w:rFonts w:hint="eastAsia"/>
        </w:rPr>
      </w:pPr>
      <w:r>
        <w:rPr>
          <w:rFonts w:hint="eastAsia"/>
        </w:rPr>
        <w:t>第5部分：零售终端服务与管理规范；</w:t>
      </w:r>
    </w:p>
    <w:p>
      <w:pPr>
        <w:pStyle w:val="132"/>
        <w:rPr>
          <w:rFonts w:hint="eastAsia"/>
        </w:rPr>
      </w:pPr>
      <w:r>
        <w:rPr>
          <w:rFonts w:hint="eastAsia"/>
        </w:rPr>
        <w:t>第6部分：零售终端商品陈列指南；</w:t>
      </w:r>
    </w:p>
    <w:p>
      <w:pPr>
        <w:pStyle w:val="132"/>
        <w:rPr>
          <w:rFonts w:hint="eastAsia"/>
        </w:rPr>
      </w:pPr>
      <w:r>
        <w:rPr>
          <w:rFonts w:hint="eastAsia"/>
        </w:rPr>
        <w:t>第7部分：零售客户培训指南；</w:t>
      </w:r>
    </w:p>
    <w:p>
      <w:pPr>
        <w:pStyle w:val="132"/>
        <w:rPr>
          <w:rFonts w:hint="eastAsia"/>
        </w:rPr>
      </w:pPr>
      <w:r>
        <w:rPr>
          <w:rFonts w:hint="eastAsia"/>
        </w:rPr>
        <w:t>第8部分：营销服务规范。</w:t>
      </w:r>
    </w:p>
    <w:p>
      <w:pPr>
        <w:pStyle w:val="56"/>
        <w:ind w:firstLine="420"/>
        <w:rPr>
          <w:rFonts w:hint="eastAsia"/>
        </w:rPr>
      </w:pPr>
      <w:r>
        <w:rPr>
          <w:rFonts w:hint="eastAsia"/>
        </w:rPr>
        <w:t>本文件为DB43/T ×× 的第</w:t>
      </w:r>
      <w:r>
        <w:t>8</w:t>
      </w:r>
      <w:r>
        <w:rPr>
          <w:rFonts w:hint="eastAsia"/>
        </w:rPr>
        <w:t>部分。</w:t>
      </w:r>
    </w:p>
    <w:p>
      <w:pPr>
        <w:pStyle w:val="56"/>
        <w:ind w:firstLine="420"/>
        <w:rPr>
          <w:rFonts w:hint="eastAsia"/>
        </w:rPr>
      </w:pPr>
      <w:r>
        <w:rPr>
          <w:rFonts w:hint="eastAsia"/>
        </w:rPr>
        <w:t>请注意本文件的某些内容可能涉及专利。本文件的发布机构不承担识别专利的责任。</w:t>
      </w:r>
    </w:p>
    <w:p>
      <w:pPr>
        <w:pStyle w:val="56"/>
        <w:ind w:firstLine="420"/>
        <w:rPr>
          <w:rFonts w:hint="eastAsia"/>
        </w:rPr>
      </w:pPr>
      <w:r>
        <w:rPr>
          <w:rFonts w:hint="eastAsia"/>
        </w:rPr>
        <w:t>本文件由湖南省烟草专卖局提出并归口。</w:t>
      </w:r>
    </w:p>
    <w:p>
      <w:pPr>
        <w:pStyle w:val="56"/>
        <w:ind w:firstLine="420"/>
        <w:rPr>
          <w:rFonts w:hint="eastAsia"/>
        </w:rPr>
      </w:pPr>
      <w:r>
        <w:rPr>
          <w:rFonts w:hint="eastAsia"/>
        </w:rPr>
        <w:t>本文件起草单位：</w:t>
      </w:r>
    </w:p>
    <w:p>
      <w:pPr>
        <w:pStyle w:val="56"/>
        <w:ind w:firstLine="420"/>
      </w:pPr>
      <w:r>
        <w:rPr>
          <w:rFonts w:hint="eastAsia"/>
        </w:rPr>
        <w:t>本文件起草人：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C3E5DD306D5B4520A1A85E5EF0359003"/>
        </w:placeholder>
      </w:sdtPr>
      <w:sdtContent>
        <w:p>
          <w:pPr>
            <w:pStyle w:val="177"/>
            <w:spacing w:before="3" w:beforeLines="1" w:after="3" w:afterLines="1"/>
          </w:pPr>
          <w:bookmarkStart w:id="28" w:name="NEW_STAND_NAME"/>
          <w:r>
            <w:rPr>
              <w:rFonts w:hint="eastAsia"/>
            </w:rPr>
            <w:t>农村卷烟营销网络</w:t>
          </w:r>
          <w:r>
            <w:t xml:space="preserve"> 第8部分：</w:t>
          </w:r>
        </w:p>
        <w:p>
          <w:pPr>
            <w:pStyle w:val="177"/>
            <w:spacing w:before="3" w:beforeLines="1" w:after="680"/>
          </w:pPr>
          <w:r>
            <w:rPr>
              <w:rFonts w:hint="eastAsia"/>
            </w:rPr>
            <w:t>营销服务规范</w:t>
          </w:r>
        </w:p>
      </w:sdtContent>
    </w:sdt>
    <w:bookmarkEnd w:id="28"/>
    <w:p>
      <w:pPr>
        <w:pStyle w:val="104"/>
        <w:spacing w:before="312" w:after="312"/>
      </w:pPr>
      <w:bookmarkStart w:id="29" w:name="_Toc99629585"/>
      <w:bookmarkStart w:id="30" w:name="_Toc24884211"/>
      <w:bookmarkStart w:id="31" w:name="_Toc99631920"/>
      <w:bookmarkStart w:id="32" w:name="_Toc99629573"/>
      <w:bookmarkStart w:id="33" w:name="_Toc17233333"/>
      <w:bookmarkStart w:id="34" w:name="_Toc26986771"/>
      <w:bookmarkStart w:id="35" w:name="_Toc26986530"/>
      <w:bookmarkStart w:id="36" w:name="_Toc26648465"/>
      <w:bookmarkStart w:id="37" w:name="_Toc17233325"/>
      <w:bookmarkStart w:id="38" w:name="_Toc99631200"/>
      <w:bookmarkStart w:id="39" w:name="_Toc97191423"/>
      <w:bookmarkStart w:id="40" w:name="_Toc24884218"/>
      <w:bookmarkStart w:id="41" w:name="_Toc26718930"/>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pPr>
        <w:pStyle w:val="56"/>
        <w:ind w:firstLine="420"/>
      </w:pPr>
      <w:bookmarkStart w:id="42" w:name="_Toc24884212"/>
      <w:bookmarkStart w:id="43" w:name="_Toc17233334"/>
      <w:bookmarkStart w:id="44" w:name="_Toc24884219"/>
      <w:bookmarkStart w:id="45" w:name="_Toc17233326"/>
      <w:bookmarkStart w:id="46" w:name="_Toc26648466"/>
      <w:r>
        <w:rPr>
          <w:rFonts w:hint="eastAsia"/>
        </w:rPr>
        <w:t>本部分规定了湖南卷烟商业企业零售终端服务的服务类型、基础服务、特色服务、服务监测、服务评价与改进等内容。</w:t>
      </w:r>
    </w:p>
    <w:p>
      <w:pPr>
        <w:pStyle w:val="56"/>
        <w:ind w:firstLine="420"/>
      </w:pPr>
      <w:r>
        <w:rPr>
          <w:rFonts w:hint="eastAsia"/>
        </w:rPr>
        <w:t>本文件适用于指导湖南烟草商业领域卷烟营销人员对卷烟零售客户开展的服务工作，包括前台可视服务工作及后台相关服务支持工作。</w:t>
      </w:r>
    </w:p>
    <w:p>
      <w:pPr>
        <w:pStyle w:val="104"/>
        <w:spacing w:before="312" w:after="312"/>
      </w:pPr>
      <w:bookmarkStart w:id="47" w:name="_Toc26986772"/>
      <w:bookmarkStart w:id="48" w:name="_Toc99629586"/>
      <w:bookmarkStart w:id="49" w:name="_Toc97191424"/>
      <w:bookmarkStart w:id="50" w:name="_Toc99631921"/>
      <w:bookmarkStart w:id="51" w:name="_Toc26718931"/>
      <w:bookmarkStart w:id="52" w:name="_Toc99631201"/>
      <w:bookmarkStart w:id="53" w:name="_Toc26986531"/>
      <w:bookmarkStart w:id="54" w:name="_Toc99629574"/>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39A36887AE8A48B5B24372A76345A31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t xml:space="preserve">YC/T 262-2008 </w:t>
      </w:r>
      <w:r>
        <w:rPr>
          <w:rFonts w:hint="eastAsia"/>
        </w:rPr>
        <w:t>烟草行业物流单证</w:t>
      </w:r>
    </w:p>
    <w:p>
      <w:pPr>
        <w:pStyle w:val="56"/>
        <w:ind w:firstLine="420"/>
      </w:pPr>
      <w:r>
        <w:rPr>
          <w:rFonts w:hint="eastAsia"/>
        </w:rPr>
        <w:t>D</w:t>
      </w:r>
      <w:r>
        <w:t xml:space="preserve">B43/T XX </w:t>
      </w:r>
      <w:r>
        <w:rPr>
          <w:rFonts w:hint="eastAsia"/>
        </w:rPr>
        <w:t>农村卷烟营销网络 第</w:t>
      </w:r>
      <w:r>
        <w:t>7</w:t>
      </w:r>
      <w:r>
        <w:rPr>
          <w:rFonts w:hint="eastAsia"/>
        </w:rPr>
        <w:t>部分：零售客户培训指南</w:t>
      </w:r>
    </w:p>
    <w:p>
      <w:pPr>
        <w:pStyle w:val="56"/>
        <w:ind w:firstLine="420"/>
      </w:pPr>
      <w:r>
        <w:t xml:space="preserve">DB43/T XX </w:t>
      </w:r>
      <w:r>
        <w:rPr>
          <w:rFonts w:hint="eastAsia"/>
        </w:rPr>
        <w:t>农村卷烟营销网络 第</w:t>
      </w:r>
      <w:r>
        <w:t>6</w:t>
      </w:r>
      <w:r>
        <w:rPr>
          <w:rFonts w:hint="eastAsia"/>
        </w:rPr>
        <w:t>部分：零售终端商品陈列指南</w:t>
      </w:r>
    </w:p>
    <w:p>
      <w:pPr>
        <w:pStyle w:val="104"/>
        <w:spacing w:before="312" w:after="312"/>
      </w:pPr>
      <w:bookmarkStart w:id="55" w:name="_Toc99631202"/>
      <w:bookmarkStart w:id="56" w:name="_Toc99629587"/>
      <w:bookmarkStart w:id="57" w:name="_Toc99629575"/>
      <w:bookmarkStart w:id="58" w:name="_Toc97191425"/>
      <w:bookmarkStart w:id="59" w:name="_Toc99631922"/>
      <w:r>
        <w:rPr>
          <w:rFonts w:hint="eastAsia"/>
          <w:szCs w:val="21"/>
        </w:rPr>
        <w:t>术语和定义</w:t>
      </w:r>
      <w:bookmarkEnd w:id="55"/>
      <w:bookmarkEnd w:id="56"/>
      <w:bookmarkEnd w:id="57"/>
      <w:bookmarkEnd w:id="58"/>
      <w:bookmarkEnd w:id="59"/>
    </w:p>
    <w:sdt>
      <w:sdtPr>
        <w:id w:val="-1909835108"/>
        <w:placeholder>
          <w:docPart w:val="CF91F5260E9442A786C99A046FB5701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0" w:name="_Toc26986532"/>
          <w:bookmarkEnd w:id="60"/>
          <w:r>
            <w:t>下列术语和定义适用于本文件。</w:t>
          </w:r>
        </w:p>
      </w:sdtContent>
    </w:sdt>
    <w:p>
      <w:pPr>
        <w:pStyle w:val="223"/>
        <w:ind w:left="420" w:hanging="420" w:hangingChars="200"/>
        <w:rPr>
          <w:rFonts w:ascii="黑体" w:hAnsi="黑体" w:eastAsia="黑体"/>
        </w:rPr>
      </w:pPr>
      <w:bookmarkStart w:id="61" w:name="_Toc99629589"/>
      <w:bookmarkStart w:id="62" w:name="_Toc99631203"/>
      <w:bookmarkStart w:id="63" w:name="_Toc99631923"/>
      <w:bookmarkStart w:id="64" w:name="_Toc99629577"/>
      <w:r>
        <w:rPr>
          <w:rFonts w:ascii="黑体" w:hAnsi="黑体" w:eastAsia="黑体"/>
        </w:rPr>
        <w:br w:type="textWrapping"/>
      </w:r>
      <w:r>
        <w:rPr>
          <w:rFonts w:hint="eastAsia" w:ascii="黑体" w:hAnsi="黑体" w:eastAsia="黑体"/>
        </w:rPr>
        <w:t>弱势群体</w:t>
      </w:r>
    </w:p>
    <w:p>
      <w:pPr>
        <w:pStyle w:val="56"/>
        <w:ind w:firstLine="420"/>
      </w:pPr>
      <w:r>
        <w:rPr>
          <w:rFonts w:hint="eastAsia"/>
        </w:rPr>
        <w:t>因病或伤残导致家庭生活困难的零售客户。</w:t>
      </w:r>
    </w:p>
    <w:p>
      <w:pPr>
        <w:pStyle w:val="104"/>
        <w:spacing w:before="312" w:after="312"/>
      </w:pPr>
      <w:r>
        <w:rPr>
          <w:rFonts w:hint="eastAsia"/>
        </w:rPr>
        <w:t>服务</w:t>
      </w:r>
      <w:bookmarkEnd w:id="61"/>
      <w:bookmarkEnd w:id="62"/>
      <w:bookmarkEnd w:id="63"/>
      <w:bookmarkEnd w:id="64"/>
      <w:r>
        <w:rPr>
          <w:rFonts w:hint="eastAsia"/>
        </w:rPr>
        <w:t>对象分层分类</w:t>
      </w:r>
    </w:p>
    <w:p>
      <w:pPr>
        <w:pStyle w:val="56"/>
        <w:ind w:firstLine="420"/>
      </w:pPr>
      <w:r>
        <w:rPr>
          <w:rFonts w:hint="eastAsia"/>
        </w:rPr>
        <w:t>烟草商业企业服务对象可分为：</w:t>
      </w:r>
    </w:p>
    <w:p>
      <w:pPr>
        <w:pStyle w:val="174"/>
      </w:pPr>
      <w:bookmarkStart w:id="65" w:name="_Hlk100740596"/>
      <w:r>
        <w:rPr>
          <w:rFonts w:hint="eastAsia"/>
        </w:rPr>
        <w:t>星级现代终端</w:t>
      </w:r>
    </w:p>
    <w:p>
      <w:pPr>
        <w:pStyle w:val="174"/>
      </w:pPr>
      <w:r>
        <w:rPr>
          <w:rFonts w:hint="eastAsia"/>
        </w:rPr>
        <w:t>普通现代终端</w:t>
      </w:r>
    </w:p>
    <w:p>
      <w:pPr>
        <w:pStyle w:val="174"/>
      </w:pPr>
      <w:r>
        <w:rPr>
          <w:rFonts w:hint="eastAsia"/>
        </w:rPr>
        <w:t>弱势群体</w:t>
      </w:r>
      <w:bookmarkEnd w:id="65"/>
    </w:p>
    <w:p>
      <w:pPr>
        <w:pStyle w:val="104"/>
        <w:spacing w:before="312" w:after="312"/>
      </w:pPr>
      <w:r>
        <w:rPr>
          <w:rFonts w:hint="eastAsia"/>
        </w:rPr>
        <w:t>服务内容分层分类</w:t>
      </w:r>
    </w:p>
    <w:p>
      <w:pPr>
        <w:pStyle w:val="56"/>
        <w:ind w:firstLine="420"/>
      </w:pPr>
      <w:r>
        <w:rPr>
          <w:rFonts w:hint="eastAsia"/>
        </w:rPr>
        <w:t>应根据不同星级分层服务，零售终端分层分类服务见表1。</w:t>
      </w: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112"/>
        <w:spacing w:before="156" w:after="156"/>
      </w:pPr>
      <w:r>
        <w:rPr>
          <w:rFonts w:hint="eastAsia"/>
        </w:rPr>
        <w:t>零售终端分层分类服务表</w:t>
      </w:r>
    </w:p>
    <w:tbl>
      <w:tblPr>
        <w:tblStyle w:val="26"/>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1572"/>
        <w:gridCol w:w="913"/>
        <w:gridCol w:w="913"/>
        <w:gridCol w:w="913"/>
        <w:gridCol w:w="913"/>
        <w:gridCol w:w="914"/>
        <w:gridCol w:w="913"/>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1" w:type="dxa"/>
            <w:vMerge w:val="restart"/>
            <w:shd w:val="clear" w:color="auto" w:fill="auto"/>
            <w:vAlign w:val="center"/>
          </w:tcPr>
          <w:p>
            <w:pPr>
              <w:pStyle w:val="56"/>
              <w:ind w:firstLine="0" w:firstLineChars="0"/>
              <w:jc w:val="center"/>
            </w:pPr>
            <w:r>
              <w:rPr>
                <w:rFonts w:hint="eastAsia"/>
              </w:rPr>
              <w:t>分层分类服务项目</w:t>
            </w:r>
          </w:p>
        </w:tc>
        <w:tc>
          <w:tcPr>
            <w:tcW w:w="1572" w:type="dxa"/>
            <w:vMerge w:val="restart"/>
            <w:shd w:val="clear" w:color="auto" w:fill="auto"/>
            <w:vAlign w:val="center"/>
          </w:tcPr>
          <w:p>
            <w:pPr>
              <w:pStyle w:val="56"/>
              <w:ind w:firstLine="0" w:firstLineChars="0"/>
              <w:jc w:val="center"/>
            </w:pPr>
            <w:r>
              <w:rPr>
                <w:rFonts w:hint="eastAsia"/>
              </w:rPr>
              <w:t>分层分类服务细项</w:t>
            </w:r>
          </w:p>
        </w:tc>
        <w:tc>
          <w:tcPr>
            <w:tcW w:w="6121" w:type="dxa"/>
            <w:gridSpan w:val="7"/>
            <w:shd w:val="clear" w:color="auto" w:fill="auto"/>
            <w:vAlign w:val="center"/>
          </w:tcPr>
          <w:p>
            <w:pPr>
              <w:pStyle w:val="56"/>
              <w:ind w:firstLine="0" w:firstLineChars="0"/>
              <w:jc w:val="center"/>
            </w:pPr>
            <w:r>
              <w:rPr>
                <w:rFonts w:hint="eastAsia"/>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1" w:type="dxa"/>
            <w:vMerge w:val="continue"/>
            <w:shd w:val="clear" w:color="auto" w:fill="auto"/>
            <w:vAlign w:val="center"/>
          </w:tcPr>
          <w:p>
            <w:pPr>
              <w:pStyle w:val="56"/>
              <w:ind w:firstLine="420"/>
              <w:jc w:val="center"/>
            </w:pPr>
          </w:p>
        </w:tc>
        <w:tc>
          <w:tcPr>
            <w:tcW w:w="1572" w:type="dxa"/>
            <w:vMerge w:val="continue"/>
            <w:shd w:val="clear" w:color="auto" w:fill="auto"/>
            <w:vAlign w:val="center"/>
          </w:tcPr>
          <w:p>
            <w:pPr>
              <w:pStyle w:val="56"/>
              <w:ind w:firstLine="420"/>
              <w:jc w:val="center"/>
            </w:pPr>
          </w:p>
        </w:tc>
        <w:tc>
          <w:tcPr>
            <w:tcW w:w="4566" w:type="dxa"/>
            <w:gridSpan w:val="5"/>
            <w:shd w:val="clear" w:color="auto" w:fill="auto"/>
            <w:vAlign w:val="center"/>
          </w:tcPr>
          <w:p>
            <w:pPr>
              <w:pStyle w:val="56"/>
              <w:ind w:firstLine="0" w:firstLineChars="0"/>
              <w:jc w:val="center"/>
            </w:pPr>
            <w:r>
              <w:rPr>
                <w:rFonts w:hint="eastAsia"/>
              </w:rPr>
              <w:t>星级现代终端</w:t>
            </w:r>
          </w:p>
        </w:tc>
        <w:tc>
          <w:tcPr>
            <w:tcW w:w="913" w:type="dxa"/>
            <w:vMerge w:val="restart"/>
            <w:shd w:val="clear" w:color="auto" w:fill="auto"/>
            <w:vAlign w:val="center"/>
          </w:tcPr>
          <w:p>
            <w:pPr>
              <w:pStyle w:val="56"/>
              <w:ind w:firstLine="0" w:firstLineChars="0"/>
              <w:jc w:val="center"/>
            </w:pPr>
            <w:r>
              <w:rPr>
                <w:rFonts w:hint="eastAsia"/>
              </w:rPr>
              <w:t>普通零售终端</w:t>
            </w:r>
          </w:p>
        </w:tc>
        <w:tc>
          <w:tcPr>
            <w:tcW w:w="642" w:type="dxa"/>
            <w:vMerge w:val="restart"/>
            <w:shd w:val="clear" w:color="auto" w:fill="auto"/>
            <w:vAlign w:val="center"/>
          </w:tcPr>
          <w:p>
            <w:pPr>
              <w:pStyle w:val="56"/>
              <w:ind w:firstLine="0" w:firstLineChars="0"/>
              <w:jc w:val="center"/>
            </w:pPr>
            <w:r>
              <w:rPr>
                <w:rFonts w:hint="eastAsia"/>
              </w:rPr>
              <w:t>弱势群体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61" w:type="dxa"/>
            <w:vMerge w:val="continue"/>
            <w:shd w:val="clear" w:color="auto" w:fill="auto"/>
            <w:vAlign w:val="center"/>
          </w:tcPr>
          <w:p>
            <w:pPr>
              <w:pStyle w:val="56"/>
              <w:ind w:firstLine="420"/>
            </w:pPr>
          </w:p>
        </w:tc>
        <w:tc>
          <w:tcPr>
            <w:tcW w:w="1572" w:type="dxa"/>
            <w:vMerge w:val="continue"/>
            <w:shd w:val="clear" w:color="auto" w:fill="auto"/>
            <w:vAlign w:val="center"/>
          </w:tcPr>
          <w:p>
            <w:pPr>
              <w:pStyle w:val="56"/>
              <w:ind w:firstLine="420"/>
            </w:pPr>
          </w:p>
        </w:tc>
        <w:tc>
          <w:tcPr>
            <w:tcW w:w="913" w:type="dxa"/>
            <w:shd w:val="clear" w:color="auto" w:fill="auto"/>
            <w:vAlign w:val="center"/>
          </w:tcPr>
          <w:p>
            <w:pPr>
              <w:pStyle w:val="56"/>
              <w:ind w:firstLine="0" w:firstLineChars="0"/>
              <w:jc w:val="center"/>
            </w:pPr>
            <w:r>
              <w:rPr>
                <w:rFonts w:hint="eastAsia"/>
              </w:rPr>
              <w:t>一星</w:t>
            </w:r>
          </w:p>
        </w:tc>
        <w:tc>
          <w:tcPr>
            <w:tcW w:w="913" w:type="dxa"/>
            <w:shd w:val="clear" w:color="auto" w:fill="auto"/>
            <w:vAlign w:val="center"/>
          </w:tcPr>
          <w:p>
            <w:pPr>
              <w:pStyle w:val="56"/>
              <w:ind w:firstLine="0" w:firstLineChars="0"/>
              <w:jc w:val="center"/>
            </w:pPr>
            <w:r>
              <w:rPr>
                <w:rFonts w:hint="eastAsia"/>
              </w:rPr>
              <w:t>二星</w:t>
            </w:r>
          </w:p>
        </w:tc>
        <w:tc>
          <w:tcPr>
            <w:tcW w:w="913" w:type="dxa"/>
            <w:shd w:val="clear" w:color="auto" w:fill="auto"/>
            <w:vAlign w:val="center"/>
          </w:tcPr>
          <w:p>
            <w:pPr>
              <w:pStyle w:val="56"/>
              <w:ind w:firstLine="0" w:firstLineChars="0"/>
              <w:jc w:val="center"/>
            </w:pPr>
            <w:r>
              <w:rPr>
                <w:rFonts w:hint="eastAsia"/>
              </w:rPr>
              <w:t>三星</w:t>
            </w:r>
          </w:p>
        </w:tc>
        <w:tc>
          <w:tcPr>
            <w:tcW w:w="913" w:type="dxa"/>
            <w:shd w:val="clear" w:color="auto" w:fill="auto"/>
            <w:vAlign w:val="center"/>
          </w:tcPr>
          <w:p>
            <w:pPr>
              <w:pStyle w:val="56"/>
              <w:ind w:firstLine="0" w:firstLineChars="0"/>
              <w:jc w:val="center"/>
            </w:pPr>
            <w:r>
              <w:rPr>
                <w:rFonts w:hint="eastAsia"/>
              </w:rPr>
              <w:t>四星</w:t>
            </w:r>
          </w:p>
        </w:tc>
        <w:tc>
          <w:tcPr>
            <w:tcW w:w="914" w:type="dxa"/>
            <w:shd w:val="clear" w:color="auto" w:fill="auto"/>
            <w:vAlign w:val="center"/>
          </w:tcPr>
          <w:p>
            <w:pPr>
              <w:pStyle w:val="56"/>
              <w:ind w:firstLine="0" w:firstLineChars="0"/>
              <w:jc w:val="center"/>
            </w:pPr>
            <w:r>
              <w:rPr>
                <w:rFonts w:hint="eastAsia"/>
              </w:rPr>
              <w:t>五星</w:t>
            </w:r>
          </w:p>
        </w:tc>
        <w:tc>
          <w:tcPr>
            <w:tcW w:w="913" w:type="dxa"/>
            <w:vMerge w:val="continue"/>
            <w:shd w:val="clear" w:color="auto" w:fill="auto"/>
            <w:vAlign w:val="center"/>
          </w:tcPr>
          <w:p>
            <w:pPr>
              <w:pStyle w:val="56"/>
              <w:ind w:firstLine="420"/>
            </w:pPr>
          </w:p>
        </w:tc>
        <w:tc>
          <w:tcPr>
            <w:tcW w:w="642" w:type="dxa"/>
            <w:vMerge w:val="continue"/>
            <w:shd w:val="clear" w:color="auto" w:fill="auto"/>
            <w:vAlign w:val="center"/>
          </w:tcPr>
          <w:p>
            <w:pPr>
              <w:pStyle w:val="56"/>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961" w:type="dxa"/>
            <w:vMerge w:val="restart"/>
            <w:shd w:val="clear" w:color="auto" w:fill="auto"/>
            <w:vAlign w:val="center"/>
          </w:tcPr>
          <w:p>
            <w:pPr>
              <w:pStyle w:val="56"/>
              <w:ind w:firstLine="420"/>
              <w:jc w:val="center"/>
            </w:pPr>
            <w:r>
              <w:rPr>
                <w:rFonts w:hint="eastAsia"/>
              </w:rPr>
              <w:t>基础服务</w:t>
            </w:r>
          </w:p>
        </w:tc>
        <w:tc>
          <w:tcPr>
            <w:tcW w:w="1572" w:type="dxa"/>
            <w:shd w:val="clear" w:color="auto" w:fill="auto"/>
            <w:vAlign w:val="center"/>
          </w:tcPr>
          <w:p>
            <w:pPr>
              <w:pStyle w:val="56"/>
              <w:ind w:firstLine="0" w:firstLineChars="0"/>
              <w:jc w:val="center"/>
            </w:pPr>
            <w:r>
              <w:rPr>
                <w:rFonts w:hint="eastAsia"/>
              </w:rPr>
              <w:t>客户入网</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4"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642" w:type="dxa"/>
            <w:shd w:val="clear" w:color="auto" w:fill="auto"/>
            <w:vAlign w:val="center"/>
          </w:tcPr>
          <w:p>
            <w:pPr>
              <w:pStyle w:val="56"/>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卷烟订货结算</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4"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642" w:type="dxa"/>
            <w:shd w:val="clear" w:color="auto" w:fill="auto"/>
            <w:vAlign w:val="center"/>
          </w:tcPr>
          <w:p>
            <w:pPr>
              <w:pStyle w:val="56"/>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客户拜访</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4"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642" w:type="dxa"/>
            <w:shd w:val="clear" w:color="auto" w:fill="auto"/>
            <w:vAlign w:val="center"/>
          </w:tcPr>
          <w:p>
            <w:pPr>
              <w:pStyle w:val="56"/>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咨询反馈</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4"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642" w:type="dxa"/>
            <w:shd w:val="clear" w:color="auto" w:fill="auto"/>
            <w:vAlign w:val="center"/>
          </w:tcPr>
          <w:p>
            <w:pPr>
              <w:pStyle w:val="56"/>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货源供应</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4"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642" w:type="dxa"/>
            <w:shd w:val="clear" w:color="auto" w:fill="auto"/>
            <w:vAlign w:val="center"/>
          </w:tcPr>
          <w:p>
            <w:pPr>
              <w:pStyle w:val="56"/>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送/退/换货</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4"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642" w:type="dxa"/>
            <w:shd w:val="clear" w:color="auto" w:fill="auto"/>
            <w:vAlign w:val="center"/>
          </w:tcPr>
          <w:p>
            <w:pPr>
              <w:pStyle w:val="56"/>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客户培训</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4"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642" w:type="dxa"/>
            <w:shd w:val="clear" w:color="auto" w:fill="auto"/>
            <w:vAlign w:val="center"/>
          </w:tcPr>
          <w:p>
            <w:pPr>
              <w:pStyle w:val="56"/>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经营指导</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4"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642" w:type="dxa"/>
            <w:shd w:val="clear" w:color="auto" w:fill="auto"/>
            <w:vAlign w:val="center"/>
          </w:tcPr>
          <w:p>
            <w:pPr>
              <w:pStyle w:val="56"/>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961" w:type="dxa"/>
            <w:vMerge w:val="restart"/>
            <w:shd w:val="clear" w:color="auto" w:fill="auto"/>
            <w:vAlign w:val="center"/>
          </w:tcPr>
          <w:p>
            <w:pPr>
              <w:pStyle w:val="56"/>
              <w:ind w:firstLine="420"/>
              <w:jc w:val="center"/>
            </w:pPr>
            <w:r>
              <w:rPr>
                <w:rFonts w:hint="eastAsia"/>
              </w:rPr>
              <w:t>个性化服务</w:t>
            </w:r>
          </w:p>
        </w:tc>
        <w:tc>
          <w:tcPr>
            <w:tcW w:w="1572" w:type="dxa"/>
            <w:shd w:val="clear" w:color="auto" w:fill="auto"/>
            <w:vAlign w:val="center"/>
          </w:tcPr>
          <w:p>
            <w:pPr>
              <w:pStyle w:val="56"/>
              <w:ind w:firstLine="0" w:firstLineChars="0"/>
              <w:jc w:val="center"/>
            </w:pPr>
            <w:r>
              <w:rPr>
                <w:rFonts w:hint="eastAsia"/>
              </w:rPr>
              <w:t>形象改善</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4"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420"/>
              <w:jc w:val="center"/>
            </w:pPr>
          </w:p>
        </w:tc>
        <w:tc>
          <w:tcPr>
            <w:tcW w:w="642" w:type="dxa"/>
            <w:shd w:val="clear" w:color="auto" w:fill="auto"/>
            <w:vAlign w:val="center"/>
          </w:tcPr>
          <w:p>
            <w:pPr>
              <w:pStyle w:val="56"/>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培训指导</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4"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420"/>
              <w:jc w:val="center"/>
            </w:pPr>
          </w:p>
        </w:tc>
        <w:tc>
          <w:tcPr>
            <w:tcW w:w="642" w:type="dxa"/>
            <w:shd w:val="clear" w:color="auto" w:fill="auto"/>
            <w:vAlign w:val="center"/>
          </w:tcPr>
          <w:p>
            <w:pPr>
              <w:pStyle w:val="56"/>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数字服务</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4"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420"/>
              <w:jc w:val="center"/>
            </w:pPr>
          </w:p>
        </w:tc>
        <w:tc>
          <w:tcPr>
            <w:tcW w:w="642" w:type="dxa"/>
            <w:shd w:val="clear" w:color="auto" w:fill="auto"/>
            <w:vAlign w:val="center"/>
          </w:tcPr>
          <w:p>
            <w:pPr>
              <w:pStyle w:val="56"/>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会员管理</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4"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420"/>
              <w:jc w:val="center"/>
            </w:pPr>
          </w:p>
        </w:tc>
        <w:tc>
          <w:tcPr>
            <w:tcW w:w="642" w:type="dxa"/>
            <w:shd w:val="clear" w:color="auto" w:fill="auto"/>
            <w:vAlign w:val="center"/>
          </w:tcPr>
          <w:p>
            <w:pPr>
              <w:pStyle w:val="56"/>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资源整合</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4"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420"/>
              <w:jc w:val="center"/>
            </w:pPr>
          </w:p>
        </w:tc>
        <w:tc>
          <w:tcPr>
            <w:tcW w:w="642" w:type="dxa"/>
            <w:shd w:val="clear" w:color="auto" w:fill="auto"/>
            <w:vAlign w:val="center"/>
          </w:tcPr>
          <w:p>
            <w:pPr>
              <w:pStyle w:val="56"/>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传播矩阵</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0" w:firstLineChars="0"/>
              <w:jc w:val="center"/>
            </w:pPr>
            <w:r>
              <w:rPr>
                <w:rFonts w:hint="eastAsia"/>
              </w:rPr>
              <w:t>★</w:t>
            </w:r>
          </w:p>
        </w:tc>
        <w:tc>
          <w:tcPr>
            <w:tcW w:w="914" w:type="dxa"/>
            <w:shd w:val="clear" w:color="auto" w:fill="auto"/>
            <w:vAlign w:val="center"/>
          </w:tcPr>
          <w:p>
            <w:pPr>
              <w:pStyle w:val="56"/>
              <w:ind w:firstLine="0" w:firstLineChars="0"/>
              <w:jc w:val="center"/>
            </w:pPr>
            <w:r>
              <w:rPr>
                <w:rFonts w:hint="eastAsia"/>
              </w:rPr>
              <w:t>★</w:t>
            </w:r>
          </w:p>
        </w:tc>
        <w:tc>
          <w:tcPr>
            <w:tcW w:w="913" w:type="dxa"/>
            <w:shd w:val="clear" w:color="auto" w:fill="auto"/>
            <w:vAlign w:val="center"/>
          </w:tcPr>
          <w:p>
            <w:pPr>
              <w:pStyle w:val="56"/>
              <w:ind w:firstLine="420"/>
              <w:jc w:val="center"/>
            </w:pPr>
          </w:p>
        </w:tc>
        <w:tc>
          <w:tcPr>
            <w:tcW w:w="642" w:type="dxa"/>
            <w:shd w:val="clear" w:color="auto" w:fill="auto"/>
            <w:vAlign w:val="center"/>
          </w:tcPr>
          <w:p>
            <w:pPr>
              <w:pStyle w:val="56"/>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1" w:type="dxa"/>
            <w:vMerge w:val="restart"/>
            <w:shd w:val="clear" w:color="auto" w:fill="auto"/>
            <w:vAlign w:val="center"/>
          </w:tcPr>
          <w:p>
            <w:pPr>
              <w:pStyle w:val="56"/>
              <w:ind w:firstLine="420"/>
              <w:jc w:val="center"/>
            </w:pPr>
            <w:r>
              <w:rPr>
                <w:rFonts w:hint="eastAsia"/>
              </w:rPr>
              <w:t>特色服务</w:t>
            </w:r>
          </w:p>
        </w:tc>
        <w:tc>
          <w:tcPr>
            <w:tcW w:w="1572" w:type="dxa"/>
            <w:shd w:val="clear" w:color="auto" w:fill="auto"/>
            <w:vAlign w:val="center"/>
          </w:tcPr>
          <w:p>
            <w:pPr>
              <w:pStyle w:val="56"/>
              <w:ind w:firstLine="0" w:firstLineChars="0"/>
              <w:jc w:val="center"/>
            </w:pPr>
            <w:r>
              <w:rPr>
                <w:rFonts w:hint="eastAsia"/>
              </w:rPr>
              <w:t>情感维系</w:t>
            </w:r>
          </w:p>
        </w:tc>
        <w:tc>
          <w:tcPr>
            <w:tcW w:w="913" w:type="dxa"/>
            <w:shd w:val="clear" w:color="auto" w:fill="auto"/>
            <w:vAlign w:val="center"/>
          </w:tcPr>
          <w:p>
            <w:pPr>
              <w:pStyle w:val="56"/>
              <w:ind w:firstLine="420"/>
              <w:jc w:val="center"/>
            </w:pPr>
          </w:p>
        </w:tc>
        <w:tc>
          <w:tcPr>
            <w:tcW w:w="913" w:type="dxa"/>
            <w:shd w:val="clear" w:color="auto" w:fill="auto"/>
            <w:vAlign w:val="center"/>
          </w:tcPr>
          <w:p>
            <w:pPr>
              <w:pStyle w:val="56"/>
              <w:ind w:firstLine="420"/>
              <w:jc w:val="center"/>
            </w:pPr>
          </w:p>
        </w:tc>
        <w:tc>
          <w:tcPr>
            <w:tcW w:w="913" w:type="dxa"/>
            <w:shd w:val="clear" w:color="auto" w:fill="auto"/>
            <w:vAlign w:val="center"/>
          </w:tcPr>
          <w:p>
            <w:pPr>
              <w:pStyle w:val="56"/>
              <w:ind w:firstLine="420"/>
              <w:jc w:val="center"/>
            </w:pPr>
          </w:p>
        </w:tc>
        <w:tc>
          <w:tcPr>
            <w:tcW w:w="913" w:type="dxa"/>
            <w:shd w:val="clear" w:color="auto" w:fill="auto"/>
            <w:vAlign w:val="center"/>
          </w:tcPr>
          <w:p>
            <w:pPr>
              <w:pStyle w:val="56"/>
              <w:ind w:firstLine="420"/>
              <w:jc w:val="center"/>
            </w:pPr>
          </w:p>
        </w:tc>
        <w:tc>
          <w:tcPr>
            <w:tcW w:w="914" w:type="dxa"/>
            <w:shd w:val="clear" w:color="auto" w:fill="auto"/>
            <w:vAlign w:val="center"/>
          </w:tcPr>
          <w:p>
            <w:pPr>
              <w:pStyle w:val="56"/>
              <w:ind w:firstLine="420"/>
              <w:jc w:val="center"/>
            </w:pPr>
          </w:p>
        </w:tc>
        <w:tc>
          <w:tcPr>
            <w:tcW w:w="913" w:type="dxa"/>
            <w:shd w:val="clear" w:color="auto" w:fill="auto"/>
            <w:vAlign w:val="center"/>
          </w:tcPr>
          <w:p>
            <w:pPr>
              <w:pStyle w:val="56"/>
              <w:ind w:firstLine="0" w:firstLineChars="0"/>
              <w:jc w:val="center"/>
            </w:pPr>
            <w:r>
              <w:rPr>
                <w:rFonts w:hint="eastAsia"/>
              </w:rPr>
              <w:t>☆</w:t>
            </w:r>
          </w:p>
        </w:tc>
        <w:tc>
          <w:tcPr>
            <w:tcW w:w="642" w:type="dxa"/>
            <w:shd w:val="clear" w:color="auto" w:fill="auto"/>
            <w:vAlign w:val="center"/>
          </w:tcPr>
          <w:p>
            <w:pPr>
              <w:pStyle w:val="56"/>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货源供应</w:t>
            </w:r>
          </w:p>
        </w:tc>
        <w:tc>
          <w:tcPr>
            <w:tcW w:w="913" w:type="dxa"/>
            <w:shd w:val="clear" w:color="auto" w:fill="auto"/>
            <w:vAlign w:val="center"/>
          </w:tcPr>
          <w:p>
            <w:pPr>
              <w:pStyle w:val="56"/>
              <w:ind w:firstLine="420"/>
              <w:jc w:val="center"/>
            </w:pPr>
          </w:p>
        </w:tc>
        <w:tc>
          <w:tcPr>
            <w:tcW w:w="913" w:type="dxa"/>
            <w:shd w:val="clear" w:color="auto" w:fill="auto"/>
            <w:vAlign w:val="center"/>
          </w:tcPr>
          <w:p>
            <w:pPr>
              <w:pStyle w:val="56"/>
              <w:ind w:firstLine="420"/>
              <w:jc w:val="center"/>
            </w:pPr>
          </w:p>
        </w:tc>
        <w:tc>
          <w:tcPr>
            <w:tcW w:w="913" w:type="dxa"/>
            <w:shd w:val="clear" w:color="auto" w:fill="auto"/>
            <w:vAlign w:val="center"/>
          </w:tcPr>
          <w:p>
            <w:pPr>
              <w:pStyle w:val="56"/>
              <w:ind w:firstLine="420"/>
              <w:jc w:val="center"/>
            </w:pPr>
          </w:p>
        </w:tc>
        <w:tc>
          <w:tcPr>
            <w:tcW w:w="913" w:type="dxa"/>
            <w:shd w:val="clear" w:color="auto" w:fill="auto"/>
            <w:vAlign w:val="center"/>
          </w:tcPr>
          <w:p>
            <w:pPr>
              <w:pStyle w:val="56"/>
              <w:ind w:firstLine="420"/>
              <w:jc w:val="center"/>
            </w:pPr>
          </w:p>
        </w:tc>
        <w:tc>
          <w:tcPr>
            <w:tcW w:w="914" w:type="dxa"/>
            <w:shd w:val="clear" w:color="auto" w:fill="auto"/>
            <w:vAlign w:val="center"/>
          </w:tcPr>
          <w:p>
            <w:pPr>
              <w:pStyle w:val="56"/>
              <w:ind w:firstLine="420"/>
              <w:jc w:val="center"/>
            </w:pPr>
          </w:p>
        </w:tc>
        <w:tc>
          <w:tcPr>
            <w:tcW w:w="913" w:type="dxa"/>
            <w:shd w:val="clear" w:color="auto" w:fill="auto"/>
            <w:vAlign w:val="center"/>
          </w:tcPr>
          <w:p>
            <w:pPr>
              <w:pStyle w:val="56"/>
              <w:ind w:firstLine="0" w:firstLineChars="0"/>
              <w:jc w:val="center"/>
            </w:pPr>
            <w:r>
              <w:rPr>
                <w:rFonts w:hint="eastAsia"/>
              </w:rPr>
              <w:t>☆</w:t>
            </w:r>
          </w:p>
        </w:tc>
        <w:tc>
          <w:tcPr>
            <w:tcW w:w="642" w:type="dxa"/>
            <w:shd w:val="clear" w:color="auto" w:fill="auto"/>
            <w:vAlign w:val="center"/>
          </w:tcPr>
          <w:p>
            <w:pPr>
              <w:pStyle w:val="56"/>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爱心帮扶</w:t>
            </w:r>
          </w:p>
        </w:tc>
        <w:tc>
          <w:tcPr>
            <w:tcW w:w="913" w:type="dxa"/>
            <w:shd w:val="clear" w:color="auto" w:fill="auto"/>
            <w:vAlign w:val="center"/>
          </w:tcPr>
          <w:p>
            <w:pPr>
              <w:pStyle w:val="56"/>
              <w:ind w:firstLine="420"/>
              <w:jc w:val="center"/>
            </w:pPr>
          </w:p>
        </w:tc>
        <w:tc>
          <w:tcPr>
            <w:tcW w:w="913" w:type="dxa"/>
            <w:shd w:val="clear" w:color="auto" w:fill="auto"/>
            <w:vAlign w:val="center"/>
          </w:tcPr>
          <w:p>
            <w:pPr>
              <w:pStyle w:val="56"/>
              <w:ind w:firstLine="420"/>
              <w:jc w:val="center"/>
            </w:pPr>
          </w:p>
        </w:tc>
        <w:tc>
          <w:tcPr>
            <w:tcW w:w="913" w:type="dxa"/>
            <w:shd w:val="clear" w:color="auto" w:fill="auto"/>
            <w:vAlign w:val="center"/>
          </w:tcPr>
          <w:p>
            <w:pPr>
              <w:pStyle w:val="56"/>
              <w:ind w:firstLine="420"/>
              <w:jc w:val="center"/>
            </w:pPr>
          </w:p>
        </w:tc>
        <w:tc>
          <w:tcPr>
            <w:tcW w:w="913" w:type="dxa"/>
            <w:shd w:val="clear" w:color="auto" w:fill="auto"/>
            <w:vAlign w:val="center"/>
          </w:tcPr>
          <w:p>
            <w:pPr>
              <w:pStyle w:val="56"/>
              <w:ind w:firstLine="420"/>
              <w:jc w:val="center"/>
            </w:pPr>
          </w:p>
        </w:tc>
        <w:tc>
          <w:tcPr>
            <w:tcW w:w="914" w:type="dxa"/>
            <w:shd w:val="clear" w:color="auto" w:fill="auto"/>
            <w:vAlign w:val="center"/>
          </w:tcPr>
          <w:p>
            <w:pPr>
              <w:pStyle w:val="56"/>
              <w:ind w:firstLine="420"/>
              <w:jc w:val="center"/>
            </w:pPr>
          </w:p>
        </w:tc>
        <w:tc>
          <w:tcPr>
            <w:tcW w:w="913" w:type="dxa"/>
            <w:shd w:val="clear" w:color="auto" w:fill="auto"/>
            <w:vAlign w:val="center"/>
          </w:tcPr>
          <w:p>
            <w:pPr>
              <w:pStyle w:val="56"/>
              <w:ind w:firstLine="0" w:firstLineChars="0"/>
              <w:jc w:val="center"/>
            </w:pPr>
            <w:r>
              <w:rPr>
                <w:rFonts w:hint="eastAsia"/>
              </w:rPr>
              <w:t>☆</w:t>
            </w:r>
          </w:p>
        </w:tc>
        <w:tc>
          <w:tcPr>
            <w:tcW w:w="642" w:type="dxa"/>
            <w:shd w:val="clear" w:color="auto" w:fill="auto"/>
            <w:vAlign w:val="center"/>
          </w:tcPr>
          <w:p>
            <w:pPr>
              <w:pStyle w:val="56"/>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送课下乡</w:t>
            </w:r>
          </w:p>
        </w:tc>
        <w:tc>
          <w:tcPr>
            <w:tcW w:w="913" w:type="dxa"/>
            <w:shd w:val="clear" w:color="auto" w:fill="auto"/>
            <w:vAlign w:val="center"/>
          </w:tcPr>
          <w:p>
            <w:pPr>
              <w:pStyle w:val="56"/>
              <w:ind w:firstLine="420"/>
              <w:jc w:val="center"/>
            </w:pPr>
          </w:p>
        </w:tc>
        <w:tc>
          <w:tcPr>
            <w:tcW w:w="913" w:type="dxa"/>
            <w:shd w:val="clear" w:color="auto" w:fill="auto"/>
            <w:vAlign w:val="center"/>
          </w:tcPr>
          <w:p>
            <w:pPr>
              <w:pStyle w:val="56"/>
              <w:ind w:firstLine="420"/>
              <w:jc w:val="center"/>
            </w:pPr>
          </w:p>
        </w:tc>
        <w:tc>
          <w:tcPr>
            <w:tcW w:w="913" w:type="dxa"/>
            <w:shd w:val="clear" w:color="auto" w:fill="auto"/>
            <w:vAlign w:val="center"/>
          </w:tcPr>
          <w:p>
            <w:pPr>
              <w:pStyle w:val="56"/>
              <w:ind w:firstLine="420"/>
              <w:jc w:val="center"/>
            </w:pPr>
          </w:p>
        </w:tc>
        <w:tc>
          <w:tcPr>
            <w:tcW w:w="913" w:type="dxa"/>
            <w:shd w:val="clear" w:color="auto" w:fill="auto"/>
            <w:vAlign w:val="center"/>
          </w:tcPr>
          <w:p>
            <w:pPr>
              <w:pStyle w:val="56"/>
              <w:ind w:firstLine="420"/>
              <w:jc w:val="center"/>
            </w:pPr>
          </w:p>
        </w:tc>
        <w:tc>
          <w:tcPr>
            <w:tcW w:w="914" w:type="dxa"/>
            <w:shd w:val="clear" w:color="auto" w:fill="auto"/>
            <w:vAlign w:val="center"/>
          </w:tcPr>
          <w:p>
            <w:pPr>
              <w:pStyle w:val="56"/>
              <w:ind w:firstLine="420"/>
              <w:jc w:val="center"/>
            </w:pPr>
          </w:p>
        </w:tc>
        <w:tc>
          <w:tcPr>
            <w:tcW w:w="913" w:type="dxa"/>
            <w:shd w:val="clear" w:color="auto" w:fill="auto"/>
            <w:vAlign w:val="center"/>
          </w:tcPr>
          <w:p>
            <w:pPr>
              <w:pStyle w:val="56"/>
              <w:ind w:firstLine="0" w:firstLineChars="0"/>
              <w:jc w:val="center"/>
            </w:pPr>
            <w:r>
              <w:rPr>
                <w:rFonts w:hint="eastAsia"/>
              </w:rPr>
              <w:t>☆</w:t>
            </w:r>
          </w:p>
        </w:tc>
        <w:tc>
          <w:tcPr>
            <w:tcW w:w="642" w:type="dxa"/>
            <w:shd w:val="clear" w:color="auto" w:fill="auto"/>
            <w:vAlign w:val="center"/>
          </w:tcPr>
          <w:p>
            <w:pPr>
              <w:pStyle w:val="56"/>
              <w:ind w:firstLine="0" w:firstLineChars="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61" w:type="dxa"/>
            <w:vMerge w:val="continue"/>
            <w:shd w:val="clear" w:color="auto" w:fill="auto"/>
            <w:vAlign w:val="center"/>
          </w:tcPr>
          <w:p>
            <w:pPr>
              <w:pStyle w:val="56"/>
              <w:ind w:firstLine="420"/>
              <w:jc w:val="center"/>
            </w:pPr>
          </w:p>
        </w:tc>
        <w:tc>
          <w:tcPr>
            <w:tcW w:w="1572" w:type="dxa"/>
            <w:shd w:val="clear" w:color="auto" w:fill="auto"/>
            <w:vAlign w:val="center"/>
          </w:tcPr>
          <w:p>
            <w:pPr>
              <w:pStyle w:val="56"/>
              <w:ind w:firstLine="0" w:firstLineChars="0"/>
              <w:jc w:val="center"/>
            </w:pPr>
            <w:r>
              <w:rPr>
                <w:rFonts w:hint="eastAsia"/>
              </w:rPr>
              <w:t>法律咨询</w:t>
            </w:r>
          </w:p>
        </w:tc>
        <w:tc>
          <w:tcPr>
            <w:tcW w:w="913" w:type="dxa"/>
            <w:shd w:val="clear" w:color="auto" w:fill="auto"/>
            <w:vAlign w:val="center"/>
          </w:tcPr>
          <w:p>
            <w:pPr>
              <w:pStyle w:val="56"/>
              <w:ind w:firstLine="420"/>
              <w:jc w:val="center"/>
            </w:pPr>
          </w:p>
        </w:tc>
        <w:tc>
          <w:tcPr>
            <w:tcW w:w="913" w:type="dxa"/>
            <w:shd w:val="clear" w:color="auto" w:fill="auto"/>
            <w:vAlign w:val="center"/>
          </w:tcPr>
          <w:p>
            <w:pPr>
              <w:pStyle w:val="56"/>
              <w:ind w:firstLine="420"/>
              <w:jc w:val="center"/>
            </w:pPr>
          </w:p>
        </w:tc>
        <w:tc>
          <w:tcPr>
            <w:tcW w:w="913" w:type="dxa"/>
            <w:shd w:val="clear" w:color="auto" w:fill="auto"/>
            <w:vAlign w:val="center"/>
          </w:tcPr>
          <w:p>
            <w:pPr>
              <w:pStyle w:val="56"/>
              <w:ind w:firstLine="420"/>
              <w:jc w:val="center"/>
            </w:pPr>
          </w:p>
        </w:tc>
        <w:tc>
          <w:tcPr>
            <w:tcW w:w="913" w:type="dxa"/>
            <w:shd w:val="clear" w:color="auto" w:fill="auto"/>
            <w:vAlign w:val="center"/>
          </w:tcPr>
          <w:p>
            <w:pPr>
              <w:pStyle w:val="56"/>
              <w:ind w:firstLine="420"/>
              <w:jc w:val="center"/>
            </w:pPr>
          </w:p>
        </w:tc>
        <w:tc>
          <w:tcPr>
            <w:tcW w:w="914" w:type="dxa"/>
            <w:shd w:val="clear" w:color="auto" w:fill="auto"/>
            <w:vAlign w:val="center"/>
          </w:tcPr>
          <w:p>
            <w:pPr>
              <w:pStyle w:val="56"/>
              <w:ind w:firstLine="420"/>
              <w:jc w:val="center"/>
            </w:pPr>
          </w:p>
        </w:tc>
        <w:tc>
          <w:tcPr>
            <w:tcW w:w="913" w:type="dxa"/>
            <w:shd w:val="clear" w:color="auto" w:fill="auto"/>
            <w:vAlign w:val="center"/>
          </w:tcPr>
          <w:p>
            <w:pPr>
              <w:pStyle w:val="56"/>
              <w:ind w:firstLine="0" w:firstLineChars="0"/>
              <w:jc w:val="center"/>
            </w:pPr>
            <w:r>
              <w:rPr>
                <w:rFonts w:hint="eastAsia"/>
              </w:rPr>
              <w:t>☆</w:t>
            </w:r>
          </w:p>
        </w:tc>
        <w:tc>
          <w:tcPr>
            <w:tcW w:w="642" w:type="dxa"/>
            <w:shd w:val="clear" w:color="auto" w:fill="auto"/>
            <w:vAlign w:val="center"/>
          </w:tcPr>
          <w:p>
            <w:pPr>
              <w:pStyle w:val="56"/>
              <w:ind w:firstLine="0" w:firstLineChars="0"/>
              <w:jc w:val="center"/>
            </w:pPr>
            <w:r>
              <w:rPr>
                <w:rFonts w:hint="eastAsia"/>
              </w:rPr>
              <w:t>★</w:t>
            </w:r>
          </w:p>
        </w:tc>
      </w:tr>
    </w:tbl>
    <w:p>
      <w:pPr>
        <w:pStyle w:val="104"/>
        <w:spacing w:before="312" w:after="312"/>
      </w:pPr>
      <w:bookmarkStart w:id="66" w:name="_Toc99631204"/>
      <w:bookmarkStart w:id="67" w:name="_Toc99629590"/>
      <w:bookmarkStart w:id="68" w:name="_Toc99629578"/>
      <w:bookmarkStart w:id="69" w:name="_Toc99631924"/>
      <w:r>
        <w:rPr>
          <w:rFonts w:hint="eastAsia"/>
        </w:rPr>
        <w:t>基础服务</w:t>
      </w:r>
      <w:bookmarkEnd w:id="66"/>
      <w:bookmarkEnd w:id="67"/>
      <w:bookmarkEnd w:id="68"/>
      <w:bookmarkEnd w:id="69"/>
    </w:p>
    <w:p>
      <w:pPr>
        <w:pStyle w:val="105"/>
        <w:spacing w:before="156" w:after="156"/>
      </w:pPr>
      <w:bookmarkStart w:id="70" w:name="_Toc99631925"/>
      <w:bookmarkStart w:id="71" w:name="_Toc99629591"/>
      <w:bookmarkStart w:id="72" w:name="_Toc99631205"/>
      <w:r>
        <w:rPr>
          <w:rFonts w:hint="eastAsia"/>
        </w:rPr>
        <w:t>客户入网</w:t>
      </w:r>
      <w:bookmarkEnd w:id="70"/>
      <w:bookmarkEnd w:id="71"/>
      <w:bookmarkEnd w:id="72"/>
    </w:p>
    <w:p>
      <w:pPr>
        <w:pStyle w:val="65"/>
        <w:spacing w:before="156" w:after="156"/>
      </w:pPr>
      <w:r>
        <w:rPr>
          <w:rFonts w:hint="eastAsia"/>
        </w:rPr>
        <w:t>客户接入</w:t>
      </w:r>
    </w:p>
    <w:p>
      <w:pPr>
        <w:pStyle w:val="164"/>
      </w:pPr>
      <w:r>
        <w:rPr>
          <w:rFonts w:hint="eastAsia"/>
        </w:rPr>
        <w:t>市场经理在卷烟营销平台接收到新入网客户信息后，应在5个工作日内分配给客户经理。</w:t>
      </w:r>
    </w:p>
    <w:p>
      <w:pPr>
        <w:pStyle w:val="164"/>
      </w:pPr>
      <w:r>
        <w:rPr>
          <w:rFonts w:hint="eastAsia"/>
        </w:rPr>
        <w:t>客户经理应在5个工作日内以电话或实地通知客户携带相关资料、绑定银行卡等，办理入网手续。</w:t>
      </w:r>
    </w:p>
    <w:p>
      <w:pPr>
        <w:pStyle w:val="65"/>
        <w:spacing w:before="156" w:after="156"/>
      </w:pPr>
      <w:r>
        <w:rPr>
          <w:rFonts w:hint="eastAsia"/>
        </w:rPr>
        <w:t>信息维护</w:t>
      </w:r>
    </w:p>
    <w:p>
      <w:pPr>
        <w:pStyle w:val="164"/>
      </w:pPr>
      <w:r>
        <w:rPr>
          <w:rFonts w:hint="eastAsia"/>
        </w:rPr>
        <w:t>客户入网后，应关注客户经营信息变化情况并予以及时维护更新客户基础信息，确保信息的及时性、准确性。</w:t>
      </w:r>
    </w:p>
    <w:p>
      <w:pPr>
        <w:pStyle w:val="164"/>
      </w:pPr>
      <w:r>
        <w:rPr>
          <w:rFonts w:hint="eastAsia"/>
        </w:rPr>
        <w:t>营销人员宜询问客户卷烟经营相关的情况，包括具体地理位置、店内实际经营人员及网络操作能力等。</w:t>
      </w:r>
    </w:p>
    <w:p>
      <w:pPr>
        <w:pStyle w:val="164"/>
      </w:pPr>
      <w:r>
        <w:rPr>
          <w:rFonts w:hint="eastAsia"/>
        </w:rPr>
        <w:t>应及时在卷烟营销平台维护客户基础信息，包括但不限于：</w:t>
      </w:r>
    </w:p>
    <w:p>
      <w:pPr>
        <w:pStyle w:val="174"/>
        <w:numPr>
          <w:ilvl w:val="0"/>
          <w:numId w:val="32"/>
        </w:numPr>
      </w:pPr>
      <w:r>
        <w:rPr>
          <w:rFonts w:hint="eastAsia"/>
        </w:rPr>
        <w:t>订货方式；</w:t>
      </w:r>
    </w:p>
    <w:p>
      <w:pPr>
        <w:pStyle w:val="174"/>
      </w:pPr>
      <w:r>
        <w:rPr>
          <w:rFonts w:hint="eastAsia"/>
        </w:rPr>
        <w:t>访销批次；</w:t>
      </w:r>
    </w:p>
    <w:p>
      <w:pPr>
        <w:pStyle w:val="174"/>
      </w:pPr>
      <w:r>
        <w:rPr>
          <w:rFonts w:hint="eastAsia"/>
        </w:rPr>
        <w:t>订货频次；</w:t>
      </w:r>
    </w:p>
    <w:p>
      <w:pPr>
        <w:pStyle w:val="174"/>
      </w:pPr>
      <w:r>
        <w:rPr>
          <w:rFonts w:hint="eastAsia"/>
        </w:rPr>
        <w:t>结算方式；</w:t>
      </w:r>
    </w:p>
    <w:p>
      <w:pPr>
        <w:pStyle w:val="174"/>
      </w:pPr>
      <w:r>
        <w:rPr>
          <w:rFonts w:hint="eastAsia"/>
        </w:rPr>
        <w:t>配送线路；</w:t>
      </w:r>
    </w:p>
    <w:p>
      <w:pPr>
        <w:pStyle w:val="174"/>
      </w:pPr>
      <w:r>
        <w:rPr>
          <w:rFonts w:hint="eastAsia"/>
        </w:rPr>
        <w:t>网上支付。</w:t>
      </w:r>
    </w:p>
    <w:p>
      <w:pPr>
        <w:pStyle w:val="164"/>
      </w:pPr>
      <w:r>
        <w:rPr>
          <w:rFonts w:hint="eastAsia"/>
        </w:rPr>
        <w:t>应及时维护“营销市场类型”、“终端类型”等客户标签信息。</w:t>
      </w:r>
    </w:p>
    <w:p>
      <w:pPr>
        <w:pStyle w:val="65"/>
        <w:spacing w:before="156" w:after="156"/>
      </w:pPr>
      <w:r>
        <w:rPr>
          <w:rFonts w:hint="eastAsia"/>
        </w:rPr>
        <w:t>入网培训</w:t>
      </w:r>
    </w:p>
    <w:p>
      <w:pPr>
        <w:pStyle w:val="56"/>
        <w:ind w:firstLine="420"/>
      </w:pPr>
      <w:r>
        <w:rPr>
          <w:rFonts w:hint="eastAsia"/>
        </w:rPr>
        <w:t>入网培训应按《农村卷烟营销网络 第</w:t>
      </w:r>
      <w:r>
        <w:t>7</w:t>
      </w:r>
      <w:r>
        <w:rPr>
          <w:rFonts w:hint="eastAsia"/>
        </w:rPr>
        <w:t>部分：零售客户培训指南》有关规定执行。</w:t>
      </w:r>
    </w:p>
    <w:p>
      <w:pPr>
        <w:pStyle w:val="65"/>
        <w:spacing w:before="156" w:after="156"/>
      </w:pPr>
      <w:r>
        <w:rPr>
          <w:rFonts w:hint="eastAsia"/>
        </w:rPr>
        <w:t>物料发放</w:t>
      </w:r>
    </w:p>
    <w:p>
      <w:pPr>
        <w:pStyle w:val="56"/>
        <w:ind w:firstLine="420"/>
      </w:pPr>
      <w:r>
        <w:rPr>
          <w:rFonts w:hint="eastAsia"/>
        </w:rPr>
        <w:t>客户入网后，应向零售客户发放明码标价签、明码标价盒、卷烟零售客户服务指南、相关政策宣传册等物料。</w:t>
      </w:r>
    </w:p>
    <w:p>
      <w:pPr>
        <w:pStyle w:val="105"/>
        <w:spacing w:before="156" w:after="156"/>
      </w:pPr>
      <w:bookmarkStart w:id="73" w:name="_Toc99631926"/>
      <w:bookmarkStart w:id="74" w:name="_Toc99631206"/>
      <w:bookmarkStart w:id="75" w:name="_Toc99629592"/>
      <w:r>
        <w:rPr>
          <w:rFonts w:hint="eastAsia"/>
        </w:rPr>
        <w:t>卷烟订货结算服务</w:t>
      </w:r>
      <w:bookmarkEnd w:id="73"/>
      <w:bookmarkEnd w:id="74"/>
      <w:bookmarkEnd w:id="75"/>
    </w:p>
    <w:p>
      <w:pPr>
        <w:pStyle w:val="65"/>
        <w:spacing w:before="156" w:after="156"/>
      </w:pPr>
      <w:r>
        <w:rPr>
          <w:rFonts w:hint="eastAsia"/>
        </w:rPr>
        <w:t>电话订货</w:t>
      </w:r>
    </w:p>
    <w:p>
      <w:pPr>
        <w:pStyle w:val="56"/>
        <w:ind w:firstLine="420"/>
      </w:pPr>
      <w:r>
        <w:rPr>
          <w:rFonts w:hint="eastAsia"/>
        </w:rPr>
        <w:t>电话订货服务应符合以下要求：</w:t>
      </w:r>
    </w:p>
    <w:p>
      <w:pPr>
        <w:pStyle w:val="174"/>
        <w:numPr>
          <w:ilvl w:val="0"/>
          <w:numId w:val="33"/>
        </w:numPr>
      </w:pPr>
      <w:r>
        <w:rPr>
          <w:rFonts w:hint="eastAsia"/>
        </w:rPr>
        <w:t xml:space="preserve">电访准备：电话访销员在订货前应做好相关准备工作，如确认电脑、电话等设备处于正常状态； </w:t>
      </w:r>
    </w:p>
    <w:p>
      <w:pPr>
        <w:pStyle w:val="174"/>
      </w:pPr>
      <w:r>
        <w:rPr>
          <w:rFonts w:hint="eastAsia"/>
        </w:rPr>
        <w:t>拨打电话：根据客户的拨打周期和卷烟零售客户信息，使用普通话拨打电话给本周期电话订货客户；</w:t>
      </w:r>
    </w:p>
    <w:p>
      <w:pPr>
        <w:pStyle w:val="174"/>
      </w:pPr>
      <w:r>
        <w:rPr>
          <w:rFonts w:hint="eastAsia"/>
        </w:rPr>
        <w:t>记录客户需求：电话访销员将卷烟零售客户提报的需求品牌（规格）和数量录入信息系统，告知客户系统自动核定的投放量。</w:t>
      </w:r>
    </w:p>
    <w:p>
      <w:pPr>
        <w:pStyle w:val="174"/>
      </w:pPr>
      <w:r>
        <w:rPr>
          <w:rFonts w:hint="eastAsia"/>
        </w:rPr>
        <w:t>核对需求：在订单生成前，电访员应向客户核实所需的品规、数量和金额，订单核对完毕后生成订单；</w:t>
      </w:r>
    </w:p>
    <w:p>
      <w:pPr>
        <w:pStyle w:val="174"/>
      </w:pPr>
      <w:r>
        <w:rPr>
          <w:rFonts w:hint="eastAsia"/>
        </w:rPr>
        <w:t>致谢：电话订货员向客户致谢，结束通话。</w:t>
      </w:r>
    </w:p>
    <w:p>
      <w:pPr>
        <w:pStyle w:val="65"/>
        <w:spacing w:before="156" w:after="156"/>
      </w:pPr>
      <w:r>
        <w:rPr>
          <w:rFonts w:hint="eastAsia"/>
        </w:rPr>
        <w:t>网上订货</w:t>
      </w:r>
    </w:p>
    <w:p>
      <w:pPr>
        <w:pStyle w:val="56"/>
        <w:ind w:firstLine="420"/>
      </w:pPr>
      <w:r>
        <w:rPr>
          <w:rFonts w:hint="eastAsia"/>
        </w:rPr>
        <w:t>网上订货服务应符合以下要求：</w:t>
      </w:r>
    </w:p>
    <w:p>
      <w:pPr>
        <w:pStyle w:val="174"/>
        <w:numPr>
          <w:ilvl w:val="0"/>
          <w:numId w:val="34"/>
        </w:numPr>
      </w:pPr>
      <w:r>
        <w:rPr>
          <w:rFonts w:hint="eastAsia"/>
        </w:rPr>
        <w:t>制定货源策略并货源公示：市州公司营销中心及时将下周卷烟销售策略公示至网上订货系统；</w:t>
      </w:r>
    </w:p>
    <w:p>
      <w:pPr>
        <w:pStyle w:val="174"/>
      </w:pPr>
      <w:r>
        <w:rPr>
          <w:rFonts w:hint="eastAsia"/>
        </w:rPr>
        <w:t>同步货源及客户信息：商业企业及时将营销平台的货源投放数据同步至网上订货平台，并将所有网订客户相关数据予以同步；</w:t>
      </w:r>
    </w:p>
    <w:p>
      <w:pPr>
        <w:pStyle w:val="174"/>
      </w:pPr>
      <w:r>
        <w:rPr>
          <w:rFonts w:hint="eastAsia"/>
        </w:rPr>
        <w:t xml:space="preserve">设置网订开始及结束时间：市州公司营销中心设置网订开始及结束时间； </w:t>
      </w:r>
    </w:p>
    <w:p>
      <w:pPr>
        <w:pStyle w:val="174"/>
      </w:pPr>
      <w:r>
        <w:rPr>
          <w:rFonts w:hint="eastAsia"/>
        </w:rPr>
        <w:t>订购并提交卷烟订单：指导卷烟零售客户查看本周期货源信息，选择品牌规格，录入需求数量；</w:t>
      </w:r>
    </w:p>
    <w:p>
      <w:pPr>
        <w:pStyle w:val="174"/>
      </w:pPr>
      <w:r>
        <w:rPr>
          <w:rFonts w:hint="eastAsia"/>
        </w:rPr>
        <w:t>订单审核并结转：网订时间结束后，市州公司营销中心对所有订单予以对账、确认、审核结转。</w:t>
      </w:r>
    </w:p>
    <w:p>
      <w:pPr>
        <w:pStyle w:val="65"/>
        <w:spacing w:before="156" w:after="156"/>
      </w:pPr>
      <w:r>
        <w:rPr>
          <w:rFonts w:hint="eastAsia"/>
        </w:rPr>
        <w:t>商零网上配货</w:t>
      </w:r>
    </w:p>
    <w:p>
      <w:pPr>
        <w:pStyle w:val="56"/>
        <w:ind w:firstLine="420"/>
      </w:pPr>
      <w:r>
        <w:rPr>
          <w:rFonts w:hint="eastAsia"/>
        </w:rPr>
        <w:t>商零网上配货服务应符合以下要求：</w:t>
      </w:r>
    </w:p>
    <w:p>
      <w:pPr>
        <w:pStyle w:val="174"/>
        <w:numPr>
          <w:ilvl w:val="0"/>
          <w:numId w:val="35"/>
        </w:numPr>
      </w:pPr>
      <w:r>
        <w:rPr>
          <w:rFonts w:hint="eastAsia"/>
        </w:rPr>
        <w:t>扫码销售：客户经理应按照相关工作细则，筛选商零网上配货目标客户，辅导商零网上配货客户用好终端信息管理系统，做到“全店铺管理、全商品扫码”。对拟实行商零网配的客户将设置3个月的辅导考察期，期间由客户经理和市管员不定期对客户进行辅导检查，应对直营店实施商零网上配货。</w:t>
      </w:r>
    </w:p>
    <w:p>
      <w:pPr>
        <w:pStyle w:val="174"/>
      </w:pPr>
      <w:r>
        <w:rPr>
          <w:rFonts w:hint="eastAsia"/>
        </w:rPr>
        <w:t>设置网配参数：卷烟商业企业营销中心要结合相关规则合理设置网配参数，包括配货周期、安全库存、配货建议量等。</w:t>
      </w:r>
    </w:p>
    <w:p>
      <w:pPr>
        <w:pStyle w:val="174"/>
      </w:pPr>
      <w:r>
        <w:rPr>
          <w:rFonts w:hint="eastAsia"/>
        </w:rPr>
        <w:t>计算配货量：系统根据公司库存、客户销售等情况，计算出配货量。</w:t>
      </w:r>
    </w:p>
    <w:p>
      <w:pPr>
        <w:pStyle w:val="174"/>
      </w:pPr>
      <w:r>
        <w:rPr>
          <w:rFonts w:hint="eastAsia"/>
        </w:rPr>
        <w:t>生成配货建议单：系统向商零网上配货客户推送配货建议单。</w:t>
      </w:r>
    </w:p>
    <w:p>
      <w:pPr>
        <w:pStyle w:val="174"/>
      </w:pPr>
      <w:r>
        <w:rPr>
          <w:rFonts w:hint="eastAsia"/>
        </w:rPr>
        <w:t>客户修正订单：商零网上配货客户可根据实际销售情况及对未来市场销售的预判，修订配货建议单。</w:t>
      </w:r>
    </w:p>
    <w:p>
      <w:pPr>
        <w:pStyle w:val="174"/>
      </w:pPr>
      <w:r>
        <w:rPr>
          <w:rFonts w:hint="eastAsia"/>
        </w:rPr>
        <w:t>检验总量及单规格最大可供量，生成订单：对比检验订货总量、单规格最大可供量，生成订单。</w:t>
      </w:r>
    </w:p>
    <w:p>
      <w:pPr>
        <w:pStyle w:val="174"/>
      </w:pPr>
      <w:r>
        <w:rPr>
          <w:rFonts w:hint="eastAsia"/>
        </w:rPr>
        <w:t>客户确认订单：客户在订货平台内确认订单。</w:t>
      </w:r>
    </w:p>
    <w:p>
      <w:pPr>
        <w:pStyle w:val="65"/>
        <w:spacing w:before="156" w:after="156"/>
      </w:pPr>
      <w:r>
        <w:rPr>
          <w:rFonts w:hint="eastAsia"/>
        </w:rPr>
        <w:t>结算服务</w:t>
      </w:r>
    </w:p>
    <w:p>
      <w:pPr>
        <w:pStyle w:val="164"/>
      </w:pPr>
      <w:r>
        <w:rPr>
          <w:rFonts w:hint="eastAsia"/>
        </w:rPr>
        <w:t>结算服务流程应符合以下要求：</w:t>
      </w:r>
    </w:p>
    <w:p>
      <w:pPr>
        <w:pStyle w:val="174"/>
        <w:numPr>
          <w:ilvl w:val="0"/>
          <w:numId w:val="36"/>
        </w:numPr>
      </w:pPr>
      <w:r>
        <w:rPr>
          <w:rFonts w:hint="eastAsia"/>
        </w:rPr>
        <w:t>商业企业需要对订货平台进行维护，确保订货平台运行稳定，为卷烟零售客户订货结算提供系统支撑；</w:t>
      </w:r>
    </w:p>
    <w:p>
      <w:pPr>
        <w:pStyle w:val="174"/>
      </w:pPr>
      <w:r>
        <w:rPr>
          <w:rFonts w:hint="eastAsia"/>
        </w:rPr>
        <w:t>商业企业采集订单后，提醒零售客户主动支付卷烟货款或预存好足额货款；</w:t>
      </w:r>
    </w:p>
    <w:p>
      <w:pPr>
        <w:pStyle w:val="174"/>
      </w:pPr>
      <w:r>
        <w:rPr>
          <w:rFonts w:hint="eastAsia"/>
        </w:rPr>
        <w:t>商业企业采集订单后，审核提交，同时业务部门向银行提交扣款请求指令；</w:t>
      </w:r>
    </w:p>
    <w:p>
      <w:pPr>
        <w:pStyle w:val="174"/>
      </w:pPr>
      <w:r>
        <w:rPr>
          <w:rFonts w:hint="eastAsia"/>
        </w:rPr>
        <w:t>商业企业卷烟营销部门及时指导扣款或付款异常卷烟零售客户解决异常情况，确保当日结算成功。</w:t>
      </w:r>
    </w:p>
    <w:p>
      <w:pPr>
        <w:pStyle w:val="164"/>
      </w:pPr>
      <w:r>
        <w:rPr>
          <w:rFonts w:hint="eastAsia"/>
        </w:rPr>
        <w:t>订货结算服务应符合以下要求：</w:t>
      </w:r>
    </w:p>
    <w:p>
      <w:pPr>
        <w:pStyle w:val="174"/>
        <w:numPr>
          <w:ilvl w:val="0"/>
          <w:numId w:val="37"/>
        </w:numPr>
      </w:pPr>
      <w:r>
        <w:rPr>
          <w:rFonts w:hint="eastAsia"/>
        </w:rPr>
        <w:t>电话订货</w:t>
      </w:r>
    </w:p>
    <w:p>
      <w:pPr>
        <w:pStyle w:val="132"/>
      </w:pPr>
      <w:r>
        <w:rPr>
          <w:rFonts w:hint="eastAsia"/>
        </w:rPr>
        <w:t>电话访销员应按标准化业务流程进行访销，不得有自行增减卷烟品规和数量、搭配销售以及强行要求零售户订购某种品规卷烟等不规范行为。</w:t>
      </w:r>
    </w:p>
    <w:p>
      <w:pPr>
        <w:pStyle w:val="132"/>
      </w:pPr>
      <w:r>
        <w:rPr>
          <w:rFonts w:hint="eastAsia"/>
        </w:rPr>
        <w:t>接听电话过程中电话访销员应耐心倾听卷烟零售客户的电话，切忌打断、催促客户，同时要适当控制通话时间，提高电话访销效率。</w:t>
      </w:r>
    </w:p>
    <w:p>
      <w:pPr>
        <w:pStyle w:val="174"/>
      </w:pPr>
      <w:r>
        <w:rPr>
          <w:rFonts w:hint="eastAsia"/>
        </w:rPr>
        <w:t>网上订货</w:t>
      </w:r>
    </w:p>
    <w:p>
      <w:pPr>
        <w:pStyle w:val="132"/>
      </w:pPr>
      <w:r>
        <w:rPr>
          <w:rFonts w:hint="eastAsia"/>
        </w:rPr>
        <w:t>客户经理应提醒注意保管订货平台的账号和密码，关注公司访销日程，及时订货。</w:t>
      </w:r>
    </w:p>
    <w:p>
      <w:pPr>
        <w:pStyle w:val="132"/>
      </w:pPr>
      <w:r>
        <w:rPr>
          <w:rFonts w:hint="eastAsia"/>
        </w:rPr>
        <w:t>在卷烟订购过程中，客户经理应充分尊重卷烟零售客户的货源选择权和经营自主权，不能干预卷烟零售客户自主选择货源，严禁客户经理为零售客户代订卷烟。</w:t>
      </w:r>
    </w:p>
    <w:p>
      <w:pPr>
        <w:pStyle w:val="132"/>
      </w:pPr>
      <w:r>
        <w:rPr>
          <w:rFonts w:hint="eastAsia"/>
        </w:rPr>
        <w:t>客户经理应告知卷烟零售客户网上订货操作规范，提醒卷烟零售客户不得与其他客户相同IP/ID订货。</w:t>
      </w:r>
    </w:p>
    <w:p>
      <w:pPr>
        <w:pStyle w:val="132"/>
      </w:pPr>
      <w:r>
        <w:rPr>
          <w:rFonts w:hint="eastAsia"/>
        </w:rPr>
        <w:t>开展商零网配服务的市州公司宜制定详细的规则，并报省局卷烟销售处备案。</w:t>
      </w:r>
    </w:p>
    <w:p>
      <w:pPr>
        <w:pStyle w:val="174"/>
      </w:pPr>
      <w:r>
        <w:rPr>
          <w:rFonts w:hint="eastAsia"/>
        </w:rPr>
        <w:t>结算服务</w:t>
      </w:r>
    </w:p>
    <w:p>
      <w:pPr>
        <w:pStyle w:val="132"/>
      </w:pPr>
      <w:r>
        <w:rPr>
          <w:rFonts w:hint="eastAsia"/>
        </w:rPr>
        <w:t>提醒卷烟零售客户同一张银行卡不得为2户及以上零售客户支付（包括在线批扣、微信易付、网银支付等方式）卷烟货款的行为（在内管部门备案的除外）。</w:t>
      </w:r>
    </w:p>
    <w:p>
      <w:pPr>
        <w:pStyle w:val="105"/>
        <w:spacing w:before="156" w:after="156"/>
      </w:pPr>
      <w:bookmarkStart w:id="76" w:name="_Toc99629593"/>
      <w:bookmarkStart w:id="77" w:name="_Toc99631927"/>
      <w:bookmarkStart w:id="78" w:name="_Toc99631207"/>
      <w:r>
        <w:rPr>
          <w:rFonts w:hint="eastAsia"/>
        </w:rPr>
        <w:t>客户拜访</w:t>
      </w:r>
      <w:bookmarkEnd w:id="76"/>
      <w:bookmarkEnd w:id="77"/>
      <w:bookmarkEnd w:id="78"/>
    </w:p>
    <w:p>
      <w:pPr>
        <w:pStyle w:val="165"/>
      </w:pPr>
      <w:r>
        <w:rPr>
          <w:rFonts w:hint="eastAsia"/>
        </w:rPr>
        <w:t>客户拜访流程应符合以下要求：</w:t>
      </w:r>
    </w:p>
    <w:p>
      <w:pPr>
        <w:pStyle w:val="174"/>
        <w:numPr>
          <w:ilvl w:val="0"/>
          <w:numId w:val="38"/>
        </w:numPr>
      </w:pPr>
      <w:r>
        <w:rPr>
          <w:rFonts w:hint="eastAsia"/>
        </w:rPr>
        <w:t>信息收集与分析：客户经理应熟练掌握所在区域的市场情况、所辖区域的零售客户经营情况和在销品牌信息，通过分析，找到存在的主要问题和原因，为制定拜访计划提供依据；</w:t>
      </w:r>
    </w:p>
    <w:p>
      <w:pPr>
        <w:pStyle w:val="174"/>
      </w:pPr>
      <w:r>
        <w:rPr>
          <w:rFonts w:hint="eastAsia"/>
        </w:rPr>
        <w:t>制定拜访计划：客户经理应用分析结果，结合公司的营销目标要求，明确拜访目标和内容，制定拜访计划，主要内容包括规划拜访对象、拜访时间、拜访顺序及拜访方式；</w:t>
      </w:r>
    </w:p>
    <w:p>
      <w:pPr>
        <w:pStyle w:val="174"/>
      </w:pPr>
      <w:r>
        <w:rPr>
          <w:rFonts w:hint="eastAsia"/>
        </w:rPr>
        <w:t>访前准备：客户经理根据拜访计划中确定的营销工作任务，在拜访前提前准备好个人工作用品（介绍资料、辅助工具）、零售客户经营用品（销售台账、卷烟价签等）和公司发放物品（各类书面通知、宣传材料、宣传品），并在拜访前整理好个人仪表；</w:t>
      </w:r>
    </w:p>
    <w:p>
      <w:pPr>
        <w:pStyle w:val="174"/>
      </w:pPr>
      <w:r>
        <w:rPr>
          <w:rFonts w:hint="eastAsia"/>
        </w:rPr>
        <w:t>实施拜访计划：客户经理收集市场、品牌、客户等层面的信息，宣传公司最新的政策，开展日常的品牌宣传和终端陈列，指导零售客户合理提升经营能力；</w:t>
      </w:r>
    </w:p>
    <w:p>
      <w:pPr>
        <w:pStyle w:val="174"/>
      </w:pPr>
      <w:r>
        <w:rPr>
          <w:rFonts w:hint="eastAsia"/>
        </w:rPr>
        <w:t>整理拜访记录：客户经理回顾拜访过程，记录感受，包括客户经营情况变化、品牌市场表现、品牌的陈列情况、市场环境信息，以及为每位客户开展的服务内容、方式和效果；</w:t>
      </w:r>
    </w:p>
    <w:p>
      <w:pPr>
        <w:pStyle w:val="174"/>
      </w:pPr>
      <w:r>
        <w:rPr>
          <w:rFonts w:hint="eastAsia"/>
        </w:rPr>
        <w:t>信息反馈及处理：客户经理将拜访过程中发现的零售户涉嫌违法违规经营的信息、零售客户的意见建议等反馈至相关部门予以处理，对变更的客户信息资料及时进行更新和维护；</w:t>
      </w:r>
    </w:p>
    <w:p>
      <w:pPr>
        <w:pStyle w:val="174"/>
      </w:pPr>
      <w:r>
        <w:rPr>
          <w:rFonts w:hint="eastAsia"/>
        </w:rPr>
        <w:t>评估拜访效果：评估信息分析的准确性、计划的合理性及实施的有效性，包括客户服务效果、品牌培育实施效果、营销目标完成情况等；</w:t>
      </w:r>
    </w:p>
    <w:p>
      <w:pPr>
        <w:pStyle w:val="174"/>
      </w:pPr>
      <w:r>
        <w:rPr>
          <w:rFonts w:hint="eastAsia"/>
        </w:rPr>
        <w:t>制定改进措施：客户经理提出客户服务、品牌培育的改进措施，不断提升客户满意度，完成品牌培育目标，实现个人能力和素质的提升。</w:t>
      </w:r>
    </w:p>
    <w:p>
      <w:pPr>
        <w:pStyle w:val="165"/>
      </w:pPr>
      <w:r>
        <w:rPr>
          <w:rFonts w:hint="eastAsia"/>
        </w:rPr>
        <w:t>客户拜访服务应符合以下要求：</w:t>
      </w:r>
    </w:p>
    <w:p>
      <w:pPr>
        <w:pStyle w:val="174"/>
        <w:numPr>
          <w:ilvl w:val="0"/>
          <w:numId w:val="39"/>
        </w:numPr>
      </w:pPr>
      <w:r>
        <w:rPr>
          <w:rFonts w:hint="eastAsia"/>
        </w:rPr>
        <w:t>拜访频次。重点监管零售客户每月拜访不少于4次，大客户每月拜访不少于2次，中、小客户每月拜访不少于1次，偏远客户每季度拜访不少于1次。。</w:t>
      </w:r>
    </w:p>
    <w:p>
      <w:pPr>
        <w:pStyle w:val="174"/>
      </w:pPr>
      <w:r>
        <w:rPr>
          <w:rFonts w:hint="eastAsia"/>
        </w:rPr>
        <w:t>拜访时长。拜访零售客户的时长宜根据服务内容灵活确定，原则上最短不得低于5分钟，最长不得高于1小时，开展库存盘点或拜访座谈可适当延长。</w:t>
      </w:r>
    </w:p>
    <w:p>
      <w:pPr>
        <w:pStyle w:val="105"/>
        <w:spacing w:before="156" w:after="156"/>
      </w:pPr>
      <w:bookmarkStart w:id="79" w:name="_Toc99631928"/>
      <w:bookmarkStart w:id="80" w:name="_Toc99631208"/>
      <w:bookmarkStart w:id="81" w:name="_Toc99629594"/>
      <w:r>
        <w:rPr>
          <w:rFonts w:hint="eastAsia"/>
        </w:rPr>
        <w:t>咨询反馈</w:t>
      </w:r>
      <w:bookmarkEnd w:id="79"/>
      <w:bookmarkEnd w:id="80"/>
      <w:bookmarkEnd w:id="81"/>
    </w:p>
    <w:p>
      <w:pPr>
        <w:pStyle w:val="165"/>
      </w:pPr>
      <w:r>
        <w:rPr>
          <w:rFonts w:hint="eastAsia"/>
        </w:rPr>
        <w:t>咨询反馈服务流程应符合以下要求：</w:t>
      </w:r>
    </w:p>
    <w:p>
      <w:pPr>
        <w:pStyle w:val="174"/>
        <w:numPr>
          <w:ilvl w:val="0"/>
          <w:numId w:val="40"/>
        </w:numPr>
      </w:pPr>
      <w:r>
        <w:rPr>
          <w:rFonts w:hint="eastAsia"/>
        </w:rPr>
        <w:t>咨询投诉受理：商业企业通过线上、线下多种渠道，接收零售客户和消费者的咨询投诉。</w:t>
      </w:r>
    </w:p>
    <w:p>
      <w:pPr>
        <w:pStyle w:val="174"/>
      </w:pPr>
      <w:r>
        <w:rPr>
          <w:rFonts w:hint="eastAsia"/>
        </w:rPr>
        <w:t>咨询投诉处理：商业企业通过各部门之间合作或与工业企业协作，完成咨询投诉处理并反馈咨询人。应包含以下内容：</w:t>
      </w:r>
    </w:p>
    <w:p>
      <w:pPr>
        <w:pStyle w:val="132"/>
      </w:pPr>
      <w:r>
        <w:rPr>
          <w:rFonts w:hint="eastAsia"/>
        </w:rPr>
        <w:t xml:space="preserve">按标准回答客户：对能够当场直接处理的咨询投诉，直接按标准给予答复或处理； </w:t>
      </w:r>
    </w:p>
    <w:p>
      <w:pPr>
        <w:pStyle w:val="132"/>
      </w:pPr>
      <w:r>
        <w:rPr>
          <w:rFonts w:hint="eastAsia"/>
        </w:rPr>
        <w:t>投送处理部门处理：对不能够当时处理的咨询投诉，按处理责任的不同及时传达至具体受理部门或具体责任人处理；</w:t>
      </w:r>
    </w:p>
    <w:p>
      <w:pPr>
        <w:pStyle w:val="132"/>
      </w:pPr>
      <w:r>
        <w:rPr>
          <w:rFonts w:hint="eastAsia"/>
        </w:rPr>
        <w:t xml:space="preserve">反馈咨询投诉人：把咨询投诉是否处理、处理情况、处理结果等通过电话、网络等方式反馈给咨询投诉人； </w:t>
      </w:r>
    </w:p>
    <w:p>
      <w:pPr>
        <w:pStyle w:val="132"/>
      </w:pPr>
      <w:r>
        <w:rPr>
          <w:rFonts w:hint="eastAsia"/>
        </w:rPr>
        <w:t>整理咨询投诉记录：咨询投诉处理后，需填写咨询投诉处理反馈单的应及时填写咨询反馈处理单，及时向相关部门反馈处理情况；咨询投诉处理反馈单要详细写明咨询投诉处理的经办人员、时间、地点、处理过程、处理结果等内容，反馈情况要针对客户咨询投诉要点。</w:t>
      </w:r>
    </w:p>
    <w:p>
      <w:pPr>
        <w:pStyle w:val="174"/>
      </w:pPr>
      <w:r>
        <w:rPr>
          <w:rFonts w:hint="eastAsia"/>
        </w:rPr>
        <w:t>咨询投诉回访：部分疑难咨询投诉处理宜对咨询投诉人实施回访，应包含以下内容：</w:t>
      </w:r>
    </w:p>
    <w:p>
      <w:pPr>
        <w:pStyle w:val="132"/>
      </w:pPr>
      <w:r>
        <w:rPr>
          <w:rFonts w:hint="eastAsia"/>
        </w:rPr>
        <w:t xml:space="preserve">跟踪咨询投诉处理满意度：商业企业通过当面、电话或网络回访等方式跟踪咨询投诉处理情况，了解客户对咨询投诉处理的满意情况。对处理不当或有弄虚作假的行为进行质询，对无故拖延的行为进行督查和指导； </w:t>
      </w:r>
    </w:p>
    <w:p>
      <w:pPr>
        <w:pStyle w:val="132"/>
      </w:pPr>
      <w:r>
        <w:rPr>
          <w:rFonts w:hint="eastAsia"/>
        </w:rPr>
        <w:t>汇总咨询投诉定期分析：商业企业梳理来自于卷烟零售客户、消费者和卷烟工业企业及社会各界对企业在经营作风、服务质量、产品配送、产品质量、专卖管理等方面的意见、建议和要求，开展分析和改进。</w:t>
      </w:r>
    </w:p>
    <w:p>
      <w:pPr>
        <w:pStyle w:val="165"/>
      </w:pPr>
      <w:r>
        <w:rPr>
          <w:rFonts w:hint="eastAsia"/>
        </w:rPr>
        <w:t>咨询投诉服务应符合以下要求：</w:t>
      </w:r>
    </w:p>
    <w:p>
      <w:pPr>
        <w:pStyle w:val="174"/>
        <w:numPr>
          <w:ilvl w:val="0"/>
          <w:numId w:val="41"/>
        </w:numPr>
      </w:pPr>
      <w:r>
        <w:rPr>
          <w:rFonts w:hint="eastAsia"/>
        </w:rPr>
        <w:t>咨询投诉服务应及时、礼貌、客观；审慎答复、据实以告；具备同理心；</w:t>
      </w:r>
    </w:p>
    <w:p>
      <w:pPr>
        <w:pStyle w:val="174"/>
      </w:pPr>
      <w:r>
        <w:rPr>
          <w:rFonts w:hint="eastAsia"/>
        </w:rPr>
        <w:t>各级卷烟营销部门宜告知辖区内“三员”（客户经理、市管员、送货员）的服务电话，并保持渠道畅通；</w:t>
      </w:r>
    </w:p>
    <w:p>
      <w:pPr>
        <w:pStyle w:val="174"/>
      </w:pPr>
      <w:r>
        <w:rPr>
          <w:rFonts w:hint="eastAsia"/>
        </w:rPr>
        <w:t>所有咨询投诉宜在3个工作日内处理完毕，遇特殊情况（如涉及卷烟商品检验等）按实际工作流程处理并告知咨询投诉人，原则上最长不超过5个工作日；</w:t>
      </w:r>
    </w:p>
    <w:p>
      <w:pPr>
        <w:pStyle w:val="174"/>
      </w:pPr>
      <w:r>
        <w:rPr>
          <w:rFonts w:hint="eastAsia"/>
        </w:rPr>
        <w:t>咨询投诉处理不及时、咨询投诉人对处理结果有异议、对重大问题的投诉、有较大数量的同类型投诉等异常情况，应集中研究处理。</w:t>
      </w:r>
    </w:p>
    <w:p>
      <w:pPr>
        <w:pStyle w:val="105"/>
        <w:spacing w:before="156" w:after="156"/>
      </w:pPr>
      <w:bookmarkStart w:id="82" w:name="_Toc99631929"/>
      <w:bookmarkStart w:id="83" w:name="_Toc99631209"/>
      <w:bookmarkStart w:id="84" w:name="_Toc99629595"/>
      <w:r>
        <w:rPr>
          <w:rFonts w:hint="eastAsia"/>
        </w:rPr>
        <w:t>送货服务</w:t>
      </w:r>
      <w:bookmarkEnd w:id="82"/>
      <w:bookmarkEnd w:id="83"/>
      <w:bookmarkEnd w:id="84"/>
    </w:p>
    <w:p>
      <w:pPr>
        <w:pStyle w:val="65"/>
        <w:spacing w:before="156" w:after="156"/>
      </w:pPr>
      <w:r>
        <w:rPr>
          <w:rFonts w:hint="eastAsia"/>
        </w:rPr>
        <w:t>送货准备</w:t>
      </w:r>
    </w:p>
    <w:p>
      <w:pPr>
        <w:pStyle w:val="164"/>
      </w:pPr>
      <w:r>
        <w:rPr>
          <w:rFonts w:hint="eastAsia"/>
        </w:rPr>
        <w:t>卷烟物流配送中心发货员或中转站仓库保管员根据当日送货信息，安排送货车辆，确保最大限度提高装载率。</w:t>
      </w:r>
    </w:p>
    <w:p>
      <w:pPr>
        <w:pStyle w:val="164"/>
      </w:pPr>
      <w:r>
        <w:rPr>
          <w:rFonts w:hint="eastAsia"/>
        </w:rPr>
        <w:t>驾驶员出车前进行车辆检查，确保车辆满足运输需要。</w:t>
      </w:r>
    </w:p>
    <w:p>
      <w:pPr>
        <w:pStyle w:val="164"/>
      </w:pPr>
      <w:r>
        <w:rPr>
          <w:rFonts w:hint="eastAsia"/>
        </w:rPr>
        <w:t>卷烟物流配送中心发货员或中转站仓库保管员负责安排装，并与送货员进行交接，交接“卷烟配送单”，依据“送货车组交接单”核对卷烟和其它物品，包括调换、暂存和不符合退货的卷烟、物品及相关票据。</w:t>
      </w:r>
    </w:p>
    <w:p>
      <w:pPr>
        <w:pStyle w:val="164"/>
      </w:pPr>
      <w:r>
        <w:rPr>
          <w:rFonts w:hint="eastAsia"/>
        </w:rPr>
        <w:t>送货员做好送货前准备，通知没有电子扣款的零售客户准备现金。</w:t>
      </w:r>
    </w:p>
    <w:p>
      <w:pPr>
        <w:pStyle w:val="164"/>
      </w:pPr>
      <w:r>
        <w:rPr>
          <w:rFonts w:hint="eastAsia"/>
        </w:rPr>
        <w:t>卷烟配送单，按照YC/T 262-2008的要求；送货车组交接单，参见附录A中表A.1。</w:t>
      </w:r>
    </w:p>
    <w:p>
      <w:pPr>
        <w:pStyle w:val="65"/>
        <w:spacing w:before="156" w:after="156"/>
      </w:pPr>
      <w:r>
        <w:rPr>
          <w:rFonts w:hint="eastAsia"/>
        </w:rPr>
        <w:t>送货实施</w:t>
      </w:r>
    </w:p>
    <w:p>
      <w:pPr>
        <w:pStyle w:val="164"/>
      </w:pPr>
      <w:r>
        <w:rPr>
          <w:rFonts w:hint="eastAsia"/>
        </w:rPr>
        <w:t>驾驶员在约定的送货时间内到达零售客户处，在送货员开展送货服务的同时，准备送货到下一户的卷烟、单据和物品。</w:t>
      </w:r>
    </w:p>
    <w:p>
      <w:pPr>
        <w:pStyle w:val="164"/>
      </w:pPr>
      <w:r>
        <w:rPr>
          <w:rFonts w:hint="eastAsia"/>
        </w:rPr>
        <w:t>如零售正常经营，送货员与零售客户共同对照“卷烟配送单”，按品种、规格核对卷烟数量及其他物品。</w:t>
      </w:r>
    </w:p>
    <w:p>
      <w:pPr>
        <w:pStyle w:val="164"/>
      </w:pPr>
      <w:r>
        <w:rPr>
          <w:rFonts w:hint="eastAsia"/>
        </w:rPr>
        <w:t>送货员开展送货服务，服务语言应礼貌得体。如出现店中无人、零售客户要求调换或退货，则执行特殊需求服务流程。</w:t>
      </w:r>
    </w:p>
    <w:p>
      <w:pPr>
        <w:pStyle w:val="164"/>
      </w:pPr>
      <w:r>
        <w:rPr>
          <w:rFonts w:hint="eastAsia"/>
        </w:rPr>
        <w:t>认真听取零售客户意见和建议，做好相关政策及防伪、防调包的宣传、解释、记录、反馈工作。</w:t>
      </w:r>
    </w:p>
    <w:p>
      <w:pPr>
        <w:pStyle w:val="164"/>
      </w:pPr>
      <w:r>
        <w:rPr>
          <w:rFonts w:hint="eastAsia"/>
        </w:rPr>
        <w:t>与零售客户沟通完毕，如采用周转箱送货的烟草商业企业，送货员开展送货服务时，应及时回收核对周转箱，并整齐摆放到送货车厢，锁闭车门；</w:t>
      </w:r>
    </w:p>
    <w:p>
      <w:pPr>
        <w:pStyle w:val="164"/>
      </w:pPr>
      <w:r>
        <w:rPr>
          <w:rFonts w:hint="eastAsia"/>
        </w:rPr>
        <w:t>采用委托送取送货模式的烟草商业企业，送货员应和委托送取户核对验收被委托零售客户的卷烟和其他物品。被委托零售客户如有意见反馈，送货员应做好记录，及时反馈处理。</w:t>
      </w:r>
    </w:p>
    <w:p>
      <w:pPr>
        <w:pStyle w:val="164"/>
      </w:pPr>
      <w:r>
        <w:rPr>
          <w:rFonts w:hint="eastAsia"/>
        </w:rPr>
        <w:t>返程后，驾驶员打扫车辆卫生，检查保养车辆，停放到指定地点。</w:t>
      </w:r>
    </w:p>
    <w:p>
      <w:pPr>
        <w:pStyle w:val="164"/>
      </w:pPr>
      <w:r>
        <w:rPr>
          <w:rFonts w:hint="eastAsia"/>
        </w:rPr>
        <w:t>送货员如送货当天遇到特殊服务需求，则返程后首先处理特殊服务需求，开展货款缴存工作。</w:t>
      </w:r>
    </w:p>
    <w:p>
      <w:pPr>
        <w:pStyle w:val="164"/>
      </w:pPr>
      <w:r>
        <w:rPr>
          <w:rFonts w:hint="eastAsia"/>
        </w:rPr>
        <w:t>如采取周转箱送货方式，送货员整理周转箱，并与相关人员办理交接手续。</w:t>
      </w:r>
    </w:p>
    <w:p>
      <w:pPr>
        <w:pStyle w:val="164"/>
      </w:pPr>
      <w:r>
        <w:rPr>
          <w:rFonts w:hint="eastAsia"/>
        </w:rPr>
        <w:t>送货员应认真填写送货记录，解决零售客户问题，及时汇总上报零售客户提供的重要信息。</w:t>
      </w:r>
    </w:p>
    <w:p>
      <w:pPr>
        <w:pStyle w:val="65"/>
        <w:spacing w:before="156" w:after="156"/>
      </w:pPr>
      <w:r>
        <w:rPr>
          <w:rFonts w:hint="eastAsia"/>
        </w:rPr>
        <w:t>特殊情况处理</w:t>
      </w:r>
    </w:p>
    <w:p>
      <w:pPr>
        <w:pStyle w:val="164"/>
      </w:pPr>
      <w:r>
        <w:rPr>
          <w:rFonts w:hint="eastAsia"/>
        </w:rPr>
        <w:t>如果零售客户发现所送卷烟不能满足需求，则由送货员执行特殊需求服务流程；如满足零售客户需求，验收无误后，判断货款结算方式。</w:t>
      </w:r>
    </w:p>
    <w:p>
      <w:pPr>
        <w:pStyle w:val="164"/>
      </w:pPr>
      <w:r>
        <w:rPr>
          <w:rFonts w:hint="eastAsia"/>
        </w:rPr>
        <w:t>如零售客户采取电子扣款并已成功结算，则零售客户应在“卷烟配送单”上签字确认，送货员整齐粘贴卷烟配送单；如零售客户采取电子扣款但未成功或采取现金结算方式时，送货员在收取现金后进行核对，如有错误，由零售客户纠正，如核对无误，零售客户应在“卷烟配送单”上签字，送货员整齐粘贴卷烟配送单，大额现金应及时放入车载保险箱。</w:t>
      </w:r>
    </w:p>
    <w:p>
      <w:pPr>
        <w:pStyle w:val="105"/>
        <w:spacing w:before="156" w:after="156"/>
      </w:pPr>
      <w:bookmarkStart w:id="85" w:name="_Toc99631930"/>
      <w:bookmarkStart w:id="86" w:name="_Toc99629596"/>
      <w:bookmarkStart w:id="87" w:name="_Toc99631210"/>
      <w:r>
        <w:rPr>
          <w:rFonts w:hint="eastAsia"/>
        </w:rPr>
        <w:t>退货服务</w:t>
      </w:r>
      <w:bookmarkEnd w:id="85"/>
      <w:bookmarkEnd w:id="86"/>
      <w:bookmarkEnd w:id="87"/>
    </w:p>
    <w:p>
      <w:pPr>
        <w:pStyle w:val="65"/>
        <w:spacing w:before="156" w:after="156"/>
      </w:pPr>
      <w:r>
        <w:rPr>
          <w:rFonts w:hint="eastAsia"/>
        </w:rPr>
        <w:t>退货条件</w:t>
      </w:r>
    </w:p>
    <w:p>
      <w:pPr>
        <w:pStyle w:val="56"/>
        <w:ind w:firstLine="420"/>
      </w:pPr>
      <w:r>
        <w:rPr>
          <w:rFonts w:hint="eastAsia"/>
        </w:rPr>
        <w:t>提供退货服务应符合以下条件之一：</w:t>
      </w:r>
    </w:p>
    <w:p>
      <w:pPr>
        <w:pStyle w:val="174"/>
        <w:numPr>
          <w:ilvl w:val="0"/>
          <w:numId w:val="42"/>
        </w:numPr>
      </w:pPr>
      <w:r>
        <w:rPr>
          <w:rFonts w:hint="eastAsia"/>
        </w:rPr>
        <w:t>未实行电子扣款，并且送货当日无法和零售客户取得联系；</w:t>
      </w:r>
    </w:p>
    <w:p>
      <w:pPr>
        <w:pStyle w:val="174"/>
      </w:pPr>
      <w:r>
        <w:rPr>
          <w:rFonts w:hint="eastAsia"/>
        </w:rPr>
        <w:t>未实行电子扣款且零售客户没有足够的货款支付。</w:t>
      </w:r>
    </w:p>
    <w:p>
      <w:pPr>
        <w:pStyle w:val="174"/>
      </w:pPr>
      <w:r>
        <w:rPr>
          <w:rFonts w:hint="eastAsia"/>
        </w:rPr>
        <w:t>所送卷烟品牌规格和卷烟配送单一致，但经过核实和零售客户的真实需求不符，且责任在烟草；</w:t>
      </w:r>
    </w:p>
    <w:p>
      <w:pPr>
        <w:pStyle w:val="174"/>
      </w:pPr>
      <w:r>
        <w:rPr>
          <w:rFonts w:hint="eastAsia"/>
        </w:rPr>
        <w:t>零售客户遭遇突发事件，导致无法正常经营；</w:t>
      </w:r>
    </w:p>
    <w:p>
      <w:pPr>
        <w:pStyle w:val="174"/>
      </w:pPr>
      <w:r>
        <w:rPr>
          <w:rFonts w:hint="eastAsia"/>
        </w:rPr>
        <w:t>所送卷烟符合调换条件，但卷烟物流配送中心没有库存，零售客户同意退货；</w:t>
      </w:r>
    </w:p>
    <w:p>
      <w:pPr>
        <w:pStyle w:val="174"/>
      </w:pPr>
      <w:r>
        <w:rPr>
          <w:rFonts w:hint="eastAsia"/>
        </w:rPr>
        <w:t>本单位制定的其他标准。</w:t>
      </w:r>
    </w:p>
    <w:p>
      <w:pPr>
        <w:pStyle w:val="65"/>
        <w:spacing w:before="156" w:after="156"/>
      </w:pPr>
      <w:r>
        <w:rPr>
          <w:rFonts w:hint="eastAsia"/>
        </w:rPr>
        <w:t>退货流程</w:t>
      </w:r>
    </w:p>
    <w:p>
      <w:pPr>
        <w:pStyle w:val="56"/>
        <w:ind w:firstLine="420"/>
      </w:pPr>
      <w:r>
        <w:rPr>
          <w:rFonts w:hint="eastAsia"/>
        </w:rPr>
        <w:t>符合6</w:t>
      </w:r>
      <w:r>
        <w:t>.6.1</w:t>
      </w:r>
      <w:r>
        <w:rPr>
          <w:rFonts w:hint="eastAsia"/>
        </w:rPr>
        <w:t>退货条件之一，按照下列情况执行：</w:t>
      </w:r>
    </w:p>
    <w:p>
      <w:pPr>
        <w:pStyle w:val="174"/>
        <w:numPr>
          <w:ilvl w:val="0"/>
          <w:numId w:val="43"/>
        </w:numPr>
      </w:pPr>
      <w:r>
        <w:rPr>
          <w:rFonts w:hint="eastAsia"/>
        </w:rPr>
        <w:t>核实客户情况。</w:t>
      </w:r>
    </w:p>
    <w:p>
      <w:pPr>
        <w:pStyle w:val="132"/>
      </w:pPr>
      <w:r>
        <w:rPr>
          <w:rFonts w:hint="eastAsia"/>
        </w:rPr>
        <w:t>如果零售客户在场，送货员应给零售客户签署带走卷烟的证明文书：收到证明（见附录），将卷烟带回；</w:t>
      </w:r>
    </w:p>
    <w:p>
      <w:pPr>
        <w:pStyle w:val="132"/>
      </w:pPr>
      <w:r>
        <w:rPr>
          <w:rFonts w:hint="eastAsia"/>
        </w:rPr>
        <w:t>如果零售客户不在场，则直接带回卷烟办理退货手续，按照规定的时限将卷烟货款返还零售客户账户。</w:t>
      </w:r>
    </w:p>
    <w:p>
      <w:pPr>
        <w:pStyle w:val="174"/>
      </w:pPr>
      <w:r>
        <w:rPr>
          <w:rFonts w:hint="eastAsia"/>
        </w:rPr>
        <w:t>送货员填写“卷烟退货审批表”（见附录），连同卷烟交物流配送中心发货员或中转站仓库保管员审核，物流配送中心发货员或中转站仓库保管员对照标准进行再次复核，如不符合条件，则由送货员在下一送货周期再次按照正常流程送货；</w:t>
      </w:r>
    </w:p>
    <w:p>
      <w:pPr>
        <w:pStyle w:val="174"/>
      </w:pPr>
      <w:r>
        <w:rPr>
          <w:rFonts w:hint="eastAsia"/>
        </w:rPr>
        <w:t>如符合条件，提交送货部负责人或中转站负责人审批，同意则签字确认后办理退货入库、账务核销手续，不同意，则由送货员在下一送货周期再次按照正常流程送货；</w:t>
      </w:r>
    </w:p>
    <w:p>
      <w:pPr>
        <w:pStyle w:val="174"/>
      </w:pPr>
      <w:r>
        <w:rPr>
          <w:rFonts w:hint="eastAsia"/>
        </w:rPr>
        <w:t>对于因卷烟退货造成的二次打码卷烟送货，送货员应明确告知零售客户卷烟二次打码原因；</w:t>
      </w:r>
    </w:p>
    <w:p>
      <w:pPr>
        <w:pStyle w:val="174"/>
      </w:pPr>
      <w:r>
        <w:rPr>
          <w:rFonts w:hint="eastAsia"/>
        </w:rPr>
        <w:t>结束。</w:t>
      </w:r>
    </w:p>
    <w:p>
      <w:pPr>
        <w:pStyle w:val="105"/>
        <w:spacing w:before="156" w:after="156"/>
      </w:pPr>
      <w:bookmarkStart w:id="88" w:name="_Toc99631931"/>
      <w:bookmarkStart w:id="89" w:name="_Toc99631211"/>
      <w:bookmarkStart w:id="90" w:name="_Toc99629597"/>
      <w:r>
        <w:rPr>
          <w:rFonts w:hint="eastAsia"/>
        </w:rPr>
        <w:t>调换服务</w:t>
      </w:r>
      <w:bookmarkEnd w:id="88"/>
      <w:bookmarkEnd w:id="89"/>
      <w:bookmarkEnd w:id="90"/>
    </w:p>
    <w:p>
      <w:pPr>
        <w:pStyle w:val="65"/>
        <w:spacing w:before="156" w:after="156"/>
      </w:pPr>
      <w:r>
        <w:rPr>
          <w:rFonts w:hint="eastAsia"/>
        </w:rPr>
        <w:t>调换条件</w:t>
      </w:r>
    </w:p>
    <w:p>
      <w:pPr>
        <w:pStyle w:val="56"/>
        <w:ind w:firstLine="420"/>
      </w:pPr>
      <w:r>
        <w:rPr>
          <w:rFonts w:hint="eastAsia"/>
        </w:rPr>
        <w:t>提供调换服务应符合以下条件之一：</w:t>
      </w:r>
    </w:p>
    <w:p>
      <w:pPr>
        <w:pStyle w:val="174"/>
        <w:numPr>
          <w:ilvl w:val="0"/>
          <w:numId w:val="44"/>
        </w:numPr>
      </w:pPr>
      <w:r>
        <w:rPr>
          <w:rFonts w:hint="eastAsia"/>
        </w:rPr>
        <w:t>经核对，卷烟配送单上的品牌规格和实际分拣包装后的品牌规格不符，且卷烟配送单上的品牌规格是零售客户的真实需求；</w:t>
      </w:r>
    </w:p>
    <w:p>
      <w:pPr>
        <w:pStyle w:val="174"/>
      </w:pPr>
      <w:r>
        <w:rPr>
          <w:rFonts w:hint="eastAsia"/>
        </w:rPr>
        <w:t>当场检验发现条盒包装褶皱、翻包、包装不全、缺包、破损等质量问题；</w:t>
      </w:r>
    </w:p>
    <w:p>
      <w:pPr>
        <w:pStyle w:val="174"/>
      </w:pPr>
      <w:r>
        <w:rPr>
          <w:rFonts w:hint="eastAsia"/>
        </w:rPr>
        <w:t>本单位制定的其他标准。</w:t>
      </w:r>
    </w:p>
    <w:p>
      <w:pPr>
        <w:pStyle w:val="65"/>
        <w:spacing w:before="156" w:after="156"/>
      </w:pPr>
      <w:r>
        <w:rPr>
          <w:rFonts w:hint="eastAsia"/>
        </w:rPr>
        <w:t>调换流程</w:t>
      </w:r>
    </w:p>
    <w:p>
      <w:pPr>
        <w:pStyle w:val="56"/>
        <w:ind w:firstLine="420"/>
      </w:pPr>
      <w:r>
        <w:rPr>
          <w:rFonts w:hint="eastAsia"/>
        </w:rPr>
        <w:t>符合6.</w:t>
      </w:r>
      <w:r>
        <w:t>7</w:t>
      </w:r>
      <w:r>
        <w:rPr>
          <w:rFonts w:hint="eastAsia"/>
        </w:rPr>
        <w:t>.1调换条件之一，按照下列情况执行：</w:t>
      </w:r>
    </w:p>
    <w:p>
      <w:pPr>
        <w:pStyle w:val="174"/>
        <w:numPr>
          <w:ilvl w:val="0"/>
          <w:numId w:val="45"/>
        </w:numPr>
      </w:pPr>
      <w:r>
        <w:rPr>
          <w:rFonts w:hint="eastAsia"/>
        </w:rPr>
        <w:t>应给零售客户签署带走卷烟的证明文书：收到证明，将卷烟带回；填写卷烟调换审批表提交物流配送中心发货员或中转站仓库保管员审核；</w:t>
      </w:r>
    </w:p>
    <w:p>
      <w:pPr>
        <w:pStyle w:val="174"/>
      </w:pPr>
      <w:r>
        <w:rPr>
          <w:rFonts w:hint="eastAsia"/>
        </w:rPr>
        <w:t>送货员填写“卷烟调换审批表”（见附录），连同卷烟交物流配送中心发货员或中转站仓库保管员审核，物流配送中心发货员或中转站仓库保管员对带回卷烟进行复核，如不符合条件，则不予调换，由送货员在下一送货周期再次按照正常流程送货；</w:t>
      </w:r>
    </w:p>
    <w:p>
      <w:pPr>
        <w:pStyle w:val="174"/>
      </w:pPr>
      <w:r>
        <w:rPr>
          <w:rFonts w:hint="eastAsia"/>
        </w:rPr>
        <w:t>如符合条件，提交送货部负责人或中转站负责人审批，同意则签字确认后办理调换手续，不同意，则由送货员在下一送货周期再次按照正常流程送货；</w:t>
      </w:r>
    </w:p>
    <w:p>
      <w:pPr>
        <w:pStyle w:val="174"/>
      </w:pPr>
      <w:r>
        <w:rPr>
          <w:rFonts w:hint="eastAsia"/>
        </w:rPr>
        <w:t>送货员将卷烟送货到零售客户并做好相关解释说明工作；</w:t>
      </w:r>
    </w:p>
    <w:p>
      <w:pPr>
        <w:pStyle w:val="174"/>
        <w:rPr>
          <w:b/>
          <w:bCs/>
        </w:rPr>
      </w:pPr>
      <w:r>
        <w:rPr>
          <w:rFonts w:hint="eastAsia"/>
        </w:rPr>
        <w:t>结束。</w:t>
      </w:r>
    </w:p>
    <w:p>
      <w:pPr>
        <w:pStyle w:val="105"/>
        <w:spacing w:before="156" w:after="156"/>
      </w:pPr>
      <w:bookmarkStart w:id="91" w:name="_Toc99631212"/>
      <w:bookmarkStart w:id="92" w:name="_Toc99629598"/>
      <w:bookmarkStart w:id="93" w:name="_Toc99631932"/>
      <w:r>
        <w:rPr>
          <w:rFonts w:hint="eastAsia"/>
        </w:rPr>
        <w:t>客户培训</w:t>
      </w:r>
      <w:bookmarkEnd w:id="91"/>
      <w:bookmarkEnd w:id="92"/>
      <w:bookmarkEnd w:id="93"/>
    </w:p>
    <w:p>
      <w:pPr>
        <w:pStyle w:val="56"/>
        <w:ind w:firstLine="420"/>
      </w:pPr>
      <w:r>
        <w:rPr>
          <w:rFonts w:hint="eastAsia"/>
        </w:rPr>
        <w:t>客户培训应按照《农村卷烟营销网络 第</w:t>
      </w:r>
      <w:r>
        <w:t>7</w:t>
      </w:r>
      <w:r>
        <w:rPr>
          <w:rFonts w:hint="eastAsia"/>
        </w:rPr>
        <w:t>部分：零售客户培训指南》相关规定执行。</w:t>
      </w:r>
    </w:p>
    <w:p>
      <w:pPr>
        <w:pStyle w:val="105"/>
        <w:spacing w:before="156" w:after="156"/>
      </w:pPr>
      <w:bookmarkStart w:id="94" w:name="_Toc99631213"/>
      <w:bookmarkStart w:id="95" w:name="_Toc99631933"/>
      <w:bookmarkStart w:id="96" w:name="_Toc99629599"/>
      <w:r>
        <w:rPr>
          <w:rFonts w:hint="eastAsia"/>
        </w:rPr>
        <w:t>经营指导</w:t>
      </w:r>
      <w:bookmarkEnd w:id="94"/>
      <w:bookmarkEnd w:id="95"/>
      <w:bookmarkEnd w:id="96"/>
    </w:p>
    <w:p>
      <w:pPr>
        <w:pStyle w:val="65"/>
        <w:spacing w:before="156" w:after="156"/>
      </w:pPr>
      <w:r>
        <w:rPr>
          <w:rFonts w:hint="eastAsia"/>
        </w:rPr>
        <w:t>信息发布</w:t>
      </w:r>
    </w:p>
    <w:p>
      <w:pPr>
        <w:pStyle w:val="164"/>
      </w:pPr>
      <w:r>
        <w:rPr>
          <w:rFonts w:hint="eastAsia"/>
        </w:rPr>
        <w:t>市州公司应通过卷烟订货平台、企业公众号平台、零售终端管理信息系统、集中培训等渠道发布各类营销信息，以便于卷烟零售客户合理做出经营决策。</w:t>
      </w:r>
    </w:p>
    <w:p>
      <w:pPr>
        <w:pStyle w:val="164"/>
      </w:pPr>
      <w:r>
        <w:rPr>
          <w:rFonts w:hint="eastAsia"/>
        </w:rPr>
        <w:t>信息发布类型包括但不限于以下信息：</w:t>
      </w:r>
    </w:p>
    <w:p>
      <w:pPr>
        <w:pStyle w:val="174"/>
        <w:numPr>
          <w:ilvl w:val="0"/>
          <w:numId w:val="46"/>
        </w:numPr>
      </w:pPr>
      <w:r>
        <w:rPr>
          <w:rFonts w:hint="eastAsia"/>
        </w:rPr>
        <w:t>货源信息：包括卷烟协议总量变化信息，货源投放信息；临时货源投放调控信息等。</w:t>
      </w:r>
    </w:p>
    <w:p>
      <w:pPr>
        <w:pStyle w:val="174"/>
      </w:pPr>
      <w:r>
        <w:rPr>
          <w:rFonts w:hint="eastAsia"/>
        </w:rPr>
        <w:t>品牌信息：包括卷烟品规引入与退出、卷烟品规价格调整、卷烟品规包装变化等信息，品牌宣传促销、新品发布等活动信息。</w:t>
      </w:r>
    </w:p>
    <w:p>
      <w:pPr>
        <w:pStyle w:val="174"/>
      </w:pPr>
      <w:r>
        <w:rPr>
          <w:rFonts w:hint="eastAsia"/>
        </w:rPr>
        <w:t>评价信息:包括客户档位评价、终端星级评价、信用等级评价等评价规则信息和评价结果信息，评价结果信息原则上公布至零售客户本人。</w:t>
      </w:r>
    </w:p>
    <w:p>
      <w:pPr>
        <w:pStyle w:val="174"/>
      </w:pPr>
      <w:r>
        <w:rPr>
          <w:rFonts w:hint="eastAsia"/>
        </w:rPr>
        <w:t>访销信息：包括访销周期安排，零售客户访销批次和频次等信息。</w:t>
      </w:r>
    </w:p>
    <w:p>
      <w:pPr>
        <w:pStyle w:val="174"/>
      </w:pPr>
      <w:r>
        <w:rPr>
          <w:rFonts w:hint="eastAsia"/>
        </w:rPr>
        <w:t>政策信息：包括公司为加强市场管理和服务而制定的相关政策，如合理布局规定、新入网客户管理办法、规范经营相关规定、终端建设相关政策等信息。</w:t>
      </w:r>
    </w:p>
    <w:p>
      <w:pPr>
        <w:pStyle w:val="174"/>
      </w:pPr>
      <w:r>
        <w:rPr>
          <w:rFonts w:hint="eastAsia"/>
        </w:rPr>
        <w:t>提醒信息：包括市场骗贷信息、虚假链接信息、防抢、防盗、防霉、防调包等信息。</w:t>
      </w:r>
    </w:p>
    <w:p>
      <w:pPr>
        <w:pStyle w:val="174"/>
      </w:pPr>
      <w:r>
        <w:rPr>
          <w:rFonts w:hint="eastAsia"/>
        </w:rPr>
        <w:t>违法违规信息：根据商业企业管理需要，在一定范围内公示客户违法违规信息。</w:t>
      </w:r>
    </w:p>
    <w:p>
      <w:pPr>
        <w:pStyle w:val="164"/>
      </w:pPr>
      <w:r>
        <w:rPr>
          <w:rFonts w:hint="eastAsia"/>
        </w:rPr>
        <w:t>应定期向卷烟零售客户公开营销信息，公开目录见附录，各市州公司可根据需要进一步细化信息公开内容。</w:t>
      </w:r>
    </w:p>
    <w:p>
      <w:pPr>
        <w:pStyle w:val="65"/>
        <w:spacing w:before="156" w:after="156"/>
      </w:pPr>
      <w:r>
        <w:rPr>
          <w:rFonts w:hint="eastAsia"/>
        </w:rPr>
        <w:t>卷烟陈列及价格维护</w:t>
      </w:r>
    </w:p>
    <w:p>
      <w:pPr>
        <w:pStyle w:val="56"/>
        <w:ind w:firstLine="420"/>
      </w:pPr>
      <w:r>
        <w:rPr>
          <w:rFonts w:hint="eastAsia"/>
        </w:rPr>
        <w:t>按照《农村卷烟营销网络 第</w:t>
      </w:r>
      <w:r>
        <w:t>6</w:t>
      </w:r>
      <w:r>
        <w:rPr>
          <w:rFonts w:hint="eastAsia"/>
        </w:rPr>
        <w:t>部分：零售终端商品陈列指南》相关规定执行。</w:t>
      </w:r>
    </w:p>
    <w:p>
      <w:pPr>
        <w:pStyle w:val="65"/>
        <w:spacing w:before="156" w:after="156"/>
      </w:pPr>
      <w:r>
        <w:rPr>
          <w:rFonts w:hint="eastAsia"/>
        </w:rPr>
        <w:t>卷烟库存指导</w:t>
      </w:r>
    </w:p>
    <w:p>
      <w:pPr>
        <w:pStyle w:val="164"/>
      </w:pPr>
      <w:r>
        <w:rPr>
          <w:rFonts w:hint="eastAsia"/>
        </w:rPr>
        <w:t>营销人员宜指导卷烟零售客户科学控制库存总量、结构。指导零售客户卷烟销售应坚持“先进先出”原则，加强卷烟库存管理。</w:t>
      </w:r>
    </w:p>
    <w:p>
      <w:pPr>
        <w:pStyle w:val="164"/>
      </w:pPr>
      <w:r>
        <w:rPr>
          <w:rFonts w:hint="eastAsia"/>
        </w:rPr>
        <w:t>营销人员应指导卷烟零售客户树立安全库存管理理念，告知零售客户计算安全库存方法。</w:t>
      </w:r>
    </w:p>
    <w:p>
      <w:pPr>
        <w:pStyle w:val="164"/>
      </w:pPr>
      <w:r>
        <w:rPr>
          <w:rFonts w:hint="eastAsia"/>
        </w:rPr>
        <w:t>客户经理应引导客户形成先盘点库存、再订货的良好经营习惯，必要时协助客户盘点库存。</w:t>
      </w:r>
    </w:p>
    <w:p>
      <w:pPr>
        <w:pStyle w:val="164"/>
      </w:pPr>
      <w:r>
        <w:rPr>
          <w:rFonts w:hint="eastAsia"/>
        </w:rPr>
        <w:t>鼓励卷烟零售客户使用终端管理信息系统扫码销售，即卖即扫，使用系统进行经营管理，盘点库存。</w:t>
      </w:r>
    </w:p>
    <w:p>
      <w:pPr>
        <w:pStyle w:val="65"/>
        <w:spacing w:before="156" w:after="156"/>
      </w:pPr>
      <w:r>
        <w:rPr>
          <w:rFonts w:hint="eastAsia"/>
        </w:rPr>
        <w:t>卷烟仓储指导</w:t>
      </w:r>
    </w:p>
    <w:p>
      <w:pPr>
        <w:pStyle w:val="164"/>
      </w:pPr>
      <w:r>
        <w:rPr>
          <w:rFonts w:hint="eastAsia"/>
        </w:rPr>
        <w:t>客户经理宜加强传授卷烟仓储知识，防止卷烟保管不善丢失，防止卷烟霉变，确保卷烟质量不受损害。</w:t>
      </w:r>
    </w:p>
    <w:p>
      <w:pPr>
        <w:pStyle w:val="164"/>
      </w:pPr>
      <w:r>
        <w:rPr>
          <w:rFonts w:hint="eastAsia"/>
        </w:rPr>
        <w:t>建议不在店内居住的零售客户配置安防设施，或在不营业期间将卷烟带至居住处，提醒零售客户靠近门口卷烟陈列背柜应尽量不放置过多高端卷烟。</w:t>
      </w:r>
    </w:p>
    <w:p>
      <w:pPr>
        <w:pStyle w:val="164"/>
      </w:pPr>
      <w:r>
        <w:rPr>
          <w:rFonts w:hint="eastAsia"/>
        </w:rPr>
        <w:t>向卷烟零售客户宣传卷烟32位条码要求，告知市场上常见的调包手法。</w:t>
      </w:r>
    </w:p>
    <w:p>
      <w:pPr>
        <w:pStyle w:val="164"/>
      </w:pPr>
      <w:r>
        <w:rPr>
          <w:rFonts w:hint="eastAsia"/>
        </w:rPr>
        <w:t>提醒零售客户避免将卷烟与饮料及含水分大的物品存放在一起，避免光线直射，注意晚上防潮；有卷烟独立仓库的，提醒客户不要把卷烟放在阴暗潮湿的角落，不要接触地面；指导客户卷烟陈列和销售要养成“先进先出”的习惯。</w:t>
      </w:r>
    </w:p>
    <w:p>
      <w:pPr>
        <w:pStyle w:val="65"/>
        <w:spacing w:before="156" w:after="156"/>
      </w:pPr>
      <w:r>
        <w:rPr>
          <w:rFonts w:hint="eastAsia"/>
        </w:rPr>
        <w:t>经营档位指导</w:t>
      </w:r>
    </w:p>
    <w:p>
      <w:pPr>
        <w:pStyle w:val="94"/>
        <w:spacing w:before="156" w:after="156"/>
      </w:pPr>
      <w:r>
        <w:rPr>
          <w:rFonts w:hint="eastAsia"/>
        </w:rPr>
        <w:t>指导内容</w:t>
      </w:r>
    </w:p>
    <w:p>
      <w:pPr>
        <w:pStyle w:val="56"/>
        <w:ind w:firstLine="420"/>
      </w:pPr>
      <w:r>
        <w:rPr>
          <w:rFonts w:hint="eastAsia"/>
        </w:rPr>
        <w:t>针对经营能力强、卷烟需求量较大的客户，客户经理可指导卷烟零售客户对照档位评价规则合理订购卷烟，主要包括：</w:t>
      </w:r>
    </w:p>
    <w:p>
      <w:pPr>
        <w:pStyle w:val="174"/>
        <w:numPr>
          <w:ilvl w:val="0"/>
          <w:numId w:val="47"/>
        </w:numPr>
      </w:pPr>
      <w:r>
        <w:rPr>
          <w:rFonts w:hint="eastAsia"/>
        </w:rPr>
        <w:t>最新卷烟零售客户经营档位评价指标、评价周期及指标计算办法；</w:t>
      </w:r>
    </w:p>
    <w:p>
      <w:pPr>
        <w:pStyle w:val="174"/>
      </w:pPr>
      <w:r>
        <w:rPr>
          <w:rFonts w:hint="eastAsia"/>
        </w:rPr>
        <w:t>各档位占比情况；</w:t>
      </w:r>
    </w:p>
    <w:p>
      <w:pPr>
        <w:pStyle w:val="174"/>
      </w:pPr>
      <w:r>
        <w:rPr>
          <w:rFonts w:hint="eastAsia"/>
        </w:rPr>
        <w:t>档位评价操作流程；</w:t>
      </w:r>
    </w:p>
    <w:p>
      <w:pPr>
        <w:pStyle w:val="174"/>
      </w:pPr>
      <w:r>
        <w:rPr>
          <w:rFonts w:hint="eastAsia"/>
        </w:rPr>
        <w:t>档位应用范围；</w:t>
      </w:r>
    </w:p>
    <w:p>
      <w:pPr>
        <w:pStyle w:val="174"/>
      </w:pPr>
      <w:r>
        <w:rPr>
          <w:rFonts w:hint="eastAsia"/>
        </w:rPr>
        <w:t>调取卷烟零售客户近期评价数据及得分情况，逐一指标分析其优势劣势，给出经营建议。</w:t>
      </w:r>
    </w:p>
    <w:p>
      <w:pPr>
        <w:pStyle w:val="94"/>
        <w:spacing w:before="156" w:after="156"/>
      </w:pPr>
      <w:r>
        <w:rPr>
          <w:rFonts w:hint="eastAsia"/>
        </w:rPr>
        <w:t>指导方式</w:t>
      </w:r>
    </w:p>
    <w:p>
      <w:pPr>
        <w:pStyle w:val="56"/>
        <w:ind w:firstLine="420"/>
      </w:pPr>
      <w:r>
        <w:rPr>
          <w:rFonts w:hint="eastAsia"/>
        </w:rPr>
        <w:t>不同卷烟零售客户宜采用不同指导方式。主要包括：</w:t>
      </w:r>
    </w:p>
    <w:p>
      <w:pPr>
        <w:pStyle w:val="174"/>
        <w:numPr>
          <w:ilvl w:val="0"/>
          <w:numId w:val="48"/>
        </w:numPr>
      </w:pPr>
      <w:r>
        <w:rPr>
          <w:rFonts w:hint="eastAsia"/>
        </w:rPr>
        <w:t>新入网卷烟零售客户宜在入网初期或一个月内组织集中培训，采取PPT课件详细讲解，重在增强其档位评价认知；</w:t>
      </w:r>
    </w:p>
    <w:p>
      <w:pPr>
        <w:pStyle w:val="174"/>
      </w:pPr>
      <w:r>
        <w:rPr>
          <w:rFonts w:hint="eastAsia"/>
        </w:rPr>
        <w:t>长期档位较低且对档位评定疑惑较大的卷烟零售客户宜每半年组织一次集中培训（含线上或线下培训），采取系统演示以及PPT培训课件详细讲解，重在消除误会，增进理解；</w:t>
      </w:r>
    </w:p>
    <w:p>
      <w:pPr>
        <w:pStyle w:val="174"/>
      </w:pPr>
      <w:r>
        <w:rPr>
          <w:rFonts w:hint="eastAsia"/>
        </w:rPr>
        <w:t>经营能力较强但对客户经营档位评定事宜认知不深的，宜采取一对一上门指导方式，同时关注其卷烟订单情况，及时跟进指导。</w:t>
      </w:r>
    </w:p>
    <w:p>
      <w:pPr>
        <w:pStyle w:val="94"/>
        <w:spacing w:before="156" w:after="156"/>
      </w:pPr>
      <w:r>
        <w:rPr>
          <w:rFonts w:hint="eastAsia"/>
        </w:rPr>
        <w:t>指导要求</w:t>
      </w:r>
    </w:p>
    <w:p>
      <w:pPr>
        <w:pStyle w:val="174"/>
        <w:numPr>
          <w:ilvl w:val="0"/>
          <w:numId w:val="49"/>
        </w:numPr>
      </w:pPr>
      <w:r>
        <w:rPr>
          <w:rFonts w:hint="eastAsia"/>
        </w:rPr>
        <w:t>各市州公司宜根据省公司要求制定档位评价管理办法并及时公示，对相关指标调整较大的宜及时开展全面培训；</w:t>
      </w:r>
    </w:p>
    <w:p>
      <w:pPr>
        <w:pStyle w:val="174"/>
      </w:pPr>
      <w:r>
        <w:rPr>
          <w:rFonts w:hint="eastAsia"/>
        </w:rPr>
        <w:t>不得人为调整卷烟零售客户经营档位；</w:t>
      </w:r>
    </w:p>
    <w:p>
      <w:pPr>
        <w:pStyle w:val="174"/>
      </w:pPr>
      <w:r>
        <w:rPr>
          <w:rFonts w:hint="eastAsia"/>
        </w:rPr>
        <w:t>营销人员不得虚假宣传或给卷烟零售客户形成可人为调整档位的不良印象；</w:t>
      </w:r>
    </w:p>
    <w:p>
      <w:pPr>
        <w:pStyle w:val="174"/>
      </w:pPr>
      <w:r>
        <w:rPr>
          <w:rFonts w:hint="eastAsia"/>
        </w:rPr>
        <w:t>营销人员应及时了解关于档位评价的意见，并及时向上级反馈；</w:t>
      </w:r>
    </w:p>
    <w:p>
      <w:pPr>
        <w:pStyle w:val="174"/>
      </w:pPr>
      <w:r>
        <w:rPr>
          <w:rFonts w:hint="eastAsia"/>
        </w:rPr>
        <w:t>营销人员宜提醒客户及时订购卷烟；</w:t>
      </w:r>
    </w:p>
    <w:p>
      <w:pPr>
        <w:pStyle w:val="174"/>
      </w:pPr>
      <w:r>
        <w:rPr>
          <w:rFonts w:hint="eastAsia"/>
        </w:rPr>
        <w:t>营销人员切忌指导经营能力有限的客户盲目购进卷烟而提升档位。</w:t>
      </w:r>
    </w:p>
    <w:p>
      <w:pPr>
        <w:pStyle w:val="65"/>
        <w:spacing w:before="156" w:after="156"/>
      </w:pPr>
      <w:r>
        <w:rPr>
          <w:rFonts w:hint="eastAsia"/>
        </w:rPr>
        <w:t>卷烟销售技巧指导</w:t>
      </w:r>
    </w:p>
    <w:p>
      <w:pPr>
        <w:pStyle w:val="56"/>
        <w:ind w:firstLine="420"/>
      </w:pPr>
      <w:r>
        <w:rPr>
          <w:rFonts w:hint="eastAsia"/>
        </w:rPr>
        <w:t>营销人员宜加强对不同卷烟类别的销售技巧指导，主要包括：</w:t>
      </w:r>
    </w:p>
    <w:p>
      <w:pPr>
        <w:pStyle w:val="174"/>
        <w:numPr>
          <w:ilvl w:val="0"/>
          <w:numId w:val="50"/>
        </w:numPr>
      </w:pPr>
      <w:r>
        <w:rPr>
          <w:rFonts w:hint="eastAsia"/>
        </w:rPr>
        <w:t>新品卷烟：宜向卷烟零售客户宣传品牌卖点，陈列显著位置，指导其重点向年轻人、富有尝鲜心理的消费者推荐；</w:t>
      </w:r>
    </w:p>
    <w:p>
      <w:pPr>
        <w:pStyle w:val="174"/>
      </w:pPr>
      <w:r>
        <w:rPr>
          <w:rFonts w:hint="eastAsia"/>
        </w:rPr>
        <w:t>紧俏卷烟：宜指导卷烟零售客户以零包销售为主，以忠实消费者和老顾客为主，重点用于引流和保持人气；</w:t>
      </w:r>
    </w:p>
    <w:p>
      <w:pPr>
        <w:pStyle w:val="174"/>
      </w:pPr>
      <w:r>
        <w:rPr>
          <w:rFonts w:hint="eastAsia"/>
        </w:rPr>
        <w:t>顺销卷烟：重点指导卷烟零售客户稳定卷烟价格，提高卷烟规格订足率；</w:t>
      </w:r>
    </w:p>
    <w:p>
      <w:pPr>
        <w:pStyle w:val="174"/>
      </w:pPr>
      <w:r>
        <w:rPr>
          <w:rFonts w:hint="eastAsia"/>
        </w:rPr>
        <w:t>动销慢的卷烟：指导卷烟零售客户应减少购进量，并加强推介，突出陈列，可适时免费赠送打火机、免费品吸等策略拉动销售。</w:t>
      </w:r>
    </w:p>
    <w:p>
      <w:pPr>
        <w:pStyle w:val="65"/>
        <w:spacing w:before="156" w:after="156"/>
      </w:pPr>
      <w:r>
        <w:rPr>
          <w:rFonts w:hint="eastAsia"/>
        </w:rPr>
        <w:t>销售服务技巧指导</w:t>
      </w:r>
    </w:p>
    <w:p>
      <w:pPr>
        <w:pStyle w:val="56"/>
        <w:ind w:firstLine="420"/>
      </w:pPr>
      <w:r>
        <w:rPr>
          <w:rFonts w:hint="eastAsia"/>
        </w:rPr>
        <w:t>营销人员宜指导卷烟零售客户面对不同消费者应采取适宜的销售技巧和服务态度，包括但不限于：</w:t>
      </w:r>
    </w:p>
    <w:p>
      <w:pPr>
        <w:pStyle w:val="174"/>
        <w:numPr>
          <w:ilvl w:val="0"/>
          <w:numId w:val="51"/>
        </w:numPr>
      </w:pPr>
      <w:r>
        <w:rPr>
          <w:rFonts w:hint="eastAsia"/>
        </w:rPr>
        <w:t>坚持诚信经营、保持热情、耐心服务的态度；</w:t>
      </w:r>
    </w:p>
    <w:p>
      <w:pPr>
        <w:pStyle w:val="174"/>
      </w:pPr>
      <w:r>
        <w:rPr>
          <w:rFonts w:hint="eastAsia"/>
        </w:rPr>
        <w:t>冷静处理消费者投诉，不得与消费者发生争吵，必要时寻求公安和烟草专卖部门的帮助；</w:t>
      </w:r>
    </w:p>
    <w:p>
      <w:pPr>
        <w:pStyle w:val="174"/>
      </w:pPr>
      <w:r>
        <w:rPr>
          <w:rFonts w:hint="eastAsia"/>
        </w:rPr>
        <w:t>注重为老顾客预留其常吸品牌卷烟，保持价格稳定；</w:t>
      </w:r>
    </w:p>
    <w:p>
      <w:pPr>
        <w:pStyle w:val="174"/>
      </w:pPr>
      <w:r>
        <w:rPr>
          <w:rFonts w:hint="eastAsia"/>
        </w:rPr>
        <w:t>建立好消费者档案，必要时提供送货上门服务及给予亲情关怀；</w:t>
      </w:r>
    </w:p>
    <w:p>
      <w:pPr>
        <w:pStyle w:val="174"/>
      </w:pPr>
      <w:r>
        <w:rPr>
          <w:rFonts w:hint="eastAsia"/>
        </w:rPr>
        <w:t>合理运用互联网工具，不定期合法发布店铺新品、促销信息或经营动态。</w:t>
      </w:r>
    </w:p>
    <w:p>
      <w:pPr>
        <w:pStyle w:val="65"/>
        <w:spacing w:before="156" w:after="156"/>
      </w:pPr>
      <w:r>
        <w:rPr>
          <w:rFonts w:hint="eastAsia"/>
        </w:rPr>
        <w:t>卷烟经营异常提醒</w:t>
      </w:r>
    </w:p>
    <w:p>
      <w:pPr>
        <w:pStyle w:val="164"/>
      </w:pPr>
      <w:r>
        <w:rPr>
          <w:rFonts w:hint="eastAsia"/>
        </w:rPr>
        <w:t>营销人员服务过程中宜及时关注卷烟零售客户经营情况，对出现经营异常情况的应及时提醒，包括但不限于：</w:t>
      </w:r>
    </w:p>
    <w:p>
      <w:pPr>
        <w:pStyle w:val="174"/>
        <w:numPr>
          <w:ilvl w:val="0"/>
          <w:numId w:val="52"/>
        </w:numPr>
      </w:pPr>
      <w:r>
        <w:rPr>
          <w:rFonts w:hint="eastAsia"/>
        </w:rPr>
        <w:t>常期不开门营业或拟门面转让；</w:t>
      </w:r>
    </w:p>
    <w:p>
      <w:pPr>
        <w:pStyle w:val="174"/>
      </w:pPr>
      <w:r>
        <w:rPr>
          <w:rFonts w:hint="eastAsia"/>
        </w:rPr>
        <w:t>订购卷烟量或订购品规数量大幅减少；</w:t>
      </w:r>
    </w:p>
    <w:p>
      <w:pPr>
        <w:pStyle w:val="174"/>
      </w:pPr>
      <w:r>
        <w:rPr>
          <w:rFonts w:hint="eastAsia"/>
        </w:rPr>
        <w:t>订购日程内未订购卷烟或未结算；</w:t>
      </w:r>
    </w:p>
    <w:p>
      <w:pPr>
        <w:pStyle w:val="174"/>
      </w:pPr>
      <w:r>
        <w:rPr>
          <w:rFonts w:hint="eastAsia"/>
        </w:rPr>
        <w:t>与其它零售客户同IP/ID订购或同卡结算货款；</w:t>
      </w:r>
    </w:p>
    <w:p>
      <w:pPr>
        <w:pStyle w:val="174"/>
      </w:pPr>
      <w:r>
        <w:rPr>
          <w:rFonts w:hint="eastAsia"/>
        </w:rPr>
        <w:t>被他人收购卷烟或收购他人卷烟；</w:t>
      </w:r>
    </w:p>
    <w:p>
      <w:pPr>
        <w:pStyle w:val="174"/>
      </w:pPr>
      <w:r>
        <w:rPr>
          <w:rFonts w:hint="eastAsia"/>
        </w:rPr>
        <w:t>销售“假私非”卷烟等其它违法违规行为；</w:t>
      </w:r>
    </w:p>
    <w:p>
      <w:pPr>
        <w:pStyle w:val="174"/>
      </w:pPr>
      <w:r>
        <w:rPr>
          <w:rFonts w:hint="eastAsia"/>
        </w:rPr>
        <w:t>经营档位与实际经营能力严重不符；</w:t>
      </w:r>
    </w:p>
    <w:p>
      <w:pPr>
        <w:pStyle w:val="174"/>
      </w:pPr>
      <w:r>
        <w:rPr>
          <w:rFonts w:hint="eastAsia"/>
        </w:rPr>
        <w:t>公司对卷烟经营异常的相关管理措施或办法；</w:t>
      </w:r>
    </w:p>
    <w:p>
      <w:pPr>
        <w:pStyle w:val="174"/>
      </w:pPr>
      <w:r>
        <w:rPr>
          <w:rFonts w:hint="eastAsia"/>
        </w:rPr>
        <w:t>辖区内其它零售客户违法违规被查处后的处理情况。</w:t>
      </w:r>
    </w:p>
    <w:p>
      <w:pPr>
        <w:pStyle w:val="164"/>
      </w:pPr>
      <w:r>
        <w:rPr>
          <w:rFonts w:hint="eastAsia"/>
        </w:rPr>
        <w:t>提醒或告知可采取线上信息发布，也可采取培训方式，对情节严重的宜采取一对一告知。</w:t>
      </w:r>
    </w:p>
    <w:p>
      <w:pPr>
        <w:pStyle w:val="104"/>
        <w:spacing w:before="312" w:after="312"/>
      </w:pPr>
      <w:bookmarkStart w:id="97" w:name="_Toc99631214"/>
      <w:bookmarkStart w:id="98" w:name="_Toc99629579"/>
      <w:bookmarkStart w:id="99" w:name="_Toc99629600"/>
      <w:bookmarkStart w:id="100" w:name="_Toc99631934"/>
      <w:r>
        <w:rPr>
          <w:rFonts w:hint="eastAsia"/>
        </w:rPr>
        <w:t>个性化服务</w:t>
      </w:r>
      <w:bookmarkEnd w:id="97"/>
      <w:bookmarkEnd w:id="98"/>
      <w:bookmarkEnd w:id="99"/>
      <w:bookmarkEnd w:id="100"/>
    </w:p>
    <w:p>
      <w:pPr>
        <w:pStyle w:val="56"/>
        <w:ind w:firstLine="420"/>
      </w:pPr>
      <w:r>
        <w:rPr>
          <w:rFonts w:hint="eastAsia"/>
        </w:rPr>
        <w:t>个性化服务内容与</w:t>
      </w:r>
      <w:bookmarkStart w:id="150" w:name="_GoBack"/>
      <w:bookmarkEnd w:id="150"/>
      <w:r>
        <w:rPr>
          <w:rFonts w:hint="eastAsia"/>
        </w:rPr>
        <w:t>要求见附录。</w:t>
      </w:r>
    </w:p>
    <w:p>
      <w:pPr>
        <w:pStyle w:val="104"/>
        <w:spacing w:before="312" w:after="312"/>
      </w:pPr>
      <w:bookmarkStart w:id="101" w:name="_Toc99629580"/>
      <w:bookmarkStart w:id="102" w:name="_Toc99631215"/>
      <w:bookmarkStart w:id="103" w:name="_Toc99629601"/>
      <w:bookmarkStart w:id="104" w:name="_Toc99631935"/>
      <w:r>
        <w:rPr>
          <w:rFonts w:hint="eastAsia"/>
        </w:rPr>
        <w:t>特色服务</w:t>
      </w:r>
      <w:bookmarkEnd w:id="101"/>
      <w:bookmarkEnd w:id="102"/>
      <w:bookmarkEnd w:id="103"/>
      <w:bookmarkEnd w:id="104"/>
    </w:p>
    <w:p>
      <w:pPr>
        <w:pStyle w:val="105"/>
        <w:spacing w:before="156" w:after="156"/>
      </w:pPr>
      <w:bookmarkStart w:id="105" w:name="_Toc99631216"/>
      <w:bookmarkStart w:id="106" w:name="_Toc99629602"/>
      <w:bookmarkStart w:id="107" w:name="_Toc99631936"/>
      <w:r>
        <w:rPr>
          <w:rFonts w:hint="eastAsia"/>
        </w:rPr>
        <w:t>情感维系</w:t>
      </w:r>
      <w:bookmarkEnd w:id="105"/>
      <w:bookmarkEnd w:id="106"/>
      <w:bookmarkEnd w:id="107"/>
    </w:p>
    <w:p>
      <w:pPr>
        <w:pStyle w:val="165"/>
      </w:pPr>
      <w:r>
        <w:rPr>
          <w:rFonts w:hint="eastAsia"/>
        </w:rPr>
        <w:t>组建志愿者服务小队，提供义务劳动服务。</w:t>
      </w:r>
    </w:p>
    <w:p>
      <w:pPr>
        <w:pStyle w:val="165"/>
      </w:pPr>
      <w:r>
        <w:rPr>
          <w:rFonts w:hint="eastAsia"/>
        </w:rPr>
        <w:t>遇重大节日、事件等情况，开展卫生大扫除，积极帮助农村零售户改善人居环境。</w:t>
      </w:r>
    </w:p>
    <w:p>
      <w:pPr>
        <w:pStyle w:val="165"/>
      </w:pPr>
      <w:r>
        <w:rPr>
          <w:rFonts w:hint="eastAsia"/>
        </w:rPr>
        <w:t>送“维修服务下乡”等活动，为当地村民提供电脑维护等服务。</w:t>
      </w:r>
    </w:p>
    <w:p>
      <w:pPr>
        <w:pStyle w:val="105"/>
        <w:spacing w:before="156" w:after="156"/>
      </w:pPr>
      <w:bookmarkStart w:id="108" w:name="_Toc99629603"/>
      <w:bookmarkStart w:id="109" w:name="_Toc99631937"/>
      <w:bookmarkStart w:id="110" w:name="_Toc99631217"/>
      <w:r>
        <w:rPr>
          <w:rFonts w:hint="eastAsia"/>
        </w:rPr>
        <w:t>货源供应</w:t>
      </w:r>
      <w:bookmarkEnd w:id="108"/>
      <w:bookmarkEnd w:id="109"/>
      <w:bookmarkEnd w:id="110"/>
    </w:p>
    <w:p>
      <w:pPr>
        <w:pStyle w:val="56"/>
        <w:ind w:firstLine="420"/>
      </w:pPr>
      <w:r>
        <w:rPr>
          <w:rFonts w:hint="eastAsia"/>
        </w:rPr>
        <w:t>通过个性化货源策略选取适量溢价卷烟，满足稳增创收的盈利需求。</w:t>
      </w:r>
    </w:p>
    <w:p>
      <w:pPr>
        <w:pStyle w:val="105"/>
        <w:spacing w:before="156" w:after="156"/>
      </w:pPr>
      <w:bookmarkStart w:id="111" w:name="_Toc99631938"/>
      <w:bookmarkStart w:id="112" w:name="_Toc99631218"/>
      <w:bookmarkStart w:id="113" w:name="_Toc99629604"/>
      <w:r>
        <w:rPr>
          <w:rFonts w:hint="eastAsia"/>
        </w:rPr>
        <w:t>爱心帮扶</w:t>
      </w:r>
      <w:bookmarkEnd w:id="111"/>
      <w:bookmarkEnd w:id="112"/>
      <w:bookmarkEnd w:id="113"/>
    </w:p>
    <w:p>
      <w:pPr>
        <w:pStyle w:val="165"/>
      </w:pPr>
      <w:r>
        <w:rPr>
          <w:rFonts w:hint="eastAsia"/>
        </w:rPr>
        <w:t>给家有学生的零售户赠送书籍和学习用品，为考入大学、家庭经济较困难的零售客户子女，提供助学金，帮助继续接受教育。</w:t>
      </w:r>
    </w:p>
    <w:p>
      <w:pPr>
        <w:pStyle w:val="165"/>
      </w:pPr>
      <w:r>
        <w:rPr>
          <w:rFonts w:hint="eastAsia"/>
        </w:rPr>
        <w:t>针对患有严重疾病（零售客户本人或三代以内直系亲属）导致家庭困难的零售客户，提供医疗援助。</w:t>
      </w:r>
    </w:p>
    <w:p>
      <w:pPr>
        <w:pStyle w:val="165"/>
      </w:pPr>
      <w:r>
        <w:rPr>
          <w:rFonts w:hint="eastAsia"/>
        </w:rPr>
        <w:t>遭受突发灾祸的客户和本人或直系亲属发生丧事的客户的关怀发放慰问金；</w:t>
      </w:r>
    </w:p>
    <w:p>
      <w:pPr>
        <w:pStyle w:val="105"/>
        <w:spacing w:before="156" w:after="156"/>
      </w:pPr>
      <w:bookmarkStart w:id="114" w:name="_Toc99629605"/>
      <w:bookmarkStart w:id="115" w:name="_Toc99631219"/>
      <w:bookmarkStart w:id="116" w:name="_Toc99631939"/>
      <w:r>
        <w:rPr>
          <w:rFonts w:hint="eastAsia"/>
        </w:rPr>
        <w:t>送课下乡</w:t>
      </w:r>
      <w:bookmarkEnd w:id="114"/>
      <w:bookmarkEnd w:id="115"/>
      <w:bookmarkEnd w:id="116"/>
    </w:p>
    <w:p>
      <w:pPr>
        <w:pStyle w:val="56"/>
        <w:ind w:firstLine="420"/>
      </w:pPr>
      <w:r>
        <w:rPr>
          <w:rFonts w:hint="eastAsia"/>
        </w:rPr>
        <w:t>针对农村客户分部不集中，较为分散的实际，结合零售客户特点，开展“送课下乡”培训活动。</w:t>
      </w:r>
    </w:p>
    <w:p>
      <w:pPr>
        <w:pStyle w:val="105"/>
        <w:spacing w:before="156" w:after="156"/>
      </w:pPr>
      <w:bookmarkStart w:id="117" w:name="_Toc99631940"/>
      <w:bookmarkStart w:id="118" w:name="_Toc99631220"/>
      <w:bookmarkStart w:id="119" w:name="_Toc99629606"/>
      <w:r>
        <w:rPr>
          <w:rFonts w:hint="eastAsia"/>
        </w:rPr>
        <w:t>法律咨询</w:t>
      </w:r>
      <w:bookmarkEnd w:id="117"/>
      <w:bookmarkEnd w:id="118"/>
      <w:bookmarkEnd w:id="119"/>
    </w:p>
    <w:p>
      <w:pPr>
        <w:pStyle w:val="56"/>
        <w:ind w:firstLine="420"/>
      </w:pPr>
      <w:r>
        <w:rPr>
          <w:rFonts w:hint="eastAsia"/>
        </w:rPr>
        <w:t>为零售户提供法律常识普及、咨询活动。</w:t>
      </w:r>
    </w:p>
    <w:p>
      <w:pPr>
        <w:pStyle w:val="104"/>
        <w:spacing w:before="312" w:after="312"/>
      </w:pPr>
      <w:bookmarkStart w:id="120" w:name="_Toc99629607"/>
      <w:bookmarkStart w:id="121" w:name="_Toc99631941"/>
      <w:bookmarkStart w:id="122" w:name="_Toc99631221"/>
      <w:bookmarkStart w:id="123" w:name="_Toc99629581"/>
      <w:r>
        <w:rPr>
          <w:rFonts w:hint="eastAsia"/>
        </w:rPr>
        <w:t>服务监测</w:t>
      </w:r>
      <w:bookmarkEnd w:id="120"/>
      <w:bookmarkEnd w:id="121"/>
      <w:bookmarkEnd w:id="122"/>
      <w:bookmarkEnd w:id="123"/>
    </w:p>
    <w:p>
      <w:pPr>
        <w:pStyle w:val="105"/>
        <w:spacing w:before="156" w:after="156"/>
      </w:pPr>
      <w:bookmarkStart w:id="124" w:name="_Toc99631942"/>
      <w:bookmarkStart w:id="125" w:name="_Toc99631222"/>
      <w:bookmarkStart w:id="126" w:name="_Toc99629608"/>
      <w:r>
        <w:rPr>
          <w:rFonts w:hint="eastAsia"/>
        </w:rPr>
        <w:t>监测方式</w:t>
      </w:r>
      <w:bookmarkEnd w:id="124"/>
      <w:bookmarkEnd w:id="125"/>
      <w:bookmarkEnd w:id="126"/>
    </w:p>
    <w:p>
      <w:pPr>
        <w:pStyle w:val="56"/>
        <w:ind w:firstLine="420"/>
      </w:pPr>
      <w:r>
        <w:rPr>
          <w:rFonts w:hint="eastAsia"/>
        </w:rPr>
        <w:t>服务监测包括但不限于以下方式：</w:t>
      </w:r>
    </w:p>
    <w:p>
      <w:pPr>
        <w:pStyle w:val="174"/>
        <w:numPr>
          <w:ilvl w:val="0"/>
          <w:numId w:val="53"/>
        </w:numPr>
      </w:pPr>
      <w:r>
        <w:rPr>
          <w:rFonts w:hint="eastAsia"/>
        </w:rPr>
        <w:t>96368服务热线接收卷烟零售客户咨询和投诉，对投诉客户予以回访；</w:t>
      </w:r>
    </w:p>
    <w:p>
      <w:pPr>
        <w:pStyle w:val="174"/>
      </w:pPr>
      <w:r>
        <w:rPr>
          <w:rFonts w:hint="eastAsia"/>
        </w:rPr>
        <w:t>第三方开展卷烟零售客户满意度调查；</w:t>
      </w:r>
    </w:p>
    <w:p>
      <w:pPr>
        <w:pStyle w:val="174"/>
      </w:pPr>
      <w:r>
        <w:rPr>
          <w:rFonts w:hint="eastAsia"/>
        </w:rPr>
        <w:t>上级或辖区内开展的卷烟营销工作质量检查、调研或暗访；</w:t>
      </w:r>
    </w:p>
    <w:p>
      <w:pPr>
        <w:pStyle w:val="174"/>
      </w:pPr>
      <w:r>
        <w:rPr>
          <w:rFonts w:hint="eastAsia"/>
        </w:rPr>
        <w:t>条件允许的可开通网上在线接收卷烟零售客户的咨询和投诉；</w:t>
      </w:r>
    </w:p>
    <w:p>
      <w:pPr>
        <w:pStyle w:val="174"/>
      </w:pPr>
      <w:r>
        <w:rPr>
          <w:rFonts w:hint="eastAsia"/>
        </w:rPr>
        <w:t>营销人员移动办公平台相关拜访数据和服务内容。</w:t>
      </w:r>
    </w:p>
    <w:p>
      <w:pPr>
        <w:pStyle w:val="105"/>
        <w:spacing w:before="156" w:after="156"/>
      </w:pPr>
      <w:bookmarkStart w:id="127" w:name="_Toc99629609"/>
      <w:bookmarkStart w:id="128" w:name="_Toc99631223"/>
      <w:bookmarkStart w:id="129" w:name="_Toc99631943"/>
      <w:r>
        <w:rPr>
          <w:rFonts w:hint="eastAsia"/>
        </w:rPr>
        <w:t>监测内容</w:t>
      </w:r>
      <w:bookmarkEnd w:id="127"/>
      <w:bookmarkEnd w:id="128"/>
      <w:bookmarkEnd w:id="129"/>
    </w:p>
    <w:p>
      <w:pPr>
        <w:pStyle w:val="56"/>
        <w:ind w:firstLine="420"/>
      </w:pPr>
      <w:r>
        <w:rPr>
          <w:rFonts w:hint="eastAsia"/>
        </w:rPr>
        <w:t>服务监测包括服务监督和测评，主要内容包括：</w:t>
      </w:r>
    </w:p>
    <w:p>
      <w:pPr>
        <w:pStyle w:val="174"/>
        <w:numPr>
          <w:ilvl w:val="0"/>
          <w:numId w:val="54"/>
        </w:numPr>
      </w:pPr>
      <w:r>
        <w:rPr>
          <w:rFonts w:hint="eastAsia"/>
        </w:rPr>
        <w:t>卷烟营销各岗位职责、工作制度的履行、执行情况；</w:t>
      </w:r>
    </w:p>
    <w:p>
      <w:pPr>
        <w:pStyle w:val="174"/>
      </w:pPr>
      <w:r>
        <w:rPr>
          <w:rFonts w:hint="eastAsia"/>
        </w:rPr>
        <w:t>服务标准执行的公平和公正性；</w:t>
      </w:r>
    </w:p>
    <w:p>
      <w:pPr>
        <w:pStyle w:val="174"/>
      </w:pPr>
      <w:r>
        <w:rPr>
          <w:rFonts w:hint="eastAsia"/>
        </w:rPr>
        <w:t>客户投诉处理情况，客户对公司服务内容、效率、质量的满意情况；</w:t>
      </w:r>
    </w:p>
    <w:p>
      <w:pPr>
        <w:pStyle w:val="174"/>
      </w:pPr>
      <w:r>
        <w:rPr>
          <w:rFonts w:hint="eastAsia"/>
        </w:rPr>
        <w:t>维护消费者权利，处理消费投诉情况。</w:t>
      </w:r>
    </w:p>
    <w:p>
      <w:pPr>
        <w:pStyle w:val="105"/>
        <w:spacing w:before="156" w:after="156"/>
      </w:pPr>
      <w:bookmarkStart w:id="130" w:name="_Toc99631224"/>
      <w:bookmarkStart w:id="131" w:name="_Toc99629610"/>
      <w:bookmarkStart w:id="132" w:name="_Toc99631944"/>
      <w:r>
        <w:rPr>
          <w:rFonts w:hint="eastAsia"/>
        </w:rPr>
        <w:t>监测要求</w:t>
      </w:r>
      <w:bookmarkEnd w:id="130"/>
      <w:bookmarkEnd w:id="131"/>
      <w:bookmarkEnd w:id="132"/>
    </w:p>
    <w:p>
      <w:pPr>
        <w:pStyle w:val="56"/>
        <w:ind w:firstLine="420"/>
      </w:pPr>
      <w:r>
        <w:rPr>
          <w:rFonts w:hint="eastAsia"/>
        </w:rPr>
        <w:t>服务监测要求主要包括：</w:t>
      </w:r>
    </w:p>
    <w:p>
      <w:pPr>
        <w:pStyle w:val="174"/>
        <w:numPr>
          <w:ilvl w:val="0"/>
          <w:numId w:val="55"/>
        </w:numPr>
      </w:pPr>
      <w:r>
        <w:rPr>
          <w:rFonts w:hint="eastAsia"/>
        </w:rPr>
        <w:t>辖区卷烟零售客户对“96368”服务热线知晓率达85%以上，对某辖区服务时间超过3个月的客户经理电话知晓率应达100%。</w:t>
      </w:r>
    </w:p>
    <w:p>
      <w:pPr>
        <w:pStyle w:val="174"/>
      </w:pPr>
      <w:r>
        <w:rPr>
          <w:rFonts w:hint="eastAsia"/>
        </w:rPr>
        <w:t>省级卷烟营销部门每年组织各种方式的满意度测评不低于两次，市级不低于一季度一次，鼓励有条件的县级卷烟营销部门每季度开展一次，并对测评结果予以通报及纳入工作质量考核。</w:t>
      </w:r>
    </w:p>
    <w:p>
      <w:pPr>
        <w:pStyle w:val="174"/>
      </w:pPr>
      <w:r>
        <w:rPr>
          <w:rFonts w:hint="eastAsia"/>
        </w:rPr>
        <w:t>市级卷烟营销部门应将下级卷烟营销部门的服务工作质量情况纳入营销工作质量考核，并开展现场服务工作质量督查每半年不低于一次。</w:t>
      </w:r>
    </w:p>
    <w:p>
      <w:pPr>
        <w:pStyle w:val="174"/>
      </w:pPr>
      <w:r>
        <w:rPr>
          <w:rFonts w:hint="eastAsia"/>
        </w:rPr>
        <w:t>县级卷烟营销部门开展日常服务工作督查每月每位客户经理不低于5户。</w:t>
      </w:r>
    </w:p>
    <w:p>
      <w:pPr>
        <w:pStyle w:val="174"/>
      </w:pPr>
      <w:r>
        <w:rPr>
          <w:rFonts w:hint="eastAsia"/>
        </w:rPr>
        <w:t>所有监测工作均应有工作底稿，省市级满意度监测应有监测分析报告，并有改善服务工作质量的具体措施。</w:t>
      </w:r>
    </w:p>
    <w:p>
      <w:pPr>
        <w:pStyle w:val="174"/>
      </w:pPr>
      <w:r>
        <w:rPr>
          <w:rFonts w:hint="eastAsia"/>
        </w:rPr>
        <w:t xml:space="preserve">所有客户投诉各级卷烟营销部门应有记录、有处理、有反馈、并要分析原因，有解决和防范投诉的具体工作措施。 </w:t>
      </w:r>
    </w:p>
    <w:p>
      <w:pPr>
        <w:pStyle w:val="104"/>
        <w:spacing w:before="312" w:after="312"/>
      </w:pPr>
      <w:bookmarkStart w:id="133" w:name="_Toc99631225"/>
      <w:bookmarkStart w:id="134" w:name="_Toc99631945"/>
      <w:bookmarkStart w:id="135" w:name="_Toc99629582"/>
      <w:bookmarkStart w:id="136" w:name="_Toc99629611"/>
      <w:r>
        <w:rPr>
          <w:rFonts w:hint="eastAsia"/>
        </w:rPr>
        <w:t>服务评价与改进</w:t>
      </w:r>
      <w:bookmarkEnd w:id="133"/>
      <w:bookmarkEnd w:id="134"/>
      <w:bookmarkEnd w:id="135"/>
      <w:bookmarkEnd w:id="136"/>
    </w:p>
    <w:p>
      <w:pPr>
        <w:pStyle w:val="105"/>
        <w:spacing w:before="156" w:after="156"/>
      </w:pPr>
      <w:bookmarkStart w:id="137" w:name="_Toc99629612"/>
      <w:bookmarkStart w:id="138" w:name="_Toc99631226"/>
      <w:bookmarkStart w:id="139" w:name="_Toc99631946"/>
      <w:r>
        <w:rPr>
          <w:rFonts w:hint="eastAsia"/>
        </w:rPr>
        <w:t>服务评价</w:t>
      </w:r>
      <w:bookmarkEnd w:id="137"/>
      <w:bookmarkEnd w:id="138"/>
      <w:bookmarkEnd w:id="139"/>
    </w:p>
    <w:p>
      <w:pPr>
        <w:pStyle w:val="65"/>
        <w:spacing w:before="156" w:after="156"/>
      </w:pPr>
      <w:r>
        <w:rPr>
          <w:rFonts w:hint="eastAsia"/>
        </w:rPr>
        <w:t>月度评价</w:t>
      </w:r>
    </w:p>
    <w:p>
      <w:pPr>
        <w:pStyle w:val="56"/>
        <w:ind w:firstLine="420"/>
      </w:pPr>
      <w:r>
        <w:rPr>
          <w:rFonts w:hint="eastAsia"/>
        </w:rPr>
        <w:t>每月各县级分公司应通过汇总整理客户投诉信息、汇总市场督察情况，统计关键服务指标达成情况，对营销人员的服务态度和服务质量进行专项考核评价。</w:t>
      </w:r>
    </w:p>
    <w:p>
      <w:pPr>
        <w:pStyle w:val="65"/>
        <w:spacing w:before="156" w:after="156"/>
      </w:pPr>
      <w:r>
        <w:rPr>
          <w:rFonts w:hint="eastAsia"/>
        </w:rPr>
        <w:t>年度评价</w:t>
      </w:r>
    </w:p>
    <w:p>
      <w:pPr>
        <w:pStyle w:val="164"/>
      </w:pPr>
      <w:r>
        <w:rPr>
          <w:rFonts w:hint="eastAsia"/>
        </w:rPr>
        <w:t>每年开展定期开展客户满意度调查，对整体服务质量进行评估。</w:t>
      </w:r>
    </w:p>
    <w:p>
      <w:pPr>
        <w:pStyle w:val="164"/>
      </w:pPr>
      <w:r>
        <w:rPr>
          <w:rFonts w:hint="eastAsia"/>
        </w:rPr>
        <w:t>满意度调查应着重调查卷烟供应、盈利水平、服务质量、客户需求满足等方面内容，全面收集零售客户意见。</w:t>
      </w:r>
    </w:p>
    <w:p>
      <w:pPr>
        <w:pStyle w:val="164"/>
      </w:pPr>
      <w:r>
        <w:rPr>
          <w:rFonts w:hint="eastAsia"/>
        </w:rPr>
        <w:t>调查应涵盖不同业态、区域和类型的零售客户。调查由市州公司统一安排、制定标准、组织实施。</w:t>
      </w:r>
    </w:p>
    <w:p>
      <w:pPr>
        <w:pStyle w:val="105"/>
        <w:spacing w:before="156" w:after="156"/>
      </w:pPr>
      <w:bookmarkStart w:id="140" w:name="_Toc99631947"/>
      <w:bookmarkStart w:id="141" w:name="_Toc99631227"/>
      <w:bookmarkStart w:id="142" w:name="_Toc99629613"/>
      <w:r>
        <w:rPr>
          <w:rFonts w:hint="eastAsia"/>
        </w:rPr>
        <w:t>服务改进与创新</w:t>
      </w:r>
      <w:bookmarkEnd w:id="140"/>
      <w:bookmarkEnd w:id="141"/>
      <w:bookmarkEnd w:id="142"/>
    </w:p>
    <w:p>
      <w:pPr>
        <w:pStyle w:val="65"/>
        <w:spacing w:before="156" w:after="156"/>
      </w:pPr>
      <w:r>
        <w:rPr>
          <w:rFonts w:hint="eastAsia"/>
        </w:rPr>
        <w:t>问题整改</w:t>
      </w:r>
    </w:p>
    <w:p>
      <w:pPr>
        <w:pStyle w:val="56"/>
        <w:ind w:firstLine="420"/>
      </w:pPr>
      <w:r>
        <w:rPr>
          <w:rFonts w:hint="eastAsia"/>
        </w:rPr>
        <w:t>各级卷烟营销部门应对各类督查、调查后形成的调查报告，召开营销座谈会，针对自身问题制定整改措施并严格落实，并应对各项整改措施实施情况进行跟踪，确保措施有效、整改到位。</w:t>
      </w:r>
    </w:p>
    <w:p>
      <w:pPr>
        <w:pStyle w:val="65"/>
        <w:spacing w:before="156" w:after="156"/>
      </w:pPr>
      <w:r>
        <w:rPr>
          <w:rFonts w:hint="eastAsia"/>
        </w:rPr>
        <w:t>服务竞赛</w:t>
      </w:r>
    </w:p>
    <w:p>
      <w:pPr>
        <w:pStyle w:val="56"/>
        <w:ind w:firstLine="420"/>
      </w:pPr>
      <w:r>
        <w:rPr>
          <w:rFonts w:hint="eastAsia"/>
        </w:rPr>
        <w:t>各级卷烟营销部门宜开展各类服务竞赛活动，鼓励营销人员改善服务态度，提升服务质量，促进客户满意度整体提升。</w:t>
      </w:r>
    </w:p>
    <w:p>
      <w:pPr>
        <w:pStyle w:val="105"/>
        <w:spacing w:before="156" w:after="156"/>
      </w:pPr>
      <w:bookmarkStart w:id="143" w:name="_Toc99631948"/>
      <w:bookmarkStart w:id="144" w:name="_Toc99631228"/>
      <w:bookmarkStart w:id="145" w:name="_Toc99629614"/>
      <w:r>
        <w:rPr>
          <w:rFonts w:hint="eastAsia"/>
        </w:rPr>
        <w:t>课题创新</w:t>
      </w:r>
      <w:bookmarkEnd w:id="143"/>
      <w:bookmarkEnd w:id="144"/>
      <w:bookmarkEnd w:id="145"/>
      <w:r>
        <w:rPr>
          <w:rFonts w:hint="eastAsia"/>
        </w:rPr>
        <w:t xml:space="preserve"> </w:t>
      </w:r>
    </w:p>
    <w:p>
      <w:pPr>
        <w:pStyle w:val="164"/>
      </w:pPr>
      <w:r>
        <w:rPr>
          <w:rFonts w:hint="eastAsia"/>
        </w:rPr>
        <w:t>鼓励各级卷烟营销部门通过QC课题，精益改善课题等形式，寻找影响客户满意度的根源，研讨服务举措，提升对卷烟零售客户的服务质量。</w:t>
      </w:r>
    </w:p>
    <w:p>
      <w:pPr>
        <w:pStyle w:val="164"/>
      </w:pPr>
      <w:r>
        <w:rPr>
          <w:rFonts w:hint="eastAsia"/>
        </w:rPr>
        <w:t>鼓励各级卷烟营销部门研发新的工具或通过互联网开发新的服务保障系统，畅通信息渠道，减少服务等待时间，提升服务效率，促进卷烟零售客户满意。</w:t>
      </w:r>
    </w:p>
    <w:p>
      <w:pPr>
        <w:pStyle w:val="164"/>
        <w:sectPr>
          <w:pgSz w:w="11906" w:h="16838"/>
          <w:pgMar w:top="1928" w:right="1134" w:bottom="1134" w:left="1134" w:header="1418" w:footer="1134" w:gutter="284"/>
          <w:pgNumType w:start="1"/>
          <w:cols w:space="425" w:num="1"/>
          <w:formProt w:val="0"/>
          <w:docGrid w:type="lines" w:linePitch="312" w:charSpace="0"/>
        </w:sectPr>
      </w:pPr>
    </w:p>
    <w:bookmarkEnd w:id="27"/>
    <w:p>
      <w:pPr>
        <w:pStyle w:val="198"/>
        <w:rPr>
          <w:vanish w:val="0"/>
        </w:rPr>
      </w:pPr>
      <w:bookmarkStart w:id="146" w:name="BookMark5"/>
    </w:p>
    <w:p>
      <w:pPr>
        <w:pStyle w:val="199"/>
        <w:rPr>
          <w:vanish w:val="0"/>
        </w:rPr>
      </w:pPr>
    </w:p>
    <w:p>
      <w:pPr>
        <w:pStyle w:val="76"/>
        <w:spacing w:after="156"/>
      </w:pPr>
      <w:r>
        <w:br w:type="textWrapping"/>
      </w:r>
      <w:bookmarkStart w:id="147" w:name="_Toc99631949"/>
      <w:r>
        <w:rPr>
          <w:rFonts w:hint="eastAsia"/>
        </w:rPr>
        <w:t>（规范性）</w:t>
      </w:r>
      <w:r>
        <w:br w:type="textWrapping"/>
      </w:r>
      <w:r>
        <w:rPr>
          <w:rFonts w:hint="eastAsia"/>
        </w:rPr>
        <w:t>个性化服务内容明细表</w:t>
      </w:r>
      <w:bookmarkEnd w:id="147"/>
    </w:p>
    <w:p>
      <w:pPr>
        <w:pStyle w:val="56"/>
        <w:ind w:firstLine="420"/>
      </w:pPr>
      <w:r>
        <w:rPr>
          <w:rFonts w:hint="eastAsia"/>
        </w:rPr>
        <w:t>个性化服务内容明细表见表A</w:t>
      </w:r>
      <w:r>
        <w:t>.1</w:t>
      </w:r>
      <w:r>
        <w:rPr>
          <w:rFonts w:hint="eastAsia"/>
        </w:rPr>
        <w:t>。</w:t>
      </w:r>
    </w:p>
    <w:p>
      <w:pPr>
        <w:pStyle w:val="77"/>
        <w:spacing w:before="156" w:after="156"/>
      </w:pPr>
      <w:r>
        <w:rPr>
          <w:rFonts w:hint="eastAsia"/>
        </w:rPr>
        <w:t>个性化服务内容明细表</w:t>
      </w:r>
    </w:p>
    <w:tbl>
      <w:tblPr>
        <w:tblStyle w:val="26"/>
        <w:tblW w:w="15211" w:type="dxa"/>
        <w:tblInd w:w="-289" w:type="dxa"/>
        <w:tblLayout w:type="autofit"/>
        <w:tblCellMar>
          <w:top w:w="0" w:type="dxa"/>
          <w:left w:w="108" w:type="dxa"/>
          <w:bottom w:w="0" w:type="dxa"/>
          <w:right w:w="108" w:type="dxa"/>
        </w:tblCellMar>
      </w:tblPr>
      <w:tblGrid>
        <w:gridCol w:w="1145"/>
        <w:gridCol w:w="1847"/>
        <w:gridCol w:w="1872"/>
        <w:gridCol w:w="2508"/>
        <w:gridCol w:w="2977"/>
        <w:gridCol w:w="4862"/>
      </w:tblGrid>
      <w:tr>
        <w:tblPrEx>
          <w:tblCellMar>
            <w:top w:w="0" w:type="dxa"/>
            <w:left w:w="108" w:type="dxa"/>
            <w:bottom w:w="0" w:type="dxa"/>
            <w:right w:w="108" w:type="dxa"/>
          </w:tblCellMar>
        </w:tblPrEx>
        <w:trPr>
          <w:trHeight w:val="720" w:hRule="atLeast"/>
        </w:trPr>
        <w:tc>
          <w:tcPr>
            <w:tcW w:w="1145"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bookmarkStart w:id="148" w:name="_Hlk99631448"/>
            <w:r>
              <w:rPr>
                <w:rFonts w:hint="eastAsia" w:ascii="宋体" w:hAnsi="宋体" w:cs="宋体"/>
                <w:color w:val="000000"/>
                <w:kern w:val="0"/>
                <w:sz w:val="18"/>
                <w:szCs w:val="18"/>
              </w:rPr>
              <w:t xml:space="preserve">      星级</w:t>
            </w:r>
          </w:p>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                 服务内容</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一星终端</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二星终端</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三星终端</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四星终端</w:t>
            </w:r>
          </w:p>
        </w:tc>
        <w:tc>
          <w:tcPr>
            <w:tcW w:w="48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五星终端</w:t>
            </w:r>
          </w:p>
        </w:tc>
      </w:tr>
      <w:tr>
        <w:tblPrEx>
          <w:tblCellMar>
            <w:top w:w="0" w:type="dxa"/>
            <w:left w:w="108" w:type="dxa"/>
            <w:bottom w:w="0" w:type="dxa"/>
            <w:right w:w="108" w:type="dxa"/>
          </w:tblCellMar>
        </w:tblPrEx>
        <w:trPr>
          <w:trHeight w:val="2316" w:hRule="atLeast"/>
        </w:trPr>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形象改善</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引导卷烟、非烟陈列</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引导卷烟、非烟陈列</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结合店面、广告资源等条件，提出店面优化、广告布置等提升店面经营环境及形象的建议</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结合店面、广告资源等条件，提出店面优化、广告布置等提升店面经营环境及形象的建议；</w:t>
            </w:r>
          </w:p>
        </w:tc>
        <w:tc>
          <w:tcPr>
            <w:tcW w:w="4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（1）提供“湘村636”整体VI形象设计，全程监督指导，确保“内涵丰富、美观雅致、风格鲜明”的形象效果。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（2）提供店内布局及装饰优化设计方案，按照“一店一方案”的方式，综合考虑每个店铺的店内实际结构、区域动线走向、商品陈列规则等，合理安排、科学布局。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（3）免费提供陈列柜2组地柜、2组背柜、1个收银柜，陈列柜、收银柜相互不替换。</w:t>
            </w:r>
          </w:p>
        </w:tc>
      </w:tr>
      <w:tr>
        <w:tblPrEx>
          <w:tblCellMar>
            <w:top w:w="0" w:type="dxa"/>
            <w:left w:w="108" w:type="dxa"/>
            <w:bottom w:w="0" w:type="dxa"/>
            <w:right w:w="108" w:type="dxa"/>
          </w:tblCellMar>
        </w:tblPrEx>
        <w:trPr>
          <w:trHeight w:val="594" w:hRule="atLeast"/>
        </w:trPr>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培训指导</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定期提供安全经营指导、卷烟进销存指导，指导一星向二星晋升</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通过单项对比分析和关联分析，制定针对性的经营指导书，指导二星向三星晋升</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建立预测系统，为客户提供有价值的信息。及时反馈场销售变化信息维护好零售客户的经济利益，指导三星向四星晋升</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1、定期开展品牌文化专题培训；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2、帮助分析市场潜力，掌握卷烟动态走势。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3、传授卷烟品牌推介方法、技巧；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4、指导四星向五星晋升</w:t>
            </w:r>
          </w:p>
        </w:tc>
        <w:tc>
          <w:tcPr>
            <w:tcW w:w="4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（1）提供品类组合、需求分析、线上拓客等多项专业化经营指导。</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（2）提供包括零售发展趋势、烟草行业政策、加盟管理制度、陈列技巧、沟通技能、新媒体营销、、互联网+新技术等多个模块学习培训。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（3）提供加盟终端客户成长计划，全面提升现代经营意识和能力。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（4）不定期举办“湘村636加盟经验分享会”，促进管理经验的提炼与分享。</w:t>
            </w:r>
          </w:p>
        </w:tc>
      </w:tr>
      <w:tr>
        <w:tblPrEx>
          <w:tblCellMar>
            <w:top w:w="0" w:type="dxa"/>
            <w:left w:w="108" w:type="dxa"/>
            <w:bottom w:w="0" w:type="dxa"/>
            <w:right w:w="108" w:type="dxa"/>
          </w:tblCellMar>
        </w:tblPrEx>
        <w:trPr>
          <w:trHeight w:val="2119" w:hRule="atLeast"/>
        </w:trPr>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数字服务</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（1）免费安装终端智能设备和零售终端信息系统。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（2）免费提供零售终端信息系统操作培训和后期维护。</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（1）免费安装终端智能设备和零售终端信息系统。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（2）免费提供零售终端信息系统操作培训和后期维护。</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（1）免费安装终端智能设备和零售终端信息系统。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（2）免费提供零售终端信息系统操作培训和后期维护。               (3)跟踪、分析采集信息，指导营业人员使用信息软件分析报表，并将结果应用于日常经营活动；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4、实施定期数据复核，保证数据的真实、有效。</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（1）免费安装终端智能设备和零售终端信息系统。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（2）免费提供零售终端信息系统操作培训和后期维护。               (3)跟踪、分析采集信息，指导营业人员使用信息软件分析报表，并将结果应用于日常经营活动；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4、实施定期数据复核，保证数据的真实、有效。</w:t>
            </w:r>
          </w:p>
        </w:tc>
        <w:tc>
          <w:tcPr>
            <w:tcW w:w="4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（1）免费安装终端智能设备和零售终端信息系统。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（2）免费提供零售终端信息系统操作培训和后期维护。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（3）提供经营数据的分析和运用服务，包含帮助加盟客户分析消费者人群构成、购买行为喜好、卷烟毛利、各品种卷烟毛利率、非烟商品毛利率、客单价、到店率、消费者画像等。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（4）优先引入智慧零售的新技术、新设备，促进加盟客户店铺经营的数字化升级。</w:t>
            </w:r>
          </w:p>
        </w:tc>
      </w:tr>
      <w:tr>
        <w:tblPrEx>
          <w:tblCellMar>
            <w:top w:w="0" w:type="dxa"/>
            <w:left w:w="108" w:type="dxa"/>
            <w:bottom w:w="0" w:type="dxa"/>
            <w:right w:w="108" w:type="dxa"/>
          </w:tblCellMar>
        </w:tblPrEx>
        <w:trPr>
          <w:trHeight w:val="1574" w:hRule="atLeast"/>
        </w:trPr>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会员管理</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1.建立消费者信息档案        </w:t>
            </w:r>
          </w:p>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2.帮助开展消费者维系</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1.建立消费者信息档案       </w:t>
            </w:r>
          </w:p>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 2.帮助开展消费者维系</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1.建立消费者信息档案        2.帮助开展消费者维系</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（1）提供加盟终端会员管理系统，支持单店会员管理与会员活动，实现门店会员促销活动宣传、商品展示和个性化定制等在线管理。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（2）基于统一的会员管理平台，为门店提供消费引流服务。</w:t>
            </w:r>
          </w:p>
        </w:tc>
        <w:tc>
          <w:tcPr>
            <w:tcW w:w="4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（1）提供加盟终端会员管理系统，支持单店会员管理与会员活动，实现门店会员促销活动宣传、商品展示和个性化定制等在线管理。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（2）基于统一的会员管理平台，为门店提供消费引流服务。</w:t>
            </w:r>
          </w:p>
        </w:tc>
      </w:tr>
      <w:tr>
        <w:tblPrEx>
          <w:tblCellMar>
            <w:top w:w="0" w:type="dxa"/>
            <w:left w:w="108" w:type="dxa"/>
            <w:bottom w:w="0" w:type="dxa"/>
            <w:right w:w="108" w:type="dxa"/>
          </w:tblCellMar>
        </w:tblPrEx>
        <w:trPr>
          <w:trHeight w:val="1020" w:hRule="atLeast"/>
        </w:trPr>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资源整合</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深化与金融机构的合作，积极破解零售客户存款难、融资难和转账费用高的问题，降低商户的资金成本</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深化与金融机构的合作，积极破解零售客户存款难、融资难和转账费用高的问题，降低商户的资金成本</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（1）优先获得工业企业提供的新品试销、品牌推广、消费品鉴等资源。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（2）优先提供烟草贷等金融服务，帮助加盟终端获得优惠的金融授信。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（3）在与市场监督管理部门和工业企业协商后，提供广告资源的统一运营服务，对店内广告位整体包装、策划、设计与运营。 </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（1）优先获得工业企业提供的新品试销、品牌推广、消费品鉴等资源。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（2）优先提供烟草贷等金融服务，帮助加盟终端获得优惠的金融授信。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（3）在与市场监督管理部门和工业企业协商后，提供广告资源的统一运营服务，对店内广告位整体包装、策划、设计与运营。 </w:t>
            </w:r>
          </w:p>
        </w:tc>
        <w:tc>
          <w:tcPr>
            <w:tcW w:w="4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（1）优先获得工业企业提供的新品试销、品牌推广、消费品鉴等资源。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（2）优先提供中维彩票经营、文明吸烟环境建设设施等便民项目。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（3）优先提供烟草贷等金融服务，帮助加盟终端获得优惠的金融授信。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（4）在与市场监督管理部门和工业企业协商后，提供广告资源的统一运营服务，对店内广告位整体包装、策划、设计与运营。       （</w:t>
            </w:r>
          </w:p>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5）提供“湘村636”专营商品和渠道定制商品，以及相应的配送服务。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（6）按照优选原则，与多品类经营、配送能力强的第三方供应商合作，提供便捷的集成订货通道。</w:t>
            </w:r>
          </w:p>
        </w:tc>
      </w:tr>
      <w:tr>
        <w:tblPrEx>
          <w:tblCellMar>
            <w:top w:w="0" w:type="dxa"/>
            <w:left w:w="108" w:type="dxa"/>
            <w:bottom w:w="0" w:type="dxa"/>
            <w:right w:w="108" w:type="dxa"/>
          </w:tblCellMar>
        </w:tblPrEx>
        <w:trPr>
          <w:trHeight w:val="1103" w:hRule="atLeast"/>
        </w:trPr>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传播矩阵</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形象展示窗口</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形象展示窗口</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示范引领作用，打造终端名片</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示范引领作用，打造终端名片</w:t>
            </w:r>
          </w:p>
        </w:tc>
        <w:tc>
          <w:tcPr>
            <w:tcW w:w="4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（1）搭建传播平台，讲好“湘村636”品牌故事，系统传播“湘村636”品牌形象，树立品牌价值，为加盟终端引流。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（2）整合传播资源，依托多种传播途径，增强品牌影响力，赋能加盟终端，真正提高加盟客户的获得感。</w:t>
            </w:r>
          </w:p>
        </w:tc>
      </w:tr>
      <w:bookmarkEnd w:id="148"/>
    </w:tbl>
    <w:p>
      <w:pPr>
        <w:pStyle w:val="56"/>
        <w:ind w:firstLine="420"/>
      </w:pPr>
    </w:p>
    <w:p>
      <w:pPr>
        <w:pStyle w:val="56"/>
        <w:ind w:firstLine="420"/>
      </w:pPr>
    </w:p>
    <w:bookmarkEnd w:id="146"/>
    <w:p>
      <w:pPr>
        <w:pStyle w:val="56"/>
        <w:ind w:firstLine="0" w:firstLineChars="0"/>
        <w:jc w:val="center"/>
      </w:pPr>
      <w:bookmarkStart w:id="149"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49"/>
    </w:p>
    <w:sectPr>
      <w:pgSz w:w="16838" w:h="11906" w:orient="landscape"/>
      <w:pgMar w:top="1134" w:right="1928" w:bottom="1134" w:left="1134" w:header="1418" w:footer="1134" w:gutter="284"/>
      <w:cols w:space="425" w:num="1"/>
      <w:formProt w:val="0"/>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567"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cryptProviderType="rsaAES" w:cryptAlgorithmClass="hash" w:cryptAlgorithmType="typeAny" w:cryptAlgorithmSid="14" w:cryptSpinCount="100000" w:hash="VTF0bTr0m5XEgd3bGd/AgSXtW+V1VsWAq7vskdGCDN+yWaCHmtGtICKiaxGKWU3jmPMc13t/G9stYX9CvRFjMQ==" w:salt="jdb5QZ3oclazS+V0aMXlB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6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4B84"/>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F20"/>
    <w:rsid w:val="0006357D"/>
    <w:rsid w:val="00067F1E"/>
    <w:rsid w:val="00071CC0"/>
    <w:rsid w:val="00073C8C"/>
    <w:rsid w:val="0007649A"/>
    <w:rsid w:val="00077B64"/>
    <w:rsid w:val="00080A1C"/>
    <w:rsid w:val="00082317"/>
    <w:rsid w:val="00083D2C"/>
    <w:rsid w:val="00085FF9"/>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0C8"/>
    <w:rsid w:val="000A5219"/>
    <w:rsid w:val="000A7311"/>
    <w:rsid w:val="000A79A9"/>
    <w:rsid w:val="000B060F"/>
    <w:rsid w:val="000B1592"/>
    <w:rsid w:val="000B1FF2"/>
    <w:rsid w:val="000B3CDA"/>
    <w:rsid w:val="000B6A0B"/>
    <w:rsid w:val="000C0F6C"/>
    <w:rsid w:val="000C11DB"/>
    <w:rsid w:val="000C1492"/>
    <w:rsid w:val="000C2FBD"/>
    <w:rsid w:val="000C4B41"/>
    <w:rsid w:val="000C4E63"/>
    <w:rsid w:val="000C57D6"/>
    <w:rsid w:val="000C6362"/>
    <w:rsid w:val="000C7666"/>
    <w:rsid w:val="000D0A9C"/>
    <w:rsid w:val="000D1795"/>
    <w:rsid w:val="000D329A"/>
    <w:rsid w:val="000D4B9C"/>
    <w:rsid w:val="000D4EB6"/>
    <w:rsid w:val="000D753B"/>
    <w:rsid w:val="000E448B"/>
    <w:rsid w:val="000E4C9E"/>
    <w:rsid w:val="000E6FD7"/>
    <w:rsid w:val="000F06E1"/>
    <w:rsid w:val="000F0E3C"/>
    <w:rsid w:val="000F19D5"/>
    <w:rsid w:val="000F4AEA"/>
    <w:rsid w:val="000F633F"/>
    <w:rsid w:val="000F67E9"/>
    <w:rsid w:val="00104926"/>
    <w:rsid w:val="00113B1E"/>
    <w:rsid w:val="00115E7B"/>
    <w:rsid w:val="0011711C"/>
    <w:rsid w:val="0012059C"/>
    <w:rsid w:val="001221B4"/>
    <w:rsid w:val="00124E4F"/>
    <w:rsid w:val="001260B7"/>
    <w:rsid w:val="001265CB"/>
    <w:rsid w:val="001321C6"/>
    <w:rsid w:val="001325C4"/>
    <w:rsid w:val="00133010"/>
    <w:rsid w:val="001338E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285"/>
    <w:rsid w:val="00194C95"/>
    <w:rsid w:val="00195C34"/>
    <w:rsid w:val="00196EF5"/>
    <w:rsid w:val="001A1A53"/>
    <w:rsid w:val="001A234A"/>
    <w:rsid w:val="001A4CF3"/>
    <w:rsid w:val="001B06E8"/>
    <w:rsid w:val="001B71D0"/>
    <w:rsid w:val="001B71EE"/>
    <w:rsid w:val="001C04A8"/>
    <w:rsid w:val="001C0CEF"/>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A05"/>
    <w:rsid w:val="00221B79"/>
    <w:rsid w:val="00221C6B"/>
    <w:rsid w:val="002253A1"/>
    <w:rsid w:val="00225CF8"/>
    <w:rsid w:val="0022794E"/>
    <w:rsid w:val="00233D64"/>
    <w:rsid w:val="0023482A"/>
    <w:rsid w:val="002359CB"/>
    <w:rsid w:val="00237F8A"/>
    <w:rsid w:val="00243540"/>
    <w:rsid w:val="0024497B"/>
    <w:rsid w:val="0024515B"/>
    <w:rsid w:val="00246021"/>
    <w:rsid w:val="0024666E"/>
    <w:rsid w:val="00247F52"/>
    <w:rsid w:val="00250B25"/>
    <w:rsid w:val="00250BBE"/>
    <w:rsid w:val="002515C2"/>
    <w:rsid w:val="0025194F"/>
    <w:rsid w:val="0026148A"/>
    <w:rsid w:val="00262696"/>
    <w:rsid w:val="00262A7F"/>
    <w:rsid w:val="00263D25"/>
    <w:rsid w:val="002643C3"/>
    <w:rsid w:val="00264A0C"/>
    <w:rsid w:val="00266EEB"/>
    <w:rsid w:val="00267EF4"/>
    <w:rsid w:val="00270CB8"/>
    <w:rsid w:val="00272B08"/>
    <w:rsid w:val="002771AC"/>
    <w:rsid w:val="00281BB8"/>
    <w:rsid w:val="00281E9E"/>
    <w:rsid w:val="00282405"/>
    <w:rsid w:val="00285170"/>
    <w:rsid w:val="00285361"/>
    <w:rsid w:val="002876E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C97"/>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1B1"/>
    <w:rsid w:val="002E6326"/>
    <w:rsid w:val="002F30E0"/>
    <w:rsid w:val="002F35E4"/>
    <w:rsid w:val="002F3730"/>
    <w:rsid w:val="002F38E1"/>
    <w:rsid w:val="002F52AA"/>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0E7"/>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6F14"/>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274"/>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003"/>
    <w:rsid w:val="003F6272"/>
    <w:rsid w:val="00400E72"/>
    <w:rsid w:val="00401400"/>
    <w:rsid w:val="00404869"/>
    <w:rsid w:val="00405884"/>
    <w:rsid w:val="004064EE"/>
    <w:rsid w:val="00407D39"/>
    <w:rsid w:val="004109FD"/>
    <w:rsid w:val="0041477A"/>
    <w:rsid w:val="004167A3"/>
    <w:rsid w:val="00430A9E"/>
    <w:rsid w:val="00432DAA"/>
    <w:rsid w:val="00434305"/>
    <w:rsid w:val="00435DF7"/>
    <w:rsid w:val="0044083F"/>
    <w:rsid w:val="00441AE7"/>
    <w:rsid w:val="004442A3"/>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1FA8"/>
    <w:rsid w:val="004A3A60"/>
    <w:rsid w:val="004A4B57"/>
    <w:rsid w:val="004A63FA"/>
    <w:rsid w:val="004B0272"/>
    <w:rsid w:val="004B2701"/>
    <w:rsid w:val="004B2E1B"/>
    <w:rsid w:val="004B3AA8"/>
    <w:rsid w:val="004B3E93"/>
    <w:rsid w:val="004B5E21"/>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6D7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0E77"/>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5DF"/>
    <w:rsid w:val="00614CC1"/>
    <w:rsid w:val="00615A9D"/>
    <w:rsid w:val="00617387"/>
    <w:rsid w:val="00617DE2"/>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DC9"/>
    <w:rsid w:val="00651ACB"/>
    <w:rsid w:val="00651C47"/>
    <w:rsid w:val="00652AB2"/>
    <w:rsid w:val="00653FED"/>
    <w:rsid w:val="00654EC0"/>
    <w:rsid w:val="0065525B"/>
    <w:rsid w:val="006556CE"/>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3C6B"/>
    <w:rsid w:val="006F6284"/>
    <w:rsid w:val="007002C5"/>
    <w:rsid w:val="00704387"/>
    <w:rsid w:val="00707669"/>
    <w:rsid w:val="00711CBA"/>
    <w:rsid w:val="00711FB5"/>
    <w:rsid w:val="00712A01"/>
    <w:rsid w:val="00714F58"/>
    <w:rsid w:val="00722FBF"/>
    <w:rsid w:val="00722FC2"/>
    <w:rsid w:val="00724879"/>
    <w:rsid w:val="00724E1B"/>
    <w:rsid w:val="00725949"/>
    <w:rsid w:val="00726A36"/>
    <w:rsid w:val="00727FA2"/>
    <w:rsid w:val="007322D9"/>
    <w:rsid w:val="00732BC0"/>
    <w:rsid w:val="0073470E"/>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C53"/>
    <w:rsid w:val="007A2E12"/>
    <w:rsid w:val="007A2F56"/>
    <w:rsid w:val="007A3475"/>
    <w:rsid w:val="007A41C8"/>
    <w:rsid w:val="007A54CE"/>
    <w:rsid w:val="007A6FD9"/>
    <w:rsid w:val="007A7FFA"/>
    <w:rsid w:val="007B04EB"/>
    <w:rsid w:val="007B0D4F"/>
    <w:rsid w:val="007B38F1"/>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17E"/>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672"/>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A7D3B"/>
    <w:rsid w:val="008B0C9C"/>
    <w:rsid w:val="008B166D"/>
    <w:rsid w:val="008B17F4"/>
    <w:rsid w:val="008B3615"/>
    <w:rsid w:val="008B4AC4"/>
    <w:rsid w:val="008B50C8"/>
    <w:rsid w:val="008B5281"/>
    <w:rsid w:val="008B5506"/>
    <w:rsid w:val="008B648E"/>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11C"/>
    <w:rsid w:val="008F23A5"/>
    <w:rsid w:val="008F4C29"/>
    <w:rsid w:val="008F70BD"/>
    <w:rsid w:val="008F788F"/>
    <w:rsid w:val="008F7EA2"/>
    <w:rsid w:val="00902722"/>
    <w:rsid w:val="009027BC"/>
    <w:rsid w:val="009062E6"/>
    <w:rsid w:val="00911BE5"/>
    <w:rsid w:val="00913CA9"/>
    <w:rsid w:val="009145AE"/>
    <w:rsid w:val="009146CE"/>
    <w:rsid w:val="00914C92"/>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5A41"/>
    <w:rsid w:val="00977010"/>
    <w:rsid w:val="00977D02"/>
    <w:rsid w:val="009809BB"/>
    <w:rsid w:val="00981C47"/>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1D7"/>
    <w:rsid w:val="00A138BA"/>
    <w:rsid w:val="00A14C8E"/>
    <w:rsid w:val="00A153D9"/>
    <w:rsid w:val="00A15F09"/>
    <w:rsid w:val="00A169B6"/>
    <w:rsid w:val="00A2271D"/>
    <w:rsid w:val="00A237D5"/>
    <w:rsid w:val="00A26043"/>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8E0"/>
    <w:rsid w:val="00A55BD6"/>
    <w:rsid w:val="00A55D50"/>
    <w:rsid w:val="00A57142"/>
    <w:rsid w:val="00A63D84"/>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23D1"/>
    <w:rsid w:val="00AA4286"/>
    <w:rsid w:val="00AA456B"/>
    <w:rsid w:val="00AA57F5"/>
    <w:rsid w:val="00AA672E"/>
    <w:rsid w:val="00AA6EC9"/>
    <w:rsid w:val="00AB41D5"/>
    <w:rsid w:val="00AB6309"/>
    <w:rsid w:val="00AB6C5F"/>
    <w:rsid w:val="00AB7129"/>
    <w:rsid w:val="00AB7185"/>
    <w:rsid w:val="00AC27A6"/>
    <w:rsid w:val="00AC30F7"/>
    <w:rsid w:val="00AC3A5A"/>
    <w:rsid w:val="00AC4D95"/>
    <w:rsid w:val="00AC5DF4"/>
    <w:rsid w:val="00AC7CB4"/>
    <w:rsid w:val="00AD0AEF"/>
    <w:rsid w:val="00AD11B7"/>
    <w:rsid w:val="00AD1A94"/>
    <w:rsid w:val="00AD1C05"/>
    <w:rsid w:val="00AD394F"/>
    <w:rsid w:val="00AD4126"/>
    <w:rsid w:val="00AD421C"/>
    <w:rsid w:val="00AD44FA"/>
    <w:rsid w:val="00AE070A"/>
    <w:rsid w:val="00AE101C"/>
    <w:rsid w:val="00AE37E5"/>
    <w:rsid w:val="00AE5EB4"/>
    <w:rsid w:val="00AE6E3C"/>
    <w:rsid w:val="00AF0C18"/>
    <w:rsid w:val="00AF47C5"/>
    <w:rsid w:val="00AF5398"/>
    <w:rsid w:val="00B049AF"/>
    <w:rsid w:val="00B07242"/>
    <w:rsid w:val="00B10534"/>
    <w:rsid w:val="00B113DB"/>
    <w:rsid w:val="00B11D8A"/>
    <w:rsid w:val="00B12981"/>
    <w:rsid w:val="00B147DD"/>
    <w:rsid w:val="00B156FD"/>
    <w:rsid w:val="00B21F61"/>
    <w:rsid w:val="00B221C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526"/>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4C3A"/>
    <w:rsid w:val="00C55125"/>
    <w:rsid w:val="00C55232"/>
    <w:rsid w:val="00C553A4"/>
    <w:rsid w:val="00C55A06"/>
    <w:rsid w:val="00C55D03"/>
    <w:rsid w:val="00C601BC"/>
    <w:rsid w:val="00C6329F"/>
    <w:rsid w:val="00C63340"/>
    <w:rsid w:val="00C643F9"/>
    <w:rsid w:val="00C64E95"/>
    <w:rsid w:val="00C71372"/>
    <w:rsid w:val="00C72410"/>
    <w:rsid w:val="00C7287F"/>
    <w:rsid w:val="00C75E44"/>
    <w:rsid w:val="00C80CB8"/>
    <w:rsid w:val="00C819F8"/>
    <w:rsid w:val="00C8248C"/>
    <w:rsid w:val="00C84E33"/>
    <w:rsid w:val="00C86D6F"/>
    <w:rsid w:val="00C905FC"/>
    <w:rsid w:val="00C92689"/>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BC9"/>
    <w:rsid w:val="00CE0C4F"/>
    <w:rsid w:val="00CE30EA"/>
    <w:rsid w:val="00CF048A"/>
    <w:rsid w:val="00CF1252"/>
    <w:rsid w:val="00CF155A"/>
    <w:rsid w:val="00CF2947"/>
    <w:rsid w:val="00CF2EB5"/>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46B"/>
    <w:rsid w:val="00D32719"/>
    <w:rsid w:val="00D33333"/>
    <w:rsid w:val="00D33457"/>
    <w:rsid w:val="00D336D7"/>
    <w:rsid w:val="00D352A2"/>
    <w:rsid w:val="00D4162B"/>
    <w:rsid w:val="00D4514F"/>
    <w:rsid w:val="00D451E2"/>
    <w:rsid w:val="00D45E89"/>
    <w:rsid w:val="00D45E8D"/>
    <w:rsid w:val="00D466AE"/>
    <w:rsid w:val="00D4734F"/>
    <w:rsid w:val="00D51BF3"/>
    <w:rsid w:val="00D6631F"/>
    <w:rsid w:val="00D66846"/>
    <w:rsid w:val="00D675FB"/>
    <w:rsid w:val="00D71F25"/>
    <w:rsid w:val="00D72A9C"/>
    <w:rsid w:val="00D77031"/>
    <w:rsid w:val="00D84941"/>
    <w:rsid w:val="00D84FA1"/>
    <w:rsid w:val="00D851F0"/>
    <w:rsid w:val="00D86DB7"/>
    <w:rsid w:val="00D926D0"/>
    <w:rsid w:val="00D93030"/>
    <w:rsid w:val="00D950E1"/>
    <w:rsid w:val="00D952A6"/>
    <w:rsid w:val="00D952D1"/>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3811"/>
    <w:rsid w:val="00DD4FE5"/>
    <w:rsid w:val="00DD54B0"/>
    <w:rsid w:val="00DD57EE"/>
    <w:rsid w:val="00DD6BCC"/>
    <w:rsid w:val="00DE0A4B"/>
    <w:rsid w:val="00DE18B5"/>
    <w:rsid w:val="00DE2410"/>
    <w:rsid w:val="00DE2939"/>
    <w:rsid w:val="00DE6E81"/>
    <w:rsid w:val="00DE703F"/>
    <w:rsid w:val="00DE7595"/>
    <w:rsid w:val="00DF1961"/>
    <w:rsid w:val="00DF44DE"/>
    <w:rsid w:val="00DF5F11"/>
    <w:rsid w:val="00E01138"/>
    <w:rsid w:val="00E02B0C"/>
    <w:rsid w:val="00E02DFB"/>
    <w:rsid w:val="00E030F9"/>
    <w:rsid w:val="00E0311A"/>
    <w:rsid w:val="00E03138"/>
    <w:rsid w:val="00E06404"/>
    <w:rsid w:val="00E065D2"/>
    <w:rsid w:val="00E07BAB"/>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6490"/>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087C"/>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61A"/>
    <w:rsid w:val="00E969D5"/>
    <w:rsid w:val="00EA25FE"/>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623"/>
    <w:rsid w:val="00F07B9D"/>
    <w:rsid w:val="00F11586"/>
    <w:rsid w:val="00F1183B"/>
    <w:rsid w:val="00F11C9F"/>
    <w:rsid w:val="00F12263"/>
    <w:rsid w:val="00F1409D"/>
    <w:rsid w:val="00F14214"/>
    <w:rsid w:val="00F157A9"/>
    <w:rsid w:val="00F25BB6"/>
    <w:rsid w:val="00F26B7E"/>
    <w:rsid w:val="00F27A3B"/>
    <w:rsid w:val="00F33817"/>
    <w:rsid w:val="00F36E60"/>
    <w:rsid w:val="00F420D5"/>
    <w:rsid w:val="00F451EA"/>
    <w:rsid w:val="00F45447"/>
    <w:rsid w:val="00F456C6"/>
    <w:rsid w:val="00F4577B"/>
    <w:rsid w:val="00F46496"/>
    <w:rsid w:val="00F474D0"/>
    <w:rsid w:val="00F50179"/>
    <w:rsid w:val="00F515EE"/>
    <w:rsid w:val="00F5185B"/>
    <w:rsid w:val="00F56511"/>
    <w:rsid w:val="00F60F89"/>
    <w:rsid w:val="00F6194E"/>
    <w:rsid w:val="00F623AC"/>
    <w:rsid w:val="00F6412A"/>
    <w:rsid w:val="00F65893"/>
    <w:rsid w:val="00F66A4A"/>
    <w:rsid w:val="00F71E22"/>
    <w:rsid w:val="00F72142"/>
    <w:rsid w:val="00F72AE7"/>
    <w:rsid w:val="00F777B4"/>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BE0"/>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E7C39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3E5DD306D5B4520A1A85E5EF0359003"/>
        <w:style w:val=""/>
        <w:category>
          <w:name w:val="常规"/>
          <w:gallery w:val="placeholder"/>
        </w:category>
        <w:types>
          <w:type w:val="bbPlcHdr"/>
        </w:types>
        <w:behaviors>
          <w:behavior w:val="content"/>
        </w:behaviors>
        <w:description w:val=""/>
        <w:guid w:val="{8B294B86-867A-47B3-A8D0-C5540B867B2F}"/>
      </w:docPartPr>
      <w:docPartBody>
        <w:p>
          <w:pPr>
            <w:pStyle w:val="5"/>
          </w:pPr>
          <w:r>
            <w:rPr>
              <w:rStyle w:val="4"/>
              <w:rFonts w:hint="eastAsia"/>
            </w:rPr>
            <w:t>单击或点击此处输入文字。</w:t>
          </w:r>
        </w:p>
      </w:docPartBody>
    </w:docPart>
    <w:docPart>
      <w:docPartPr>
        <w:name w:val="39A36887AE8A48B5B24372A76345A317"/>
        <w:style w:val=""/>
        <w:category>
          <w:name w:val="常规"/>
          <w:gallery w:val="placeholder"/>
        </w:category>
        <w:types>
          <w:type w:val="bbPlcHdr"/>
        </w:types>
        <w:behaviors>
          <w:behavior w:val="content"/>
        </w:behaviors>
        <w:description w:val=""/>
        <w:guid w:val="{97181189-5082-46EC-BB5A-A9ACA2D8A0A7}"/>
      </w:docPartPr>
      <w:docPartBody>
        <w:p>
          <w:pPr>
            <w:pStyle w:val="6"/>
          </w:pPr>
          <w:r>
            <w:rPr>
              <w:rStyle w:val="4"/>
              <w:rFonts w:hint="eastAsia"/>
            </w:rPr>
            <w:t>选择一项。</w:t>
          </w:r>
        </w:p>
      </w:docPartBody>
    </w:docPart>
    <w:docPart>
      <w:docPartPr>
        <w:name w:val="CF91F5260E9442A786C99A046FB5701B"/>
        <w:style w:val=""/>
        <w:category>
          <w:name w:val="常规"/>
          <w:gallery w:val="placeholder"/>
        </w:category>
        <w:types>
          <w:type w:val="bbPlcHdr"/>
        </w:types>
        <w:behaviors>
          <w:behavior w:val="content"/>
        </w:behaviors>
        <w:description w:val=""/>
        <w:guid w:val="{DF2004BD-8643-4047-A1DC-DC32A21E85F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43"/>
    <w:rsid w:val="000C14C0"/>
    <w:rsid w:val="001D48B9"/>
    <w:rsid w:val="003569EC"/>
    <w:rsid w:val="003B2813"/>
    <w:rsid w:val="003E5B5B"/>
    <w:rsid w:val="005B56FE"/>
    <w:rsid w:val="007B4061"/>
    <w:rsid w:val="00952258"/>
    <w:rsid w:val="00961A09"/>
    <w:rsid w:val="00BC6558"/>
    <w:rsid w:val="00C92834"/>
    <w:rsid w:val="00CD1C43"/>
    <w:rsid w:val="00D6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3E5DD306D5B4520A1A85E5EF03590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9A36887AE8A48B5B24372A76345A3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F91F5260E9442A786C99A046FB5701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Pages>
  <Words>2317</Words>
  <Characters>13213</Characters>
  <Lines>110</Lines>
  <Paragraphs>30</Paragraphs>
  <TotalTime>196</TotalTime>
  <ScaleCrop>false</ScaleCrop>
  <LinksUpToDate>false</LinksUpToDate>
  <CharactersWithSpaces>15500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2022-04-13T08:58:00Z</dcterms:created>
  <dc:creator>标准化协会</dc:creator>
  <dc:description>&lt;config cover="true" show_menu="true" version="1.0.0" doctype="SDKXY"&gt;_x000d_
&lt;/config&gt;</dc:description>
  <cp:lastModifiedBy>kylin</cp:lastModifiedBy>
  <cp:lastPrinted>2020-08-30T18:00:00Z</cp:lastPrinted>
  <dcterms:modified xsi:type="dcterms:W3CDTF">2023-12-27T09:13:51Z</dcterms:modified>
  <dc:title>地方标准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2052-11.8.2.9864</vt:lpwstr>
  </property>
</Properties>
</file>