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01.040.03</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12</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28"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政务服务大厅管理规范</w:t>
      </w:r>
    </w:p>
    <w:p>
      <w:pPr>
        <w:pStyle w:val="197"/>
        <w:framePr w:h="6974" w:hRule="exact" w:wrap="around" w:x="1419" w:anchorLock="1"/>
      </w:pPr>
      <w:r>
        <w:t>第6部分：政务服务电子档案管理</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Specifications for the management of government service hall —</w:t>
      </w:r>
    </w:p>
    <w:p>
      <w:pPr>
        <w:pStyle w:val="125"/>
        <w:framePr w:w="9639" w:h="6974" w:hRule="exact" w:wrap="around" w:vAnchor="page" w:hAnchor="page" w:x="1419" w:y="6408" w:anchorLock="1"/>
        <w:textAlignment w:val="bottom"/>
        <w:rPr>
          <w:rFonts w:eastAsia="黑体"/>
          <w:szCs w:val="28"/>
        </w:rPr>
      </w:pPr>
      <w:r>
        <w:rPr>
          <w:rFonts w:eastAsia="黑体"/>
          <w:szCs w:val="28"/>
        </w:rPr>
        <w:t>Part 6:Management standards of government service electronic archive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"_Toc98258700" </w:instrText>
      </w:r>
      <w:r>
        <w:fldChar w:fldCharType="separate"/>
      </w:r>
      <w:r>
        <w:rPr>
          <w:rStyle w:val="32"/>
        </w:rPr>
        <w:t>前言</w:t>
      </w:r>
      <w:r>
        <w:tab/>
      </w:r>
      <w:r>
        <w:fldChar w:fldCharType="begin"/>
      </w:r>
      <w:r>
        <w:instrText xml:space="preserve"> PAGEREF _Toc98258700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"_Toc98258701" </w:instrText>
      </w:r>
      <w:r>
        <w:fldChar w:fldCharType="separate"/>
      </w:r>
      <w:r>
        <w:rPr>
          <w:rStyle w:val="32"/>
        </w:rPr>
        <w:t>1  范围</w:t>
      </w:r>
      <w:r>
        <w:tab/>
      </w:r>
      <w:r>
        <w:fldChar w:fldCharType="begin"/>
      </w:r>
      <w:r>
        <w:instrText xml:space="preserve"> PAGEREF _Toc98258701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"_Toc98258702" </w:instrText>
      </w:r>
      <w:r>
        <w:fldChar w:fldCharType="separate"/>
      </w:r>
      <w:r>
        <w:rPr>
          <w:rStyle w:val="32"/>
        </w:rPr>
        <w:t>2  规范性引用文件</w:t>
      </w:r>
      <w:r>
        <w:tab/>
      </w:r>
      <w:r>
        <w:fldChar w:fldCharType="begin"/>
      </w:r>
      <w:r>
        <w:instrText xml:space="preserve"> PAGEREF _Toc98258702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"_Toc98258703" </w:instrText>
      </w:r>
      <w:r>
        <w:fldChar w:fldCharType="separate"/>
      </w:r>
      <w:r>
        <w:rPr>
          <w:rStyle w:val="32"/>
        </w:rPr>
        <w:t>3  术语和定义</w:t>
      </w:r>
      <w:r>
        <w:tab/>
      </w:r>
      <w:r>
        <w:fldChar w:fldCharType="begin"/>
      </w:r>
      <w:r>
        <w:instrText xml:space="preserve"> PAGEREF _Toc98258703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"_Toc98258704" </w:instrText>
      </w:r>
      <w:r>
        <w:fldChar w:fldCharType="separate"/>
      </w:r>
      <w:r>
        <w:rPr>
          <w:rStyle w:val="32"/>
        </w:rPr>
        <w:t>4  管理职责</w:t>
      </w:r>
      <w:r>
        <w:tab/>
      </w:r>
      <w:r>
        <w:fldChar w:fldCharType="begin"/>
      </w:r>
      <w:r>
        <w:instrText xml:space="preserve"> PAGEREF _Toc98258704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"_Toc98258705" </w:instrText>
      </w:r>
      <w:r>
        <w:fldChar w:fldCharType="separate"/>
      </w:r>
      <w:r>
        <w:rPr>
          <w:rStyle w:val="32"/>
        </w:rPr>
        <w:t>5  基本原则</w:t>
      </w:r>
      <w:r>
        <w:tab/>
      </w:r>
      <w:r>
        <w:fldChar w:fldCharType="begin"/>
      </w:r>
      <w:r>
        <w:instrText xml:space="preserve"> PAGEREF _Toc98258705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"_Toc98258706" </w:instrText>
      </w:r>
      <w:r>
        <w:fldChar w:fldCharType="separate"/>
      </w:r>
      <w:r>
        <w:rPr>
          <w:rStyle w:val="32"/>
        </w:rPr>
        <w:t>6  归档移交流程</w:t>
      </w:r>
      <w:r>
        <w:tab/>
      </w:r>
      <w:r>
        <w:fldChar w:fldCharType="begin"/>
      </w:r>
      <w:r>
        <w:instrText xml:space="preserve"> PAGEREF _Toc98258706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"_Toc98258707" </w:instrText>
      </w:r>
      <w:r>
        <w:fldChar w:fldCharType="separate"/>
      </w:r>
      <w:r>
        <w:rPr>
          <w:rStyle w:val="32"/>
        </w:rPr>
        <w:t>附录A（资料性附 录） 政务服务电子档案移交清单</w:t>
      </w:r>
      <w:r>
        <w:tab/>
      </w:r>
      <w:r>
        <w:fldChar w:fldCharType="begin"/>
      </w:r>
      <w:r>
        <w:instrText xml:space="preserve"> PAGEREF _Toc98258707 \h </w:instrText>
      </w:r>
      <w:r>
        <w:fldChar w:fldCharType="separate"/>
      </w:r>
      <w:r>
        <w:t>4</w:t>
      </w:r>
      <w:r>
        <w:fldChar w:fldCharType="end"/>
      </w:r>
      <w:r>
        <w:fldChar w:fldCharType="end"/>
      </w:r>
    </w:p>
    <w:p>
      <w:pPr>
        <w:pStyle w:val="91"/>
        <w:spacing w:after="468"/>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98258700"/>
      <w:bookmarkStart w:id="23" w:name="BookMark2"/>
      <w:r>
        <w:rPr>
          <w:spacing w:val="320"/>
        </w:rPr>
        <w:t>前</w:t>
      </w:r>
      <w:r>
        <w:t>言</w:t>
      </w:r>
      <w:bookmarkEnd w:id="22"/>
    </w:p>
    <w:p>
      <w:pPr>
        <w:pStyle w:val="56"/>
        <w:ind w:firstLine="420"/>
        <w:rPr>
          <w:rFonts w:hint="eastAsia"/>
        </w:rPr>
      </w:pPr>
      <w:r>
        <w:rPr>
          <w:rFonts w:hint="eastAsia"/>
        </w:rPr>
        <w:t>本文件按照GB/T 1.1—2020《标准化工作导则  第1部分：标准化文件的结构和起草规则》的规定起草。</w:t>
      </w:r>
    </w:p>
    <w:p>
      <w:pPr>
        <w:pStyle w:val="231"/>
        <w:numPr>
          <w:ilvl w:val="0"/>
          <w:numId w:val="0"/>
        </w:numPr>
        <w:ind w:firstLine="424" w:firstLineChars="202"/>
        <w:rPr>
          <w:rFonts w:hint="eastAsia"/>
          <w:color w:val="000000"/>
        </w:rPr>
      </w:pPr>
      <w:bookmarkStart w:id="24" w:name="_Hlk98258236"/>
      <w:r>
        <w:rPr>
          <w:rFonts w:hint="eastAsia"/>
          <w:color w:val="000000"/>
        </w:rPr>
        <w:t>本文件是DB43/T XXXX《政务服务大厅管理规范》的第</w:t>
      </w:r>
      <w:r>
        <w:rPr>
          <w:color w:val="000000"/>
        </w:rPr>
        <w:t>6</w:t>
      </w:r>
      <w:r>
        <w:rPr>
          <w:rFonts w:hint="eastAsia"/>
          <w:color w:val="000000"/>
        </w:rPr>
        <w:t>部分。DB43/T XXXX《政务服务大厅管理规范》包括以下部分：</w:t>
      </w:r>
    </w:p>
    <w:p>
      <w:pPr>
        <w:pStyle w:val="231"/>
        <w:numPr>
          <w:ilvl w:val="0"/>
          <w:numId w:val="21"/>
        </w:numPr>
        <w:tabs>
          <w:tab w:val="clear" w:pos="851"/>
        </w:tabs>
        <w:ind w:left="0" w:firstLine="360"/>
        <w:rPr>
          <w:rFonts w:hint="eastAsia"/>
          <w:color w:val="000000"/>
        </w:rPr>
      </w:pPr>
      <w:bookmarkStart w:id="25" w:name="_Hlk98258552"/>
      <w:r>
        <w:rPr>
          <w:rFonts w:hint="eastAsia"/>
          <w:color w:val="000000"/>
        </w:rPr>
        <w:t>第1部分：政务服务大厅建设；</w:t>
      </w:r>
    </w:p>
    <w:p>
      <w:pPr>
        <w:pStyle w:val="231"/>
        <w:numPr>
          <w:ilvl w:val="0"/>
          <w:numId w:val="21"/>
        </w:numPr>
        <w:tabs>
          <w:tab w:val="clear" w:pos="851"/>
        </w:tabs>
        <w:ind w:left="0" w:firstLine="360"/>
        <w:rPr>
          <w:rFonts w:hint="eastAsia"/>
          <w:color w:val="000000"/>
        </w:rPr>
      </w:pPr>
      <w:r>
        <w:rPr>
          <w:rFonts w:hint="eastAsia"/>
          <w:color w:val="000000"/>
        </w:rPr>
        <w:t>第2部分：政务服务平台建设与管理；</w:t>
      </w:r>
    </w:p>
    <w:p>
      <w:pPr>
        <w:pStyle w:val="231"/>
        <w:numPr>
          <w:ilvl w:val="0"/>
          <w:numId w:val="21"/>
        </w:numPr>
        <w:tabs>
          <w:tab w:val="clear" w:pos="851"/>
        </w:tabs>
        <w:ind w:left="0" w:firstLine="360"/>
        <w:rPr>
          <w:rFonts w:hint="eastAsia"/>
          <w:color w:val="000000"/>
        </w:rPr>
      </w:pPr>
      <w:r>
        <w:rPr>
          <w:rFonts w:hint="eastAsia"/>
          <w:color w:val="000000"/>
        </w:rPr>
        <w:t>第3部分：政务服务人员管理；</w:t>
      </w:r>
    </w:p>
    <w:p>
      <w:pPr>
        <w:pStyle w:val="231"/>
        <w:numPr>
          <w:ilvl w:val="0"/>
          <w:numId w:val="21"/>
        </w:numPr>
        <w:tabs>
          <w:tab w:val="clear" w:pos="851"/>
        </w:tabs>
        <w:ind w:left="0" w:firstLine="360"/>
        <w:rPr>
          <w:rFonts w:hint="eastAsia"/>
          <w:color w:val="000000"/>
        </w:rPr>
      </w:pPr>
      <w:r>
        <w:rPr>
          <w:rFonts w:hint="eastAsia"/>
          <w:color w:val="000000"/>
        </w:rPr>
        <w:t>第4部分：服务提供；</w:t>
      </w:r>
    </w:p>
    <w:p>
      <w:pPr>
        <w:pStyle w:val="231"/>
        <w:numPr>
          <w:ilvl w:val="0"/>
          <w:numId w:val="21"/>
        </w:numPr>
        <w:tabs>
          <w:tab w:val="clear" w:pos="851"/>
        </w:tabs>
        <w:ind w:left="0" w:firstLine="360"/>
        <w:rPr>
          <w:rFonts w:hint="eastAsia"/>
          <w:color w:val="000000"/>
        </w:rPr>
      </w:pPr>
      <w:r>
        <w:rPr>
          <w:rFonts w:hint="eastAsia"/>
          <w:color w:val="000000"/>
        </w:rPr>
        <w:t>第5部分：安全与应急处置；</w:t>
      </w:r>
    </w:p>
    <w:p>
      <w:pPr>
        <w:pStyle w:val="231"/>
        <w:numPr>
          <w:ilvl w:val="0"/>
          <w:numId w:val="21"/>
        </w:numPr>
        <w:tabs>
          <w:tab w:val="clear" w:pos="851"/>
        </w:tabs>
        <w:ind w:left="0" w:firstLine="360"/>
        <w:rPr>
          <w:rFonts w:hint="eastAsia"/>
          <w:color w:val="000000"/>
        </w:rPr>
      </w:pPr>
      <w:r>
        <w:rPr>
          <w:rFonts w:hint="eastAsia"/>
          <w:color w:val="000000"/>
        </w:rPr>
        <w:t>第6部分：政务服务电子档案管理；</w:t>
      </w:r>
    </w:p>
    <w:p>
      <w:pPr>
        <w:pStyle w:val="231"/>
        <w:numPr>
          <w:ilvl w:val="0"/>
          <w:numId w:val="21"/>
        </w:numPr>
        <w:tabs>
          <w:tab w:val="clear" w:pos="851"/>
        </w:tabs>
        <w:ind w:left="0" w:firstLine="360"/>
        <w:rPr>
          <w:rFonts w:hint="eastAsia"/>
          <w:color w:val="000000"/>
        </w:rPr>
      </w:pPr>
      <w:r>
        <w:rPr>
          <w:rFonts w:hint="eastAsia"/>
          <w:color w:val="000000"/>
        </w:rPr>
        <w:t>第7部分：政务服务质量控制；</w:t>
      </w:r>
    </w:p>
    <w:p>
      <w:pPr>
        <w:pStyle w:val="231"/>
        <w:numPr>
          <w:ilvl w:val="0"/>
          <w:numId w:val="21"/>
        </w:numPr>
        <w:tabs>
          <w:tab w:val="clear" w:pos="851"/>
        </w:tabs>
        <w:ind w:left="0" w:firstLine="360"/>
        <w:rPr>
          <w:rFonts w:hint="eastAsia"/>
          <w:color w:val="000000"/>
        </w:rPr>
      </w:pPr>
      <w:r>
        <w:rPr>
          <w:rFonts w:hint="eastAsia"/>
          <w:color w:val="000000"/>
        </w:rPr>
        <w:t>第8部分：政务服务考评。</w:t>
      </w:r>
    </w:p>
    <w:bookmarkEnd w:id="24"/>
    <w:bookmarkEnd w:id="25"/>
    <w:p>
      <w:pPr>
        <w:pStyle w:val="56"/>
        <w:ind w:firstLine="420"/>
        <w:rPr>
          <w:rFonts w:hint="eastAsia"/>
        </w:rPr>
      </w:pPr>
      <w:r>
        <w:rPr>
          <w:rFonts w:hint="eastAsia"/>
        </w:rPr>
        <w:t>本文件由××××提出。</w:t>
      </w:r>
    </w:p>
    <w:p>
      <w:pPr>
        <w:pStyle w:val="56"/>
        <w:ind w:firstLine="420"/>
        <w:rPr>
          <w:rFonts w:hint="eastAsia"/>
        </w:rPr>
      </w:pPr>
      <w:r>
        <w:rPr>
          <w:rFonts w:hint="eastAsia"/>
        </w:rPr>
        <w:t>本文件由××××归口。</w:t>
      </w:r>
    </w:p>
    <w:p>
      <w:pPr>
        <w:pStyle w:val="56"/>
        <w:ind w:firstLine="420"/>
        <w:rPr>
          <w:rFonts w:hint="eastAsia"/>
        </w:rPr>
      </w:pPr>
      <w:r>
        <w:rPr>
          <w:rFonts w:hint="eastAsia"/>
        </w:rPr>
        <w:t>本文件起草单位：</w:t>
      </w:r>
    </w:p>
    <w:p>
      <w:pPr>
        <w:pStyle w:val="56"/>
        <w:ind w:firstLine="420"/>
        <w:rPr>
          <w:rFonts w:hint="eastAsia"/>
        </w:rPr>
      </w:pPr>
      <w:r>
        <w:rPr>
          <w:rFonts w:hint="eastAsia"/>
        </w:rPr>
        <w:t>本文件主要起草人：</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ABE96C84EBCE4C7EA8B65186C47D2766"/>
        </w:placeholder>
      </w:sdtPr>
      <w:sdtContent>
        <w:p>
          <w:pPr>
            <w:pStyle w:val="177"/>
            <w:spacing w:before="3" w:beforeLines="1" w:after="3" w:afterLines="1"/>
          </w:pPr>
          <w:bookmarkStart w:id="27" w:name="NEW_STAND_NAME"/>
          <w:r>
            <w:rPr>
              <w:rFonts w:hint="eastAsia"/>
            </w:rPr>
            <w:t>政务服务大厅管理规范</w:t>
          </w:r>
        </w:p>
        <w:p>
          <w:pPr>
            <w:pStyle w:val="177"/>
            <w:spacing w:before="3" w:beforeLines="1" w:after="680"/>
          </w:pPr>
          <w:r>
            <w:rPr>
              <w:rFonts w:hint="eastAsia"/>
            </w:rPr>
            <w:t>第</w:t>
          </w:r>
          <w:r>
            <w:t>6部分：政务服务电子档案管理</w:t>
          </w:r>
        </w:p>
      </w:sdtContent>
    </w:sdt>
    <w:bookmarkEnd w:id="27"/>
    <w:p>
      <w:pPr>
        <w:pStyle w:val="104"/>
        <w:spacing w:before="312" w:after="312"/>
        <w:rPr>
          <w:color w:val="000000" w:themeColor="text1"/>
          <w14:textFill>
            <w14:solidFill>
              <w14:schemeClr w14:val="tx1"/>
            </w14:solidFill>
          </w14:textFill>
        </w:rPr>
      </w:pPr>
      <w:bookmarkStart w:id="28" w:name="_Toc26986530"/>
      <w:bookmarkStart w:id="29" w:name="_Toc24884218"/>
      <w:bookmarkStart w:id="30" w:name="_Toc24884211"/>
      <w:bookmarkStart w:id="31" w:name="_Toc26648465"/>
      <w:bookmarkStart w:id="32" w:name="_Toc17233333"/>
      <w:bookmarkStart w:id="33" w:name="_Toc17233325"/>
      <w:bookmarkStart w:id="34" w:name="_Toc26718930"/>
      <w:bookmarkStart w:id="35" w:name="_Toc26986771"/>
      <w:bookmarkStart w:id="36" w:name="_Toc98258701"/>
      <w:r>
        <w:rPr>
          <w:rFonts w:hint="eastAsia"/>
        </w:rPr>
        <w:t>范围</w:t>
      </w:r>
      <w:bookmarkEnd w:id="28"/>
      <w:bookmarkEnd w:id="29"/>
      <w:bookmarkEnd w:id="30"/>
      <w:bookmarkEnd w:id="31"/>
      <w:bookmarkEnd w:id="32"/>
      <w:bookmarkEnd w:id="33"/>
      <w:bookmarkEnd w:id="34"/>
      <w:bookmarkEnd w:id="35"/>
      <w:bookmarkEnd w:id="36"/>
    </w:p>
    <w:p>
      <w:pPr>
        <w:pStyle w:val="56"/>
        <w:ind w:firstLine="420"/>
        <w:rPr>
          <w:color w:val="000000" w:themeColor="text1"/>
          <w:kern w:val="2"/>
          <w:szCs w:val="21"/>
          <w14:textFill>
            <w14:solidFill>
              <w14:schemeClr w14:val="tx1"/>
            </w14:solidFill>
          </w14:textFill>
        </w:rPr>
      </w:pPr>
      <w:bookmarkStart w:id="37" w:name="_Toc24884212"/>
      <w:bookmarkStart w:id="38" w:name="_Toc24884219"/>
      <w:bookmarkStart w:id="39" w:name="_Toc17233326"/>
      <w:bookmarkStart w:id="40" w:name="_Toc17233334"/>
      <w:bookmarkStart w:id="41" w:name="_Toc26648466"/>
      <w:r>
        <w:rPr>
          <w:rFonts w:hint="eastAsia"/>
          <w:color w:val="000000" w:themeColor="text1"/>
          <w14:textFill>
            <w14:solidFill>
              <w14:schemeClr w14:val="tx1"/>
            </w14:solidFill>
          </w14:textFill>
        </w:rPr>
        <w:t>本文件规定了政务服务电子档案管理的管理职责、基本原则、归档移交流程要求。</w:t>
      </w:r>
    </w:p>
    <w:p>
      <w:pPr>
        <w:pStyle w:val="56"/>
        <w:ind w:firstLine="420"/>
        <w:rPr>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本文件适应于湖南省、市州、县市区、乡镇（街道）、村（社区）政务服务大厅的政务服务电子档案管理。园区政务服务大厅参照执行。</w:t>
      </w:r>
    </w:p>
    <w:p>
      <w:pPr>
        <w:pStyle w:val="104"/>
        <w:spacing w:before="312" w:after="312"/>
        <w:rPr>
          <w:color w:val="000000" w:themeColor="text1"/>
          <w14:textFill>
            <w14:solidFill>
              <w14:schemeClr w14:val="tx1"/>
            </w14:solidFill>
          </w14:textFill>
        </w:rPr>
      </w:pPr>
      <w:bookmarkStart w:id="42" w:name="_Toc98258702"/>
      <w:bookmarkStart w:id="43" w:name="_Toc26986531"/>
      <w:bookmarkStart w:id="44" w:name="_Toc26986772"/>
      <w:bookmarkStart w:id="45" w:name="_Toc26718931"/>
      <w:r>
        <w:rPr>
          <w:rFonts w:hint="eastAsia"/>
          <w:color w:val="000000" w:themeColor="text1"/>
          <w14:textFill>
            <w14:solidFill>
              <w14:schemeClr w14:val="tx1"/>
            </w14:solidFill>
          </w14:textFill>
        </w:rPr>
        <w:t>规范性引用文件</w:t>
      </w:r>
      <w:bookmarkEnd w:id="37"/>
      <w:bookmarkEnd w:id="38"/>
      <w:bookmarkEnd w:id="39"/>
      <w:bookmarkEnd w:id="40"/>
      <w:bookmarkEnd w:id="41"/>
      <w:bookmarkEnd w:id="42"/>
      <w:bookmarkEnd w:id="43"/>
      <w:bookmarkEnd w:id="44"/>
      <w:bookmarkEnd w:id="45"/>
    </w:p>
    <w:sdt>
      <w:sdtPr>
        <w:rPr>
          <w:rFonts w:hint="eastAsia"/>
          <w:color w:val="000000" w:themeColor="text1"/>
          <w14:textFill>
            <w14:solidFill>
              <w14:schemeClr w14:val="tx1"/>
            </w14:solidFill>
          </w14:textFill>
        </w:rPr>
        <w:id w:val="715848253"/>
        <w:placeholder>
          <w:docPart w:val="1D089E745D1C4502990FA9164DD08EB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DA/T 85  政务服务事项电子文件归档规范</w:t>
      </w:r>
    </w:p>
    <w:p>
      <w:pPr>
        <w:pStyle w:val="104"/>
        <w:spacing w:before="312" w:after="312"/>
        <w:rPr>
          <w:color w:val="000000" w:themeColor="text1"/>
          <w14:textFill>
            <w14:solidFill>
              <w14:schemeClr w14:val="tx1"/>
            </w14:solidFill>
          </w14:textFill>
        </w:rPr>
      </w:pPr>
      <w:bookmarkStart w:id="46" w:name="_Toc98258703"/>
      <w:r>
        <w:rPr>
          <w:rFonts w:hint="eastAsia"/>
          <w:color w:val="000000" w:themeColor="text1"/>
          <w:szCs w:val="21"/>
          <w14:textFill>
            <w14:solidFill>
              <w14:schemeClr w14:val="tx1"/>
            </w14:solidFill>
          </w14:textFill>
        </w:rPr>
        <w:t>术语和定义</w:t>
      </w:r>
      <w:bookmarkEnd w:id="46"/>
    </w:p>
    <w:sdt>
      <w:sdtPr>
        <w:rPr>
          <w:color w:val="000000" w:themeColor="text1"/>
          <w14:textFill>
            <w14:solidFill>
              <w14:schemeClr w14:val="tx1"/>
            </w14:solidFill>
          </w14:textFill>
        </w:rPr>
        <w:id w:val="-1909835108"/>
        <w:placeholder>
          <w:docPart w:val="A914D348360A45C2BB03B12E7B83B1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pPr>
            <w:pStyle w:val="56"/>
            <w:ind w:firstLine="420"/>
            <w:rPr>
              <w:color w:val="000000" w:themeColor="text1"/>
              <w14:textFill>
                <w14:solidFill>
                  <w14:schemeClr w14:val="tx1"/>
                </w14:solidFill>
              </w14:textFill>
            </w:rPr>
          </w:pPr>
          <w:bookmarkStart w:id="47" w:name="_Toc26986532"/>
          <w:bookmarkEnd w:id="47"/>
          <w:r>
            <w:rPr>
              <w:color w:val="000000" w:themeColor="text1"/>
              <w14:textFill>
                <w14:solidFill>
                  <w14:schemeClr w14:val="tx1"/>
                </w14:solidFill>
              </w14:textFill>
            </w:rPr>
            <w:t>下列术语和定义适用于本文件。</w:t>
          </w:r>
        </w:p>
      </w:sdtContent>
    </w:sdt>
    <w:p>
      <w:pPr>
        <w:pStyle w:val="223"/>
        <w:ind w:left="420" w:hanging="420" w:hangingChars="20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 xml:space="preserve">政务服务事项 governmentserviceitem </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依据法律、法规、规章、规范性文件和部门职责分工的规定,由法定行政机关或组织实施的对自然 人、法人和其他组织</w:t>
      </w:r>
      <w:r>
        <w:rPr>
          <w:rFonts w:hint="eastAsia"/>
          <w:color w:val="000000" w:themeColor="text1"/>
          <w:lang w:eastAsia="zh-CN"/>
          <w14:textFill>
            <w14:solidFill>
              <w14:schemeClr w14:val="tx1"/>
            </w14:solidFill>
          </w14:textFill>
        </w:rPr>
        <w:t>权利</w:t>
      </w:r>
      <w:r>
        <w:rPr>
          <w:rFonts w:hint="eastAsia"/>
          <w:color w:val="000000" w:themeColor="text1"/>
          <w14:textFill>
            <w14:solidFill>
              <w14:schemeClr w14:val="tx1"/>
            </w14:solidFill>
          </w14:textFill>
        </w:rPr>
        <w:t>义务产生直接影响的具体行政行为和授意性事项。政务服务事项包括行政</w:t>
      </w:r>
      <w:r>
        <w:rPr>
          <w:rFonts w:hint="eastAsia"/>
          <w:color w:val="000000" w:themeColor="text1"/>
          <w:lang w:eastAsia="zh-CN"/>
          <w14:textFill>
            <w14:solidFill>
              <w14:schemeClr w14:val="tx1"/>
            </w14:solidFill>
          </w14:textFill>
        </w:rPr>
        <w:t>权力</w:t>
      </w:r>
      <w:r>
        <w:rPr>
          <w:rFonts w:hint="eastAsia"/>
          <w:color w:val="000000" w:themeColor="text1"/>
          <w14:textFill>
            <w14:solidFill>
              <w14:schemeClr w14:val="tx1"/>
            </w14:solidFill>
          </w14:textFill>
        </w:rPr>
        <w:t>事项和公共服务事项。</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[来源：DA/T 85-2019，3.</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pPr>
        <w:pStyle w:val="223"/>
        <w:ind w:left="420" w:hanging="420" w:hangingChars="20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 xml:space="preserve">政务服务事项电子文件 governmentserviceelectronicdocument </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政务服务机构在履行其法定职责过程中,通过一体化在线平台形成、办理、传输和存储的数字格式 的各种信息记录。政务服务事项电子文件由内容、结构、背景组成。</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[来源：DA/T 85-2019，3.</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p>
    <w:p>
      <w:pPr>
        <w:pStyle w:val="223"/>
        <w:ind w:left="420" w:hanging="420" w:hangingChars="20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 xml:space="preserve"> 政务服务事项电子档案 governmentserviceelectronicrecord</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具有凭证、查考和保存价值并归档保存的政务服务事项电子文件。</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[来源：DA/T 85-2019，3.3]</w:t>
      </w:r>
    </w:p>
    <w:p>
      <w:pPr>
        <w:pStyle w:val="223"/>
        <w:ind w:left="420" w:hanging="420" w:hangingChars="20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元数据 metadata</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描述电子文件和电子档案的内容、背景、结构及其管理过程的数据。</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color w:val="000000" w:themeColor="text1"/>
          <w14:textFill>
            <w14:solidFill>
              <w14:schemeClr w14:val="tx1"/>
            </w14:solidFill>
          </w14:textFill>
        </w:rPr>
        <w:t>GB</w:t>
      </w:r>
      <w:r>
        <w:rPr>
          <w:rFonts w:hint="eastAsia"/>
          <w:color w:val="000000" w:themeColor="text1"/>
          <w14:textFill>
            <w14:solidFill>
              <w14:schemeClr w14:val="tx1"/>
            </w14:solidFill>
          </w14:textFill>
        </w:rPr>
        <w:t xml:space="preserve">/T </w:t>
      </w:r>
      <w:r>
        <w:rPr>
          <w:color w:val="000000" w:themeColor="text1"/>
          <w14:textFill>
            <w14:solidFill>
              <w14:schemeClr w14:val="tx1"/>
            </w14:solidFill>
          </w14:textFill>
        </w:rPr>
        <w:t>18894</w:t>
      </w:r>
      <w:r>
        <w:rPr>
          <w:rFonts w:hint="eastAsia"/>
          <w:color w:val="000000" w:themeColor="text1"/>
          <w14:textFill>
            <w14:solidFill>
              <w14:schemeClr w14:val="tx1"/>
            </w14:solidFill>
          </w14:textFill>
        </w:rPr>
        <w:t>-201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，3.3]</w:t>
      </w:r>
    </w:p>
    <w:p>
      <w:pPr>
        <w:pStyle w:val="223"/>
        <w:ind w:left="420" w:hanging="420" w:hangingChars="200"/>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14:textFill>
            <w14:solidFill>
              <w14:schemeClr w14:val="tx1"/>
            </w14:solidFill>
          </w14:textFill>
        </w:rPr>
        <w:br w:type="textWrapping"/>
      </w:r>
      <w:r>
        <w:rPr>
          <w:rFonts w:ascii="黑体" w:hAnsi="黑体" w:eastAsia="黑体"/>
          <w:color w:val="000000" w:themeColor="text1"/>
          <w14:textFill>
            <w14:solidFill>
              <w14:schemeClr w14:val="tx1"/>
            </w14:solidFill>
          </w14:textFill>
        </w:rPr>
        <w:t xml:space="preserve">归档 archiving </w:t>
      </w:r>
    </w:p>
    <w:p>
      <w:pPr>
        <w:pStyle w:val="56"/>
        <w:ind w:firstLine="420"/>
        <w:rPr>
          <w:rFonts w:hAnsi="宋体"/>
          <w:color w:val="000000" w:themeColor="text1"/>
          <w:sz w:val="24"/>
          <w:szCs w:val="24"/>
          <w14:textFill>
            <w14:solidFill>
              <w14:schemeClr w14:val="tx1"/>
            </w14:solidFill>
          </w14:textFill>
        </w:rPr>
      </w:pPr>
      <w:r>
        <w:rPr>
          <w:color w:val="000000" w:themeColor="text1"/>
          <w14:textFill>
            <w14:solidFill>
              <w14:schemeClr w14:val="tx1"/>
            </w14:solidFill>
          </w14:textFill>
        </w:rPr>
        <w:t>将具有凭证</w:t>
      </w:r>
      <w:r>
        <w:rPr>
          <w:rFonts w:ascii="E-BZ" w:hAnsi="E-BZ"/>
          <w:color w:val="000000" w:themeColor="text1"/>
          <w14:textFill>
            <w14:solidFill>
              <w14:schemeClr w14:val="tx1"/>
            </w14:solidFill>
          </w14:textFill>
        </w:rPr>
        <w:t>、</w:t>
      </w:r>
      <w:r>
        <w:rPr>
          <w:color w:val="000000" w:themeColor="text1"/>
          <w14:textFill>
            <w14:solidFill>
              <w14:schemeClr w14:val="tx1"/>
            </w14:solidFill>
          </w14:textFill>
        </w:rPr>
        <w:t>查考和保存价值且办理完毕</w:t>
      </w:r>
      <w:r>
        <w:rPr>
          <w:rFonts w:ascii="E-BZ" w:hAnsi="E-BZ"/>
          <w:color w:val="000000" w:themeColor="text1"/>
          <w14:textFill>
            <w14:solidFill>
              <w14:schemeClr w14:val="tx1"/>
            </w14:solidFill>
          </w14:textFill>
        </w:rPr>
        <w:t>、</w:t>
      </w:r>
      <w:r>
        <w:rPr>
          <w:color w:val="000000" w:themeColor="text1"/>
          <w14:textFill>
            <w14:solidFill>
              <w14:schemeClr w14:val="tx1"/>
            </w14:solidFill>
          </w14:textFill>
        </w:rPr>
        <w:t xml:space="preserve">经系统整理的电子文件及其元数据管理权限向档案部门 </w:t>
      </w:r>
    </w:p>
    <w:p>
      <w:pPr>
        <w:pStyle w:val="56"/>
        <w:ind w:firstLine="0" w:firstLineChars="0"/>
        <w:rPr>
          <w:rFonts w:hAnsi="宋体"/>
          <w:color w:val="000000" w:themeColor="text1"/>
          <w:sz w:val="24"/>
          <w:szCs w:val="24"/>
          <w14:textFill>
            <w14:solidFill>
              <w14:schemeClr w14:val="tx1"/>
            </w14:solidFill>
          </w14:textFill>
        </w:rPr>
      </w:pPr>
      <w:r>
        <w:rPr>
          <w:color w:val="000000" w:themeColor="text1"/>
          <w14:textFill>
            <w14:solidFill>
              <w14:schemeClr w14:val="tx1"/>
            </w14:solidFill>
          </w14:textFill>
        </w:rPr>
        <w:t>提交的过程</w:t>
      </w:r>
      <w:r>
        <w:rPr>
          <w:rFonts w:ascii="E-BZ" w:hAnsi="E-BZ"/>
          <w:color w:val="000000" w:themeColor="text1"/>
          <w14:textFill>
            <w14:solidFill>
              <w14:schemeClr w14:val="tx1"/>
            </w14:solidFill>
          </w14:textFill>
        </w:rPr>
        <w:t xml:space="preserve">。 </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w:t>
      </w:r>
      <w:r>
        <w:rPr>
          <w:color w:val="000000" w:themeColor="text1"/>
          <w14:textFill>
            <w14:solidFill>
              <w14:schemeClr w14:val="tx1"/>
            </w14:solidFill>
          </w14:textFill>
        </w:rPr>
        <w:t>GB</w:t>
      </w:r>
      <w:r>
        <w:rPr>
          <w:rFonts w:hint="eastAsia"/>
          <w:color w:val="000000" w:themeColor="text1"/>
          <w14:textFill>
            <w14:solidFill>
              <w14:schemeClr w14:val="tx1"/>
            </w14:solidFill>
          </w14:textFill>
        </w:rPr>
        <w:t xml:space="preserve">/T </w:t>
      </w:r>
      <w:r>
        <w:rPr>
          <w:color w:val="000000" w:themeColor="text1"/>
          <w14:textFill>
            <w14:solidFill>
              <w14:schemeClr w14:val="tx1"/>
            </w14:solidFill>
          </w14:textFill>
        </w:rPr>
        <w:t>18894</w:t>
      </w:r>
      <w:r>
        <w:rPr>
          <w:rFonts w:hint="eastAsia"/>
          <w:color w:val="000000" w:themeColor="text1"/>
          <w14:textFill>
            <w14:solidFill>
              <w14:schemeClr w14:val="tx1"/>
            </w14:solidFill>
          </w14:textFill>
        </w:rPr>
        <w:t>-201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w:t>
      </w:r>
    </w:p>
    <w:p>
      <w:pPr>
        <w:pStyle w:val="223"/>
        <w:ind w:left="420" w:hanging="420" w:hangingChars="20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textWrapping"/>
      </w:r>
      <w:r>
        <w:rPr>
          <w:rFonts w:hint="eastAsia" w:ascii="黑体" w:hAnsi="黑体" w:eastAsia="黑体"/>
          <w:color w:val="000000" w:themeColor="text1"/>
          <w14:textFill>
            <w14:solidFill>
              <w14:schemeClr w14:val="tx1"/>
            </w14:solidFill>
          </w14:textFill>
        </w:rPr>
        <w:t>移交 transfer</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按照国家规定将电子档案保管权限交给国家档案馆的过程。</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[来源：GB/T 18894-2016，3.1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104"/>
        <w:spacing w:before="312" w:after="312"/>
        <w:rPr>
          <w:color w:val="000000" w:themeColor="text1"/>
          <w14:textFill>
            <w14:solidFill>
              <w14:schemeClr w14:val="tx1"/>
            </w14:solidFill>
          </w14:textFill>
        </w:rPr>
      </w:pPr>
      <w:bookmarkStart w:id="48" w:name="_Toc98258704"/>
      <w:r>
        <w:rPr>
          <w:rFonts w:hint="eastAsia"/>
          <w:color w:val="000000" w:themeColor="text1"/>
          <w14:textFill>
            <w14:solidFill>
              <w14:schemeClr w14:val="tx1"/>
            </w14:solidFill>
          </w14:textFill>
        </w:rPr>
        <w:t>管理职责</w:t>
      </w:r>
      <w:bookmarkEnd w:id="48"/>
    </w:p>
    <w:p>
      <w:pPr>
        <w:pStyle w:val="162"/>
        <w:rPr>
          <w:color w:val="000000" w:themeColor="text1"/>
          <w:kern w:val="2"/>
          <w:szCs w:val="21"/>
          <w14:textFill>
            <w14:solidFill>
              <w14:schemeClr w14:val="tx1"/>
            </w14:solidFill>
          </w14:textFill>
        </w:rPr>
      </w:pPr>
      <w:r>
        <w:rPr>
          <w:rFonts w:hint="eastAsia" w:hAnsi="宋体"/>
          <w:color w:val="000000" w:themeColor="text1"/>
          <w14:textFill>
            <w14:solidFill>
              <w14:schemeClr w14:val="tx1"/>
            </w14:solidFill>
          </w14:textFill>
        </w:rPr>
        <w:t>政务服务大厅管理机构承担政务服务事项电子文件归档管理的主体责任，按照“谁形成、谁归档”的原则，指定专人负责电子文件的归档。</w:t>
      </w:r>
    </w:p>
    <w:p>
      <w:pPr>
        <w:pStyle w:val="162"/>
        <w:rPr>
          <w:color w:val="000000" w:themeColor="text1"/>
          <w:kern w:val="2"/>
          <w:szCs w:val="21"/>
          <w14:textFill>
            <w14:solidFill>
              <w14:schemeClr w14:val="tx1"/>
            </w14:solidFill>
          </w14:textFill>
        </w:rPr>
      </w:pPr>
      <w:r>
        <w:rPr>
          <w:rFonts w:hint="eastAsia"/>
          <w:color w:val="000000" w:themeColor="text1"/>
          <w14:textFill>
            <w14:solidFill>
              <w14:schemeClr w14:val="tx1"/>
            </w14:solidFill>
          </w14:textFill>
        </w:rPr>
        <w:t>政务服务大厅管理机构根据机构职能，结合实际业务需要，建立电子档案管理制度，明确电子文件归档的范围、收集、整理、固化、检测、</w:t>
      </w:r>
      <w:r>
        <w:rPr>
          <w:rFonts w:hint="eastAsia" w:hAnsi="宋体"/>
          <w:color w:val="000000" w:themeColor="text1"/>
          <w14:textFill>
            <w14:solidFill>
              <w14:schemeClr w14:val="tx1"/>
            </w14:solidFill>
          </w14:textFill>
        </w:rPr>
        <w:t>移交等管理要求。</w:t>
      </w:r>
    </w:p>
    <w:p>
      <w:pPr>
        <w:pStyle w:val="104"/>
        <w:spacing w:before="312" w:after="312"/>
        <w:rPr>
          <w:color w:val="000000" w:themeColor="text1"/>
          <w14:textFill>
            <w14:solidFill>
              <w14:schemeClr w14:val="tx1"/>
            </w14:solidFill>
          </w14:textFill>
        </w:rPr>
      </w:pPr>
      <w:bookmarkStart w:id="49" w:name="_Toc98258705"/>
      <w:r>
        <w:rPr>
          <w:rFonts w:hint="eastAsia"/>
          <w:color w:val="000000" w:themeColor="text1"/>
          <w14:textFill>
            <w14:solidFill>
              <w14:schemeClr w14:val="tx1"/>
            </w14:solidFill>
          </w14:textFill>
        </w:rPr>
        <w:t>基本原则</w:t>
      </w:r>
      <w:bookmarkEnd w:id="49"/>
    </w:p>
    <w:p>
      <w:pPr>
        <w:pStyle w:val="162"/>
        <w:rPr>
          <w:color w:val="000000" w:themeColor="text1"/>
          <w14:textFill>
            <w14:solidFill>
              <w14:schemeClr w14:val="tx1"/>
            </w14:solidFill>
          </w14:textFill>
        </w:rPr>
      </w:pPr>
      <w:r>
        <w:rPr>
          <w:color w:val="000000" w:themeColor="text1"/>
          <w14:textFill>
            <w14:solidFill>
              <w14:schemeClr w14:val="tx1"/>
            </w14:solidFill>
          </w14:textFill>
        </w:rPr>
        <w:t>政务服务事项电子文件归档工作应遵循统筹规划</w:t>
      </w:r>
      <w:r>
        <w:rPr>
          <w:rFonts w:ascii="E-BZ" w:hAnsi="E-BZ"/>
          <w:color w:val="000000" w:themeColor="text1"/>
          <w14:textFill>
            <w14:solidFill>
              <w14:schemeClr w14:val="tx1"/>
            </w14:solidFill>
          </w14:textFill>
        </w:rPr>
        <w:t>、</w:t>
      </w:r>
      <w:r>
        <w:rPr>
          <w:color w:val="000000" w:themeColor="text1"/>
          <w14:textFill>
            <w14:solidFill>
              <w14:schemeClr w14:val="tx1"/>
            </w14:solidFill>
          </w14:textFill>
        </w:rPr>
        <w:t>统一标准</w:t>
      </w:r>
      <w:r>
        <w:rPr>
          <w:rFonts w:ascii="E-BZ" w:hAnsi="E-BZ"/>
          <w:color w:val="000000" w:themeColor="text1"/>
          <w14:textFill>
            <w14:solidFill>
              <w14:schemeClr w14:val="tx1"/>
            </w14:solidFill>
          </w14:textFill>
        </w:rPr>
        <w:t>、</w:t>
      </w:r>
      <w:r>
        <w:rPr>
          <w:color w:val="000000" w:themeColor="text1"/>
          <w14:textFill>
            <w14:solidFill>
              <w14:schemeClr w14:val="tx1"/>
            </w14:solidFill>
          </w14:textFill>
        </w:rPr>
        <w:t>规范管理</w:t>
      </w:r>
      <w:r>
        <w:rPr>
          <w:rFonts w:ascii="E-BZ" w:hAnsi="E-BZ"/>
          <w:color w:val="000000" w:themeColor="text1"/>
          <w14:textFill>
            <w14:solidFill>
              <w14:schemeClr w14:val="tx1"/>
            </w14:solidFill>
          </w14:textFill>
        </w:rPr>
        <w:t>、</w:t>
      </w:r>
      <w:r>
        <w:rPr>
          <w:color w:val="000000" w:themeColor="text1"/>
          <w14:textFill>
            <w14:solidFill>
              <w14:schemeClr w14:val="tx1"/>
            </w14:solidFill>
          </w14:textFill>
        </w:rPr>
        <w:t>安全高效的原则</w:t>
      </w:r>
      <w:r>
        <w:rPr>
          <w:rFonts w:hint="eastAsia"/>
          <w:color w:val="000000" w:themeColor="text1"/>
          <w14:textFill>
            <w14:solidFill>
              <w14:schemeClr w14:val="tx1"/>
            </w14:solidFill>
          </w14:textFill>
        </w:rPr>
        <w:t>。</w:t>
      </w:r>
    </w:p>
    <w:p>
      <w:pPr>
        <w:pStyle w:val="162"/>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电子档案与纸质档案具有同等法律效力，对于线上提交电子资料的原则上不再让服务对象提供纸质资料。</w:t>
      </w:r>
    </w:p>
    <w:p>
      <w:pPr>
        <w:pStyle w:val="162"/>
        <w:rPr>
          <w:color w:val="000000" w:themeColor="text1"/>
          <w:kern w:val="2"/>
          <w:szCs w:val="21"/>
          <w14:textFill>
            <w14:solidFill>
              <w14:schemeClr w14:val="tx1"/>
            </w14:solidFill>
          </w14:textFill>
        </w:rPr>
      </w:pPr>
      <w:r>
        <w:rPr>
          <w:rFonts w:hint="eastAsia"/>
          <w:color w:val="000000" w:themeColor="text1"/>
          <w:kern w:val="2"/>
          <w:szCs w:val="21"/>
          <w14:textFill>
            <w14:solidFill>
              <w14:schemeClr w14:val="tx1"/>
            </w14:solidFill>
          </w14:textFill>
        </w:rPr>
        <w:t>政务服务电子文件实行单套归档，电子档案实行单套管理。</w:t>
      </w:r>
    </w:p>
    <w:p>
      <w:pPr>
        <w:pStyle w:val="104"/>
        <w:spacing w:before="312" w:after="312"/>
        <w:rPr>
          <w:color w:val="000000" w:themeColor="text1"/>
          <w14:textFill>
            <w14:solidFill>
              <w14:schemeClr w14:val="tx1"/>
            </w14:solidFill>
          </w14:textFill>
        </w:rPr>
      </w:pPr>
      <w:bookmarkStart w:id="50" w:name="_Toc98258706"/>
      <w:r>
        <w:rPr>
          <w:rFonts w:hint="eastAsia"/>
          <w:color w:val="000000" w:themeColor="text1"/>
          <w14:textFill>
            <w14:solidFill>
              <w14:schemeClr w14:val="tx1"/>
            </w14:solidFill>
          </w14:textFill>
        </w:rPr>
        <w:t>归档移交流程</w:t>
      </w:r>
      <w:bookmarkEnd w:id="50"/>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基本要求</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政务服务事项电子文件归档管理流程从政务服务事项办结开始，到政务服务实施机构接收归档信息包结束。</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政务服务事项电子文件归档移交管理流程分为两个阶段：</w:t>
      </w:r>
    </w:p>
    <w:p>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由综合受理窗口对电子文件及其元数据进行收集、整理、组件形成归档信息包，应使用数字签名、时间戳等技术手段对归档信息包进行固化、检测，检测合格后进行归档；</w:t>
      </w:r>
    </w:p>
    <w:p>
      <w:pPr>
        <w:pStyle w:val="132"/>
        <w:rPr>
          <w:color w:val="000000" w:themeColor="text1"/>
          <w14:textFill>
            <w14:solidFill>
              <w14:schemeClr w14:val="tx1"/>
            </w14:solidFill>
          </w14:textFill>
        </w:rPr>
      </w:pPr>
      <w:r>
        <w:rPr>
          <w:rFonts w:hint="eastAsia"/>
          <w:color w:val="000000" w:themeColor="text1"/>
          <w14:textFill>
            <w14:solidFill>
              <w14:schemeClr w14:val="tx1"/>
            </w14:solidFill>
          </w14:textFill>
        </w:rPr>
        <w:t>由综合受理窗口向政务服务实施机构申请移交政务服务电子档案；政务服务实施机构对归档信息包进行接收检测，检测合格无误，经交接双方签字确认后，进行接收归档。经检测不符合存档要求退回的电子档案，应由综合受理窗口修正补充后再次移交，政务服务实施机构检测合格后予以归档。</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文件收集</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具体政务服务事项办结后，综合受理窗口应根据归档范围对电子文件进行收集，获取归档电子文件内容数据及其元数据信息，收集的方式宜采用自动捕获，在无法自动捕获的情况下也可人工录入。</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归档配置信息的元数据要求应按照DA/T 85的规定执行。</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文件整理</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综合受理窗口对收集的文件按照归档范围所列目录进行分类整理：行政</w:t>
      </w:r>
      <w:bookmarkStart w:id="53" w:name="_GoBack"/>
      <w:bookmarkEnd w:id="53"/>
      <w:r>
        <w:rPr>
          <w:rFonts w:hint="eastAsia"/>
          <w:color w:val="000000" w:themeColor="text1"/>
          <w:lang w:eastAsia="zh-CN"/>
          <w14:textFill>
            <w14:solidFill>
              <w14:schemeClr w14:val="tx1"/>
            </w14:solidFill>
          </w14:textFill>
        </w:rPr>
        <w:t>权力</w:t>
      </w:r>
      <w:r>
        <w:rPr>
          <w:rFonts w:hint="eastAsia"/>
          <w:color w:val="000000" w:themeColor="text1"/>
          <w14:textFill>
            <w14:solidFill>
              <w14:schemeClr w14:val="tx1"/>
            </w14:solidFill>
          </w14:textFill>
        </w:rPr>
        <w:t>事项和公共服务事项，并进行必要的信息补录、材料补充等操作。</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电子文件以办件事项为基本单位进行组织，按照“一事一件”的原则，与该办件事项相关的、属于归档范围的电子文件应按照要求进行组织、排序和储存。</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电子文件的存储格式要求应按照DA/T 85的规定执行。</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形成信息包</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将完成整理的电子文件组件及元数据以归档文件夹为单位进行压缩打包形成归档信息包。</w:t>
      </w:r>
    </w:p>
    <w:p>
      <w:pPr>
        <w:pStyle w:val="165"/>
        <w:rPr>
          <w:color w:val="000000" w:themeColor="text1"/>
          <w14:textFill>
            <w14:solidFill>
              <w14:schemeClr w14:val="tx1"/>
            </w14:solidFill>
          </w14:textFill>
        </w:rPr>
      </w:pPr>
      <w:r>
        <w:rPr>
          <w:rFonts w:hint="eastAsia"/>
          <w:color w:val="000000" w:themeColor="text1"/>
          <w14:textFill>
            <w14:solidFill>
              <w14:schemeClr w14:val="tx1"/>
            </w14:solidFill>
          </w14:textFill>
        </w:rPr>
        <w:t>归档信息包的命名规则应按照DA/T 85的规定执行。</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数据固化</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通过时间戳、电子签名、数字摘要等技术手段，对归档信息包进行固化。</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归档检测</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通过专业检测工具或系统集成的检测模块，对归档信息包进行真实性、完整性、可用性、安全性等技术检测和验证，记录检测时间、结果。</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归档登记</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综合受理窗口应清点、核实电子文件的保管期限、数量等信息，并根据清点和检测结果进行登记，形成归档目录清单。</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申请移交</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综合受理窗口向政务服务实施机构提出移交申请，填写《政务服务电子档案移交清单》（参照附录A表A.1），将归档信息包连同归档目录清单一起向政务服务实施机构移交。</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接收检测</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政务服务实施机构按照</w:t>
      </w:r>
      <w:r>
        <w:rPr>
          <w:color w:val="000000" w:themeColor="text1"/>
          <w14:textFill>
            <w14:solidFill>
              <w14:schemeClr w14:val="tx1"/>
            </w14:solidFill>
          </w14:textFill>
        </w:rPr>
        <w:t>6.6</w:t>
      </w:r>
      <w:r>
        <w:rPr>
          <w:rFonts w:hint="eastAsia"/>
          <w:color w:val="000000" w:themeColor="text1"/>
          <w14:textFill>
            <w14:solidFill>
              <w14:schemeClr w14:val="tx1"/>
            </w14:solidFill>
          </w14:textFill>
        </w:rPr>
        <w:t>的检测规定，对归档信息包进行真实性、完整性、可用性、安全性等技术检测，对于不符合要求的信息包予以退回，并注明退回原因。退回的电子档案，应由综合受理窗口修正补充后再次移交，直到合格接受。</w:t>
      </w:r>
    </w:p>
    <w:p>
      <w:pPr>
        <w:pStyle w:val="10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接收入库</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政务服务实施机构接收符合要求的归档信息包，并做好电子文件映射关系管理，完成电子文件归档管理流程。</w:t>
      </w:r>
    </w:p>
    <w:p>
      <w:pPr>
        <w:pStyle w:val="56"/>
        <w:ind w:firstLine="420"/>
        <w:rPr>
          <w:color w:val="000000" w:themeColor="text1"/>
          <w14:textFill>
            <w14:solidFill>
              <w14:schemeClr w14:val="tx1"/>
            </w14:solidFill>
          </w14:textFill>
        </w:rPr>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type="lines" w:linePitch="312" w:charSpace="0"/>
        </w:sectPr>
      </w:pPr>
    </w:p>
    <w:bookmarkEnd w:id="26"/>
    <w:p>
      <w:pPr>
        <w:pStyle w:val="198"/>
        <w:rPr>
          <w:vanish w:val="0"/>
          <w:color w:val="000000" w:themeColor="text1"/>
          <w14:textFill>
            <w14:solidFill>
              <w14:schemeClr w14:val="tx1"/>
            </w14:solidFill>
          </w14:textFill>
        </w:rPr>
      </w:pPr>
      <w:bookmarkStart w:id="51" w:name="BookMark5"/>
    </w:p>
    <w:p>
      <w:pPr>
        <w:pStyle w:val="199"/>
        <w:rPr>
          <w:vanish w:val="0"/>
          <w:color w:val="000000" w:themeColor="text1"/>
          <w14:textFill>
            <w14:solidFill>
              <w14:schemeClr w14:val="tx1"/>
            </w14:solidFill>
          </w14:textFill>
        </w:rPr>
      </w:pPr>
    </w:p>
    <w:p>
      <w:pPr>
        <w:pStyle w:val="76"/>
        <w:spacing w:before="78" w:after="156"/>
        <w:rPr>
          <w:color w:val="000000" w:themeColor="text1"/>
          <w14:textFill>
            <w14:solidFill>
              <w14:schemeClr w14:val="tx1"/>
            </w14:solidFill>
          </w14:textFill>
        </w:rPr>
      </w:pPr>
      <w:r>
        <w:rPr>
          <w:color w:val="000000" w:themeColor="text1"/>
          <w14:textFill>
            <w14:solidFill>
              <w14:schemeClr w14:val="tx1"/>
            </w14:solidFill>
          </w14:textFill>
        </w:rPr>
        <w:br w:type="textWrapping"/>
      </w:r>
      <w:bookmarkStart w:id="52" w:name="_Toc98258707"/>
      <w:r>
        <w:rPr>
          <w:rFonts w:hint="eastAsia"/>
          <w:color w:val="000000" w:themeColor="text1"/>
          <w14:textFill>
            <w14:solidFill>
              <w14:schemeClr w14:val="tx1"/>
            </w14:solidFill>
          </w14:textFill>
        </w:rPr>
        <w:t>（资料性附录）</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政务服务电子档案移交清单</w:t>
      </w:r>
      <w:bookmarkEnd w:id="52"/>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政务服务电子档案移交清单见表A.1。</w:t>
      </w:r>
    </w:p>
    <w:p>
      <w:pPr>
        <w:pStyle w:val="77"/>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政务服务电子档案移交清单</w:t>
      </w:r>
    </w:p>
    <w:tbl>
      <w:tblPr>
        <w:tblStyle w:val="26"/>
        <w:tblW w:w="94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26"/>
        <w:gridCol w:w="1154"/>
        <w:gridCol w:w="1366"/>
        <w:gridCol w:w="1044"/>
        <w:gridCol w:w="1559"/>
        <w:gridCol w:w="2062"/>
        <w:gridCol w:w="14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atLeast"/>
          <w:jc w:val="center"/>
        </w:trPr>
        <w:tc>
          <w:tcPr>
            <w:tcW w:w="826"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序号</w:t>
            </w:r>
          </w:p>
        </w:tc>
        <w:tc>
          <w:tcPr>
            <w:tcW w:w="1154"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批次编号</w:t>
            </w:r>
          </w:p>
        </w:tc>
        <w:tc>
          <w:tcPr>
            <w:tcW w:w="1366"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办理事项名称</w:t>
            </w:r>
          </w:p>
        </w:tc>
        <w:tc>
          <w:tcPr>
            <w:tcW w:w="1044"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事项类型</w:t>
            </w:r>
          </w:p>
        </w:tc>
        <w:tc>
          <w:tcPr>
            <w:tcW w:w="1559"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归档信息包数量</w:t>
            </w:r>
          </w:p>
        </w:tc>
        <w:tc>
          <w:tcPr>
            <w:tcW w:w="2062"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检测意见</w:t>
            </w:r>
          </w:p>
        </w:tc>
        <w:tc>
          <w:tcPr>
            <w:tcW w:w="1422" w:type="dxa"/>
            <w:tcBorders>
              <w:top w:val="single" w:color="auto" w:sz="8" w:space="0"/>
              <w:bottom w:val="single" w:color="auto" w:sz="8" w:space="0"/>
            </w:tcBorders>
            <w:shd w:val="clear" w:color="auto" w:fill="FFFFFF"/>
            <w:vAlign w:val="center"/>
          </w:tcPr>
          <w:p>
            <w:pPr>
              <w:pStyle w:val="230"/>
              <w:spacing w:line="240" w:lineRule="auto"/>
              <w:ind w:firstLine="0"/>
              <w:jc w:val="center"/>
              <w:rPr>
                <w:rFonts w:cs="Times New Roman"/>
                <w:color w:val="000000" w:themeColor="text1"/>
                <w:sz w:val="18"/>
                <w:szCs w:val="18"/>
                <w14:textFill>
                  <w14:solidFill>
                    <w14:schemeClr w14:val="tx1"/>
                  </w14:solidFill>
                </w14:textFill>
              </w:rPr>
            </w:pPr>
            <w:r>
              <w:rPr>
                <w:rFonts w:hint="eastAsia" w:cs="Times New Roman"/>
                <w:color w:val="000000" w:themeColor="text1"/>
                <w:sz w:val="18"/>
                <w:szCs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tcBorders>
              <w:top w:val="single" w:color="auto" w:sz="8" w:space="0"/>
            </w:tcBorders>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tcBorders>
              <w:top w:val="single" w:color="auto" w:sz="8" w:space="0"/>
            </w:tcBorders>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366" w:type="dxa"/>
            <w:tcBorders>
              <w:top w:val="single" w:color="auto" w:sz="8" w:space="0"/>
            </w:tcBorders>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044" w:type="dxa"/>
            <w:tcBorders>
              <w:top w:val="single" w:color="auto" w:sz="8" w:space="0"/>
            </w:tcBorders>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559" w:type="dxa"/>
            <w:tcBorders>
              <w:top w:val="single" w:color="auto" w:sz="8" w:space="0"/>
            </w:tcBorders>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2062" w:type="dxa"/>
            <w:tcBorders>
              <w:top w:val="single" w:color="auto" w:sz="8" w:space="0"/>
            </w:tcBorders>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422" w:type="dxa"/>
            <w:tcBorders>
              <w:top w:val="single" w:color="auto" w:sz="8" w:space="0"/>
            </w:tcBorders>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366" w:type="dxa"/>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044" w:type="dxa"/>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559" w:type="dxa"/>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2062" w:type="dxa"/>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c>
          <w:tcPr>
            <w:tcW w:w="1422" w:type="dxa"/>
            <w:shd w:val="clear" w:color="auto" w:fill="FFFFFF"/>
            <w:vAlign w:val="center"/>
          </w:tcPr>
          <w:p>
            <w:pPr>
              <w:pStyle w:val="230"/>
              <w:spacing w:line="240" w:lineRule="auto"/>
              <w:ind w:firstLine="0"/>
              <w:jc w:val="left"/>
              <w:rPr>
                <w:rFonts w:cs="Times New Roman"/>
                <w:color w:val="000000" w:themeColor="text1"/>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2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15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366"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044"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559"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2062" w:type="dxa"/>
            <w:shd w:val="clear" w:color="auto" w:fill="FFFFFF"/>
            <w:vAlign w:val="center"/>
          </w:tcPr>
          <w:p>
            <w:pPr>
              <w:spacing w:line="240" w:lineRule="auto"/>
              <w:rPr>
                <w:color w:val="000000" w:themeColor="text1"/>
                <w:sz w:val="18"/>
                <w:szCs w:val="10"/>
                <w14:textFill>
                  <w14:solidFill>
                    <w14:schemeClr w14:val="tx1"/>
                  </w14:solidFill>
                </w14:textFill>
              </w:rPr>
            </w:pPr>
          </w:p>
        </w:tc>
        <w:tc>
          <w:tcPr>
            <w:tcW w:w="1422" w:type="dxa"/>
            <w:shd w:val="clear" w:color="auto" w:fill="FFFFFF"/>
            <w:vAlign w:val="center"/>
          </w:tcPr>
          <w:p>
            <w:pPr>
              <w:spacing w:line="240" w:lineRule="auto"/>
              <w:rPr>
                <w:color w:val="000000" w:themeColor="text1"/>
                <w:sz w:val="18"/>
                <w:szCs w:val="1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9433" w:type="dxa"/>
            <w:gridSpan w:val="7"/>
            <w:shd w:val="clear" w:color="auto" w:fill="FFFFFF"/>
            <w:vAlign w:val="center"/>
          </w:tcPr>
          <w:p>
            <w:pPr>
              <w:spacing w:line="240" w:lineRule="auto"/>
              <w:rPr>
                <w:color w:val="000000" w:themeColor="text1"/>
                <w:sz w:val="18"/>
                <w:szCs w:val="10"/>
                <w14:textFill>
                  <w14:solidFill>
                    <w14:schemeClr w14:val="tx1"/>
                  </w14:solidFill>
                </w14:textFill>
              </w:rPr>
            </w:pPr>
            <w:r>
              <w:rPr>
                <w:rFonts w:ascii="宋体" w:hAnsi="宋体"/>
                <w:color w:val="000000" w:themeColor="text1"/>
                <w:sz w:val="18"/>
                <w14:textFill>
                  <w14:solidFill>
                    <w14:schemeClr w14:val="tx1"/>
                  </w14:solidFill>
                </w14:textFill>
              </w:rPr>
              <w:t>移交人：</w:t>
            </w:r>
            <w:r>
              <w:rPr>
                <w:color w:val="000000" w:themeColor="text1"/>
                <w:sz w:val="18"/>
                <w14:textFill>
                  <w14:solidFill>
                    <w14:schemeClr w14:val="tx1"/>
                  </w14:solidFill>
                </w14:textFill>
              </w:rPr>
              <w:tab/>
            </w:r>
            <w:r>
              <w:rPr>
                <w:rFonts w:cs="Calibri"/>
                <w:color w:val="000000" w:themeColor="text1"/>
                <w:sz w:val="18"/>
                <w14:textFill>
                  <w14:solidFill>
                    <w14:schemeClr w14:val="tx1"/>
                  </w14:solidFill>
                </w14:textFill>
              </w:rPr>
              <w:t xml:space="preserve">                      </w:t>
            </w:r>
            <w:r>
              <w:rPr>
                <w:rFonts w:ascii="宋体" w:hAnsi="宋体"/>
                <w:color w:val="000000" w:themeColor="text1"/>
                <w:sz w:val="18"/>
                <w14:textFill>
                  <w14:solidFill>
                    <w14:schemeClr w14:val="tx1"/>
                  </w14:solidFill>
                </w14:textFill>
              </w:rPr>
              <w:t>接收人：</w:t>
            </w:r>
            <w:r>
              <w:rPr>
                <w:color w:val="000000" w:themeColor="text1"/>
                <w:sz w:val="18"/>
                <w14:textFill>
                  <w14:solidFill>
                    <w14:schemeClr w14:val="tx1"/>
                  </w14:solidFill>
                </w14:textFill>
              </w:rPr>
              <w:tab/>
            </w:r>
            <w:r>
              <w:rPr>
                <w:rFonts w:cs="Calibri"/>
                <w:color w:val="000000" w:themeColor="text1"/>
                <w:sz w:val="18"/>
                <w14:textFill>
                  <w14:solidFill>
                    <w14:schemeClr w14:val="tx1"/>
                  </w14:solidFill>
                </w14:textFill>
              </w:rPr>
              <w:t xml:space="preserve">                   </w:t>
            </w:r>
            <w:r>
              <w:rPr>
                <w:rFonts w:ascii="宋体" w:hAnsi="宋体"/>
                <w:color w:val="000000" w:themeColor="text1"/>
                <w:sz w:val="18"/>
                <w14:textFill>
                  <w14:solidFill>
                    <w14:schemeClr w14:val="tx1"/>
                  </w14:solidFill>
                </w14:textFill>
              </w:rPr>
              <w:t>移交日期</w:t>
            </w:r>
            <w:r>
              <w:rPr>
                <w:rFonts w:hint="eastAsia" w:ascii="宋体" w:hAnsi="宋体"/>
                <w:color w:val="000000" w:themeColor="text1"/>
                <w:sz w:val="18"/>
                <w14:textFill>
                  <w14:solidFill>
                    <w14:schemeClr w14:val="tx1"/>
                  </w14:solidFill>
                </w14:textFill>
              </w:rPr>
              <w:t>：</w:t>
            </w:r>
          </w:p>
        </w:tc>
      </w:tr>
    </w:tbl>
    <w:p>
      <w:pPr>
        <w:pStyle w:val="56"/>
        <w:ind w:firstLine="420"/>
        <w:rPr>
          <w:color w:val="000000" w:themeColor="text1"/>
          <w14:textFill>
            <w14:solidFill>
              <w14:schemeClr w14:val="tx1"/>
            </w14:solidFill>
          </w14:textFill>
        </w:rPr>
      </w:pPr>
    </w:p>
    <w:p>
      <w:pPr>
        <w:pStyle w:val="56"/>
        <w:ind w:firstLine="420"/>
        <w:rPr>
          <w:color w:val="000000" w:themeColor="text1"/>
          <w14:textFill>
            <w14:solidFill>
              <w14:schemeClr w14:val="tx1"/>
            </w14:solidFill>
          </w14:textFill>
        </w:rPr>
      </w:pPr>
    </w:p>
    <w:bookmarkEnd w:id="51"/>
    <w:p>
      <w:pPr>
        <w:pStyle w:val="56"/>
        <w:ind w:firstLine="420"/>
      </w:pPr>
      <w:r>
        <mc:AlternateContent>
          <mc:Choice Requires="wps">
            <w:drawing>
              <wp:anchor distT="0" distB="0" distL="114300" distR="114300" simplePos="0" relativeHeight="251661312" behindDoc="0" locked="0" layoutInCell="1" allowOverlap="1">
                <wp:simplePos x="0" y="0"/>
                <wp:positionH relativeFrom="column">
                  <wp:posOffset>1990725</wp:posOffset>
                </wp:positionH>
                <wp:positionV relativeFrom="paragraph">
                  <wp:posOffset>106680</wp:posOffset>
                </wp:positionV>
                <wp:extent cx="1927860" cy="635"/>
                <wp:effectExtent l="0" t="0" r="34290" b="37465"/>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1927860" cy="6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56.75pt;margin-top:8.4pt;height:0.05pt;width:151.8pt;z-index:251661312;mso-width-relative:page;mso-height-relative:page;" filled="f" stroked="t" coordsize="21600,21600" o:gfxdata="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sfb4/&#10;1gAAAAkBAAAPAAAAAAAAAAEAIAAAADgAAABkcnMvZG93bnJldi54bWxQSwECFAAUAAAACACHTuJA&#10;j8l64tQBAABsAwAADgAAAAAAAAABACAAAAA7AQAAZHJzL2Uyb0RvYy54bWxQSwUGAAAAAAYABgBZ&#10;AQAAgQUAAAAA&#10;">
                <v:fill on="f" focussize="0,0"/>
                <v:stroke color="#000000" joinstyle="round"/>
                <v:imagedata o:title=""/>
                <o:lock v:ext="edit" aspectratio="f"/>
              </v:line>
            </w:pict>
          </mc:Fallback>
        </mc:AlternateContent>
      </w:r>
    </w:p>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E-BZ">
    <w:altName w:val="URW Bookman"/>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23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638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F1Otz6OZdJBSRs6bT697wpPTaJKHY8xEMZgIYzwDMdT7AYGO0q4Z13pimXC3mr9l4x9OiGfUmPh6sCdQ3FZHtA==" w:salt="ZrI4dgMlSG7wHnly5c++Kg=="/>
  <w:defaultTabStop w:val="420"/>
  <w:evenAndOddHeaders w:val="true"/>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3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D29"/>
    <w:rsid w:val="000249DB"/>
    <w:rsid w:val="0002595E"/>
    <w:rsid w:val="000303C3"/>
    <w:rsid w:val="000331D3"/>
    <w:rsid w:val="000346A5"/>
    <w:rsid w:val="000359C3"/>
    <w:rsid w:val="00035A7D"/>
    <w:rsid w:val="000365ED"/>
    <w:rsid w:val="0004249A"/>
    <w:rsid w:val="00043282"/>
    <w:rsid w:val="00044286"/>
    <w:rsid w:val="00046F4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AF0"/>
    <w:rsid w:val="000B060F"/>
    <w:rsid w:val="000B0DE9"/>
    <w:rsid w:val="000B1592"/>
    <w:rsid w:val="000B1FF2"/>
    <w:rsid w:val="000B3CDA"/>
    <w:rsid w:val="000B6A0B"/>
    <w:rsid w:val="000C0F6C"/>
    <w:rsid w:val="000C11DB"/>
    <w:rsid w:val="000C1492"/>
    <w:rsid w:val="000C14C9"/>
    <w:rsid w:val="000C2FBD"/>
    <w:rsid w:val="000C4B41"/>
    <w:rsid w:val="000C57D6"/>
    <w:rsid w:val="000C6362"/>
    <w:rsid w:val="000C7666"/>
    <w:rsid w:val="000D0A9C"/>
    <w:rsid w:val="000D1795"/>
    <w:rsid w:val="000D329A"/>
    <w:rsid w:val="000D4B9C"/>
    <w:rsid w:val="000D4EB6"/>
    <w:rsid w:val="000D753B"/>
    <w:rsid w:val="000E4C9E"/>
    <w:rsid w:val="000E653F"/>
    <w:rsid w:val="000E6FD7"/>
    <w:rsid w:val="000F06E1"/>
    <w:rsid w:val="000F0E3C"/>
    <w:rsid w:val="000F19D5"/>
    <w:rsid w:val="000F4AEA"/>
    <w:rsid w:val="000F633F"/>
    <w:rsid w:val="000F67E9"/>
    <w:rsid w:val="00104926"/>
    <w:rsid w:val="001105CE"/>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67B7"/>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DA6"/>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1262"/>
    <w:rsid w:val="001B71D0"/>
    <w:rsid w:val="001B71EE"/>
    <w:rsid w:val="001C04A8"/>
    <w:rsid w:val="001C2C03"/>
    <w:rsid w:val="001C42F7"/>
    <w:rsid w:val="001C46AF"/>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2F"/>
    <w:rsid w:val="002031F7"/>
    <w:rsid w:val="002040E6"/>
    <w:rsid w:val="0020527B"/>
    <w:rsid w:val="00205F2C"/>
    <w:rsid w:val="00210B15"/>
    <w:rsid w:val="002142EA"/>
    <w:rsid w:val="002204BB"/>
    <w:rsid w:val="00220904"/>
    <w:rsid w:val="00221B79"/>
    <w:rsid w:val="00221C6B"/>
    <w:rsid w:val="002253A1"/>
    <w:rsid w:val="00225CF8"/>
    <w:rsid w:val="0022794E"/>
    <w:rsid w:val="00233D64"/>
    <w:rsid w:val="0023482A"/>
    <w:rsid w:val="002359CB"/>
    <w:rsid w:val="00242C7E"/>
    <w:rsid w:val="00243540"/>
    <w:rsid w:val="0024497B"/>
    <w:rsid w:val="0024515B"/>
    <w:rsid w:val="00246021"/>
    <w:rsid w:val="0024666E"/>
    <w:rsid w:val="0024694C"/>
    <w:rsid w:val="00247F52"/>
    <w:rsid w:val="00250B25"/>
    <w:rsid w:val="00250BBE"/>
    <w:rsid w:val="002515C2"/>
    <w:rsid w:val="0025194F"/>
    <w:rsid w:val="00251CB2"/>
    <w:rsid w:val="0025317C"/>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328B"/>
    <w:rsid w:val="003615D2"/>
    <w:rsid w:val="0036429C"/>
    <w:rsid w:val="00364783"/>
    <w:rsid w:val="00364A53"/>
    <w:rsid w:val="003654CB"/>
    <w:rsid w:val="00365AA9"/>
    <w:rsid w:val="00365F86"/>
    <w:rsid w:val="00365F87"/>
    <w:rsid w:val="00366E89"/>
    <w:rsid w:val="003705F4"/>
    <w:rsid w:val="00370C29"/>
    <w:rsid w:val="00370D58"/>
    <w:rsid w:val="00371316"/>
    <w:rsid w:val="00376713"/>
    <w:rsid w:val="00381815"/>
    <w:rsid w:val="003819AF"/>
    <w:rsid w:val="003820E9"/>
    <w:rsid w:val="00382D4D"/>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B767B"/>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B6F"/>
    <w:rsid w:val="00435DF7"/>
    <w:rsid w:val="004364C3"/>
    <w:rsid w:val="00437F68"/>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15A"/>
    <w:rsid w:val="00492F02"/>
    <w:rsid w:val="00492F03"/>
    <w:rsid w:val="004939AE"/>
    <w:rsid w:val="004A01BF"/>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0A4D"/>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0F9"/>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711F"/>
    <w:rsid w:val="005701E8"/>
    <w:rsid w:val="00573D9E"/>
    <w:rsid w:val="00574681"/>
    <w:rsid w:val="005801E3"/>
    <w:rsid w:val="00581802"/>
    <w:rsid w:val="005836A8"/>
    <w:rsid w:val="0058409C"/>
    <w:rsid w:val="00584262"/>
    <w:rsid w:val="00586630"/>
    <w:rsid w:val="00587ADD"/>
    <w:rsid w:val="00591E27"/>
    <w:rsid w:val="00596160"/>
    <w:rsid w:val="005966E2"/>
    <w:rsid w:val="00597007"/>
    <w:rsid w:val="005A0966"/>
    <w:rsid w:val="005A11B7"/>
    <w:rsid w:val="005A136E"/>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3FF6"/>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7C1F"/>
    <w:rsid w:val="006C1BBA"/>
    <w:rsid w:val="006C2079"/>
    <w:rsid w:val="006C5A62"/>
    <w:rsid w:val="006C5D68"/>
    <w:rsid w:val="006C65F9"/>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8E"/>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281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D42"/>
    <w:rsid w:val="008A1893"/>
    <w:rsid w:val="008A3215"/>
    <w:rsid w:val="008A57E6"/>
    <w:rsid w:val="008A6F81"/>
    <w:rsid w:val="008A769A"/>
    <w:rsid w:val="008B0C9C"/>
    <w:rsid w:val="008B166D"/>
    <w:rsid w:val="008B17F4"/>
    <w:rsid w:val="008B3615"/>
    <w:rsid w:val="008B4AC4"/>
    <w:rsid w:val="008B50C8"/>
    <w:rsid w:val="008B5281"/>
    <w:rsid w:val="008B757A"/>
    <w:rsid w:val="008B7E05"/>
    <w:rsid w:val="008C047D"/>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D3A"/>
    <w:rsid w:val="00965E04"/>
    <w:rsid w:val="009674AD"/>
    <w:rsid w:val="00970CDC"/>
    <w:rsid w:val="00977010"/>
    <w:rsid w:val="00977D02"/>
    <w:rsid w:val="009809BB"/>
    <w:rsid w:val="0098364B"/>
    <w:rsid w:val="00984845"/>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B34"/>
    <w:rsid w:val="009C3152"/>
    <w:rsid w:val="009C46B3"/>
    <w:rsid w:val="009C4CFA"/>
    <w:rsid w:val="009C5070"/>
    <w:rsid w:val="009D112C"/>
    <w:rsid w:val="009D47FA"/>
    <w:rsid w:val="009D4C5B"/>
    <w:rsid w:val="009D50D2"/>
    <w:rsid w:val="009D6BCA"/>
    <w:rsid w:val="009E0299"/>
    <w:rsid w:val="009E0F62"/>
    <w:rsid w:val="009E4A58"/>
    <w:rsid w:val="009E5A2D"/>
    <w:rsid w:val="009E5AB2"/>
    <w:rsid w:val="009E6219"/>
    <w:rsid w:val="009F03B3"/>
    <w:rsid w:val="009F557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CC2"/>
    <w:rsid w:val="00A25E6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97D"/>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2E6A"/>
    <w:rsid w:val="00AC30F7"/>
    <w:rsid w:val="00AC3A5A"/>
    <w:rsid w:val="00AC3FFE"/>
    <w:rsid w:val="00AC4D95"/>
    <w:rsid w:val="00AC5DF4"/>
    <w:rsid w:val="00AC67A5"/>
    <w:rsid w:val="00AD0AEF"/>
    <w:rsid w:val="00AD11B7"/>
    <w:rsid w:val="00AD1A94"/>
    <w:rsid w:val="00AD1C05"/>
    <w:rsid w:val="00AD4126"/>
    <w:rsid w:val="00AD421C"/>
    <w:rsid w:val="00AD44FA"/>
    <w:rsid w:val="00AD49B7"/>
    <w:rsid w:val="00AE070A"/>
    <w:rsid w:val="00AE101C"/>
    <w:rsid w:val="00AE1FB1"/>
    <w:rsid w:val="00AE37E5"/>
    <w:rsid w:val="00AE5EB4"/>
    <w:rsid w:val="00AF0C18"/>
    <w:rsid w:val="00AF2E5D"/>
    <w:rsid w:val="00AF47C5"/>
    <w:rsid w:val="00AF5398"/>
    <w:rsid w:val="00B049AF"/>
    <w:rsid w:val="00B07242"/>
    <w:rsid w:val="00B10534"/>
    <w:rsid w:val="00B113DB"/>
    <w:rsid w:val="00B11D8A"/>
    <w:rsid w:val="00B12981"/>
    <w:rsid w:val="00B147DD"/>
    <w:rsid w:val="00B156FD"/>
    <w:rsid w:val="00B21F61"/>
    <w:rsid w:val="00B261F1"/>
    <w:rsid w:val="00B265BC"/>
    <w:rsid w:val="00B26600"/>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5970"/>
    <w:rsid w:val="00B66567"/>
    <w:rsid w:val="00B66F52"/>
    <w:rsid w:val="00B66FE5"/>
    <w:rsid w:val="00B67BE6"/>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BD8"/>
    <w:rsid w:val="00BB5F8F"/>
    <w:rsid w:val="00BB657A"/>
    <w:rsid w:val="00BB78FC"/>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979"/>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C1A"/>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B05"/>
    <w:rsid w:val="00CB4EE9"/>
    <w:rsid w:val="00CB517D"/>
    <w:rsid w:val="00CC038D"/>
    <w:rsid w:val="00CC08DB"/>
    <w:rsid w:val="00CC39FF"/>
    <w:rsid w:val="00CC3C2F"/>
    <w:rsid w:val="00CC4AC8"/>
    <w:rsid w:val="00CC5233"/>
    <w:rsid w:val="00CC5DE6"/>
    <w:rsid w:val="00CC6E4E"/>
    <w:rsid w:val="00CC6FE8"/>
    <w:rsid w:val="00CC7202"/>
    <w:rsid w:val="00CD048E"/>
    <w:rsid w:val="00CD2808"/>
    <w:rsid w:val="00CD28BF"/>
    <w:rsid w:val="00CD4092"/>
    <w:rsid w:val="00CD4A20"/>
    <w:rsid w:val="00CD50A1"/>
    <w:rsid w:val="00CD519E"/>
    <w:rsid w:val="00CE0C4F"/>
    <w:rsid w:val="00CE30EA"/>
    <w:rsid w:val="00CF048A"/>
    <w:rsid w:val="00CF155A"/>
    <w:rsid w:val="00CF2947"/>
    <w:rsid w:val="00CF686F"/>
    <w:rsid w:val="00CF6E60"/>
    <w:rsid w:val="00CF7A49"/>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80C"/>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F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7718"/>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11BB"/>
    <w:rsid w:val="00E9311F"/>
    <w:rsid w:val="00E934D1"/>
    <w:rsid w:val="00E94AF0"/>
    <w:rsid w:val="00E95D13"/>
    <w:rsid w:val="00E95DD3"/>
    <w:rsid w:val="00E969D5"/>
    <w:rsid w:val="00E96E32"/>
    <w:rsid w:val="00EA58D1"/>
    <w:rsid w:val="00EA61BC"/>
    <w:rsid w:val="00EA681A"/>
    <w:rsid w:val="00EA735B"/>
    <w:rsid w:val="00EB17DE"/>
    <w:rsid w:val="00EB1E69"/>
    <w:rsid w:val="00EB2086"/>
    <w:rsid w:val="00EB5EDF"/>
    <w:rsid w:val="00EB60FE"/>
    <w:rsid w:val="00EB74DB"/>
    <w:rsid w:val="00EC5359"/>
    <w:rsid w:val="00EC562A"/>
    <w:rsid w:val="00EC7E1A"/>
    <w:rsid w:val="00ED067A"/>
    <w:rsid w:val="00ED2B50"/>
    <w:rsid w:val="00EE0350"/>
    <w:rsid w:val="00EE05CD"/>
    <w:rsid w:val="00EE0719"/>
    <w:rsid w:val="00EE0E80"/>
    <w:rsid w:val="00EE17A8"/>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74"/>
    <w:rsid w:val="00F25BB6"/>
    <w:rsid w:val="00F26B7E"/>
    <w:rsid w:val="00F27A3B"/>
    <w:rsid w:val="00F30954"/>
    <w:rsid w:val="00F33817"/>
    <w:rsid w:val="00F420D5"/>
    <w:rsid w:val="00F451EA"/>
    <w:rsid w:val="00F45447"/>
    <w:rsid w:val="00F456C6"/>
    <w:rsid w:val="00F4577B"/>
    <w:rsid w:val="00F46496"/>
    <w:rsid w:val="00F474D0"/>
    <w:rsid w:val="00F47A01"/>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873C0"/>
    <w:rsid w:val="00F907E9"/>
    <w:rsid w:val="00F9108B"/>
    <w:rsid w:val="00F91349"/>
    <w:rsid w:val="00F93A8A"/>
    <w:rsid w:val="00F95248"/>
    <w:rsid w:val="00F956A9"/>
    <w:rsid w:val="00F963ED"/>
    <w:rsid w:val="00F966CF"/>
    <w:rsid w:val="00F96CAE"/>
    <w:rsid w:val="00F97C99"/>
    <w:rsid w:val="00FA4DAC"/>
    <w:rsid w:val="00FA662D"/>
    <w:rsid w:val="00FA73B1"/>
    <w:rsid w:val="00FB0CB9"/>
    <w:rsid w:val="00FB11F8"/>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1D6520"/>
    <w:rsid w:val="54D46878"/>
    <w:rsid w:val="F6DE8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Other|1"/>
    <w:basedOn w:val="1"/>
    <w:qFormat/>
    <w:uiPriority w:val="0"/>
    <w:pPr>
      <w:adjustRightInd/>
      <w:spacing w:line="340" w:lineRule="auto"/>
      <w:ind w:firstLine="400"/>
    </w:pPr>
    <w:rPr>
      <w:rFonts w:ascii="宋体" w:hAnsi="宋体" w:cs="宋体"/>
      <w:sz w:val="20"/>
      <w:szCs w:val="20"/>
    </w:rPr>
  </w:style>
  <w:style w:type="paragraph" w:customStyle="1" w:styleId="231">
    <w:name w:val="列项——（一级）"/>
    <w:qFormat/>
    <w:uiPriority w:val="0"/>
    <w:pPr>
      <w:widowControl w:val="0"/>
      <w:numPr>
        <w:ilvl w:val="0"/>
        <w:numId w:val="9"/>
      </w:numPr>
      <w:ind w:left="833" w:hanging="408"/>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glossaryDocument" Target="glossary/document.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tiff"/><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BE96C84EBCE4C7EA8B65186C47D2766"/>
        <w:style w:val=""/>
        <w:category>
          <w:name w:val="常规"/>
          <w:gallery w:val="placeholder"/>
        </w:category>
        <w:types>
          <w:type w:val="bbPlcHdr"/>
        </w:types>
        <w:behaviors>
          <w:behavior w:val="content"/>
        </w:behaviors>
        <w:description w:val=""/>
        <w:guid w:val="{69E81797-90C6-4098-B663-0CFB0A228492}"/>
      </w:docPartPr>
      <w:docPartBody>
        <w:p>
          <w:pPr>
            <w:pStyle w:val="5"/>
          </w:pPr>
          <w:r>
            <w:rPr>
              <w:rStyle w:val="4"/>
              <w:rFonts w:hint="eastAsia"/>
            </w:rPr>
            <w:t>单击或点击此处输入文字。</w:t>
          </w:r>
        </w:p>
      </w:docPartBody>
    </w:docPart>
    <w:docPart>
      <w:docPartPr>
        <w:name w:val="1D089E745D1C4502990FA9164DD08EB6"/>
        <w:style w:val=""/>
        <w:category>
          <w:name w:val="常规"/>
          <w:gallery w:val="placeholder"/>
        </w:category>
        <w:types>
          <w:type w:val="bbPlcHdr"/>
        </w:types>
        <w:behaviors>
          <w:behavior w:val="content"/>
        </w:behaviors>
        <w:description w:val=""/>
        <w:guid w:val="{1CA76B1D-3E11-4D52-9C5D-A23878E7E36D}"/>
      </w:docPartPr>
      <w:docPartBody>
        <w:p>
          <w:pPr>
            <w:pStyle w:val="6"/>
          </w:pPr>
          <w:r>
            <w:rPr>
              <w:rStyle w:val="4"/>
              <w:rFonts w:hint="eastAsia"/>
            </w:rPr>
            <w:t>选择一项。</w:t>
          </w:r>
        </w:p>
      </w:docPartBody>
    </w:docPart>
    <w:docPart>
      <w:docPartPr>
        <w:name w:val="A914D348360A45C2BB03B12E7B83B16D"/>
        <w:style w:val=""/>
        <w:category>
          <w:name w:val="常规"/>
          <w:gallery w:val="placeholder"/>
        </w:category>
        <w:types>
          <w:type w:val="bbPlcHdr"/>
        </w:types>
        <w:behaviors>
          <w:behavior w:val="content"/>
        </w:behaviors>
        <w:description w:val=""/>
        <w:guid w:val="{5CAC6232-CC4C-41A0-B049-56970DC8C70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71"/>
    <w:rsid w:val="00214D92"/>
    <w:rsid w:val="00335CBE"/>
    <w:rsid w:val="00490E19"/>
    <w:rsid w:val="00510C15"/>
    <w:rsid w:val="005B24CE"/>
    <w:rsid w:val="005D3B08"/>
    <w:rsid w:val="005D3CBA"/>
    <w:rsid w:val="006D7A40"/>
    <w:rsid w:val="006E5F62"/>
    <w:rsid w:val="00990B96"/>
    <w:rsid w:val="009A4C71"/>
    <w:rsid w:val="009E3A02"/>
    <w:rsid w:val="00E03052"/>
    <w:rsid w:val="00E61076"/>
    <w:rsid w:val="00F1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BE96C84EBCE4C7EA8B65186C47D27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D089E745D1C4502990FA9164DD08E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14D348360A45C2BB03B12E7B83B16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593</Words>
  <Characters>3385</Characters>
  <Lines>28</Lines>
  <Paragraphs>7</Paragraphs>
  <TotalTime>11</TotalTime>
  <ScaleCrop>false</ScaleCrop>
  <LinksUpToDate>false</LinksUpToDate>
  <CharactersWithSpaces>3971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2022-03-12T13:28:00Z</dcterms:created>
  <dc:creator>357579500@qq.com</dc:creator>
  <cp:lastModifiedBy>kylin</cp:lastModifiedBy>
  <cp:lastPrinted>2022-03-15T17:45:00Z</cp:lastPrinted>
  <dcterms:modified xsi:type="dcterms:W3CDTF">2023-12-26T16:04:52Z</dcterms:modified>
  <dc:title>地方标准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2052-11.8.2.9864</vt:lpwstr>
  </property>
  <property fmtid="{D5CDD505-2E9C-101B-9397-08002B2CF9AE}" pid="15" name="ICV">
    <vt:lpwstr>F370955B9A184A48BF744D28250C213B</vt:lpwstr>
  </property>
  <property fmtid="{D5CDD505-2E9C-101B-9397-08002B2CF9AE}" pid="16" name="DoublePage">
    <vt:lpwstr>true</vt:lpwstr>
  </property>
</Properties>
</file>