
<file path=[Content_Types].xml><?xml version="1.0" encoding="utf-8"?>
<Types xmlns="http://schemas.openxmlformats.org/package/2006/content-types">
  <Default Extension="xml" ContentType="application/xml"/>
  <Default Extension="emf" ContentType="image/x-e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pPr>
        <w:pStyle w:val="52"/>
        <w:framePr w:w="9639" w:h="6976" w:hRule="exact" w:hSpace="0" w:vSpace="0" w:hAnchor="page" w:y="6408"/>
        <w:jc w:val="center"/>
        <w:rPr>
          <w:rFonts w:ascii="黑体" w:hAnsi="黑体" w:eastAsia="黑体"/>
          <w:b w:val="0"/>
          <w:bCs w:val="0"/>
          <w:w w:val="100"/>
        </w:rPr>
      </w:pPr>
    </w:p>
    <w:p>
      <w:pPr>
        <w:pStyle w:val="199"/>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工业原料—洪桉樟苗木繁殖与高密度矮化种植技术规程</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Industrial raw material—Code of practice of Cinnaamomum glanduliferum ‘honganzhang’Coppicing Seedling propagation and high density dwarf cultivation</w:t>
      </w:r>
    </w:p>
    <w:p>
      <w:pPr>
        <w:pStyle w:val="127"/>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rFonts w:hint="eastAsia"/>
          <w:sz w:val="21"/>
          <w:szCs w:val="28"/>
        </w:rPr>
        <w:t>2022年2月23日</w:t>
      </w:r>
      <w:r>
        <w:rPr>
          <w:sz w:val="21"/>
          <w:szCs w:val="28"/>
        </w:rPr>
        <w:t>    </w:t>
      </w:r>
      <w:r>
        <w:rPr>
          <w:sz w:val="21"/>
          <w:szCs w:val="28"/>
        </w:rPr>
        <w:fldChar w:fldCharType="end"/>
      </w:r>
      <w:bookmarkEnd w:id="12"/>
    </w:p>
    <w:p>
      <w:pPr>
        <w:pStyle w:val="12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pPr>
        <w:pStyle w:val="93"/>
        <w:spacing w:after="468"/>
        <w:rPr>
          <w:color w:val="000000" w:themeColor="text1"/>
        </w:rPr>
      </w:pPr>
      <w:bookmarkStart w:id="21" w:name="BookMark1"/>
      <w:bookmarkStart w:id="22" w:name="_Toc79743816"/>
      <w:bookmarkStart w:id="23" w:name="_Toc79743856"/>
      <w:bookmarkStart w:id="24" w:name="_Toc79743771"/>
      <w:bookmarkStart w:id="25" w:name="_Toc79743796"/>
      <w:bookmarkStart w:id="26" w:name="_Toc79743806"/>
      <w:bookmarkStart w:id="27" w:name="_Toc79742324"/>
      <w:r>
        <w:rPr>
          <w:rFonts w:hint="eastAsia"/>
          <w:color w:val="000000" w:themeColor="text1"/>
          <w:spacing w:val="320"/>
        </w:rPr>
        <w:t>目</w:t>
      </w:r>
      <w:r>
        <w:rPr>
          <w:rFonts w:hint="eastAsia"/>
          <w:color w:val="000000" w:themeColor="text1"/>
        </w:rP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"_Toc28399" </w:instrText>
      </w:r>
      <w:r>
        <w:fldChar w:fldCharType="separate"/>
      </w:r>
      <w:r>
        <w:rPr>
          <w:spacing w:val="320"/>
        </w:rPr>
        <w:t>前</w:t>
      </w:r>
      <w:r>
        <w:t>言</w:t>
      </w:r>
      <w:r>
        <w:tab/>
      </w:r>
      <w:r>
        <w:fldChar w:fldCharType="begin"/>
      </w:r>
      <w:r>
        <w:instrText xml:space="preserve"> PAGEREF _Toc28399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"_Toc7821" </w:instrText>
      </w:r>
      <w:r>
        <w:fldChar w:fldCharType="separate"/>
      </w:r>
      <w:r>
        <w:rPr>
          <w:rFonts w:hint="eastAsia" w:ascii="黑体" w:eastAsia="黑体"/>
        </w:rPr>
        <w:t xml:space="preserve">1 </w:t>
      </w:r>
      <w:r>
        <w:rPr>
          <w:rFonts w:hint="eastAsia"/>
        </w:rPr>
        <w:t>范围</w:t>
      </w:r>
      <w:r>
        <w:tab/>
      </w:r>
      <w:r>
        <w:fldChar w:fldCharType="begin"/>
      </w:r>
      <w:r>
        <w:instrText xml:space="preserve"> PAGEREF _Toc7821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"_Toc13504"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_Toc13504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"_Toc24434"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_Toc24434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"_Toc16940" </w:instrText>
      </w:r>
      <w:r>
        <w:fldChar w:fldCharType="separate"/>
      </w:r>
      <w:r>
        <w:rPr>
          <w:rFonts w:hint="eastAsia" w:ascii="黑体" w:eastAsia="黑体"/>
        </w:rPr>
        <w:t xml:space="preserve">4 </w:t>
      </w:r>
      <w:r>
        <w:rPr>
          <w:rFonts w:hint="eastAsia"/>
        </w:rPr>
        <w:t>育苗</w:t>
      </w:r>
      <w:r>
        <w:tab/>
      </w:r>
      <w:r>
        <w:fldChar w:fldCharType="begin"/>
      </w:r>
      <w:r>
        <w:instrText xml:space="preserve"> PAGEREF _Toc16940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"_Toc12671" </w:instrText>
      </w:r>
      <w:r>
        <w:fldChar w:fldCharType="separate"/>
      </w:r>
      <w:r>
        <w:rPr>
          <w:rFonts w:hint="eastAsia" w:ascii="黑体" w:hAnsi="Times New Roman" w:eastAsia="黑体"/>
        </w:rPr>
        <w:t xml:space="preserve">5 </w:t>
      </w:r>
      <w:r>
        <w:rPr>
          <w:rFonts w:hint="eastAsia" w:hAnsi="Times New Roman"/>
        </w:rPr>
        <w:t>造林地的选择</w:t>
      </w:r>
      <w:r>
        <w:tab/>
      </w:r>
      <w:r>
        <w:fldChar w:fldCharType="begin"/>
      </w:r>
      <w:r>
        <w:instrText xml:space="preserve"> PAGEREF _Toc12671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"_Toc7472" </w:instrText>
      </w:r>
      <w:r>
        <w:fldChar w:fldCharType="separate"/>
      </w:r>
      <w:r>
        <w:rPr>
          <w:rFonts w:hint="eastAsia" w:ascii="黑体" w:hAnsi="Times New Roman" w:eastAsia="黑体"/>
        </w:rPr>
        <w:t xml:space="preserve">6 </w:t>
      </w:r>
      <w:r>
        <w:rPr>
          <w:rFonts w:hint="eastAsia" w:hAnsi="Times New Roman"/>
        </w:rPr>
        <w:t>种植</w:t>
      </w:r>
      <w:r>
        <w:tab/>
      </w:r>
      <w:r>
        <w:fldChar w:fldCharType="begin"/>
      </w:r>
      <w:r>
        <w:instrText xml:space="preserve"> PAGEREF _Toc7472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"_Toc27794" </w:instrText>
      </w:r>
      <w:r>
        <w:fldChar w:fldCharType="separate"/>
      </w:r>
      <w:r>
        <w:rPr>
          <w:rFonts w:hint="eastAsia" w:ascii="黑体" w:hAnsi="Times New Roman" w:eastAsia="黑体"/>
        </w:rPr>
        <w:t xml:space="preserve">7 </w:t>
      </w:r>
      <w:r>
        <w:rPr>
          <w:rFonts w:hint="eastAsia" w:hAnsi="Times New Roman"/>
        </w:rPr>
        <w:t>抚育管理</w:t>
      </w:r>
      <w:r>
        <w:tab/>
      </w:r>
      <w:r>
        <w:fldChar w:fldCharType="begin"/>
      </w:r>
      <w:r>
        <w:instrText xml:space="preserve"> PAGEREF _Toc27794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"_Toc18622" </w:instrText>
      </w:r>
      <w:r>
        <w:fldChar w:fldCharType="separate"/>
      </w:r>
      <w:r>
        <w:rPr>
          <w:rFonts w:hint="eastAsia" w:ascii="黑体" w:hAnsi="Times New Roman" w:eastAsia="黑体"/>
        </w:rPr>
        <w:t xml:space="preserve">8 </w:t>
      </w:r>
      <w:r>
        <w:rPr>
          <w:rFonts w:hint="eastAsia" w:hAnsi="Times New Roman"/>
        </w:rPr>
        <w:t>病虫害防治</w:t>
      </w:r>
      <w:r>
        <w:tab/>
      </w:r>
      <w:r>
        <w:fldChar w:fldCharType="begin"/>
      </w:r>
      <w:r>
        <w:instrText xml:space="preserve"> PAGEREF _Toc18622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"_Toc4148" </w:instrText>
      </w:r>
      <w:r>
        <w:fldChar w:fldCharType="separate"/>
      </w:r>
      <w:r>
        <w:rPr>
          <w:rFonts w:hint="eastAsia" w:ascii="黑体" w:hAnsi="Times New Roman" w:eastAsia="黑体"/>
        </w:rPr>
        <w:t xml:space="preserve">9 </w:t>
      </w:r>
      <w:r>
        <w:rPr>
          <w:rFonts w:hint="eastAsia" w:hAnsi="Times New Roman"/>
        </w:rPr>
        <w:t>鲜枝叶采运</w:t>
      </w:r>
      <w:r>
        <w:tab/>
      </w:r>
      <w:r>
        <w:fldChar w:fldCharType="begin"/>
      </w:r>
      <w:r>
        <w:instrText xml:space="preserve"> PAGEREF _Toc4148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"_Toc13586" </w:instrText>
      </w:r>
      <w:r>
        <w:fldChar w:fldCharType="separate"/>
      </w:r>
      <w:r>
        <w:rPr>
          <w:rFonts w:hint="eastAsia" w:ascii="黑体" w:hAnsi="Times New Roman" w:eastAsia="黑体"/>
        </w:rPr>
        <w:t xml:space="preserve">10 </w:t>
      </w:r>
      <w:r>
        <w:rPr>
          <w:rFonts w:hint="eastAsia" w:hAnsi="Times New Roman"/>
        </w:rPr>
        <w:t>档案管理</w:t>
      </w:r>
      <w:r>
        <w:tab/>
      </w:r>
      <w:r>
        <w:fldChar w:fldCharType="begin"/>
      </w:r>
      <w:r>
        <w:instrText xml:space="preserve"> PAGEREF _Toc13586 \h </w:instrText>
      </w:r>
      <w:r>
        <w:fldChar w:fldCharType="separate"/>
      </w:r>
      <w:r>
        <w:t>5</w:t>
      </w:r>
      <w:r>
        <w:fldChar w:fldCharType="end"/>
      </w:r>
      <w:r>
        <w:fldChar w:fldCharType="end"/>
      </w:r>
    </w:p>
    <w:p>
      <w:pPr>
        <w:pStyle w:val="20"/>
        <w:tabs>
          <w:tab w:val="right" w:leader="dot" w:pos="9344"/>
        </w:tabs>
        <w:rPr>
          <w:rStyle w:val="34"/>
        </w:rPr>
      </w:pPr>
      <w:r>
        <w:fldChar w:fldCharType="end"/>
      </w:r>
      <w:bookmarkStart w:id="28" w:name="muci"/>
      <w:bookmarkEnd w:id="28"/>
      <w:r>
        <w:rPr>
          <w:rStyle w:val="34"/>
        </w:rPr>
        <w:fldChar w:fldCharType="begin"/>
      </w:r>
      <w:r>
        <w:rPr>
          <w:rStyle w:val="34"/>
        </w:rPr>
        <w:instrText xml:space="preserve"> HYPERLINK \l _Toc29546 </w:instrText>
      </w:r>
      <w:r>
        <w:rPr>
          <w:rStyle w:val="34"/>
        </w:rPr>
        <w:fldChar w:fldCharType="separate"/>
      </w:r>
      <w:r>
        <w:rPr>
          <w:rStyle w:val="34"/>
        </w:rPr>
        <w:t>附录</w:t>
      </w:r>
      <w:r>
        <w:rPr>
          <w:rStyle w:val="34"/>
          <w:rFonts w:hint="eastAsia"/>
        </w:rPr>
        <w:t>A（资料性附录）</w:t>
      </w:r>
      <w:r>
        <w:rPr>
          <w:rStyle w:val="34"/>
        </w:rPr>
        <w:tab/>
      </w:r>
      <w:r>
        <w:rPr>
          <w:rStyle w:val="34"/>
          <w:rFonts w:hint="eastAsia"/>
        </w:rPr>
        <w:t>6</w:t>
      </w:r>
      <w:r>
        <w:rPr>
          <w:rStyle w:val="34"/>
        </w:rPr>
        <w:fldChar w:fldCharType="end"/>
      </w:r>
    </w:p>
    <w:p>
      <w:pPr>
        <w:pStyle w:val="20"/>
        <w:tabs>
          <w:tab w:val="right" w:leader="dot" w:pos="9344"/>
        </w:tabs>
        <w:rPr>
          <w:rStyle w:val="34"/>
        </w:rPr>
      </w:pPr>
      <w:r>
        <w:fldChar w:fldCharType="begin"/>
      </w:r>
      <w:r>
        <w:instrText xml:space="preserve"> HYPERLINK \l "_Toc16161" </w:instrText>
      </w:r>
      <w:r>
        <w:fldChar w:fldCharType="separate"/>
      </w:r>
      <w:r>
        <w:rPr>
          <w:rStyle w:val="34"/>
        </w:rPr>
        <w:t>附录</w:t>
      </w:r>
      <w:r>
        <w:rPr>
          <w:rStyle w:val="34"/>
          <w:rFonts w:hint="eastAsia"/>
        </w:rPr>
        <w:t>B（资料性附录）</w:t>
      </w:r>
      <w:r>
        <w:rPr>
          <w:rStyle w:val="34"/>
        </w:rPr>
        <w:tab/>
      </w:r>
      <w:r>
        <w:rPr>
          <w:rStyle w:val="34"/>
          <w:rFonts w:hint="eastAsia"/>
        </w:rPr>
        <w:t>7</w:t>
      </w:r>
      <w:r>
        <w:rPr>
          <w:rStyle w:val="34"/>
          <w:rFonts w:hint="eastAsia"/>
        </w:rPr>
        <w:fldChar w:fldCharType="end"/>
      </w:r>
    </w:p>
    <w:p>
      <w:pPr>
        <w:pStyle w:val="58"/>
        <w:spacing w:line="300" w:lineRule="exact"/>
        <w:ind w:firstLine="420"/>
        <w:rPr>
          <w:color w:val="FF0000"/>
        </w:rPr>
      </w:pPr>
    </w:p>
    <w:p>
      <w:pPr>
        <w:pStyle w:val="20"/>
        <w:tabs>
          <w:tab w:val="right" w:leader="dot" w:pos="9354"/>
        </w:tabs>
        <w:rPr>
          <w:color w:val="FF0000"/>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pStyle w:val="91"/>
        <w:spacing w:after="468"/>
      </w:pPr>
      <w:bookmarkStart w:id="29" w:name="_Toc28399"/>
      <w:bookmarkStart w:id="30" w:name="BookMark2"/>
      <w:r>
        <w:rPr>
          <w:spacing w:val="320"/>
        </w:rPr>
        <w:t>前</w:t>
      </w:r>
      <w:r>
        <w:t>言</w:t>
      </w:r>
      <w:bookmarkEnd w:id="22"/>
      <w:bookmarkEnd w:id="23"/>
      <w:bookmarkEnd w:id="24"/>
      <w:bookmarkEnd w:id="25"/>
      <w:bookmarkEnd w:id="26"/>
      <w:bookmarkEnd w:id="27"/>
      <w:bookmarkEnd w:id="29"/>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本文件的某些内容可能涉及专利，本文件的发布机构不承担识别专利的责任。</w:t>
      </w:r>
    </w:p>
    <w:p>
      <w:pPr>
        <w:pStyle w:val="58"/>
        <w:ind w:firstLine="420"/>
      </w:pPr>
      <w:r>
        <w:rPr>
          <w:rFonts w:hint="eastAsia"/>
        </w:rPr>
        <w:t>本文件由湖南省林业局提出。</w:t>
      </w:r>
    </w:p>
    <w:p>
      <w:pPr>
        <w:pStyle w:val="58"/>
        <w:ind w:firstLine="420"/>
      </w:pPr>
      <w:r>
        <w:rPr>
          <w:rFonts w:hint="eastAsia"/>
        </w:rPr>
        <w:t>本文件由湖南省林业标准化技术委员会归口。</w:t>
      </w:r>
    </w:p>
    <w:p>
      <w:pPr>
        <w:pStyle w:val="234"/>
      </w:pPr>
      <w:r>
        <w:rPr>
          <w:rFonts w:hint="eastAsia"/>
        </w:rPr>
        <w:t>本文件起草单位：洪江市金土地生态农业有限责任公司，湖南省植物园。</w:t>
      </w:r>
    </w:p>
    <w:p>
      <w:pPr>
        <w:pStyle w:val="234"/>
      </w:pPr>
      <w:r>
        <w:rPr>
          <w:rFonts w:hint="eastAsia"/>
        </w:rPr>
        <w:t>本文件主要起草人：杨怡男、彭静、杨子云、彭信海、王萍、牟村、向清华、蒋文。</w:t>
      </w:r>
    </w:p>
    <w:p>
      <w:pPr>
        <w:pStyle w:val="58"/>
        <w:ind w:firstLine="420"/>
      </w:pPr>
    </w:p>
    <w:p>
      <w:pPr>
        <w:pStyle w:val="58"/>
        <w:ind w:firstLine="420"/>
        <w:sectPr>
          <w:pgSz w:w="11906" w:h="16838"/>
          <w:pgMar w:top="2410" w:right="1134" w:bottom="1134" w:left="1134" w:header="1418" w:footer="1134" w:gutter="284"/>
          <w:pgNumType w:fmt="upperRoman"/>
          <w:cols w:space="425" w:num="1"/>
          <w:formProt w:val="0"/>
          <w:docGrid w:type="lines" w:linePitch="312" w:charSpace="0"/>
        </w:sectPr>
      </w:pPr>
    </w:p>
    <w:bookmarkEnd w:id="30"/>
    <w:p>
      <w:pPr>
        <w:spacing w:line="20" w:lineRule="exact"/>
        <w:jc w:val="center"/>
        <w:rPr>
          <w:rFonts w:ascii="黑体" w:hAnsi="黑体" w:eastAsia="黑体"/>
          <w:sz w:val="32"/>
          <w:szCs w:val="32"/>
        </w:rPr>
      </w:pPr>
      <w:bookmarkStart w:id="31" w:name="BookMark4"/>
    </w:p>
    <w:p>
      <w:pPr>
        <w:spacing w:line="20" w:lineRule="exact"/>
        <w:jc w:val="center"/>
        <w:rPr>
          <w:rFonts w:ascii="黑体" w:hAnsi="黑体" w:eastAsia="黑体"/>
          <w:sz w:val="32"/>
          <w:szCs w:val="32"/>
        </w:rPr>
      </w:pPr>
    </w:p>
    <w:sdt>
      <w:sdtPr>
        <w:tag w:val="NEW_STAND_NAME"/>
        <w:id w:val="595910757"/>
        <w:lock w:val="sdtLocked"/>
        <w:placeholder>
          <w:docPart w:val="20834F74AE9045F087B5A9A6020F4630"/>
        </w:placeholder>
      </w:sdtPr>
      <w:sdtContent>
        <w:p>
          <w:pPr>
            <w:pStyle w:val="179"/>
            <w:spacing w:beforeLines="1" w:afterLines="220"/>
          </w:pPr>
          <w:bookmarkStart w:id="32" w:name="NEW_STAND_NAME"/>
          <w:r>
            <w:rPr>
              <w:rFonts w:hint="eastAsia"/>
            </w:rPr>
            <w:t>工业原料—洪桉樟苗木繁殖与高密度矮化种植技术规程</w:t>
          </w:r>
        </w:p>
      </w:sdtContent>
    </w:sdt>
    <w:bookmarkEnd w:id="32"/>
    <w:p>
      <w:pPr>
        <w:pStyle w:val="106"/>
        <w:spacing w:before="312" w:after="312"/>
      </w:pPr>
      <w:bookmarkStart w:id="33" w:name="_Toc26986530"/>
      <w:bookmarkStart w:id="34" w:name="_Toc17233333"/>
      <w:bookmarkStart w:id="35" w:name="_Toc79743807"/>
      <w:bookmarkStart w:id="36" w:name="_Toc24884211"/>
      <w:bookmarkStart w:id="37" w:name="_Toc79743797"/>
      <w:bookmarkStart w:id="38" w:name="_Toc26986771"/>
      <w:bookmarkStart w:id="39" w:name="_Toc79743772"/>
      <w:bookmarkStart w:id="40" w:name="_Toc79743817"/>
      <w:bookmarkStart w:id="41" w:name="_Toc17233325"/>
      <w:bookmarkStart w:id="42" w:name="_Toc26648465"/>
      <w:bookmarkStart w:id="43" w:name="_Toc79743857"/>
      <w:bookmarkStart w:id="44" w:name="_Toc79742325"/>
      <w:bookmarkStart w:id="45" w:name="_Toc7821"/>
      <w:bookmarkStart w:id="46" w:name="_Toc24884218"/>
      <w:bookmarkStart w:id="47" w:name="_Toc26718930"/>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20"/>
        <w:tabs>
          <w:tab w:val="right" w:leader="dot" w:pos="9354"/>
        </w:tabs>
        <w:rPr>
          <w:rFonts w:hAnsi="Times New Roman"/>
          <w:kern w:val="0"/>
          <w:szCs w:val="20"/>
        </w:rPr>
      </w:pPr>
      <w:bookmarkStart w:id="48" w:name="_Toc24884212"/>
      <w:bookmarkStart w:id="49" w:name="_Toc17233334"/>
      <w:bookmarkStart w:id="50" w:name="_Toc24884219"/>
      <w:bookmarkStart w:id="51" w:name="_Toc26648466"/>
      <w:bookmarkStart w:id="52" w:name="_Toc17233326"/>
      <w:r>
        <w:rPr>
          <w:rFonts w:hint="eastAsia" w:hAnsi="Times New Roman"/>
          <w:kern w:val="0"/>
          <w:szCs w:val="20"/>
        </w:rPr>
        <w:t>本文件规定了洪桉樟（</w:t>
      </w:r>
      <w:r>
        <w:rPr>
          <w:rFonts w:hint="eastAsia" w:ascii="Times New Roman" w:hAnsi="Times New Roman" w:eastAsia="方正仿宋_GBK"/>
          <w:i/>
          <w:iCs/>
          <w:sz w:val="24"/>
          <w:szCs w:val="24"/>
        </w:rPr>
        <w:t>Cinnaamomumglanduliferum</w:t>
      </w:r>
      <w:r>
        <w:rPr>
          <w:rFonts w:ascii="Times New Roman" w:hAnsi="Times New Roman" w:eastAsia="方正仿宋_GBK"/>
          <w:sz w:val="24"/>
          <w:szCs w:val="24"/>
        </w:rPr>
        <w:t>‘</w:t>
      </w:r>
      <w:r>
        <w:rPr>
          <w:rFonts w:hint="eastAsia" w:ascii="Times New Roman" w:hAnsi="Times New Roman" w:eastAsia="方正仿宋_GBK"/>
          <w:sz w:val="24"/>
          <w:szCs w:val="24"/>
        </w:rPr>
        <w:t>h</w:t>
      </w:r>
      <w:r>
        <w:rPr>
          <w:rFonts w:ascii="Times New Roman" w:hAnsi="Times New Roman" w:eastAsia="方正仿宋_GBK"/>
          <w:sz w:val="24"/>
          <w:szCs w:val="24"/>
        </w:rPr>
        <w:t>onganzhang’</w:t>
      </w:r>
      <w:r>
        <w:rPr>
          <w:rFonts w:hint="eastAsia" w:ascii="Times New Roman" w:eastAsia="方正仿宋_GBK"/>
          <w:sz w:val="24"/>
          <w:szCs w:val="24"/>
        </w:rPr>
        <w:t>）</w:t>
      </w:r>
      <w:r>
        <w:rPr>
          <w:rFonts w:hint="eastAsia" w:hAnsi="Times New Roman"/>
          <w:kern w:val="0"/>
          <w:szCs w:val="20"/>
        </w:rPr>
        <w:t>的育苗、造林地选择、种植、抚育管理、病虫害防治、鲜枝叶采运和档案管理等。</w:t>
      </w:r>
    </w:p>
    <w:p>
      <w:pPr>
        <w:pStyle w:val="234"/>
      </w:pPr>
      <w:r>
        <w:rPr>
          <w:rFonts w:hint="eastAsia"/>
        </w:rPr>
        <w:t>本文件适用于洪桉樟育苗及规范化矮林种植。</w:t>
      </w:r>
    </w:p>
    <w:p>
      <w:pPr>
        <w:pStyle w:val="106"/>
        <w:spacing w:before="312" w:after="312"/>
      </w:pPr>
      <w:bookmarkStart w:id="53" w:name="_Toc79743858"/>
      <w:bookmarkStart w:id="54" w:name="_Toc26986772"/>
      <w:bookmarkStart w:id="55" w:name="_Toc26986531"/>
      <w:bookmarkStart w:id="56" w:name="_Toc79742326"/>
      <w:bookmarkStart w:id="57" w:name="_Toc13504"/>
      <w:bookmarkStart w:id="58" w:name="_Toc79743798"/>
      <w:bookmarkStart w:id="59" w:name="_Toc79743818"/>
      <w:bookmarkStart w:id="60" w:name="_Toc79743808"/>
      <w:bookmarkStart w:id="61" w:name="_Toc79743773"/>
      <w:bookmarkStart w:id="62" w:name="_Toc26718931"/>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BED57FB8C6E444FCB45D2892804AA5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6"/>
        <w:spacing w:beforeLines="50" w:afterLines="50" w:line="240" w:lineRule="auto"/>
        <w:ind w:left="0" w:leftChars="0" w:firstLine="420" w:firstLineChars="200"/>
        <w:rPr>
          <w:bCs/>
          <w:szCs w:val="21"/>
        </w:rPr>
      </w:pPr>
      <w:r>
        <w:rPr>
          <w:rFonts w:hint="eastAsia"/>
          <w:bCs/>
          <w:szCs w:val="21"/>
        </w:rPr>
        <w:t>GB3095环境空气质量标准</w:t>
      </w:r>
    </w:p>
    <w:p>
      <w:pPr>
        <w:pStyle w:val="16"/>
        <w:spacing w:beforeLines="50" w:afterLines="50" w:line="240" w:lineRule="auto"/>
        <w:ind w:left="0" w:leftChars="0" w:firstLine="420" w:firstLineChars="200"/>
        <w:rPr>
          <w:bCs/>
          <w:szCs w:val="21"/>
        </w:rPr>
      </w:pPr>
      <w:r>
        <w:rPr>
          <w:rFonts w:hint="eastAsia"/>
          <w:bCs/>
          <w:szCs w:val="21"/>
        </w:rPr>
        <w:t>GB5084农田灌溉水质标准</w:t>
      </w:r>
    </w:p>
    <w:p>
      <w:pPr>
        <w:pStyle w:val="16"/>
        <w:spacing w:beforeLines="50" w:afterLines="50" w:line="240" w:lineRule="auto"/>
        <w:ind w:left="0" w:leftChars="0" w:firstLine="420" w:firstLineChars="200"/>
        <w:rPr>
          <w:bCs/>
          <w:szCs w:val="21"/>
        </w:rPr>
      </w:pPr>
      <w:r>
        <w:rPr>
          <w:rFonts w:hint="eastAsia"/>
          <w:bCs/>
          <w:szCs w:val="21"/>
        </w:rPr>
        <w:t>GB15618土壤环境质量标准</w:t>
      </w:r>
    </w:p>
    <w:p>
      <w:pPr>
        <w:pStyle w:val="16"/>
        <w:spacing w:beforeLines="50" w:afterLines="50" w:line="240" w:lineRule="auto"/>
        <w:ind w:left="0" w:leftChars="0" w:firstLine="420" w:firstLineChars="200"/>
        <w:rPr>
          <w:bCs/>
          <w:szCs w:val="21"/>
        </w:rPr>
      </w:pPr>
      <w:r>
        <w:rPr>
          <w:rFonts w:hint="eastAsia"/>
          <w:bCs/>
          <w:szCs w:val="21"/>
        </w:rPr>
        <w:t>GB/T8321 (所有部分)农药合理使用准则</w:t>
      </w:r>
    </w:p>
    <w:p>
      <w:pPr>
        <w:pStyle w:val="16"/>
        <w:spacing w:beforeLines="50" w:afterLines="50" w:line="240" w:lineRule="auto"/>
        <w:ind w:left="0" w:leftChars="0" w:firstLine="420" w:firstLineChars="200"/>
        <w:rPr>
          <w:bCs/>
          <w:szCs w:val="21"/>
        </w:rPr>
      </w:pPr>
      <w:r>
        <w:rPr>
          <w:rFonts w:hint="eastAsia"/>
          <w:bCs/>
          <w:szCs w:val="21"/>
        </w:rPr>
        <w:t>NY/T496 肥料合理使用准则通则</w:t>
      </w:r>
    </w:p>
    <w:p>
      <w:pPr>
        <w:pStyle w:val="16"/>
        <w:spacing w:beforeLines="50" w:afterLines="50" w:line="240" w:lineRule="auto"/>
        <w:ind w:left="0" w:leftChars="0" w:firstLine="420" w:firstLineChars="200"/>
        <w:rPr>
          <w:bCs/>
          <w:szCs w:val="21"/>
        </w:rPr>
      </w:pPr>
      <w:r>
        <w:rPr>
          <w:rFonts w:hint="eastAsia"/>
          <w:bCs/>
          <w:szCs w:val="21"/>
        </w:rPr>
        <w:t>LY/T</w:t>
      </w:r>
      <w:r>
        <w:rPr>
          <w:rFonts w:hint="eastAsia"/>
          <w:szCs w:val="21"/>
        </w:rPr>
        <w:t>3061</w:t>
      </w:r>
      <w:r>
        <w:rPr>
          <w:rFonts w:hint="eastAsia"/>
          <w:bCs/>
          <w:szCs w:val="21"/>
        </w:rPr>
        <w:t>樟树嫩枝扦插育苗技术规程</w:t>
      </w:r>
    </w:p>
    <w:p>
      <w:pPr>
        <w:pStyle w:val="106"/>
        <w:spacing w:before="312" w:after="312"/>
      </w:pPr>
      <w:bookmarkStart w:id="63" w:name="_Toc79743819"/>
      <w:bookmarkStart w:id="64" w:name="_Toc79743774"/>
      <w:bookmarkStart w:id="65" w:name="_Toc79743809"/>
      <w:bookmarkStart w:id="66" w:name="_Toc79742327"/>
      <w:bookmarkStart w:id="67" w:name="_Toc24434"/>
      <w:bookmarkStart w:id="68" w:name="_Toc79743799"/>
      <w:bookmarkStart w:id="69" w:name="_Toc79743859"/>
      <w:r>
        <w:rPr>
          <w:rFonts w:hint="eastAsia"/>
          <w:szCs w:val="21"/>
        </w:rPr>
        <w:t>术语和定义</w:t>
      </w:r>
      <w:bookmarkEnd w:id="63"/>
      <w:bookmarkEnd w:id="64"/>
      <w:bookmarkEnd w:id="65"/>
      <w:bookmarkEnd w:id="66"/>
      <w:bookmarkEnd w:id="67"/>
      <w:bookmarkEnd w:id="68"/>
      <w:bookmarkEnd w:id="69"/>
    </w:p>
    <w:sdt>
      <w:sdtPr>
        <w:id w:val="-1909835108"/>
        <w:placeholder>
          <w:docPart w:val="5705C72BD0F5440493A9EAEF834734D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70" w:name="_Toc26986532"/>
          <w:bookmarkEnd w:id="70"/>
          <w:r>
            <w:t>下列术语和定义适用于本文件。</w:t>
          </w:r>
        </w:p>
      </w:sdtContent>
    </w:sdt>
    <w:p>
      <w:pPr>
        <w:pStyle w:val="233"/>
        <w:numPr>
          <w:ilvl w:val="0"/>
          <w:numId w:val="0"/>
        </w:numPr>
        <w:spacing w:before="156" w:after="156"/>
        <w:ind w:firstLine="420" w:firstLineChars="200"/>
      </w:pPr>
      <w:bookmarkStart w:id="71" w:name="_Toc79743820"/>
      <w:bookmarkEnd w:id="71"/>
      <w:bookmarkStart w:id="72" w:name="_Toc79743775"/>
      <w:bookmarkEnd w:id="72"/>
      <w:bookmarkStart w:id="73" w:name="_Toc79743860"/>
      <w:bookmarkEnd w:id="73"/>
      <w:r>
        <w:rPr>
          <w:rFonts w:hint="eastAsia"/>
        </w:rPr>
        <w:t>洪桉樟Cinnaamomumglanduliferum</w:t>
      </w:r>
      <w:r>
        <w:t>‘</w:t>
      </w:r>
      <w:r>
        <w:rPr>
          <w:rFonts w:hint="eastAsia"/>
        </w:rPr>
        <w:t>h</w:t>
      </w:r>
      <w:r>
        <w:t>onganzhang’</w:t>
      </w:r>
    </w:p>
    <w:p>
      <w:pPr>
        <w:pStyle w:val="58"/>
        <w:ind w:firstLine="420"/>
      </w:pPr>
      <w:r>
        <w:rPr>
          <w:rFonts w:hint="eastAsia"/>
        </w:rPr>
        <w:t>樟科（(</w:t>
      </w:r>
      <w:r>
        <w:rPr>
          <w:rFonts w:hint="eastAsia" w:ascii="Times New Roman" w:eastAsia="方正仿宋_GBK"/>
          <w:i/>
          <w:iCs/>
          <w:sz w:val="24"/>
          <w:szCs w:val="24"/>
        </w:rPr>
        <w:t>Lauraceae</w:t>
      </w:r>
      <w:r>
        <w:rPr>
          <w:rFonts w:hint="eastAsia"/>
        </w:rPr>
        <w:t>）樟属（</w:t>
      </w:r>
      <w:r>
        <w:rPr>
          <w:rFonts w:hint="eastAsia" w:ascii="Times New Roman" w:eastAsia="方正仿宋_GBK"/>
          <w:i/>
          <w:iCs/>
          <w:sz w:val="24"/>
          <w:szCs w:val="24"/>
        </w:rPr>
        <w:t>Cinnamomum</w:t>
      </w:r>
      <w:r>
        <w:rPr>
          <w:rFonts w:hint="eastAsia"/>
        </w:rPr>
        <w:t>）常绿高达乔木，是从云南樟（</w:t>
      </w:r>
      <w:r>
        <w:rPr>
          <w:rFonts w:hint="eastAsia" w:ascii="Times New Roman" w:eastAsia="方正仿宋_GBK"/>
          <w:i/>
          <w:iCs/>
          <w:sz w:val="24"/>
          <w:szCs w:val="24"/>
        </w:rPr>
        <w:t>Cinnaamomumglanduliferum（Wall.)Meisn.in DC.,Prodr)</w:t>
      </w:r>
      <w:r>
        <w:rPr>
          <w:rFonts w:hint="eastAsia"/>
        </w:rPr>
        <w:t>中选择出的优良无性系，它的挥发油高达7.5%以上，其中58.6%为桉叶油素，是提取桉叶素的重要原料。</w:t>
      </w:r>
    </w:p>
    <w:p>
      <w:pPr>
        <w:pStyle w:val="106"/>
        <w:spacing w:before="312" w:after="312"/>
      </w:pPr>
      <w:bookmarkStart w:id="74" w:name="_Toc79743776"/>
      <w:bookmarkEnd w:id="74"/>
      <w:bookmarkStart w:id="75" w:name="_Toc79743861"/>
      <w:bookmarkEnd w:id="75"/>
      <w:bookmarkStart w:id="76" w:name="_Toc79743821"/>
      <w:bookmarkEnd w:id="76"/>
      <w:bookmarkStart w:id="77" w:name="_Toc16940"/>
      <w:r>
        <w:rPr>
          <w:rFonts w:hint="eastAsia"/>
        </w:rPr>
        <w:t>育苗</w:t>
      </w:r>
      <w:bookmarkEnd w:id="77"/>
    </w:p>
    <w:p>
      <w:pPr>
        <w:pStyle w:val="107"/>
        <w:spacing w:before="156" w:after="156"/>
      </w:pPr>
      <w:r>
        <w:rPr>
          <w:rFonts w:hint="eastAsia"/>
        </w:rPr>
        <w:t>育苗方法</w:t>
      </w:r>
    </w:p>
    <w:p>
      <w:pPr>
        <w:pStyle w:val="58"/>
        <w:ind w:firstLine="420"/>
      </w:pPr>
      <w:r>
        <w:rPr>
          <w:rFonts w:hint="eastAsia"/>
        </w:rPr>
        <w:t>扦插育苗。</w:t>
      </w:r>
    </w:p>
    <w:p>
      <w:pPr>
        <w:pStyle w:val="107"/>
        <w:spacing w:before="156" w:after="156"/>
      </w:pPr>
      <w:r>
        <w:rPr>
          <w:rFonts w:hint="eastAsia" w:ascii="Times New Roman"/>
          <w:kern w:val="2"/>
          <w:szCs w:val="21"/>
        </w:rPr>
        <w:t>采穗圃</w:t>
      </w:r>
    </w:p>
    <w:p>
      <w:pPr>
        <w:pStyle w:val="58"/>
        <w:ind w:firstLine="420"/>
      </w:pPr>
      <w:r>
        <w:rPr>
          <w:rFonts w:hint="eastAsia"/>
        </w:rPr>
        <w:t>选择交通便利、排灌条件良好、土质为壤土的地方建采穗圃。采穗圃的密度宜控制在株距1m，行距为1</w:t>
      </w:r>
      <w:r>
        <w:rPr>
          <w:rFonts w:hint="eastAsia" w:hAnsi="宋体"/>
          <w:kern w:val="2"/>
          <w:szCs w:val="21"/>
        </w:rPr>
        <w:t>行1 m，另1行为2 m。</w:t>
      </w:r>
    </w:p>
    <w:p>
      <w:pPr>
        <w:pStyle w:val="107"/>
        <w:spacing w:before="156" w:after="156"/>
        <w:rPr>
          <w:rFonts w:ascii="Times New Roman"/>
          <w:kern w:val="2"/>
          <w:szCs w:val="21"/>
        </w:rPr>
      </w:pPr>
      <w:r>
        <w:rPr>
          <w:rFonts w:hint="eastAsia" w:ascii="Times New Roman"/>
          <w:kern w:val="2"/>
          <w:szCs w:val="21"/>
        </w:rPr>
        <w:t>采穗圃的管理</w:t>
      </w:r>
    </w:p>
    <w:p>
      <w:pPr>
        <w:pStyle w:val="234"/>
        <w:ind w:firstLineChars="0"/>
      </w:pPr>
      <w:r>
        <w:rPr>
          <w:rFonts w:hint="eastAsia" w:ascii="Times New Roman"/>
          <w:kern w:val="2"/>
          <w:szCs w:val="21"/>
        </w:rPr>
        <w:t>采穗圃要适当增加P、K肥，控制N肥的量。每次采穗后，在傍晚</w:t>
      </w:r>
      <w:bookmarkStart w:id="94" w:name="_GoBack"/>
      <w:bookmarkEnd w:id="94"/>
      <w:r>
        <w:rPr>
          <w:rFonts w:hint="eastAsia" w:ascii="Times New Roman"/>
          <w:kern w:val="2"/>
          <w:szCs w:val="21"/>
        </w:rPr>
        <w:t>喷施一次追肥KH</w:t>
      </w:r>
      <w:r>
        <w:rPr>
          <w:rFonts w:hint="eastAsia" w:ascii="Times New Roman"/>
          <w:kern w:val="2"/>
          <w:szCs w:val="21"/>
          <w:vertAlign w:val="subscript"/>
        </w:rPr>
        <w:t>２</w:t>
      </w:r>
      <w:r>
        <w:rPr>
          <w:rFonts w:hint="eastAsia" w:ascii="Times New Roman"/>
          <w:kern w:val="2"/>
          <w:szCs w:val="21"/>
        </w:rPr>
        <w:t>PO</w:t>
      </w:r>
      <w:r>
        <w:rPr>
          <w:rFonts w:hint="eastAsia" w:ascii="Times New Roman"/>
          <w:kern w:val="2"/>
          <w:szCs w:val="21"/>
          <w:vertAlign w:val="subscript"/>
        </w:rPr>
        <w:t>４</w:t>
      </w:r>
      <w:r>
        <w:rPr>
          <w:rFonts w:hint="eastAsia" w:ascii="Times New Roman"/>
          <w:kern w:val="2"/>
          <w:szCs w:val="21"/>
        </w:rPr>
        <w:t>，浓度为1%。其它与7相同。</w:t>
      </w:r>
    </w:p>
    <w:p>
      <w:pPr>
        <w:pStyle w:val="107"/>
        <w:spacing w:before="156" w:after="156"/>
        <w:rPr>
          <w:rFonts w:ascii="Times New Roman"/>
          <w:kern w:val="2"/>
          <w:szCs w:val="21"/>
        </w:rPr>
      </w:pPr>
      <w:r>
        <w:rPr>
          <w:rFonts w:hint="eastAsia" w:ascii="Times New Roman"/>
          <w:kern w:val="2"/>
          <w:szCs w:val="21"/>
        </w:rPr>
        <w:t>插条</w:t>
      </w:r>
    </w:p>
    <w:p>
      <w:pPr>
        <w:pStyle w:val="233"/>
        <w:numPr>
          <w:ilvl w:val="1"/>
          <w:numId w:val="0"/>
        </w:numPr>
        <w:spacing w:before="156" w:after="156"/>
        <w:ind w:firstLine="420" w:firstLineChars="200"/>
        <w:rPr>
          <w:rFonts w:ascii="Times New Roman" w:eastAsia="宋体"/>
          <w:kern w:val="2"/>
        </w:rPr>
      </w:pPr>
      <w:bookmarkStart w:id="78" w:name="_Toc79743834"/>
      <w:r>
        <w:rPr>
          <w:rFonts w:hint="eastAsia" w:ascii="Times New Roman" w:eastAsia="宋体"/>
          <w:kern w:val="2"/>
        </w:rPr>
        <w:t>在采穗圃，选取当年生半木质化无病虫害枝条作为插条。插条要求上下两端带腋芽或顶芽加下端腋芽，插条粗</w:t>
      </w:r>
      <w:r>
        <w:rPr>
          <w:rFonts w:hint="eastAsia" w:ascii="宋体" w:hAnsi="宋体" w:eastAsia="宋体"/>
          <w:kern w:val="2"/>
        </w:rPr>
        <w:t>0.2 cm～0.4 cm，长</w:t>
      </w:r>
      <w:r>
        <w:rPr>
          <w:rFonts w:hint="eastAsia" w:ascii="Times New Roman" w:eastAsia="宋体"/>
          <w:kern w:val="2"/>
        </w:rPr>
        <w:t>度</w:t>
      </w:r>
      <w:r>
        <w:rPr>
          <w:rFonts w:hint="eastAsia" w:ascii="宋体" w:hAnsi="宋体" w:eastAsia="宋体"/>
          <w:kern w:val="2"/>
        </w:rPr>
        <w:t>4 cm</w:t>
      </w:r>
      <w:r>
        <w:rPr>
          <w:rFonts w:hint="eastAsia" w:ascii="宋体" w:hAnsi="宋体"/>
        </w:rPr>
        <w:t>～</w:t>
      </w:r>
      <w:r>
        <w:rPr>
          <w:rFonts w:hint="eastAsia" w:ascii="宋体" w:hAnsi="宋体" w:eastAsia="宋体"/>
          <w:kern w:val="2"/>
        </w:rPr>
        <w:t>10 cm，</w:t>
      </w:r>
      <w:r>
        <w:rPr>
          <w:rFonts w:hint="eastAsia" w:ascii="Times New Roman" w:eastAsia="宋体"/>
          <w:kern w:val="2"/>
        </w:rPr>
        <w:t>叶片较大时用半叶，较少时可为全叶，上端平剪，下端斜剪。</w:t>
      </w:r>
    </w:p>
    <w:bookmarkEnd w:id="78"/>
    <w:p>
      <w:pPr>
        <w:pStyle w:val="107"/>
        <w:spacing w:before="156" w:after="156"/>
        <w:rPr>
          <w:rFonts w:ascii="Times New Roman"/>
          <w:kern w:val="2"/>
          <w:szCs w:val="21"/>
        </w:rPr>
      </w:pPr>
      <w:r>
        <w:rPr>
          <w:rFonts w:hint="eastAsia" w:ascii="Times New Roman"/>
          <w:kern w:val="2"/>
          <w:szCs w:val="21"/>
        </w:rPr>
        <w:t>插条处理</w:t>
      </w:r>
    </w:p>
    <w:p>
      <w:pPr>
        <w:ind w:firstLine="420" w:firstLineChars="200"/>
        <w:rPr>
          <w:rFonts w:ascii="宋体" w:hAnsi="宋体"/>
        </w:rPr>
      </w:pPr>
      <w:bookmarkStart w:id="79" w:name="_Toc79743835"/>
      <w:r>
        <w:rPr>
          <w:rFonts w:hint="eastAsia" w:ascii="Times New Roman" w:hAnsi="Times New Roman"/>
        </w:rPr>
        <w:t>插条用600</w:t>
      </w:r>
      <w:r>
        <w:rPr>
          <w:rFonts w:hint="eastAsia" w:ascii="宋体" w:hAnsi="宋体"/>
        </w:rPr>
        <w:t>倍～800倍多菌灵溶液消毒后，用800ppm的吲哚丁酸溶液速醮3s</w:t>
      </w:r>
      <w:r>
        <w:rPr>
          <w:rFonts w:hint="eastAsia" w:ascii="Times New Roman" w:hAnsi="Times New Roman"/>
        </w:rPr>
        <w:t>~</w:t>
      </w:r>
      <w:r>
        <w:rPr>
          <w:rFonts w:hint="eastAsia" w:ascii="宋体" w:hAnsi="宋体"/>
        </w:rPr>
        <w:t>5s。</w:t>
      </w:r>
    </w:p>
    <w:p>
      <w:pPr>
        <w:pStyle w:val="107"/>
        <w:spacing w:before="156" w:after="156"/>
        <w:rPr>
          <w:rFonts w:ascii="宋体" w:hAnsi="宋体" w:eastAsia="宋体"/>
          <w:kern w:val="2"/>
          <w:szCs w:val="21"/>
        </w:rPr>
      </w:pPr>
      <w:r>
        <w:rPr>
          <w:rFonts w:hint="eastAsia" w:ascii="宋体" w:hAnsi="宋体" w:eastAsia="宋体"/>
          <w:kern w:val="2"/>
          <w:szCs w:val="21"/>
        </w:rPr>
        <w:t>扦插基质</w:t>
      </w:r>
    </w:p>
    <w:p>
      <w:pPr>
        <w:pStyle w:val="58"/>
        <w:ind w:firstLine="420"/>
      </w:pPr>
      <w:r>
        <w:rPr>
          <w:rFonts w:hint="eastAsia" w:ascii="Times New Roman"/>
          <w:kern w:val="2"/>
          <w:szCs w:val="21"/>
        </w:rPr>
        <w:t>黄心土加泥炭土混合，</w:t>
      </w:r>
      <w:r>
        <w:rPr>
          <w:rFonts w:hint="eastAsia"/>
          <w:kern w:val="2"/>
          <w:szCs w:val="21"/>
        </w:rPr>
        <w:t>体积</w:t>
      </w:r>
      <w:r>
        <w:rPr>
          <w:rFonts w:hint="eastAsia" w:ascii="Times New Roman"/>
          <w:kern w:val="2"/>
          <w:szCs w:val="21"/>
        </w:rPr>
        <w:t>比为5：1，pH植控制在5.5~7.0。</w:t>
      </w:r>
    </w:p>
    <w:bookmarkEnd w:id="79"/>
    <w:p>
      <w:pPr>
        <w:pStyle w:val="107"/>
        <w:spacing w:before="156" w:after="156"/>
        <w:rPr>
          <w:rFonts w:ascii="Times New Roman"/>
          <w:kern w:val="2"/>
          <w:szCs w:val="21"/>
        </w:rPr>
      </w:pPr>
      <w:r>
        <w:rPr>
          <w:rFonts w:hint="eastAsia" w:ascii="Times New Roman"/>
          <w:kern w:val="2"/>
          <w:szCs w:val="21"/>
        </w:rPr>
        <w:t>扦插容器</w:t>
      </w:r>
    </w:p>
    <w:p>
      <w:pPr>
        <w:pStyle w:val="58"/>
        <w:ind w:firstLine="420"/>
        <w:rPr>
          <w:rFonts w:hAnsi="宋体"/>
          <w:kern w:val="2"/>
          <w:szCs w:val="21"/>
        </w:rPr>
      </w:pPr>
      <w:r>
        <w:rPr>
          <w:rFonts w:hint="eastAsia" w:hAnsi="宋体"/>
          <w:kern w:val="2"/>
          <w:szCs w:val="21"/>
        </w:rPr>
        <w:t>9 cm×9 cm软质营养钵或无纺布容器。</w:t>
      </w:r>
    </w:p>
    <w:p>
      <w:pPr>
        <w:pStyle w:val="107"/>
        <w:spacing w:before="156" w:after="156"/>
        <w:rPr>
          <w:rFonts w:ascii="Times New Roman"/>
          <w:kern w:val="2"/>
          <w:szCs w:val="21"/>
        </w:rPr>
      </w:pPr>
      <w:bookmarkStart w:id="80" w:name="_Toc79743836"/>
      <w:r>
        <w:rPr>
          <w:rFonts w:hint="eastAsia" w:ascii="宋体" w:hAnsi="宋体" w:eastAsia="宋体"/>
          <w:kern w:val="2"/>
          <w:szCs w:val="21"/>
        </w:rPr>
        <w:t>扦插</w:t>
      </w:r>
      <w:bookmarkEnd w:id="80"/>
      <w:r>
        <w:rPr>
          <w:rFonts w:hint="eastAsia" w:ascii="宋体" w:hAnsi="宋体" w:eastAsia="宋体"/>
          <w:kern w:val="2"/>
          <w:szCs w:val="21"/>
        </w:rPr>
        <w:t>时间</w:t>
      </w:r>
    </w:p>
    <w:p>
      <w:pPr>
        <w:pStyle w:val="58"/>
        <w:ind w:firstLine="420"/>
        <w:rPr>
          <w:rFonts w:ascii="Times New Roman"/>
          <w:kern w:val="2"/>
          <w:szCs w:val="21"/>
        </w:rPr>
      </w:pPr>
      <w:r>
        <w:rPr>
          <w:rFonts w:hint="eastAsia" w:hAnsi="宋体"/>
          <w:kern w:val="2"/>
          <w:szCs w:val="21"/>
        </w:rPr>
        <w:t>7月～10月</w:t>
      </w:r>
      <w:r>
        <w:rPr>
          <w:rFonts w:hint="eastAsia" w:ascii="Times New Roman"/>
          <w:kern w:val="2"/>
          <w:szCs w:val="21"/>
        </w:rPr>
        <w:t>。</w:t>
      </w:r>
    </w:p>
    <w:p>
      <w:pPr>
        <w:pStyle w:val="107"/>
        <w:spacing w:before="156" w:after="156"/>
        <w:rPr>
          <w:rFonts w:ascii="Times New Roman"/>
          <w:kern w:val="2"/>
          <w:szCs w:val="21"/>
        </w:rPr>
      </w:pPr>
      <w:r>
        <w:rPr>
          <w:rFonts w:hint="eastAsia" w:ascii="Times New Roman"/>
          <w:kern w:val="2"/>
          <w:szCs w:val="21"/>
        </w:rPr>
        <w:t>圃地选择</w:t>
      </w:r>
    </w:p>
    <w:p>
      <w:pPr>
        <w:pStyle w:val="58"/>
        <w:ind w:firstLine="420"/>
        <w:rPr>
          <w:rFonts w:ascii="Times New Roman"/>
          <w:kern w:val="2"/>
          <w:szCs w:val="21"/>
        </w:rPr>
      </w:pPr>
      <w:r>
        <w:rPr>
          <w:rFonts w:hint="eastAsia" w:ascii="Times New Roman"/>
          <w:kern w:val="2"/>
          <w:szCs w:val="21"/>
        </w:rPr>
        <w:t>宜选择地势平坦,靠近水源,排灌便利,交通方便的区域。</w:t>
      </w:r>
      <w:bookmarkEnd w:id="31"/>
    </w:p>
    <w:p>
      <w:pPr>
        <w:pStyle w:val="107"/>
        <w:spacing w:before="156" w:after="156"/>
        <w:rPr>
          <w:rFonts w:ascii="Times New Roman"/>
          <w:kern w:val="2"/>
          <w:szCs w:val="21"/>
        </w:rPr>
      </w:pPr>
      <w:r>
        <w:rPr>
          <w:rFonts w:hint="eastAsia" w:ascii="Times New Roman"/>
          <w:kern w:val="2"/>
          <w:szCs w:val="21"/>
        </w:rPr>
        <w:t>扦插前准备</w:t>
      </w:r>
    </w:p>
    <w:p>
      <w:pPr>
        <w:pStyle w:val="58"/>
        <w:ind w:firstLine="420"/>
        <w:rPr>
          <w:rFonts w:ascii="Times New Roman"/>
          <w:kern w:val="2"/>
          <w:szCs w:val="21"/>
        </w:rPr>
      </w:pPr>
      <w:r>
        <w:rPr>
          <w:rFonts w:hint="eastAsia" w:ascii="Times New Roman"/>
          <w:kern w:val="2"/>
          <w:szCs w:val="21"/>
        </w:rPr>
        <w:t>育苗地整平、作平床，苗床宽</w:t>
      </w:r>
      <w:r>
        <w:rPr>
          <w:rFonts w:hint="eastAsia" w:hAnsi="宋体"/>
          <w:kern w:val="2"/>
          <w:szCs w:val="21"/>
        </w:rPr>
        <w:t>1 m～1.2 m，高30 cm，步道宽40 cm。</w:t>
      </w:r>
      <w:r>
        <w:rPr>
          <w:rFonts w:hint="eastAsia" w:ascii="Times New Roman"/>
          <w:kern w:val="2"/>
          <w:szCs w:val="21"/>
        </w:rPr>
        <w:t>提前一天用1%高锰酸钾溶液对苗床消毒。将装好基质的容器紧密、整齐摆放到苗床上。搭建</w:t>
      </w:r>
      <w:r>
        <w:rPr>
          <w:rFonts w:hint="eastAsia" w:hAnsi="宋体"/>
          <w:kern w:val="2"/>
          <w:szCs w:val="21"/>
        </w:rPr>
        <w:t>1.8 m～2 m</w:t>
      </w:r>
      <w:r>
        <w:rPr>
          <w:rFonts w:hint="eastAsia" w:ascii="Times New Roman"/>
          <w:kern w:val="2"/>
          <w:szCs w:val="21"/>
        </w:rPr>
        <w:t>高的荫棚，遮阳网透光率</w:t>
      </w:r>
      <w:r>
        <w:rPr>
          <w:rFonts w:hint="eastAsia" w:hAnsi="宋体"/>
          <w:kern w:val="2"/>
          <w:szCs w:val="21"/>
        </w:rPr>
        <w:t>50%</w:t>
      </w:r>
      <w:r>
        <w:rPr>
          <w:rFonts w:hint="eastAsia" w:ascii="Times New Roman"/>
          <w:kern w:val="2"/>
          <w:szCs w:val="21"/>
        </w:rPr>
        <w:t>~</w:t>
      </w:r>
      <w:r>
        <w:rPr>
          <w:rFonts w:hint="eastAsia" w:hAnsi="宋体"/>
          <w:kern w:val="2"/>
          <w:szCs w:val="21"/>
        </w:rPr>
        <w:t>75%</w:t>
      </w:r>
      <w:r>
        <w:rPr>
          <w:rFonts w:hint="eastAsia" w:ascii="Times New Roman"/>
          <w:kern w:val="2"/>
          <w:szCs w:val="21"/>
        </w:rPr>
        <w:t>。</w:t>
      </w:r>
    </w:p>
    <w:p>
      <w:pPr>
        <w:pStyle w:val="107"/>
        <w:spacing w:before="156" w:after="156"/>
        <w:rPr>
          <w:rFonts w:ascii="Times New Roman"/>
          <w:kern w:val="2"/>
          <w:szCs w:val="21"/>
        </w:rPr>
      </w:pPr>
      <w:r>
        <w:rPr>
          <w:rFonts w:hint="eastAsia" w:ascii="Times New Roman"/>
          <w:kern w:val="2"/>
          <w:szCs w:val="21"/>
        </w:rPr>
        <w:t>扦插</w:t>
      </w:r>
    </w:p>
    <w:p>
      <w:pPr>
        <w:pStyle w:val="58"/>
        <w:ind w:firstLine="420"/>
        <w:rPr>
          <w:rFonts w:ascii="Times New Roman"/>
          <w:kern w:val="2"/>
          <w:szCs w:val="21"/>
        </w:rPr>
      </w:pPr>
      <w:r>
        <w:rPr>
          <w:rFonts w:hint="eastAsia" w:ascii="Times New Roman"/>
          <w:kern w:val="2"/>
          <w:szCs w:val="21"/>
        </w:rPr>
        <w:t>插前容器内基质浇透水，将插穗垂直插入基质，扦插深度为</w:t>
      </w:r>
      <w:r>
        <w:rPr>
          <w:rFonts w:hint="eastAsia" w:hAnsi="宋体"/>
          <w:kern w:val="2"/>
          <w:szCs w:val="21"/>
        </w:rPr>
        <w:t>2 cm～3 cm，</w:t>
      </w:r>
      <w:r>
        <w:rPr>
          <w:rFonts w:hint="eastAsia" w:ascii="Times New Roman"/>
          <w:kern w:val="2"/>
          <w:szCs w:val="21"/>
        </w:rPr>
        <w:t>插好后再浇透水。苗床搭建</w:t>
      </w:r>
      <w:r>
        <w:rPr>
          <w:rFonts w:hint="eastAsia" w:hAnsi="宋体"/>
          <w:kern w:val="2"/>
          <w:szCs w:val="21"/>
        </w:rPr>
        <w:t>50 cm～60 cm</w:t>
      </w:r>
      <w:r>
        <w:rPr>
          <w:rFonts w:hint="eastAsia" w:ascii="Times New Roman"/>
          <w:kern w:val="2"/>
          <w:szCs w:val="21"/>
        </w:rPr>
        <w:t>高的小拱棚，用塑料薄膜封闭严实</w:t>
      </w:r>
      <w:r>
        <w:rPr>
          <w:rFonts w:hint="eastAsia" w:hAnsi="宋体"/>
          <w:kern w:val="2"/>
          <w:szCs w:val="21"/>
        </w:rPr>
        <w:t>，15天内不宜掀开小拱棚</w:t>
      </w:r>
      <w:r>
        <w:rPr>
          <w:rFonts w:hint="eastAsia" w:ascii="Times New Roman"/>
          <w:kern w:val="2"/>
          <w:szCs w:val="21"/>
        </w:rPr>
        <w:t>。</w:t>
      </w:r>
    </w:p>
    <w:p>
      <w:pPr>
        <w:pStyle w:val="107"/>
        <w:spacing w:before="156" w:after="156"/>
        <w:rPr>
          <w:rFonts w:ascii="Times New Roman"/>
          <w:kern w:val="2"/>
          <w:szCs w:val="21"/>
        </w:rPr>
      </w:pPr>
      <w:r>
        <w:rPr>
          <w:rFonts w:hint="eastAsia" w:ascii="Times New Roman"/>
          <w:kern w:val="2"/>
          <w:szCs w:val="21"/>
        </w:rPr>
        <w:t>扦插后管理</w:t>
      </w:r>
    </w:p>
    <w:p>
      <w:pPr>
        <w:pStyle w:val="58"/>
        <w:ind w:firstLine="420"/>
        <w:rPr>
          <w:rFonts w:ascii="Times New Roman"/>
          <w:kern w:val="2"/>
          <w:szCs w:val="21"/>
        </w:rPr>
      </w:pPr>
      <w:r>
        <w:rPr>
          <w:rFonts w:hint="eastAsia" w:ascii="Times New Roman"/>
          <w:kern w:val="2"/>
          <w:szCs w:val="21"/>
        </w:rPr>
        <w:t>扦插后30天左右生根，宜喷施0.1%～0.2%的磷酸二氢钾叶面肥，与600倍～800倍多菌灵溶液。以后，每隔15d喷施低浓度叶面肥。长出3片～4片新叶时，可选择阴天撤去塑料薄膜，进行浇水、除草、病虫害防治等常规管理。</w:t>
      </w:r>
    </w:p>
    <w:p>
      <w:pPr>
        <w:pStyle w:val="107"/>
        <w:spacing w:before="156" w:after="156"/>
        <w:rPr>
          <w:rFonts w:ascii="Times New Roman"/>
          <w:kern w:val="2"/>
          <w:szCs w:val="21"/>
        </w:rPr>
      </w:pPr>
      <w:r>
        <w:rPr>
          <w:rFonts w:hint="eastAsia" w:ascii="Times New Roman"/>
          <w:kern w:val="2"/>
          <w:szCs w:val="21"/>
        </w:rPr>
        <w:t>水份管理</w:t>
      </w:r>
    </w:p>
    <w:p>
      <w:pPr>
        <w:pStyle w:val="58"/>
        <w:ind w:firstLine="420"/>
        <w:rPr>
          <w:rFonts w:hAnsi="宋体"/>
          <w:kern w:val="2"/>
          <w:szCs w:val="21"/>
        </w:rPr>
      </w:pPr>
      <w:r>
        <w:rPr>
          <w:rFonts w:hint="eastAsia" w:hAnsi="宋体"/>
          <w:kern w:val="2"/>
          <w:szCs w:val="21"/>
        </w:rPr>
        <w:t>扦后15天，要根据情况进行适当补水。补水的原则为保持容器表面土壤不发白。</w:t>
      </w:r>
    </w:p>
    <w:p>
      <w:pPr>
        <w:pStyle w:val="107"/>
        <w:spacing w:before="156" w:after="156"/>
        <w:rPr>
          <w:rFonts w:ascii="Times New Roman"/>
          <w:kern w:val="2"/>
          <w:szCs w:val="21"/>
        </w:rPr>
      </w:pPr>
      <w:r>
        <w:rPr>
          <w:rFonts w:hint="eastAsia" w:ascii="Times New Roman"/>
          <w:kern w:val="2"/>
          <w:szCs w:val="21"/>
        </w:rPr>
        <w:t>换大容器</w:t>
      </w:r>
    </w:p>
    <w:p>
      <w:pPr>
        <w:pStyle w:val="58"/>
        <w:ind w:firstLine="420"/>
        <w:rPr>
          <w:rFonts w:hAnsi="宋体"/>
          <w:kern w:val="2"/>
          <w:szCs w:val="21"/>
        </w:rPr>
      </w:pPr>
      <w:r>
        <w:rPr>
          <w:rFonts w:hint="eastAsia" w:hAnsi="宋体"/>
          <w:kern w:val="2"/>
          <w:szCs w:val="21"/>
        </w:rPr>
        <w:t>扦插3个月后换12 cm×15 cm的无纺布容器。</w:t>
      </w:r>
    </w:p>
    <w:p>
      <w:pPr>
        <w:pStyle w:val="107"/>
        <w:spacing w:before="156" w:after="156"/>
        <w:rPr>
          <w:rFonts w:ascii="Times New Roman"/>
          <w:kern w:val="2"/>
          <w:szCs w:val="21"/>
        </w:rPr>
      </w:pPr>
      <w:r>
        <w:rPr>
          <w:rFonts w:hint="eastAsia" w:ascii="Times New Roman"/>
          <w:kern w:val="2"/>
          <w:szCs w:val="21"/>
        </w:rPr>
        <w:t>大容器苗基质</w:t>
      </w:r>
    </w:p>
    <w:p>
      <w:pPr>
        <w:pStyle w:val="58"/>
        <w:ind w:firstLine="420"/>
        <w:rPr>
          <w:rFonts w:ascii="Times New Roman"/>
          <w:kern w:val="2"/>
          <w:szCs w:val="21"/>
        </w:rPr>
      </w:pPr>
      <w:r>
        <w:rPr>
          <w:rFonts w:hint="eastAsia" w:ascii="Times New Roman"/>
          <w:kern w:val="2"/>
          <w:szCs w:val="21"/>
        </w:rPr>
        <w:t>基质宜选用农林废弃物、草木灰、有机肥和黄土，按体积比1:2:15配制。</w:t>
      </w:r>
    </w:p>
    <w:p>
      <w:pPr>
        <w:pStyle w:val="107"/>
        <w:spacing w:before="156" w:after="156"/>
        <w:rPr>
          <w:rFonts w:ascii="Times New Roman"/>
          <w:kern w:val="2"/>
          <w:szCs w:val="21"/>
        </w:rPr>
      </w:pPr>
      <w:r>
        <w:rPr>
          <w:rFonts w:hint="eastAsia" w:ascii="Times New Roman"/>
          <w:kern w:val="2"/>
          <w:szCs w:val="21"/>
        </w:rPr>
        <w:t>苗木生长管理</w:t>
      </w:r>
    </w:p>
    <w:p>
      <w:pPr>
        <w:pStyle w:val="58"/>
        <w:ind w:firstLine="420"/>
        <w:rPr>
          <w:rFonts w:ascii="Times New Roman"/>
          <w:kern w:val="2"/>
          <w:szCs w:val="21"/>
        </w:rPr>
      </w:pPr>
      <w:r>
        <w:rPr>
          <w:rFonts w:hint="eastAsia" w:hAnsi="宋体"/>
          <w:kern w:val="2"/>
          <w:szCs w:val="21"/>
        </w:rPr>
        <w:t>按照LY/T3061的规定</w:t>
      </w:r>
      <w:r>
        <w:rPr>
          <w:rFonts w:hint="eastAsia" w:ascii="Times New Roman"/>
          <w:kern w:val="2"/>
          <w:szCs w:val="21"/>
        </w:rPr>
        <w:t>执行。</w:t>
      </w:r>
    </w:p>
    <w:p>
      <w:pPr>
        <w:pStyle w:val="107"/>
        <w:spacing w:before="156" w:after="156"/>
        <w:rPr>
          <w:rFonts w:ascii="Times New Roman"/>
          <w:kern w:val="2"/>
          <w:szCs w:val="21"/>
        </w:rPr>
      </w:pPr>
      <w:r>
        <w:rPr>
          <w:rFonts w:hint="eastAsia" w:ascii="Times New Roman"/>
          <w:kern w:val="2"/>
          <w:szCs w:val="21"/>
        </w:rPr>
        <w:t>苗木出圃规格</w:t>
      </w:r>
    </w:p>
    <w:p>
      <w:pPr>
        <w:pStyle w:val="58"/>
        <w:ind w:firstLine="420"/>
        <w:rPr>
          <w:rFonts w:ascii="Times New Roman"/>
          <w:kern w:val="2"/>
          <w:szCs w:val="21"/>
        </w:rPr>
      </w:pPr>
      <w:r>
        <w:rPr>
          <w:rFonts w:hint="eastAsia" w:ascii="Times New Roman"/>
          <w:kern w:val="2"/>
          <w:szCs w:val="21"/>
        </w:rPr>
        <w:t>洪桉樟一年半生容器苗出圃分级标准见表1。</w:t>
      </w:r>
    </w:p>
    <w:p>
      <w:pPr>
        <w:jc w:val="center"/>
        <w:rPr>
          <w:rFonts w:ascii="宋体" w:hAnsi="Times New Roman"/>
          <w:kern w:val="0"/>
          <w:szCs w:val="20"/>
        </w:rPr>
      </w:pPr>
      <w:r>
        <w:rPr>
          <w:rFonts w:hint="eastAsia" w:ascii="Times New Roman" w:hAnsi="Times New Roman"/>
        </w:rPr>
        <w:t>表1  洪桉樟一年半生容器苗出圃分级标准</w:t>
      </w:r>
    </w:p>
    <w:tbl>
      <w:tblPr>
        <w:tblStyle w:val="2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292"/>
        <w:gridCol w:w="1292"/>
        <w:gridCol w:w="1293"/>
        <w:gridCol w:w="113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tcPr>
          <w:p>
            <w:pPr>
              <w:rPr>
                <w:rFonts w:ascii="宋体" w:hAnsi="Times New Roman"/>
                <w:kern w:val="0"/>
                <w:szCs w:val="20"/>
              </w:rPr>
            </w:pPr>
            <w:r>
              <w:rPr>
                <w:rFonts w:hint="eastAsia" w:ascii="宋体" w:hAnsi="Times New Roman"/>
                <w:kern w:val="0"/>
                <w:szCs w:val="20"/>
              </w:rPr>
              <w:t>等级</w:t>
            </w:r>
          </w:p>
        </w:tc>
        <w:tc>
          <w:tcPr>
            <w:tcW w:w="1292" w:type="dxa"/>
            <w:noWrap/>
          </w:tcPr>
          <w:p>
            <w:pPr>
              <w:rPr>
                <w:rFonts w:ascii="宋体" w:hAnsi="Times New Roman"/>
                <w:kern w:val="0"/>
                <w:szCs w:val="20"/>
              </w:rPr>
            </w:pPr>
            <w:r>
              <w:rPr>
                <w:rFonts w:hint="eastAsia" w:ascii="宋体" w:hAnsi="Times New Roman"/>
                <w:kern w:val="0"/>
                <w:szCs w:val="20"/>
              </w:rPr>
              <w:t>地径（cm）</w:t>
            </w:r>
          </w:p>
        </w:tc>
        <w:tc>
          <w:tcPr>
            <w:tcW w:w="1292" w:type="dxa"/>
            <w:noWrap/>
          </w:tcPr>
          <w:p>
            <w:pPr>
              <w:rPr>
                <w:rFonts w:ascii="宋体" w:hAnsi="Times New Roman"/>
                <w:kern w:val="0"/>
                <w:szCs w:val="20"/>
              </w:rPr>
            </w:pPr>
            <w:r>
              <w:rPr>
                <w:rFonts w:hint="eastAsia" w:ascii="宋体" w:hAnsi="Times New Roman"/>
                <w:kern w:val="0"/>
                <w:szCs w:val="20"/>
              </w:rPr>
              <w:t>苗高（cm）</w:t>
            </w:r>
          </w:p>
        </w:tc>
        <w:tc>
          <w:tcPr>
            <w:tcW w:w="1293" w:type="dxa"/>
            <w:noWrap/>
          </w:tcPr>
          <w:p>
            <w:pPr>
              <w:rPr>
                <w:rFonts w:ascii="宋体" w:hAnsi="Times New Roman"/>
                <w:kern w:val="0"/>
                <w:szCs w:val="20"/>
              </w:rPr>
            </w:pPr>
            <w:r>
              <w:rPr>
                <w:rFonts w:hint="eastAsia" w:ascii="宋体" w:hAnsi="Times New Roman"/>
                <w:kern w:val="0"/>
                <w:szCs w:val="20"/>
              </w:rPr>
              <w:t>根系</w:t>
            </w:r>
          </w:p>
        </w:tc>
        <w:tc>
          <w:tcPr>
            <w:tcW w:w="1130" w:type="dxa"/>
            <w:noWrap/>
          </w:tcPr>
          <w:p>
            <w:pPr>
              <w:rPr>
                <w:rFonts w:ascii="宋体" w:hAnsi="Times New Roman"/>
                <w:kern w:val="0"/>
                <w:szCs w:val="20"/>
              </w:rPr>
            </w:pPr>
            <w:r>
              <w:rPr>
                <w:rFonts w:hint="eastAsia" w:ascii="宋体" w:hAnsi="Times New Roman"/>
                <w:kern w:val="0"/>
                <w:szCs w:val="20"/>
              </w:rPr>
              <w:t>根团</w:t>
            </w:r>
          </w:p>
        </w:tc>
        <w:tc>
          <w:tcPr>
            <w:tcW w:w="2424" w:type="dxa"/>
            <w:noWrap/>
          </w:tcPr>
          <w:p>
            <w:pPr>
              <w:rPr>
                <w:rFonts w:ascii="宋体" w:hAnsi="Times New Roman"/>
                <w:kern w:val="0"/>
                <w:szCs w:val="20"/>
              </w:rPr>
            </w:pPr>
            <w:r>
              <w:rPr>
                <w:rFonts w:hint="eastAsia" w:ascii="宋体" w:hAnsi="Times New Roman"/>
                <w:kern w:val="0"/>
                <w:szCs w:val="20"/>
              </w:rPr>
              <w:t>综合控制指标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tcPr>
          <w:p>
            <w:pPr>
              <w:rPr>
                <w:rFonts w:ascii="宋体" w:hAnsi="Times New Roman"/>
                <w:kern w:val="0"/>
                <w:szCs w:val="20"/>
              </w:rPr>
            </w:pPr>
            <w:r>
              <w:rPr>
                <w:rFonts w:hint="eastAsia" w:ascii="宋体" w:hAnsi="Times New Roman"/>
                <w:kern w:val="0"/>
                <w:szCs w:val="20"/>
              </w:rPr>
              <w:t>I级</w:t>
            </w:r>
          </w:p>
        </w:tc>
        <w:tc>
          <w:tcPr>
            <w:tcW w:w="1292" w:type="dxa"/>
            <w:noWrap/>
          </w:tcPr>
          <w:p>
            <w:pPr>
              <w:rPr>
                <w:rFonts w:ascii="宋体" w:hAnsi="Times New Roman"/>
                <w:kern w:val="0"/>
                <w:szCs w:val="20"/>
              </w:rPr>
            </w:pPr>
            <w:r>
              <w:rPr>
                <w:rFonts w:hint="eastAsia" w:ascii="宋体" w:hAnsi="Times New Roman"/>
                <w:kern w:val="0"/>
                <w:szCs w:val="20"/>
              </w:rPr>
              <w:t>＞0.8</w:t>
            </w:r>
          </w:p>
        </w:tc>
        <w:tc>
          <w:tcPr>
            <w:tcW w:w="1292" w:type="dxa"/>
            <w:noWrap/>
          </w:tcPr>
          <w:p>
            <w:pPr>
              <w:rPr>
                <w:rFonts w:ascii="宋体" w:hAnsi="Times New Roman"/>
                <w:kern w:val="0"/>
                <w:szCs w:val="20"/>
              </w:rPr>
            </w:pPr>
            <w:r>
              <w:rPr>
                <w:rFonts w:hint="eastAsia" w:ascii="宋体" w:hAnsi="Times New Roman"/>
                <w:kern w:val="0"/>
                <w:szCs w:val="20"/>
              </w:rPr>
              <w:t>＞60</w:t>
            </w:r>
          </w:p>
        </w:tc>
        <w:tc>
          <w:tcPr>
            <w:tcW w:w="1293" w:type="dxa"/>
            <w:noWrap/>
          </w:tcPr>
          <w:p>
            <w:pPr>
              <w:rPr>
                <w:rFonts w:ascii="宋体" w:hAnsi="Times New Roman"/>
                <w:kern w:val="0"/>
                <w:szCs w:val="20"/>
              </w:rPr>
            </w:pPr>
            <w:r>
              <w:rPr>
                <w:rFonts w:hint="eastAsia" w:ascii="宋体" w:hAnsi="Times New Roman"/>
                <w:kern w:val="0"/>
                <w:szCs w:val="20"/>
              </w:rPr>
              <w:t>发达</w:t>
            </w:r>
          </w:p>
        </w:tc>
        <w:tc>
          <w:tcPr>
            <w:tcW w:w="1130" w:type="dxa"/>
            <w:noWrap/>
          </w:tcPr>
          <w:p>
            <w:pPr>
              <w:rPr>
                <w:rFonts w:ascii="宋体" w:hAnsi="Times New Roman"/>
                <w:kern w:val="0"/>
                <w:szCs w:val="20"/>
              </w:rPr>
            </w:pPr>
            <w:r>
              <w:rPr>
                <w:rFonts w:hint="eastAsia" w:ascii="宋体" w:hAnsi="Times New Roman"/>
                <w:kern w:val="0"/>
                <w:szCs w:val="20"/>
              </w:rPr>
              <w:t>良好</w:t>
            </w:r>
          </w:p>
        </w:tc>
        <w:tc>
          <w:tcPr>
            <w:tcW w:w="2424" w:type="dxa"/>
            <w:vMerge w:val="restart"/>
            <w:noWrap/>
          </w:tcPr>
          <w:p>
            <w:pPr>
              <w:rPr>
                <w:rFonts w:ascii="宋体" w:hAnsi="Times New Roman"/>
                <w:kern w:val="0"/>
                <w:szCs w:val="20"/>
              </w:rPr>
            </w:pPr>
            <w:r>
              <w:rPr>
                <w:rFonts w:hint="eastAsia" w:ascii="宋体" w:hAnsi="Times New Roman"/>
                <w:kern w:val="0"/>
                <w:szCs w:val="20"/>
              </w:rPr>
              <w:t>色泽正常、顶芽饱满无损伤，无病虫害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tcPr>
          <w:p>
            <w:pPr>
              <w:rPr>
                <w:rFonts w:ascii="宋体" w:hAnsi="Times New Roman"/>
                <w:kern w:val="0"/>
                <w:szCs w:val="20"/>
              </w:rPr>
            </w:pPr>
            <w:r>
              <w:rPr>
                <w:rFonts w:hint="eastAsia" w:ascii="宋体" w:hAnsi="Times New Roman"/>
                <w:kern w:val="0"/>
                <w:szCs w:val="20"/>
              </w:rPr>
              <w:t>II级</w:t>
            </w:r>
          </w:p>
        </w:tc>
        <w:tc>
          <w:tcPr>
            <w:tcW w:w="1292" w:type="dxa"/>
            <w:noWrap/>
          </w:tcPr>
          <w:p>
            <w:pPr>
              <w:rPr>
                <w:rFonts w:ascii="宋体" w:hAnsi="Times New Roman"/>
                <w:kern w:val="0"/>
                <w:szCs w:val="20"/>
              </w:rPr>
            </w:pPr>
            <w:r>
              <w:rPr>
                <w:rFonts w:hint="eastAsia" w:ascii="宋体" w:hAnsi="Times New Roman"/>
                <w:kern w:val="0"/>
                <w:szCs w:val="20"/>
              </w:rPr>
              <w:t>0.6~0.8</w:t>
            </w:r>
          </w:p>
        </w:tc>
        <w:tc>
          <w:tcPr>
            <w:tcW w:w="1292" w:type="dxa"/>
            <w:noWrap/>
          </w:tcPr>
          <w:p>
            <w:pPr>
              <w:rPr>
                <w:rFonts w:ascii="宋体" w:hAnsi="Times New Roman"/>
                <w:kern w:val="0"/>
                <w:szCs w:val="20"/>
              </w:rPr>
            </w:pPr>
            <w:r>
              <w:rPr>
                <w:rFonts w:hint="eastAsia" w:ascii="宋体" w:hAnsi="Times New Roman"/>
                <w:kern w:val="0"/>
                <w:szCs w:val="20"/>
              </w:rPr>
              <w:t>40~60</w:t>
            </w:r>
          </w:p>
        </w:tc>
        <w:tc>
          <w:tcPr>
            <w:tcW w:w="1293" w:type="dxa"/>
            <w:noWrap/>
          </w:tcPr>
          <w:p>
            <w:pPr>
              <w:rPr>
                <w:rFonts w:ascii="宋体" w:hAnsi="Times New Roman"/>
                <w:kern w:val="0"/>
                <w:szCs w:val="20"/>
              </w:rPr>
            </w:pPr>
            <w:r>
              <w:rPr>
                <w:rFonts w:hint="eastAsia" w:ascii="宋体" w:hAnsi="Times New Roman"/>
                <w:kern w:val="0"/>
                <w:szCs w:val="20"/>
              </w:rPr>
              <w:t>发达</w:t>
            </w:r>
          </w:p>
        </w:tc>
        <w:tc>
          <w:tcPr>
            <w:tcW w:w="1130" w:type="dxa"/>
            <w:noWrap/>
          </w:tcPr>
          <w:p>
            <w:pPr>
              <w:rPr>
                <w:rFonts w:ascii="宋体" w:hAnsi="Times New Roman"/>
                <w:kern w:val="0"/>
                <w:szCs w:val="20"/>
              </w:rPr>
            </w:pPr>
            <w:r>
              <w:rPr>
                <w:rFonts w:hint="eastAsia" w:ascii="宋体" w:hAnsi="Times New Roman"/>
                <w:kern w:val="0"/>
                <w:szCs w:val="20"/>
              </w:rPr>
              <w:t>良好</w:t>
            </w:r>
          </w:p>
        </w:tc>
        <w:tc>
          <w:tcPr>
            <w:tcW w:w="2424" w:type="dxa"/>
            <w:vMerge w:val="continue"/>
            <w:noWrap/>
          </w:tcPr>
          <w:p>
            <w:pPr>
              <w:rPr>
                <w:rFonts w:ascii="宋体" w:hAnsi="Times New Roman"/>
                <w:kern w:val="0"/>
                <w:szCs w:val="20"/>
              </w:rPr>
            </w:pPr>
          </w:p>
        </w:tc>
      </w:tr>
    </w:tbl>
    <w:p>
      <w:pPr>
        <w:pStyle w:val="106"/>
        <w:spacing w:before="312" w:after="312"/>
      </w:pPr>
      <w:bookmarkStart w:id="81" w:name="_Toc71377918"/>
      <w:bookmarkStart w:id="82" w:name="_Toc12671"/>
      <w:r>
        <w:rPr>
          <w:rFonts w:hint="eastAsia"/>
        </w:rPr>
        <w:t>造林地的选择</w:t>
      </w:r>
      <w:bookmarkEnd w:id="81"/>
      <w:bookmarkEnd w:id="82"/>
    </w:p>
    <w:p>
      <w:pPr>
        <w:pStyle w:val="107"/>
        <w:spacing w:before="156" w:after="156"/>
        <w:rPr>
          <w:rFonts w:ascii="Times New Roman"/>
          <w:kern w:val="2"/>
          <w:szCs w:val="21"/>
        </w:rPr>
      </w:pPr>
      <w:r>
        <w:rPr>
          <w:rFonts w:hint="eastAsia" w:ascii="Times New Roman"/>
          <w:kern w:val="2"/>
          <w:szCs w:val="21"/>
        </w:rPr>
        <w:t>前茬地</w:t>
      </w:r>
    </w:p>
    <w:p>
      <w:pPr>
        <w:pStyle w:val="58"/>
        <w:ind w:firstLine="420"/>
        <w:rPr>
          <w:rFonts w:ascii="Times New Roman"/>
          <w:kern w:val="2"/>
          <w:szCs w:val="21"/>
        </w:rPr>
      </w:pPr>
      <w:r>
        <w:rPr>
          <w:rFonts w:hint="eastAsia" w:ascii="Times New Roman"/>
          <w:kern w:val="2"/>
          <w:szCs w:val="21"/>
        </w:rPr>
        <w:t>选择无樟属植物的宜林荒山，如有樟属植物，需整地时连根挖掉。</w:t>
      </w:r>
    </w:p>
    <w:p>
      <w:pPr>
        <w:pStyle w:val="107"/>
        <w:spacing w:before="156" w:after="156"/>
        <w:rPr>
          <w:rFonts w:ascii="Times New Roman"/>
          <w:kern w:val="2"/>
          <w:szCs w:val="21"/>
        </w:rPr>
      </w:pPr>
      <w:r>
        <w:rPr>
          <w:rFonts w:hint="eastAsia" w:ascii="Times New Roman"/>
          <w:kern w:val="2"/>
          <w:szCs w:val="21"/>
        </w:rPr>
        <w:t>地形</w:t>
      </w:r>
    </w:p>
    <w:p>
      <w:pPr>
        <w:pStyle w:val="58"/>
        <w:ind w:firstLine="420"/>
        <w:rPr>
          <w:rFonts w:ascii="Times New Roman"/>
          <w:kern w:val="2"/>
          <w:szCs w:val="21"/>
        </w:rPr>
      </w:pPr>
      <w:r>
        <w:rPr>
          <w:rFonts w:hint="eastAsia" w:hAnsi="宋体"/>
          <w:kern w:val="2"/>
          <w:szCs w:val="21"/>
        </w:rPr>
        <w:t>宜选择地势较平缓，坡度小于25°</w:t>
      </w:r>
      <w:r>
        <w:rPr>
          <w:rFonts w:hint="eastAsia" w:ascii="Times New Roman"/>
          <w:kern w:val="2"/>
          <w:szCs w:val="21"/>
        </w:rPr>
        <w:t>，交通方便，山地相对集中连片。坡向以阳坡或半阳坡为好。</w:t>
      </w:r>
    </w:p>
    <w:p>
      <w:pPr>
        <w:pStyle w:val="107"/>
        <w:spacing w:before="156" w:after="156"/>
        <w:rPr>
          <w:rFonts w:ascii="Times New Roman"/>
          <w:kern w:val="2"/>
          <w:szCs w:val="21"/>
        </w:rPr>
      </w:pPr>
      <w:r>
        <w:rPr>
          <w:rFonts w:hint="eastAsia" w:ascii="Times New Roman"/>
          <w:kern w:val="2"/>
          <w:szCs w:val="21"/>
        </w:rPr>
        <w:t>气候</w:t>
      </w:r>
    </w:p>
    <w:p>
      <w:pPr>
        <w:pStyle w:val="58"/>
        <w:ind w:firstLine="420"/>
        <w:rPr>
          <w:rFonts w:ascii="Times New Roman"/>
          <w:kern w:val="2"/>
          <w:szCs w:val="21"/>
        </w:rPr>
      </w:pPr>
      <w:r>
        <w:rPr>
          <w:rFonts w:hint="eastAsia" w:ascii="Times New Roman"/>
          <w:kern w:val="2"/>
          <w:szCs w:val="21"/>
        </w:rPr>
        <w:t>选择年</w:t>
      </w:r>
      <w:r>
        <w:rPr>
          <w:rFonts w:hint="eastAsia" w:hAnsi="宋体"/>
          <w:kern w:val="2"/>
          <w:szCs w:val="21"/>
        </w:rPr>
        <w:t>平均气温16℃以上，1月平均气温5℃以上，极端低温－7℃以上及年降雨量在1000 mm以上，且分布比较均匀的地区。水质达到国家GB5084的标准。空气符合国家GB3095一级或二级质量标准。</w:t>
      </w:r>
    </w:p>
    <w:p>
      <w:pPr>
        <w:pStyle w:val="107"/>
        <w:spacing w:before="156" w:after="156"/>
        <w:rPr>
          <w:rFonts w:ascii="Times New Roman"/>
          <w:kern w:val="2"/>
          <w:szCs w:val="21"/>
        </w:rPr>
      </w:pPr>
      <w:r>
        <w:rPr>
          <w:rFonts w:hint="eastAsia" w:ascii="Times New Roman"/>
          <w:kern w:val="2"/>
          <w:szCs w:val="21"/>
        </w:rPr>
        <w:t>土壤</w:t>
      </w:r>
    </w:p>
    <w:p>
      <w:pPr>
        <w:pStyle w:val="58"/>
        <w:ind w:firstLine="420"/>
        <w:rPr>
          <w:rFonts w:hAnsi="宋体"/>
          <w:kern w:val="2"/>
          <w:szCs w:val="21"/>
        </w:rPr>
      </w:pPr>
      <w:r>
        <w:rPr>
          <w:rFonts w:hint="eastAsia" w:hAnsi="宋体"/>
          <w:kern w:val="2"/>
          <w:szCs w:val="21"/>
        </w:rPr>
        <w:t>选择红壤、黄壤、黄红壤等土壤类型，要求土层深厚，排水良好，土质湿润肥沃，pH值4.5～7.0。土壤应符合《土壤环境质量标准》（GB15618）的二级标准或以上标准。</w:t>
      </w:r>
    </w:p>
    <w:p>
      <w:pPr>
        <w:pStyle w:val="106"/>
        <w:spacing w:before="312" w:after="312"/>
      </w:pPr>
      <w:bookmarkStart w:id="83" w:name="_Toc7472"/>
      <w:bookmarkStart w:id="84" w:name="_Toc71377919"/>
      <w:r>
        <w:rPr>
          <w:rFonts w:hint="eastAsia"/>
        </w:rPr>
        <w:t>种植</w:t>
      </w:r>
      <w:bookmarkEnd w:id="83"/>
    </w:p>
    <w:p>
      <w:pPr>
        <w:pStyle w:val="107"/>
        <w:spacing w:before="156" w:after="156"/>
        <w:rPr>
          <w:rFonts w:ascii="Times New Roman"/>
          <w:kern w:val="2"/>
          <w:szCs w:val="21"/>
        </w:rPr>
      </w:pPr>
      <w:r>
        <w:rPr>
          <w:rFonts w:hint="eastAsia" w:ascii="Times New Roman"/>
          <w:kern w:val="2"/>
          <w:szCs w:val="21"/>
        </w:rPr>
        <w:t>整地</w:t>
      </w:r>
      <w:bookmarkEnd w:id="84"/>
    </w:p>
    <w:p>
      <w:pPr>
        <w:pStyle w:val="58"/>
        <w:ind w:firstLine="420"/>
        <w:rPr>
          <w:rFonts w:hAnsi="宋体"/>
          <w:kern w:val="2"/>
          <w:szCs w:val="21"/>
        </w:rPr>
      </w:pPr>
      <w:r>
        <w:rPr>
          <w:rFonts w:hint="eastAsia" w:hAnsi="宋体"/>
          <w:kern w:val="2"/>
          <w:szCs w:val="21"/>
        </w:rPr>
        <w:t>坡度10°以下的山地，可采用机耕全垦整地，深40 cm以上；坡度10°以上的山地，采用带垦整地，垦带与环山平行，带宽1 m～1.2 m，深40 cm以上。</w:t>
      </w:r>
    </w:p>
    <w:p>
      <w:pPr>
        <w:pStyle w:val="107"/>
        <w:spacing w:before="156" w:after="156"/>
        <w:rPr>
          <w:rFonts w:ascii="Times New Roman"/>
          <w:kern w:val="2"/>
          <w:szCs w:val="21"/>
        </w:rPr>
      </w:pPr>
      <w:r>
        <w:rPr>
          <w:rFonts w:hint="eastAsia" w:ascii="Times New Roman"/>
          <w:kern w:val="2"/>
          <w:szCs w:val="21"/>
        </w:rPr>
        <w:t>基肥</w:t>
      </w:r>
    </w:p>
    <w:p>
      <w:pPr>
        <w:pStyle w:val="58"/>
        <w:ind w:firstLine="420"/>
        <w:rPr>
          <w:rFonts w:hAnsi="宋体"/>
          <w:kern w:val="2"/>
          <w:szCs w:val="21"/>
        </w:rPr>
      </w:pPr>
      <w:r>
        <w:rPr>
          <w:rFonts w:hint="eastAsia" w:hAnsi="宋体"/>
          <w:kern w:val="2"/>
          <w:szCs w:val="21"/>
        </w:rPr>
        <w:t>1月～3月。按每株施沤熟的农家肥4 kg～5 kg+钙镁磷肥250 g+硫酸钾肥250 g，施肥后盖土和地膜。</w:t>
      </w:r>
    </w:p>
    <w:p>
      <w:pPr>
        <w:pStyle w:val="107"/>
        <w:spacing w:before="156" w:after="156"/>
        <w:rPr>
          <w:rFonts w:ascii="Times New Roman"/>
          <w:kern w:val="2"/>
          <w:szCs w:val="21"/>
        </w:rPr>
      </w:pPr>
      <w:bookmarkStart w:id="85" w:name="_Toc71377920"/>
      <w:r>
        <w:rPr>
          <w:rFonts w:hint="eastAsia" w:ascii="Times New Roman"/>
          <w:kern w:val="2"/>
          <w:szCs w:val="21"/>
        </w:rPr>
        <w:t>造林密度</w:t>
      </w:r>
      <w:bookmarkEnd w:id="85"/>
    </w:p>
    <w:p>
      <w:pPr>
        <w:pStyle w:val="58"/>
        <w:ind w:firstLine="420"/>
        <w:rPr>
          <w:rFonts w:ascii="Times New Roman"/>
          <w:kern w:val="2"/>
          <w:szCs w:val="21"/>
        </w:rPr>
      </w:pPr>
      <w:r>
        <w:rPr>
          <w:rFonts w:hint="eastAsia" w:ascii="Times New Roman"/>
          <w:kern w:val="2"/>
          <w:szCs w:val="21"/>
        </w:rPr>
        <w:t>按</w:t>
      </w:r>
      <w:r>
        <w:rPr>
          <w:rFonts w:hint="eastAsia" w:hAnsi="宋体"/>
          <w:kern w:val="2"/>
          <w:szCs w:val="21"/>
        </w:rPr>
        <w:t>株行距1.2 m×1.2 m定值</w:t>
      </w:r>
      <w:r>
        <w:rPr>
          <w:rFonts w:hint="eastAsia" w:ascii="Times New Roman"/>
          <w:kern w:val="2"/>
          <w:szCs w:val="21"/>
        </w:rPr>
        <w:t>。</w:t>
      </w:r>
    </w:p>
    <w:p>
      <w:pPr>
        <w:pStyle w:val="107"/>
        <w:spacing w:before="156" w:after="156"/>
        <w:rPr>
          <w:rFonts w:ascii="Times New Roman"/>
          <w:kern w:val="2"/>
          <w:szCs w:val="21"/>
        </w:rPr>
      </w:pPr>
      <w:r>
        <w:rPr>
          <w:rFonts w:hint="eastAsia" w:ascii="Times New Roman"/>
          <w:kern w:val="2"/>
          <w:szCs w:val="21"/>
        </w:rPr>
        <w:t>种植时间</w:t>
      </w:r>
    </w:p>
    <w:p>
      <w:pPr>
        <w:pStyle w:val="58"/>
        <w:ind w:firstLine="420"/>
        <w:rPr>
          <w:rFonts w:hAnsi="宋体"/>
          <w:kern w:val="2"/>
          <w:szCs w:val="21"/>
        </w:rPr>
      </w:pPr>
      <w:r>
        <w:rPr>
          <w:rFonts w:hint="eastAsia" w:hAnsi="宋体"/>
          <w:kern w:val="2"/>
          <w:szCs w:val="21"/>
        </w:rPr>
        <w:t>栽植时间在10月～翌年4月。雨后阴天或小雨天栽植最适宜。</w:t>
      </w:r>
    </w:p>
    <w:p>
      <w:pPr>
        <w:pStyle w:val="107"/>
        <w:spacing w:before="156" w:after="156"/>
        <w:rPr>
          <w:rFonts w:ascii="Times New Roman"/>
          <w:kern w:val="2"/>
          <w:szCs w:val="21"/>
        </w:rPr>
      </w:pPr>
      <w:r>
        <w:rPr>
          <w:rFonts w:hint="eastAsia" w:ascii="Times New Roman"/>
          <w:kern w:val="2"/>
          <w:szCs w:val="21"/>
        </w:rPr>
        <w:t>种植方法</w:t>
      </w:r>
    </w:p>
    <w:p>
      <w:pPr>
        <w:pStyle w:val="58"/>
        <w:ind w:firstLine="420"/>
        <w:rPr>
          <w:rFonts w:ascii="Times New Roman"/>
          <w:kern w:val="2"/>
          <w:szCs w:val="21"/>
        </w:rPr>
      </w:pPr>
      <w:r>
        <w:rPr>
          <w:rFonts w:hint="eastAsia" w:ascii="Times New Roman"/>
          <w:kern w:val="2"/>
          <w:szCs w:val="21"/>
        </w:rPr>
        <w:t>将合格的一级与二级苗，去除容器，尽量保持容器中基质不松散。</w:t>
      </w:r>
    </w:p>
    <w:p>
      <w:pPr>
        <w:pStyle w:val="106"/>
        <w:spacing w:before="312" w:after="312"/>
      </w:pPr>
      <w:bookmarkStart w:id="86" w:name="_Toc27794"/>
      <w:bookmarkStart w:id="87" w:name="_Toc71377922"/>
      <w:r>
        <w:rPr>
          <w:rFonts w:hint="eastAsia"/>
        </w:rPr>
        <w:t>抚育管理</w:t>
      </w:r>
      <w:bookmarkEnd w:id="86"/>
      <w:bookmarkEnd w:id="87"/>
    </w:p>
    <w:p>
      <w:pPr>
        <w:pStyle w:val="107"/>
        <w:spacing w:before="156" w:after="156"/>
        <w:rPr>
          <w:rFonts w:ascii="Times New Roman"/>
          <w:kern w:val="2"/>
          <w:szCs w:val="21"/>
        </w:rPr>
      </w:pPr>
      <w:r>
        <w:rPr>
          <w:rFonts w:hint="eastAsia" w:ascii="Times New Roman"/>
          <w:kern w:val="2"/>
          <w:szCs w:val="21"/>
        </w:rPr>
        <w:t>除草和松土</w:t>
      </w:r>
    </w:p>
    <w:p>
      <w:pPr>
        <w:pStyle w:val="58"/>
        <w:ind w:firstLine="420"/>
        <w:rPr>
          <w:rFonts w:hAnsi="宋体"/>
          <w:kern w:val="2"/>
          <w:szCs w:val="21"/>
        </w:rPr>
      </w:pPr>
      <w:r>
        <w:rPr>
          <w:rFonts w:hint="eastAsia" w:hAnsi="宋体"/>
          <w:kern w:val="2"/>
          <w:szCs w:val="21"/>
        </w:rPr>
        <w:t>松土与除草同时进行。第一年两次，4月和8月进行，以后，每年后收割后与次年的4月与8月除草、松土。</w:t>
      </w:r>
    </w:p>
    <w:p>
      <w:pPr>
        <w:pStyle w:val="107"/>
        <w:spacing w:before="156" w:after="156"/>
        <w:rPr>
          <w:rFonts w:ascii="Times New Roman"/>
          <w:kern w:val="2"/>
          <w:szCs w:val="21"/>
        </w:rPr>
      </w:pPr>
      <w:r>
        <w:rPr>
          <w:rFonts w:hint="eastAsia" w:ascii="Times New Roman"/>
          <w:kern w:val="2"/>
          <w:szCs w:val="21"/>
        </w:rPr>
        <w:t>施肥</w:t>
      </w:r>
    </w:p>
    <w:p>
      <w:pPr>
        <w:pStyle w:val="58"/>
        <w:ind w:firstLine="420"/>
        <w:rPr>
          <w:rFonts w:hAnsi="宋体"/>
          <w:kern w:val="2"/>
          <w:szCs w:val="21"/>
        </w:rPr>
      </w:pPr>
      <w:r>
        <w:rPr>
          <w:rFonts w:hint="eastAsia" w:ascii="Times New Roman"/>
          <w:kern w:val="2"/>
          <w:szCs w:val="21"/>
        </w:rPr>
        <w:t>沿</w:t>
      </w:r>
      <w:r>
        <w:rPr>
          <w:rFonts w:hint="eastAsia" w:hAnsi="宋体"/>
          <w:kern w:val="2"/>
          <w:szCs w:val="21"/>
        </w:rPr>
        <w:t>梯土内侧开沟施肥。定值第二年4月结合松土除草施肥，每株施复合肥0.1kg～0.2kg或商品有机肥2kg～5kg，三年后每年4月每株施复合肥0.25kg～0.5kg，8月～9月每株施复合肥0.5 kg。肥料使用符合NY/T496的要求。</w:t>
      </w:r>
    </w:p>
    <w:p>
      <w:pPr>
        <w:pStyle w:val="107"/>
        <w:spacing w:before="156" w:after="156"/>
        <w:rPr>
          <w:rFonts w:ascii="Times New Roman"/>
          <w:kern w:val="2"/>
          <w:szCs w:val="21"/>
        </w:rPr>
      </w:pPr>
      <w:r>
        <w:rPr>
          <w:rFonts w:hint="eastAsia" w:ascii="Times New Roman"/>
          <w:kern w:val="2"/>
          <w:szCs w:val="21"/>
        </w:rPr>
        <w:t>补栽</w:t>
      </w:r>
    </w:p>
    <w:p>
      <w:pPr>
        <w:pStyle w:val="58"/>
        <w:ind w:firstLine="420"/>
        <w:rPr>
          <w:rFonts w:ascii="Times New Roman"/>
          <w:kern w:val="2"/>
          <w:szCs w:val="21"/>
        </w:rPr>
      </w:pPr>
      <w:r>
        <w:rPr>
          <w:rFonts w:hint="eastAsia" w:ascii="Times New Roman"/>
          <w:kern w:val="2"/>
          <w:szCs w:val="21"/>
        </w:rPr>
        <w:t>在造林第二年春进行缺株补齐。</w:t>
      </w:r>
    </w:p>
    <w:p>
      <w:pPr>
        <w:pStyle w:val="106"/>
        <w:spacing w:before="312" w:after="312"/>
      </w:pPr>
      <w:bookmarkStart w:id="88" w:name="_Toc18622"/>
      <w:bookmarkStart w:id="89" w:name="_Toc71377923"/>
      <w:r>
        <w:rPr>
          <w:rFonts w:hint="eastAsia"/>
        </w:rPr>
        <w:t>病虫害防治</w:t>
      </w:r>
      <w:bookmarkEnd w:id="88"/>
      <w:bookmarkEnd w:id="89"/>
    </w:p>
    <w:p>
      <w:pPr>
        <w:pStyle w:val="107"/>
        <w:spacing w:before="156" w:after="156"/>
        <w:rPr>
          <w:rFonts w:ascii="Times New Roman"/>
          <w:kern w:val="2"/>
          <w:szCs w:val="21"/>
        </w:rPr>
      </w:pPr>
      <w:r>
        <w:rPr>
          <w:rFonts w:hint="eastAsia" w:ascii="Times New Roman"/>
          <w:kern w:val="2"/>
          <w:szCs w:val="21"/>
        </w:rPr>
        <w:t>防治原则</w:t>
      </w:r>
    </w:p>
    <w:p>
      <w:pPr>
        <w:ind w:firstLine="420" w:firstLineChars="200"/>
        <w:rPr>
          <w:rFonts w:ascii="宋体" w:hAnsi="Times New Roman"/>
          <w:kern w:val="0"/>
          <w:szCs w:val="20"/>
        </w:rPr>
      </w:pPr>
      <w:r>
        <w:rPr>
          <w:rFonts w:hint="eastAsia" w:ascii="Times New Roman" w:hAnsi="Times New Roman"/>
        </w:rPr>
        <w:t>洪桉樟的主要虫害有白粉病、炭疽病等。主要害虫有樟叶蜂、樟梢卷叶蛾、樟巢螟等。病虫害防治应按照“预防为主，综合防治”的原则。</w:t>
      </w:r>
    </w:p>
    <w:p>
      <w:pPr>
        <w:pStyle w:val="107"/>
        <w:spacing w:before="156" w:after="156"/>
        <w:rPr>
          <w:rFonts w:ascii="Times New Roman"/>
          <w:kern w:val="2"/>
          <w:szCs w:val="21"/>
        </w:rPr>
      </w:pPr>
      <w:r>
        <w:rPr>
          <w:rFonts w:hint="eastAsia" w:ascii="Times New Roman"/>
          <w:kern w:val="2"/>
          <w:szCs w:val="21"/>
        </w:rPr>
        <w:t>物理防治</w:t>
      </w:r>
    </w:p>
    <w:p>
      <w:pPr>
        <w:ind w:firstLine="420" w:firstLineChars="200"/>
        <w:rPr>
          <w:rFonts w:ascii="Times New Roman" w:hAnsi="Times New Roman"/>
        </w:rPr>
      </w:pPr>
      <w:r>
        <w:rPr>
          <w:rFonts w:hint="eastAsia" w:ascii="Times New Roman" w:hAnsi="Times New Roman"/>
        </w:rPr>
        <w:t>采用频振灯诱杀害虫等方法。</w:t>
      </w:r>
    </w:p>
    <w:p>
      <w:pPr>
        <w:pStyle w:val="107"/>
        <w:spacing w:before="156" w:after="156"/>
        <w:rPr>
          <w:rFonts w:ascii="Times New Roman"/>
          <w:kern w:val="2"/>
          <w:szCs w:val="21"/>
        </w:rPr>
      </w:pPr>
      <w:r>
        <w:rPr>
          <w:rFonts w:hint="eastAsia" w:ascii="Times New Roman"/>
          <w:kern w:val="2"/>
          <w:szCs w:val="21"/>
        </w:rPr>
        <w:t>生物防治</w:t>
      </w:r>
    </w:p>
    <w:p>
      <w:pPr>
        <w:ind w:firstLine="420" w:firstLineChars="200"/>
        <w:rPr>
          <w:rFonts w:ascii="宋体" w:hAnsi="Times New Roman"/>
          <w:kern w:val="0"/>
          <w:szCs w:val="20"/>
        </w:rPr>
      </w:pPr>
      <w:r>
        <w:rPr>
          <w:rFonts w:hint="eastAsia" w:ascii="宋体" w:hAnsi="Times New Roman"/>
          <w:kern w:val="0"/>
          <w:szCs w:val="20"/>
        </w:rPr>
        <w:t>利</w:t>
      </w:r>
      <w:r>
        <w:rPr>
          <w:rFonts w:hint="eastAsia" w:ascii="Times New Roman" w:hAnsi="Times New Roman"/>
        </w:rPr>
        <w:t>用白僵菌等方法进行防制或用性激素进行诱杀。</w:t>
      </w:r>
    </w:p>
    <w:p>
      <w:pPr>
        <w:pStyle w:val="107"/>
        <w:spacing w:before="156" w:after="156"/>
        <w:rPr>
          <w:rFonts w:ascii="Times New Roman"/>
          <w:kern w:val="2"/>
          <w:szCs w:val="21"/>
        </w:rPr>
      </w:pPr>
      <w:r>
        <w:rPr>
          <w:rFonts w:hint="eastAsia" w:ascii="Times New Roman"/>
          <w:kern w:val="2"/>
          <w:szCs w:val="21"/>
        </w:rPr>
        <w:t>化学防治</w:t>
      </w:r>
    </w:p>
    <w:p>
      <w:pPr>
        <w:ind w:firstLine="420" w:firstLineChars="200"/>
        <w:rPr>
          <w:rFonts w:ascii="Times New Roman" w:hAnsi="Times New Roman"/>
        </w:rPr>
      </w:pPr>
      <w:r>
        <w:rPr>
          <w:rFonts w:hint="eastAsia" w:ascii="宋体" w:hAnsi="Times New Roman"/>
          <w:kern w:val="0"/>
          <w:szCs w:val="20"/>
        </w:rPr>
        <w:t>化学防治应符合GB/T8321的要求。防治方法参见附录A</w:t>
      </w:r>
      <w:r>
        <w:rPr>
          <w:rFonts w:hint="eastAsia" w:ascii="Times New Roman" w:hAnsi="Times New Roman"/>
        </w:rPr>
        <w:t>。</w:t>
      </w:r>
    </w:p>
    <w:p>
      <w:pPr>
        <w:pStyle w:val="106"/>
        <w:spacing w:before="312" w:after="312"/>
      </w:pPr>
      <w:bookmarkStart w:id="90" w:name="_Toc4148"/>
      <w:bookmarkStart w:id="91" w:name="_Toc71377924"/>
      <w:r>
        <w:rPr>
          <w:rFonts w:hint="eastAsia"/>
        </w:rPr>
        <w:t>鲜枝叶采运</w:t>
      </w:r>
      <w:bookmarkEnd w:id="90"/>
      <w:bookmarkEnd w:id="91"/>
    </w:p>
    <w:p>
      <w:pPr>
        <w:pStyle w:val="107"/>
        <w:spacing w:before="156" w:after="156"/>
        <w:rPr>
          <w:rFonts w:ascii="Times New Roman"/>
          <w:kern w:val="2"/>
          <w:szCs w:val="21"/>
        </w:rPr>
      </w:pPr>
      <w:r>
        <w:rPr>
          <w:rFonts w:hint="eastAsia" w:ascii="Times New Roman"/>
          <w:kern w:val="2"/>
          <w:szCs w:val="21"/>
        </w:rPr>
        <w:t>除杂</w:t>
      </w:r>
    </w:p>
    <w:p>
      <w:pPr>
        <w:ind w:firstLine="420" w:firstLineChars="200"/>
        <w:rPr>
          <w:rFonts w:ascii="Times New Roman" w:hAnsi="Times New Roman"/>
        </w:rPr>
      </w:pPr>
      <w:r>
        <w:rPr>
          <w:rFonts w:hint="eastAsia" w:ascii="Times New Roman" w:hAnsi="Times New Roman"/>
        </w:rPr>
        <w:t>原</w:t>
      </w:r>
      <w:r>
        <w:rPr>
          <w:rFonts w:hint="eastAsia" w:ascii="宋体" w:hAnsi="Times New Roman"/>
          <w:kern w:val="0"/>
          <w:szCs w:val="20"/>
        </w:rPr>
        <w:t>料林第一次采割前应由质检员抽查原料林中非目标樟属植物的生长情况，抽查结果为非目标樟属植物与洪桉樟比大于1%时，应进行全面检查，清除杂樟，小于1%，可不进行全面检查。</w:t>
      </w:r>
    </w:p>
    <w:p>
      <w:pPr>
        <w:pStyle w:val="107"/>
        <w:spacing w:before="156" w:after="156"/>
        <w:rPr>
          <w:rFonts w:ascii="宋体" w:eastAsia="宋体"/>
        </w:rPr>
      </w:pPr>
      <w:r>
        <w:rPr>
          <w:rFonts w:hint="eastAsia" w:ascii="Times New Roman"/>
          <w:kern w:val="2"/>
          <w:szCs w:val="21"/>
        </w:rPr>
        <w:t>采收</w:t>
      </w:r>
    </w:p>
    <w:p>
      <w:pPr>
        <w:ind w:firstLine="420" w:firstLineChars="200"/>
        <w:rPr>
          <w:rFonts w:ascii="宋体" w:hAnsi="Times New Roman"/>
          <w:kern w:val="0"/>
          <w:szCs w:val="20"/>
        </w:rPr>
      </w:pPr>
      <w:r>
        <w:rPr>
          <w:rFonts w:hint="eastAsia" w:ascii="宋体" w:hAnsi="Times New Roman"/>
          <w:kern w:val="0"/>
          <w:szCs w:val="20"/>
        </w:rPr>
        <w:t>栽后第二年可进行采收，采收方法为采收整株的枝叶，留树桩高度15 cm～20 cm。</w:t>
      </w:r>
    </w:p>
    <w:p>
      <w:pPr>
        <w:pStyle w:val="107"/>
        <w:spacing w:before="156" w:after="156"/>
        <w:rPr>
          <w:rFonts w:ascii="Times New Roman"/>
          <w:kern w:val="2"/>
          <w:szCs w:val="21"/>
        </w:rPr>
      </w:pPr>
      <w:r>
        <w:rPr>
          <w:rFonts w:hint="eastAsia" w:ascii="Times New Roman"/>
          <w:kern w:val="2"/>
          <w:szCs w:val="21"/>
        </w:rPr>
        <w:t>采割时间</w:t>
      </w:r>
    </w:p>
    <w:p>
      <w:pPr>
        <w:ind w:firstLine="420" w:firstLineChars="200"/>
        <w:rPr>
          <w:rFonts w:ascii="宋体" w:hAnsi="Times New Roman"/>
          <w:kern w:val="0"/>
          <w:szCs w:val="20"/>
        </w:rPr>
      </w:pPr>
      <w:r>
        <w:rPr>
          <w:rFonts w:hint="eastAsia" w:ascii="Times New Roman" w:hAnsi="Times New Roman"/>
        </w:rPr>
        <w:t>每</w:t>
      </w:r>
      <w:r>
        <w:rPr>
          <w:rFonts w:hint="eastAsia" w:ascii="宋体" w:hAnsi="Times New Roman"/>
          <w:kern w:val="0"/>
          <w:szCs w:val="20"/>
        </w:rPr>
        <w:t>年的采割时间宜在11月～12月。</w:t>
      </w:r>
    </w:p>
    <w:p>
      <w:pPr>
        <w:pStyle w:val="107"/>
        <w:spacing w:before="156" w:after="156"/>
        <w:rPr>
          <w:rFonts w:ascii="Times New Roman"/>
          <w:kern w:val="2"/>
          <w:szCs w:val="21"/>
        </w:rPr>
      </w:pPr>
      <w:r>
        <w:rPr>
          <w:rFonts w:hint="eastAsia" w:ascii="Times New Roman"/>
          <w:kern w:val="2"/>
          <w:szCs w:val="21"/>
        </w:rPr>
        <w:t>收集装运</w:t>
      </w:r>
    </w:p>
    <w:p>
      <w:pPr>
        <w:ind w:firstLine="420" w:firstLineChars="200"/>
        <w:rPr>
          <w:rFonts w:ascii="宋体" w:hAnsi="Times New Roman"/>
          <w:kern w:val="0"/>
          <w:szCs w:val="20"/>
        </w:rPr>
      </w:pPr>
      <w:r>
        <w:rPr>
          <w:rFonts w:hint="eastAsia" w:ascii="Times New Roman" w:hAnsi="Times New Roman"/>
        </w:rPr>
        <w:t>将砍好的枝叶及时捆绑成把，并集中到路边，以便装运。采割枝叶要随采随运，严禁与有毒货物混装，妥善堆放在指定堆场，及时处理与加工蒸油。</w:t>
      </w:r>
    </w:p>
    <w:p>
      <w:pPr>
        <w:pStyle w:val="107"/>
        <w:spacing w:before="156" w:after="156"/>
        <w:rPr>
          <w:rFonts w:ascii="Times New Roman"/>
          <w:kern w:val="2"/>
          <w:szCs w:val="21"/>
        </w:rPr>
      </w:pPr>
      <w:r>
        <w:rPr>
          <w:rFonts w:hint="eastAsia" w:ascii="Times New Roman"/>
          <w:kern w:val="2"/>
          <w:szCs w:val="21"/>
        </w:rPr>
        <w:t>去粗枝</w:t>
      </w:r>
    </w:p>
    <w:p>
      <w:pPr>
        <w:ind w:firstLine="420" w:firstLineChars="200"/>
        <w:rPr>
          <w:rFonts w:ascii="Times New Roman" w:hAnsi="Times New Roman"/>
        </w:rPr>
      </w:pPr>
      <w:r>
        <w:rPr>
          <w:rFonts w:hint="eastAsia" w:ascii="宋体" w:hAnsi="Times New Roman"/>
          <w:kern w:val="0"/>
          <w:szCs w:val="20"/>
        </w:rPr>
        <w:t>修除直径1 cm以上的粗枝</w:t>
      </w:r>
      <w:r>
        <w:rPr>
          <w:rFonts w:hint="eastAsia" w:ascii="Times New Roman" w:hAnsi="Times New Roman"/>
        </w:rPr>
        <w:t>，将除去粗枝的鲜枝叶捆成每捆15 kg～20kg，质检员验收后堆放到指定的场所待用。</w:t>
      </w:r>
    </w:p>
    <w:p>
      <w:pPr>
        <w:pStyle w:val="107"/>
        <w:spacing w:before="156" w:after="156"/>
        <w:rPr>
          <w:rFonts w:ascii="Times New Roman"/>
          <w:kern w:val="2"/>
          <w:szCs w:val="21"/>
        </w:rPr>
      </w:pPr>
      <w:r>
        <w:rPr>
          <w:rFonts w:hint="eastAsia" w:ascii="Times New Roman"/>
          <w:kern w:val="2"/>
          <w:szCs w:val="21"/>
        </w:rPr>
        <w:t>批号管理</w:t>
      </w:r>
    </w:p>
    <w:p>
      <w:pPr>
        <w:ind w:firstLine="420" w:firstLineChars="200"/>
        <w:rPr>
          <w:rFonts w:ascii="Times New Roman" w:hAnsi="Times New Roman"/>
        </w:rPr>
      </w:pPr>
      <w:r>
        <w:rPr>
          <w:rFonts w:hint="eastAsia" w:ascii="Times New Roman" w:hAnsi="Times New Roman"/>
        </w:rPr>
        <w:t>将同一种植区域，连</w:t>
      </w:r>
      <w:r>
        <w:rPr>
          <w:rFonts w:hint="eastAsia" w:ascii="宋体" w:hAnsi="Times New Roman"/>
          <w:kern w:val="0"/>
          <w:szCs w:val="20"/>
        </w:rPr>
        <w:t>续采收期的原料作为一个批号。不同批号的鲜枝叶应分开堆放，分开加</w:t>
      </w:r>
      <w:r>
        <w:rPr>
          <w:rFonts w:hint="eastAsia" w:ascii="Times New Roman" w:hAnsi="Times New Roman"/>
        </w:rPr>
        <w:t>工，做到先采先加工，避雨水，堆放时间宜小于七天。</w:t>
      </w:r>
    </w:p>
    <w:p>
      <w:pPr>
        <w:pStyle w:val="106"/>
        <w:spacing w:before="312" w:after="312"/>
      </w:pPr>
      <w:bookmarkStart w:id="92" w:name="_Toc71377925"/>
      <w:bookmarkStart w:id="93" w:name="_Toc13586"/>
      <w:r>
        <w:rPr>
          <w:rFonts w:hint="eastAsia"/>
        </w:rPr>
        <w:t>档案</w:t>
      </w:r>
      <w:bookmarkEnd w:id="92"/>
      <w:bookmarkEnd w:id="93"/>
      <w:r>
        <w:rPr>
          <w:rFonts w:hint="eastAsia"/>
        </w:rPr>
        <w:t>管理</w:t>
      </w:r>
    </w:p>
    <w:p>
      <w:pPr>
        <w:pStyle w:val="58"/>
        <w:ind w:firstLine="420"/>
      </w:pPr>
      <w:r>
        <w:rPr>
          <w:rFonts w:hint="eastAsia"/>
        </w:rPr>
        <w:t>建立罗汉果洪桉樟栽培管理档案（见附录B），长期保存。</w:t>
      </w:r>
    </w:p>
    <w:p>
      <w:pPr>
        <w:pStyle w:val="235"/>
        <w:spacing w:before="312" w:after="312" w:line="360" w:lineRule="auto"/>
        <w:ind w:left="0" w:firstLine="0"/>
        <w:jc w:val="center"/>
      </w:pPr>
    </w:p>
    <w:p>
      <w:pPr>
        <w:pStyle w:val="234"/>
      </w:pPr>
    </w:p>
    <w:p>
      <w:pPr>
        <w:pStyle w:val="234"/>
      </w:pPr>
    </w:p>
    <w:p>
      <w:pPr>
        <w:pStyle w:val="234"/>
      </w:pPr>
    </w:p>
    <w:p>
      <w:pPr>
        <w:pStyle w:val="234"/>
      </w:pPr>
    </w:p>
    <w:p>
      <w:pPr>
        <w:pStyle w:val="234"/>
      </w:pPr>
    </w:p>
    <w:p>
      <w:pPr>
        <w:pStyle w:val="234"/>
      </w:pPr>
    </w:p>
    <w:p>
      <w:pPr>
        <w:pStyle w:val="234"/>
      </w:pPr>
    </w:p>
    <w:p>
      <w:pPr>
        <w:pStyle w:val="234"/>
      </w:pPr>
    </w:p>
    <w:p>
      <w:pPr>
        <w:pStyle w:val="235"/>
        <w:spacing w:before="312" w:after="312" w:line="360" w:lineRule="auto"/>
        <w:ind w:left="0" w:firstLine="0"/>
        <w:jc w:val="center"/>
      </w:pPr>
      <w:r>
        <w:t>附录</w:t>
      </w:r>
      <w:r>
        <w:rPr>
          <w:rFonts w:hint="eastAsia"/>
        </w:rPr>
        <w:t>A</w:t>
      </w:r>
    </w:p>
    <w:p>
      <w:pPr>
        <w:spacing w:line="360" w:lineRule="auto"/>
        <w:jc w:val="center"/>
        <w:rPr>
          <w:rFonts w:ascii="黑体" w:eastAsia="黑体"/>
        </w:rPr>
      </w:pPr>
      <w:r>
        <w:rPr>
          <w:rFonts w:hint="eastAsia" w:ascii="黑体" w:eastAsia="黑体"/>
        </w:rPr>
        <w:t>（资料性）</w:t>
      </w:r>
    </w:p>
    <w:p>
      <w:pPr>
        <w:pStyle w:val="58"/>
        <w:ind w:firstLine="3570" w:firstLineChars="1700"/>
        <w:rPr>
          <w:rFonts w:ascii="黑体" w:hAnsi="Calibri" w:eastAsia="黑体"/>
          <w:kern w:val="2"/>
          <w:szCs w:val="21"/>
        </w:rPr>
      </w:pPr>
      <w:r>
        <w:rPr>
          <w:rFonts w:hint="eastAsia" w:ascii="黑体" w:hAnsi="Calibri" w:eastAsia="黑体"/>
          <w:kern w:val="2"/>
          <w:szCs w:val="21"/>
        </w:rPr>
        <w:t>洪桉樟主要病虫害及防治方法</w:t>
      </w:r>
    </w:p>
    <w:tbl>
      <w:tblPr>
        <w:tblStyle w:val="28"/>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02" w:type="dxa"/>
            <w:noWrap/>
            <w:vAlign w:val="center"/>
          </w:tcPr>
          <w:p>
            <w:pPr>
              <w:jc w:val="center"/>
            </w:pPr>
            <w:r>
              <w:rPr>
                <w:rFonts w:hint="eastAsia"/>
              </w:rPr>
              <w:t>病虫害</w:t>
            </w:r>
          </w:p>
        </w:tc>
        <w:tc>
          <w:tcPr>
            <w:tcW w:w="7725" w:type="dxa"/>
            <w:noWrap/>
            <w:vAlign w:val="center"/>
          </w:tcPr>
          <w:p>
            <w:pPr>
              <w:jc w:val="center"/>
            </w:pPr>
            <w:r>
              <w:rPr>
                <w:rFonts w:hint="eastAsia"/>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202" w:type="dxa"/>
            <w:noWrap/>
            <w:vAlign w:val="center"/>
          </w:tcPr>
          <w:p>
            <w:pPr>
              <w:jc w:val="center"/>
            </w:pPr>
            <w:r>
              <w:rPr>
                <w:rFonts w:hint="eastAsia"/>
              </w:rPr>
              <w:t>白粉病</w:t>
            </w:r>
          </w:p>
        </w:tc>
        <w:tc>
          <w:tcPr>
            <w:tcW w:w="7725" w:type="dxa"/>
            <w:noWrap/>
            <w:vAlign w:val="center"/>
          </w:tcPr>
          <w:p>
            <w:r>
              <w:rPr>
                <w:rFonts w:hint="eastAsia"/>
              </w:rPr>
              <w:t>注意苗圃卫生，适当疏苗，发现病株应立即拔除，烧毁；</w:t>
            </w:r>
          </w:p>
          <w:p>
            <w:r>
              <w:rPr>
                <w:rFonts w:hint="eastAsia"/>
              </w:rPr>
              <w:t>（2）用</w:t>
            </w:r>
            <w:r>
              <w:rPr>
                <w:rFonts w:ascii="宋体" w:hAnsi="宋体"/>
              </w:rPr>
              <w:t>1000亿个活孢子/克依天得（芽孢杆菌）可湿性粉剂600～800倍液</w:t>
            </w:r>
            <w:r>
              <w:rPr>
                <w:rFonts w:hint="eastAsia" w:ascii="宋体" w:hAnsi="宋体"/>
              </w:rPr>
              <w:t>喷施，12d喷一次，连续3次</w:t>
            </w:r>
            <w:r>
              <w:rPr>
                <w:rFonts w:ascii="宋体" w:hAnsi="宋体"/>
              </w:rPr>
              <w:t>～</w:t>
            </w:r>
            <w:r>
              <w:rPr>
                <w:rFonts w:hint="eastAsia" w:ascii="宋体" w:hAnsi="宋体"/>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02" w:type="dxa"/>
            <w:noWrap/>
            <w:vAlign w:val="center"/>
          </w:tcPr>
          <w:p>
            <w:pPr>
              <w:jc w:val="center"/>
            </w:pPr>
            <w:r>
              <w:rPr>
                <w:rFonts w:hint="eastAsia"/>
              </w:rPr>
              <w:t>炭疽病</w:t>
            </w:r>
          </w:p>
        </w:tc>
        <w:tc>
          <w:tcPr>
            <w:tcW w:w="7725" w:type="dxa"/>
            <w:noWrap/>
            <w:vAlign w:val="center"/>
          </w:tcPr>
          <w:p>
            <w:r>
              <w:rPr>
                <w:rFonts w:hint="eastAsia"/>
              </w:rPr>
              <w:t>将病枝（叶）剪除，烧毁；</w:t>
            </w:r>
          </w:p>
          <w:p>
            <w:r>
              <w:rPr>
                <w:rFonts w:hint="eastAsia"/>
              </w:rPr>
              <w:t>用</w:t>
            </w:r>
            <w:r>
              <w:rPr>
                <w:rFonts w:hint="eastAsia" w:ascii="宋体" w:hAnsi="宋体"/>
              </w:rPr>
              <w:t>嘉博利源-炭特灵500倍液进行喷施。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1202" w:type="dxa"/>
            <w:noWrap/>
            <w:vAlign w:val="center"/>
          </w:tcPr>
          <w:p>
            <w:pPr>
              <w:jc w:val="center"/>
            </w:pPr>
            <w:r>
              <w:rPr>
                <w:rFonts w:hint="eastAsia"/>
              </w:rPr>
              <w:t>樟叶蜂</w:t>
            </w:r>
          </w:p>
        </w:tc>
        <w:tc>
          <w:tcPr>
            <w:tcW w:w="7725" w:type="dxa"/>
            <w:noWrap/>
            <w:vAlign w:val="center"/>
          </w:tcPr>
          <w:p>
            <w:r>
              <w:rPr>
                <w:rFonts w:hint="eastAsia"/>
              </w:rPr>
              <w:t>（1）加强苗圃地和造林地管理，适时除草，消灭土中虫茧。</w:t>
            </w:r>
          </w:p>
          <w:p>
            <w:r>
              <w:rPr>
                <w:rFonts w:hint="eastAsia"/>
              </w:rPr>
              <w:t>（</w:t>
            </w:r>
            <w:r>
              <w:rPr>
                <w:rFonts w:hint="eastAsia" w:ascii="宋体" w:hAnsi="宋体"/>
              </w:rPr>
              <w:t>2）做好预测预报工作，狠抓第1代幼虫防治，于发生前喷药灭虫。于4月中下旬第1代幼虫初孵化前后喷施EC0.05%―0.03%，10%广虫立克0.5%或90%晶体敌百虫0.1%―0.06%的溶液。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202" w:type="dxa"/>
            <w:noWrap/>
            <w:vAlign w:val="center"/>
          </w:tcPr>
          <w:p>
            <w:pPr>
              <w:jc w:val="center"/>
            </w:pPr>
            <w:r>
              <w:rPr>
                <w:rFonts w:hint="eastAsia"/>
              </w:rPr>
              <w:t>樟梢卷叶蛾</w:t>
            </w:r>
          </w:p>
        </w:tc>
        <w:tc>
          <w:tcPr>
            <w:tcW w:w="7725" w:type="dxa"/>
            <w:noWrap/>
            <w:vAlign w:val="center"/>
          </w:tcPr>
          <w:p>
            <w:pPr>
              <w:numPr>
                <w:ilvl w:val="0"/>
                <w:numId w:val="32"/>
              </w:numPr>
            </w:pPr>
            <w:r>
              <w:rPr>
                <w:rFonts w:hint="eastAsia"/>
              </w:rPr>
              <w:t>可在</w:t>
            </w:r>
            <w:r>
              <w:fldChar w:fldCharType="begin"/>
            </w:r>
            <w:r>
              <w:instrText xml:space="preserve"> HYPERLINK "https://www.shancaoxiang.com/siji/dong/" \t "https://www.shancaoxiang.com/bingchong/_blank" </w:instrText>
            </w:r>
            <w:r>
              <w:fldChar w:fldCharType="separate"/>
            </w:r>
            <w:r>
              <w:rPr>
                <w:rFonts w:hint="eastAsia"/>
              </w:rPr>
              <w:t>冬季</w:t>
            </w:r>
            <w:r>
              <w:rPr>
                <w:rFonts w:hint="eastAsia"/>
              </w:rPr>
              <w:fldChar w:fldCharType="end"/>
            </w:r>
            <w:r>
              <w:rPr>
                <w:rFonts w:hint="eastAsia"/>
              </w:rPr>
              <w:t>收集枯枝落叶烧毁，以消灭越冬蛹；</w:t>
            </w:r>
          </w:p>
          <w:p>
            <w:pPr>
              <w:numPr>
                <w:ilvl w:val="0"/>
                <w:numId w:val="32"/>
              </w:numPr>
            </w:pPr>
            <w:r>
              <w:rPr>
                <w:rFonts w:hint="eastAsia" w:ascii="宋体" w:hAnsi="宋体"/>
              </w:rPr>
              <w:t>3月樟树新梢抽出后，第一代幼虫孵化时用90%敌百虫、50%二溴磷乳剂、50%马拉松乳剂10000倍液进行喷射，每隔5天一次，连续二、三次。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1202" w:type="dxa"/>
            <w:noWrap/>
            <w:vAlign w:val="center"/>
          </w:tcPr>
          <w:p>
            <w:pPr>
              <w:jc w:val="center"/>
            </w:pPr>
            <w:r>
              <w:rPr>
                <w:rFonts w:hint="eastAsia"/>
              </w:rPr>
              <w:t>樟巢螟</w:t>
            </w:r>
          </w:p>
        </w:tc>
        <w:tc>
          <w:tcPr>
            <w:tcW w:w="7725" w:type="dxa"/>
            <w:noWrap/>
            <w:vAlign w:val="center"/>
          </w:tcPr>
          <w:p>
            <w:r>
              <w:rPr>
                <w:rFonts w:hint="eastAsia"/>
              </w:rPr>
              <w:t>（1）在</w:t>
            </w:r>
            <w:r>
              <w:rPr>
                <w:rFonts w:hint="eastAsia" w:ascii="宋体" w:hAnsi="宋体"/>
              </w:rPr>
              <w:t>5</w:t>
            </w:r>
            <w:r>
              <w:rPr>
                <w:rFonts w:hint="eastAsia"/>
              </w:rPr>
              <w:t>月中下旬第一代幼虫刚开始活动、且尚未结成网巢时，使用菊酯类药剂、灭幼脲、阿维菌素等进行喷施。</w:t>
            </w:r>
            <w:r>
              <w:rPr>
                <w:rFonts w:hint="eastAsia"/>
              </w:rPr>
              <w:br w:type="textWrapping"/>
            </w:r>
            <w:r>
              <w:rPr>
                <w:rFonts w:hint="eastAsia"/>
              </w:rPr>
              <w:t>（2）如果幼虫已结成网巢，则可以人工摘除虫巢；并将虫巢进行集中烧毁。然后在虫巢周围喷施高效氯氟氰菊酯、吡虫啉、灭幼脲等进行预防。</w:t>
            </w:r>
            <w:r>
              <w:rPr>
                <w:rFonts w:hint="eastAsia"/>
              </w:rPr>
              <w:br w:type="textWrapping"/>
            </w:r>
            <w:r>
              <w:rPr>
                <w:rFonts w:hint="eastAsia"/>
              </w:rPr>
              <w:t>（3）对于已经结成网巢，但人工摘除网巢不便时，可对于危害的网巢以及网巢周围喷施烟参碱乳油、灭幼脲、甲维盐等杀虫剂进行防治。</w:t>
            </w:r>
          </w:p>
        </w:tc>
      </w:tr>
    </w:tbl>
    <w:p>
      <w:pPr>
        <w:pStyle w:val="235"/>
        <w:spacing w:before="312" w:after="312" w:line="360" w:lineRule="auto"/>
        <w:ind w:left="0" w:firstLine="0"/>
        <w:jc w:val="center"/>
      </w:pPr>
      <w:r>
        <w:t>附录</w:t>
      </w:r>
      <w:r>
        <w:rPr>
          <w:rFonts w:hint="eastAsia"/>
        </w:rPr>
        <w:t>B</w:t>
      </w:r>
    </w:p>
    <w:p>
      <w:pPr>
        <w:spacing w:line="360" w:lineRule="auto"/>
        <w:jc w:val="center"/>
        <w:rPr>
          <w:rFonts w:ascii="黑体" w:eastAsia="黑体"/>
        </w:rPr>
      </w:pPr>
      <w:r>
        <w:rPr>
          <w:rFonts w:hint="eastAsia" w:ascii="黑体" w:eastAsia="黑体"/>
        </w:rPr>
        <w:t>（资料性）</w:t>
      </w:r>
    </w:p>
    <w:p>
      <w:pPr>
        <w:spacing w:line="360" w:lineRule="auto"/>
        <w:jc w:val="center"/>
        <w:rPr>
          <w:rFonts w:ascii="黑体" w:eastAsia="黑体"/>
        </w:rPr>
      </w:pPr>
      <w:r>
        <w:rPr>
          <w:rFonts w:hint="eastAsia" w:ascii="黑体" w:eastAsia="黑体"/>
        </w:rPr>
        <w:t>洪桉樟苗木与栽培管理登记表</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053"/>
        <w:gridCol w:w="1082"/>
        <w:gridCol w:w="1082"/>
        <w:gridCol w:w="1082"/>
        <w:gridCol w:w="1082"/>
        <w:gridCol w:w="108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栽植地点</w:t>
            </w:r>
          </w:p>
        </w:tc>
        <w:tc>
          <w:tcPr>
            <w:tcW w:w="3217" w:type="dxa"/>
            <w:gridSpan w:val="3"/>
            <w:vAlign w:val="center"/>
          </w:tcPr>
          <w:p>
            <w:pPr>
              <w:jc w:val="center"/>
            </w:pPr>
          </w:p>
        </w:tc>
        <w:tc>
          <w:tcPr>
            <w:tcW w:w="1082" w:type="dxa"/>
            <w:vAlign w:val="center"/>
          </w:tcPr>
          <w:p>
            <w:pPr>
              <w:jc w:val="center"/>
              <w:rPr>
                <w:rFonts w:eastAsiaTheme="minorEastAsia"/>
              </w:rPr>
            </w:pPr>
            <w:r>
              <w:rPr>
                <w:rFonts w:hint="eastAsia"/>
              </w:rPr>
              <w:t>海拔</w:t>
            </w:r>
          </w:p>
        </w:tc>
        <w:tc>
          <w:tcPr>
            <w:tcW w:w="3248"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纬度</w:t>
            </w:r>
          </w:p>
        </w:tc>
        <w:tc>
          <w:tcPr>
            <w:tcW w:w="1053" w:type="dxa"/>
            <w:vAlign w:val="center"/>
          </w:tcPr>
          <w:p>
            <w:pPr>
              <w:jc w:val="center"/>
            </w:pPr>
          </w:p>
        </w:tc>
        <w:tc>
          <w:tcPr>
            <w:tcW w:w="1082" w:type="dxa"/>
            <w:vAlign w:val="center"/>
          </w:tcPr>
          <w:p>
            <w:pPr>
              <w:jc w:val="center"/>
              <w:rPr>
                <w:rFonts w:eastAsiaTheme="minorEastAsia"/>
              </w:rPr>
            </w:pPr>
            <w:r>
              <w:rPr>
                <w:rFonts w:hint="eastAsia"/>
              </w:rPr>
              <w:t>经度</w:t>
            </w:r>
          </w:p>
        </w:tc>
        <w:tc>
          <w:tcPr>
            <w:tcW w:w="1082" w:type="dxa"/>
            <w:vAlign w:val="center"/>
          </w:tcPr>
          <w:p>
            <w:pPr>
              <w:jc w:val="center"/>
            </w:pPr>
          </w:p>
        </w:tc>
        <w:tc>
          <w:tcPr>
            <w:tcW w:w="1082" w:type="dxa"/>
            <w:vAlign w:val="center"/>
          </w:tcPr>
          <w:p>
            <w:pPr>
              <w:jc w:val="center"/>
              <w:rPr>
                <w:rFonts w:eastAsiaTheme="minorEastAsia"/>
              </w:rPr>
            </w:pPr>
            <w:r>
              <w:rPr>
                <w:rFonts w:hint="eastAsia"/>
              </w:rPr>
              <w:t>坡向</w:t>
            </w:r>
          </w:p>
        </w:tc>
        <w:tc>
          <w:tcPr>
            <w:tcW w:w="1082" w:type="dxa"/>
            <w:vAlign w:val="center"/>
          </w:tcPr>
          <w:p>
            <w:pPr>
              <w:jc w:val="center"/>
            </w:pPr>
          </w:p>
        </w:tc>
        <w:tc>
          <w:tcPr>
            <w:tcW w:w="1083" w:type="dxa"/>
            <w:vAlign w:val="center"/>
          </w:tcPr>
          <w:p>
            <w:pPr>
              <w:jc w:val="center"/>
              <w:rPr>
                <w:rFonts w:eastAsiaTheme="minorEastAsia"/>
              </w:rPr>
            </w:pPr>
            <w:r>
              <w:rPr>
                <w:rFonts w:hint="eastAsia"/>
              </w:rPr>
              <w:t>坡度</w:t>
            </w:r>
          </w:p>
        </w:tc>
        <w:tc>
          <w:tcPr>
            <w:tcW w:w="108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面积</w:t>
            </w:r>
          </w:p>
        </w:tc>
        <w:tc>
          <w:tcPr>
            <w:tcW w:w="3217" w:type="dxa"/>
            <w:gridSpan w:val="3"/>
            <w:vAlign w:val="center"/>
          </w:tcPr>
          <w:p>
            <w:pPr>
              <w:jc w:val="center"/>
            </w:pPr>
          </w:p>
        </w:tc>
        <w:tc>
          <w:tcPr>
            <w:tcW w:w="1082" w:type="dxa"/>
            <w:vAlign w:val="center"/>
          </w:tcPr>
          <w:p>
            <w:pPr>
              <w:jc w:val="center"/>
              <w:rPr>
                <w:rFonts w:eastAsiaTheme="minorEastAsia"/>
              </w:rPr>
            </w:pPr>
            <w:r>
              <w:rPr>
                <w:rFonts w:hint="eastAsia"/>
              </w:rPr>
              <w:t>土壤类型</w:t>
            </w:r>
          </w:p>
        </w:tc>
        <w:tc>
          <w:tcPr>
            <w:tcW w:w="3248"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整地方式</w:t>
            </w:r>
          </w:p>
        </w:tc>
        <w:tc>
          <w:tcPr>
            <w:tcW w:w="7547"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种植时间</w:t>
            </w:r>
          </w:p>
        </w:tc>
        <w:tc>
          <w:tcPr>
            <w:tcW w:w="3217" w:type="dxa"/>
            <w:gridSpan w:val="3"/>
            <w:vAlign w:val="center"/>
          </w:tcPr>
          <w:p>
            <w:pPr>
              <w:jc w:val="center"/>
            </w:pPr>
          </w:p>
        </w:tc>
        <w:tc>
          <w:tcPr>
            <w:tcW w:w="1082" w:type="dxa"/>
            <w:vAlign w:val="center"/>
          </w:tcPr>
          <w:p>
            <w:pPr>
              <w:jc w:val="center"/>
              <w:rPr>
                <w:rFonts w:eastAsiaTheme="minorEastAsia"/>
              </w:rPr>
            </w:pPr>
            <w:r>
              <w:rPr>
                <w:rFonts w:hint="eastAsia"/>
              </w:rPr>
              <w:t>种植密度</w:t>
            </w:r>
          </w:p>
        </w:tc>
        <w:tc>
          <w:tcPr>
            <w:tcW w:w="3248"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底肥</w:t>
            </w:r>
          </w:p>
        </w:tc>
        <w:tc>
          <w:tcPr>
            <w:tcW w:w="3217" w:type="dxa"/>
            <w:gridSpan w:val="3"/>
            <w:vAlign w:val="center"/>
          </w:tcPr>
          <w:p>
            <w:pPr>
              <w:jc w:val="center"/>
            </w:pPr>
          </w:p>
        </w:tc>
        <w:tc>
          <w:tcPr>
            <w:tcW w:w="1082" w:type="dxa"/>
            <w:vAlign w:val="center"/>
          </w:tcPr>
          <w:p>
            <w:pPr>
              <w:jc w:val="center"/>
              <w:rPr>
                <w:rFonts w:eastAsiaTheme="minorEastAsia"/>
              </w:rPr>
            </w:pPr>
            <w:r>
              <w:rPr>
                <w:rFonts w:hint="eastAsia"/>
              </w:rPr>
              <w:t>追肥</w:t>
            </w:r>
          </w:p>
        </w:tc>
        <w:tc>
          <w:tcPr>
            <w:tcW w:w="3248"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抚育方式和时间</w:t>
            </w:r>
          </w:p>
        </w:tc>
        <w:tc>
          <w:tcPr>
            <w:tcW w:w="7547"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60"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病虫害防治</w:t>
            </w:r>
          </w:p>
        </w:tc>
        <w:tc>
          <w:tcPr>
            <w:tcW w:w="7547"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60"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采收时间</w:t>
            </w:r>
          </w:p>
        </w:tc>
        <w:tc>
          <w:tcPr>
            <w:tcW w:w="3217" w:type="dxa"/>
            <w:gridSpan w:val="3"/>
            <w:vAlign w:val="center"/>
          </w:tcPr>
          <w:p>
            <w:pPr>
              <w:jc w:val="center"/>
            </w:pPr>
          </w:p>
        </w:tc>
        <w:tc>
          <w:tcPr>
            <w:tcW w:w="1082" w:type="dxa"/>
            <w:vAlign w:val="center"/>
          </w:tcPr>
          <w:p>
            <w:pPr>
              <w:jc w:val="center"/>
            </w:pPr>
            <w:r>
              <w:rPr>
                <w:rFonts w:hint="eastAsia" w:ascii="宋体" w:hAnsi="宋体"/>
              </w:rPr>
              <w:t>采收年龄</w:t>
            </w:r>
          </w:p>
        </w:tc>
        <w:tc>
          <w:tcPr>
            <w:tcW w:w="3248"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3" w:type="dxa"/>
            <w:vAlign w:val="center"/>
          </w:tcPr>
          <w:p>
            <w:pPr>
              <w:jc w:val="center"/>
              <w:rPr>
                <w:rFonts w:eastAsiaTheme="minorEastAsia"/>
              </w:rPr>
            </w:pPr>
            <w:r>
              <w:rPr>
                <w:rFonts w:hint="eastAsia"/>
              </w:rPr>
              <w:t>果实质量</w:t>
            </w:r>
          </w:p>
        </w:tc>
        <w:tc>
          <w:tcPr>
            <w:tcW w:w="7547"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60"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60" w:type="dxa"/>
            <w:gridSpan w:val="8"/>
            <w:vAlign w:val="center"/>
          </w:tcPr>
          <w:p>
            <w:pPr>
              <w:jc w:val="center"/>
              <w:rPr>
                <w:rFonts w:eastAsiaTheme="minorEastAsia"/>
              </w:rPr>
            </w:pPr>
            <w:r>
              <w:rPr>
                <w:rFonts w:hint="eastAsia"/>
              </w:rPr>
              <w:t xml:space="preserve">                                   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60" w:type="dxa"/>
            <w:gridSpan w:val="8"/>
            <w:vAlign w:val="center"/>
          </w:tcPr>
          <w:p>
            <w:pPr>
              <w:jc w:val="center"/>
              <w:rPr>
                <w:rFonts w:eastAsiaTheme="minorEastAsia"/>
              </w:rPr>
            </w:pPr>
            <w:r>
              <w:rPr>
                <w:rFonts w:hint="eastAsia"/>
              </w:rPr>
              <w:t xml:space="preserve">                                    日  期：</w:t>
            </w:r>
          </w:p>
        </w:tc>
      </w:tr>
    </w:tbl>
    <w:p>
      <w:pPr>
        <w:pStyle w:val="58"/>
        <w:ind w:firstLine="0" w:firstLineChars="0"/>
        <w:jc w:val="center"/>
      </w:pPr>
    </w:p>
    <w:p>
      <w:pPr>
        <w:pStyle w:val="58"/>
        <w:ind w:firstLine="0" w:firstLineChars="0"/>
        <w:jc w:val="center"/>
      </w:pPr>
    </w:p>
    <w:p>
      <w:pPr>
        <w:pStyle w:val="58"/>
        <w:ind w:firstLine="0" w:firstLineChars="0"/>
        <w:jc w:val="center"/>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仿宋"/>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DB43/TXXXX—XXXX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DB43/TXXXX—XXXX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pStyle w:val="23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6CDDAB1"/>
    <w:multiLevelType w:val="singleLevel"/>
    <w:tmpl w:val="36CDDAB1"/>
    <w:lvl w:ilvl="0" w:tentative="0">
      <w:start w:val="1"/>
      <w:numFmt w:val="decimal"/>
      <w:suff w:val="nothing"/>
      <w:lvlText w:val="（%1）"/>
      <w:lvlJc w:val="left"/>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attachedTemplate r:id="rId1"/>
  <w:documentProtection w:edit="forms" w:enforcement="1"/>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658C2"/>
    <w:rsid w:val="0000040A"/>
    <w:rsid w:val="00000A94"/>
    <w:rsid w:val="00001972"/>
    <w:rsid w:val="00001D9A"/>
    <w:rsid w:val="0000735F"/>
    <w:rsid w:val="00007B3A"/>
    <w:rsid w:val="000107E0"/>
    <w:rsid w:val="00011FDE"/>
    <w:rsid w:val="00012FFD"/>
    <w:rsid w:val="00014162"/>
    <w:rsid w:val="00014340"/>
    <w:rsid w:val="00016A9C"/>
    <w:rsid w:val="00016AC1"/>
    <w:rsid w:val="00022184"/>
    <w:rsid w:val="00022762"/>
    <w:rsid w:val="000238E0"/>
    <w:rsid w:val="000249DB"/>
    <w:rsid w:val="0002595E"/>
    <w:rsid w:val="000303C3"/>
    <w:rsid w:val="000331D3"/>
    <w:rsid w:val="000346A5"/>
    <w:rsid w:val="000359C3"/>
    <w:rsid w:val="00035A7D"/>
    <w:rsid w:val="000365ED"/>
    <w:rsid w:val="0003796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3DD"/>
    <w:rsid w:val="00086AA1"/>
    <w:rsid w:val="00087A77"/>
    <w:rsid w:val="00090CA6"/>
    <w:rsid w:val="00092B8A"/>
    <w:rsid w:val="00092FB0"/>
    <w:rsid w:val="0009309F"/>
    <w:rsid w:val="000934C5"/>
    <w:rsid w:val="00093D25"/>
    <w:rsid w:val="00093DAB"/>
    <w:rsid w:val="00093F9B"/>
    <w:rsid w:val="00094D73"/>
    <w:rsid w:val="00096D63"/>
    <w:rsid w:val="000A084E"/>
    <w:rsid w:val="000A0B60"/>
    <w:rsid w:val="000A0EB8"/>
    <w:rsid w:val="000A19FC"/>
    <w:rsid w:val="000A296B"/>
    <w:rsid w:val="000A7311"/>
    <w:rsid w:val="000B060F"/>
    <w:rsid w:val="000B1592"/>
    <w:rsid w:val="000B1FF2"/>
    <w:rsid w:val="000B3CDA"/>
    <w:rsid w:val="000B5DC8"/>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BB6"/>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857"/>
    <w:rsid w:val="00200183"/>
    <w:rsid w:val="00200333"/>
    <w:rsid w:val="0020107D"/>
    <w:rsid w:val="00202AA4"/>
    <w:rsid w:val="002031F7"/>
    <w:rsid w:val="002040E6"/>
    <w:rsid w:val="0020527B"/>
    <w:rsid w:val="00205F2C"/>
    <w:rsid w:val="00210B15"/>
    <w:rsid w:val="002142EA"/>
    <w:rsid w:val="002204BB"/>
    <w:rsid w:val="002208CD"/>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1C1"/>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132"/>
    <w:rsid w:val="003474AA"/>
    <w:rsid w:val="00350D1D"/>
    <w:rsid w:val="00352C83"/>
    <w:rsid w:val="003615D2"/>
    <w:rsid w:val="0036429C"/>
    <w:rsid w:val="00364A53"/>
    <w:rsid w:val="003654CB"/>
    <w:rsid w:val="003658C2"/>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057"/>
    <w:rsid w:val="003C14F8"/>
    <w:rsid w:val="003C5A43"/>
    <w:rsid w:val="003D0519"/>
    <w:rsid w:val="003D0FF6"/>
    <w:rsid w:val="003D262C"/>
    <w:rsid w:val="003D5A67"/>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235"/>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15D"/>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D05"/>
    <w:rsid w:val="004D4406"/>
    <w:rsid w:val="004D7C42"/>
    <w:rsid w:val="004E0465"/>
    <w:rsid w:val="004E127B"/>
    <w:rsid w:val="004E1C0A"/>
    <w:rsid w:val="004E2B06"/>
    <w:rsid w:val="004E30C5"/>
    <w:rsid w:val="004E4AA5"/>
    <w:rsid w:val="004E4AEE"/>
    <w:rsid w:val="004E59E3"/>
    <w:rsid w:val="004E67C0"/>
    <w:rsid w:val="004F1FAC"/>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34A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1CB"/>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11BB"/>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7E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74E"/>
    <w:rsid w:val="006C6976"/>
    <w:rsid w:val="006C6DD0"/>
    <w:rsid w:val="006D04EA"/>
    <w:rsid w:val="006D16C4"/>
    <w:rsid w:val="006D3D2E"/>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34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C70"/>
    <w:rsid w:val="008454F8"/>
    <w:rsid w:val="0085173A"/>
    <w:rsid w:val="00856316"/>
    <w:rsid w:val="008603CE"/>
    <w:rsid w:val="008620FC"/>
    <w:rsid w:val="008627A5"/>
    <w:rsid w:val="00863E05"/>
    <w:rsid w:val="00865ACA"/>
    <w:rsid w:val="00865D28"/>
    <w:rsid w:val="00865F85"/>
    <w:rsid w:val="008664F2"/>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F98"/>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FB4"/>
    <w:rsid w:val="009062E6"/>
    <w:rsid w:val="00911BE5"/>
    <w:rsid w:val="00913CA9"/>
    <w:rsid w:val="009145AE"/>
    <w:rsid w:val="009146CE"/>
    <w:rsid w:val="00914CA7"/>
    <w:rsid w:val="00915C3E"/>
    <w:rsid w:val="009161A8"/>
    <w:rsid w:val="00922133"/>
    <w:rsid w:val="009245F5"/>
    <w:rsid w:val="009249EC"/>
    <w:rsid w:val="009273B3"/>
    <w:rsid w:val="009305B5"/>
    <w:rsid w:val="0093147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BDE"/>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5F6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FA0"/>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427"/>
    <w:rsid w:val="00AC5DF4"/>
    <w:rsid w:val="00AC7B8A"/>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685"/>
    <w:rsid w:val="00B31FB1"/>
    <w:rsid w:val="00B33952"/>
    <w:rsid w:val="00B33C5E"/>
    <w:rsid w:val="00B342F4"/>
    <w:rsid w:val="00B34369"/>
    <w:rsid w:val="00B34DC2"/>
    <w:rsid w:val="00B378E5"/>
    <w:rsid w:val="00B41971"/>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6F18"/>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4B7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4F1E"/>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0F3"/>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24C"/>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07AFB"/>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4042"/>
    <w:rsid w:val="00D352A2"/>
    <w:rsid w:val="00D4162B"/>
    <w:rsid w:val="00D4297A"/>
    <w:rsid w:val="00D4514F"/>
    <w:rsid w:val="00D451E2"/>
    <w:rsid w:val="00D45E89"/>
    <w:rsid w:val="00D45E8D"/>
    <w:rsid w:val="00D466AE"/>
    <w:rsid w:val="00D4734F"/>
    <w:rsid w:val="00D51BF3"/>
    <w:rsid w:val="00D66846"/>
    <w:rsid w:val="00D675FB"/>
    <w:rsid w:val="00D71F25"/>
    <w:rsid w:val="00D72A9C"/>
    <w:rsid w:val="00D758E9"/>
    <w:rsid w:val="00D77031"/>
    <w:rsid w:val="00D84941"/>
    <w:rsid w:val="00D84FA1"/>
    <w:rsid w:val="00D851F0"/>
    <w:rsid w:val="00D86DB7"/>
    <w:rsid w:val="00D86E73"/>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4AC8"/>
    <w:rsid w:val="00DC5B90"/>
    <w:rsid w:val="00DD00FF"/>
    <w:rsid w:val="00DD0619"/>
    <w:rsid w:val="00DD07FB"/>
    <w:rsid w:val="00DD25C6"/>
    <w:rsid w:val="00DD4FE5"/>
    <w:rsid w:val="00DD54B0"/>
    <w:rsid w:val="00DD57EE"/>
    <w:rsid w:val="00DD6BCC"/>
    <w:rsid w:val="00DE0A4B"/>
    <w:rsid w:val="00DE2410"/>
    <w:rsid w:val="00DE2939"/>
    <w:rsid w:val="00DE6224"/>
    <w:rsid w:val="00DE6E81"/>
    <w:rsid w:val="00DE703F"/>
    <w:rsid w:val="00DE7595"/>
    <w:rsid w:val="00DF1961"/>
    <w:rsid w:val="00DF44DE"/>
    <w:rsid w:val="00DF5F11"/>
    <w:rsid w:val="00E01138"/>
    <w:rsid w:val="00E01163"/>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27C"/>
    <w:rsid w:val="00E44A83"/>
    <w:rsid w:val="00E502C1"/>
    <w:rsid w:val="00E502DD"/>
    <w:rsid w:val="00E50D3A"/>
    <w:rsid w:val="00E51387"/>
    <w:rsid w:val="00E51E68"/>
    <w:rsid w:val="00E52EFD"/>
    <w:rsid w:val="00E5408A"/>
    <w:rsid w:val="00E56800"/>
    <w:rsid w:val="00E60C63"/>
    <w:rsid w:val="00E62FF9"/>
    <w:rsid w:val="00E635D6"/>
    <w:rsid w:val="00E639BC"/>
    <w:rsid w:val="00E65FA7"/>
    <w:rsid w:val="00E664CC"/>
    <w:rsid w:val="00E70388"/>
    <w:rsid w:val="00E70F92"/>
    <w:rsid w:val="00E73527"/>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942"/>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84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806"/>
    <w:rsid w:val="00FE1FBE"/>
    <w:rsid w:val="00FE255C"/>
    <w:rsid w:val="00FE3901"/>
    <w:rsid w:val="00FE39D3"/>
    <w:rsid w:val="00FE4BCE"/>
    <w:rsid w:val="00FE54AE"/>
    <w:rsid w:val="00FE576A"/>
    <w:rsid w:val="00FE7E79"/>
    <w:rsid w:val="00FF3E7D"/>
    <w:rsid w:val="00FF5B99"/>
    <w:rsid w:val="00FF730C"/>
    <w:rsid w:val="00FF73F4"/>
    <w:rsid w:val="00FF7CE4"/>
    <w:rsid w:val="00FF7E39"/>
    <w:rsid w:val="01A07D3E"/>
    <w:rsid w:val="03C45424"/>
    <w:rsid w:val="045E2719"/>
    <w:rsid w:val="04B662EA"/>
    <w:rsid w:val="05A83BCE"/>
    <w:rsid w:val="066D4914"/>
    <w:rsid w:val="06BE3405"/>
    <w:rsid w:val="08AF44B1"/>
    <w:rsid w:val="08BA0E81"/>
    <w:rsid w:val="09640931"/>
    <w:rsid w:val="0B661CA9"/>
    <w:rsid w:val="0BF1322A"/>
    <w:rsid w:val="0C050B02"/>
    <w:rsid w:val="0DE1435A"/>
    <w:rsid w:val="0EF40828"/>
    <w:rsid w:val="0F7D61AC"/>
    <w:rsid w:val="0F99033E"/>
    <w:rsid w:val="10B34D7A"/>
    <w:rsid w:val="13092D2E"/>
    <w:rsid w:val="132343D4"/>
    <w:rsid w:val="147A6D33"/>
    <w:rsid w:val="14983BC0"/>
    <w:rsid w:val="14CA3957"/>
    <w:rsid w:val="153A621B"/>
    <w:rsid w:val="159520E8"/>
    <w:rsid w:val="15F7286A"/>
    <w:rsid w:val="16022F76"/>
    <w:rsid w:val="176C743C"/>
    <w:rsid w:val="17AF353E"/>
    <w:rsid w:val="19643F78"/>
    <w:rsid w:val="19D4196C"/>
    <w:rsid w:val="19EC3461"/>
    <w:rsid w:val="1A725422"/>
    <w:rsid w:val="1AE60318"/>
    <w:rsid w:val="1D4A0F9A"/>
    <w:rsid w:val="1DA151FB"/>
    <w:rsid w:val="1E1F665A"/>
    <w:rsid w:val="1F903BA4"/>
    <w:rsid w:val="1FFB1A16"/>
    <w:rsid w:val="227132E9"/>
    <w:rsid w:val="22C36928"/>
    <w:rsid w:val="23535B5D"/>
    <w:rsid w:val="23E575DF"/>
    <w:rsid w:val="24F64635"/>
    <w:rsid w:val="26261FB9"/>
    <w:rsid w:val="2711783A"/>
    <w:rsid w:val="2A5B58E5"/>
    <w:rsid w:val="2ADE7A5F"/>
    <w:rsid w:val="2C43774A"/>
    <w:rsid w:val="2C805FB2"/>
    <w:rsid w:val="2C9939AA"/>
    <w:rsid w:val="2D0964E9"/>
    <w:rsid w:val="2F57098B"/>
    <w:rsid w:val="30EE4C7F"/>
    <w:rsid w:val="32061EAF"/>
    <w:rsid w:val="328F78D7"/>
    <w:rsid w:val="33F14877"/>
    <w:rsid w:val="34161C9A"/>
    <w:rsid w:val="35DB207B"/>
    <w:rsid w:val="35F73471"/>
    <w:rsid w:val="367712E5"/>
    <w:rsid w:val="38756E23"/>
    <w:rsid w:val="3896331B"/>
    <w:rsid w:val="38A62B0D"/>
    <w:rsid w:val="38BE2AAC"/>
    <w:rsid w:val="397725E2"/>
    <w:rsid w:val="3B6540BE"/>
    <w:rsid w:val="3B8F4C96"/>
    <w:rsid w:val="3BA043DB"/>
    <w:rsid w:val="3C654DC2"/>
    <w:rsid w:val="3CCA1C04"/>
    <w:rsid w:val="3CE151A0"/>
    <w:rsid w:val="3CF52056"/>
    <w:rsid w:val="401A7825"/>
    <w:rsid w:val="40DA1C03"/>
    <w:rsid w:val="437F7B25"/>
    <w:rsid w:val="44BF41E4"/>
    <w:rsid w:val="44EF07FE"/>
    <w:rsid w:val="459B1B3E"/>
    <w:rsid w:val="462032FA"/>
    <w:rsid w:val="482C4220"/>
    <w:rsid w:val="495A2F41"/>
    <w:rsid w:val="495F358D"/>
    <w:rsid w:val="4A3C7DB2"/>
    <w:rsid w:val="4A542FD6"/>
    <w:rsid w:val="4AFD3A69"/>
    <w:rsid w:val="4D78256A"/>
    <w:rsid w:val="4E297CE6"/>
    <w:rsid w:val="4E3069C6"/>
    <w:rsid w:val="4E3F23CC"/>
    <w:rsid w:val="4F201AB2"/>
    <w:rsid w:val="4F424D7A"/>
    <w:rsid w:val="4F5715D8"/>
    <w:rsid w:val="4F8A6707"/>
    <w:rsid w:val="506D27FB"/>
    <w:rsid w:val="535C0358"/>
    <w:rsid w:val="549332C4"/>
    <w:rsid w:val="55B16A87"/>
    <w:rsid w:val="56337F64"/>
    <w:rsid w:val="569B6B68"/>
    <w:rsid w:val="577E7164"/>
    <w:rsid w:val="59215342"/>
    <w:rsid w:val="5AEF75C3"/>
    <w:rsid w:val="5AFE3B8D"/>
    <w:rsid w:val="5C302273"/>
    <w:rsid w:val="5CA93D51"/>
    <w:rsid w:val="5CBC54D0"/>
    <w:rsid w:val="5D983CC8"/>
    <w:rsid w:val="61531A2F"/>
    <w:rsid w:val="648844C8"/>
    <w:rsid w:val="65005A6A"/>
    <w:rsid w:val="651F3CB0"/>
    <w:rsid w:val="67CC41A8"/>
    <w:rsid w:val="688E6B79"/>
    <w:rsid w:val="696A3F97"/>
    <w:rsid w:val="69EC128D"/>
    <w:rsid w:val="6B064D64"/>
    <w:rsid w:val="6B2D5A63"/>
    <w:rsid w:val="6C98043E"/>
    <w:rsid w:val="6CA23B1B"/>
    <w:rsid w:val="6CEB7E0F"/>
    <w:rsid w:val="6EDB2C16"/>
    <w:rsid w:val="6FA37E42"/>
    <w:rsid w:val="708A369A"/>
    <w:rsid w:val="726E6164"/>
    <w:rsid w:val="727A7B45"/>
    <w:rsid w:val="73F12089"/>
    <w:rsid w:val="748E5E98"/>
    <w:rsid w:val="75D07A9B"/>
    <w:rsid w:val="775B1D3E"/>
    <w:rsid w:val="775D262B"/>
    <w:rsid w:val="781E1775"/>
    <w:rsid w:val="799D236B"/>
    <w:rsid w:val="7B535F95"/>
    <w:rsid w:val="7C0E7550"/>
    <w:rsid w:val="7C4911D8"/>
    <w:rsid w:val="7CBB22AA"/>
    <w:rsid w:val="7E174841"/>
    <w:rsid w:val="7E922BB4"/>
    <w:rsid w:val="E9CF0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ody Text Indent 2"/>
    <w:basedOn w:val="1"/>
    <w:link w:val="232"/>
    <w:qFormat/>
    <w:uiPriority w:val="0"/>
    <w:pPr>
      <w:adjustRightInd/>
      <w:spacing w:after="120" w:line="480" w:lineRule="auto"/>
      <w:ind w:left="420" w:leftChars="200"/>
    </w:pPr>
    <w:rPr>
      <w:rFonts w:ascii="Times New Roman" w:hAnsi="Times New Roman"/>
      <w:szCs w:val="24"/>
    </w:rPr>
  </w:style>
  <w:style w:type="paragraph" w:styleId="17">
    <w:name w:val="Balloon Text"/>
    <w:basedOn w:val="1"/>
    <w:link w:val="47"/>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customStyle="1" w:styleId="48">
    <w:name w:val="引用1"/>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customStyle="1" w:styleId="188">
    <w:name w:val="占位符文本1"/>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正文文本缩进 2 Char"/>
    <w:basedOn w:val="30"/>
    <w:link w:val="16"/>
    <w:qFormat/>
    <w:uiPriority w:val="0"/>
    <w:rPr>
      <w:rFonts w:ascii="Times New Roman" w:hAnsi="Times New Roman"/>
      <w:kern w:val="2"/>
      <w:sz w:val="21"/>
      <w:szCs w:val="24"/>
    </w:rPr>
  </w:style>
  <w:style w:type="paragraph" w:customStyle="1" w:styleId="233">
    <w:name w:val="一级条标题"/>
    <w:next w:val="23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5">
    <w:name w:val="章标题"/>
    <w:next w:val="234"/>
    <w:qFormat/>
    <w:uiPriority w:val="0"/>
    <w:pPr>
      <w:spacing w:beforeLines="100" w:afterLines="100"/>
      <w:ind w:left="823" w:hanging="420"/>
      <w:jc w:val="both"/>
      <w:outlineLvl w:val="1"/>
    </w:pPr>
    <w:rPr>
      <w:rFonts w:ascii="黑体" w:hAnsi="Times New Roman" w:eastAsia="黑体" w:cs="Times New Roman"/>
      <w:sz w:val="21"/>
      <w:lang w:val="en-US" w:eastAsia="zh-CN" w:bidi="ar-SA"/>
    </w:rPr>
  </w:style>
  <w:style w:type="character" w:customStyle="1" w:styleId="236">
    <w:name w:val="段 Char"/>
    <w:basedOn w:val="30"/>
    <w:link w:val="234"/>
    <w:qFormat/>
    <w:uiPriority w:val="0"/>
    <w:rPr>
      <w:rFonts w:ascii="宋体" w:hAnsi="Times New Roman"/>
      <w:sz w:val="21"/>
    </w:rPr>
  </w:style>
  <w:style w:type="paragraph" w:customStyle="1" w:styleId="237">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834F74AE9045F087B5A9A6020F4630"/>
        <w:style w:val=""/>
        <w:category>
          <w:name w:val="常规"/>
          <w:gallery w:val="placeholder"/>
        </w:category>
        <w:types>
          <w:type w:val="bbPlcHdr"/>
        </w:types>
        <w:behaviors>
          <w:behavior w:val="content"/>
        </w:behaviors>
        <w:description w:val=""/>
        <w:guid w:val="{BC8A30C3-71A8-4652-A45C-65CCFC2EF531}"/>
      </w:docPartPr>
      <w:docPartBody>
        <w:p>
          <w:pPr>
            <w:pStyle w:val="5"/>
          </w:pPr>
          <w:r>
            <w:rPr>
              <w:rStyle w:val="4"/>
              <w:rFonts w:hint="eastAsia"/>
            </w:rPr>
            <w:t>单击或点击此处输入文字。</w:t>
          </w:r>
        </w:p>
      </w:docPartBody>
    </w:docPart>
    <w:docPart>
      <w:docPartPr>
        <w:name w:val="BED57FB8C6E444FCB45D2892804AA584"/>
        <w:style w:val=""/>
        <w:category>
          <w:name w:val="常规"/>
          <w:gallery w:val="placeholder"/>
        </w:category>
        <w:types>
          <w:type w:val="bbPlcHdr"/>
        </w:types>
        <w:behaviors>
          <w:behavior w:val="content"/>
        </w:behaviors>
        <w:description w:val=""/>
        <w:guid w:val="{56A46E09-5D41-4E13-B3FE-64D7A5DCBB4D}"/>
      </w:docPartPr>
      <w:docPartBody>
        <w:p>
          <w:pPr>
            <w:pStyle w:val="6"/>
          </w:pPr>
          <w:r>
            <w:rPr>
              <w:rStyle w:val="4"/>
              <w:rFonts w:hint="eastAsia"/>
            </w:rPr>
            <w:t>选择一项。</w:t>
          </w:r>
        </w:p>
      </w:docPartBody>
    </w:docPart>
    <w:docPart>
      <w:docPartPr>
        <w:name w:val="5705C72BD0F5440493A9EAEF834734D9"/>
        <w:style w:val=""/>
        <w:category>
          <w:name w:val="常规"/>
          <w:gallery w:val="placeholder"/>
        </w:category>
        <w:types>
          <w:type w:val="bbPlcHdr"/>
        </w:types>
        <w:behaviors>
          <w:behavior w:val="content"/>
        </w:behaviors>
        <w:description w:val=""/>
        <w:guid w:val="{FB4181BB-FF94-40E4-A749-473DDE43C2A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DD9"/>
    <w:rsid w:val="00040DD9"/>
    <w:rsid w:val="00275461"/>
    <w:rsid w:val="0029515C"/>
    <w:rsid w:val="006518E3"/>
    <w:rsid w:val="008301EA"/>
    <w:rsid w:val="009111E7"/>
    <w:rsid w:val="00E37D67"/>
    <w:rsid w:val="00E606E2"/>
    <w:rsid w:val="00F42198"/>
    <w:rsid w:val="00F5497E"/>
    <w:rsid w:val="00FB2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20834F74AE9045F087B5A9A6020F46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ED57FB8C6E444FCB45D2892804AA5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705C72BD0F5440493A9EAEF834734D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792</Words>
  <Characters>4519</Characters>
  <Lines>37</Lines>
  <Paragraphs>10</Paragraphs>
  <TotalTime>145</TotalTime>
  <ScaleCrop>false</ScaleCrop>
  <LinksUpToDate>false</LinksUpToDate>
  <CharactersWithSpaces>5301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2021-08-13T10:11:00Z</dcterms:created>
  <dc:creator>Administrator</dc:creator>
  <dc:description>&lt;config cover="true" show_menu="true" version="1.0.0" doctype="SDKXY"&gt;_x000d_
&lt;/config&gt;</dc:description>
  <cp:lastModifiedBy>xjkp</cp:lastModifiedBy>
  <cp:lastPrinted>2021-12-15T10:01:00Z</cp:lastPrinted>
  <dcterms:modified xsi:type="dcterms:W3CDTF">2024-09-20T16:02:26Z</dcterms:modified>
  <dc:title>地方标准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y fmtid="{D5CDD505-2E9C-101B-9397-08002B2CF9AE}" pid="15" name="ICV">
    <vt:lpwstr>4C7331A7AA604120B833EAD6F7B08576</vt:lpwstr>
  </property>
</Properties>
</file>