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5497" w14:textId="77777777" w:rsidR="00C85101" w:rsidRDefault="00E573FF">
      <w:pPr>
        <w:pStyle w:val="af6"/>
        <w:framePr w:wrap="around" w:hAnchor="text"/>
        <w:rPr>
          <w:rFonts w:ascii="Times New Roman"/>
        </w:rPr>
      </w:pPr>
      <w:bookmarkStart w:id="0" w:name="_Hlk94016385"/>
      <w:bookmarkStart w:id="1" w:name="_Toc385162461"/>
      <w:bookmarkStart w:id="2" w:name="_Toc385162546"/>
      <w:bookmarkStart w:id="3" w:name="_Toc28342"/>
      <w:bookmarkStart w:id="4" w:name="_Toc5098"/>
      <w:bookmarkStart w:id="5" w:name="_Toc8604"/>
      <w:bookmarkStart w:id="6" w:name="_Toc46222894"/>
      <w:r>
        <w:rPr>
          <w:rFonts w:ascii="Times New Roman"/>
        </w:rPr>
        <w:t>ICS</w:t>
      </w:r>
    </w:p>
    <w:p w14:paraId="0F120285" w14:textId="77777777" w:rsidR="00C85101" w:rsidRDefault="00C85101">
      <w:pPr>
        <w:pStyle w:val="af6"/>
        <w:framePr w:wrap="around" w:hAnchor="text"/>
        <w:rPr>
          <w:rFonts w:asci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C85101" w14:paraId="6CD4090E" w14:textId="7777777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40F75DBE" w14:textId="77777777" w:rsidR="00C85101" w:rsidRDefault="00E573FF">
            <w:pPr>
              <w:pStyle w:val="af6"/>
              <w:framePr w:wrap="around" w:hAnchor="text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7D1B830" wp14:editId="2393F7A9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0" r="9525" b="1143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5.25pt;margin-top:0pt;height:15.6pt;width:68.25pt;z-index:-251654144;mso-width-relative:page;mso-height-relative:page;" fillcolor="#FFFFFF" filled="t" stroked="f" coordsize="21600,21600" o:gfxdata="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Iri/s&#10;1QAAAAcBAAAPAAAAAAAAAAEAIAAAACIAAABkcnMvZG93bnJldi54bWxQSwECFAAUAAAACACHTuJA&#10;dD8CtbIBAABgAwAADgAAAAAAAAABACAAAAAkAQAAZHJzL2Uyb0RvYy54bWxQSwUGAAAAAAYABgBZ&#10;AQAAS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 w14:paraId="1D6C3F6C" w14:textId="77777777" w:rsidR="00C85101" w:rsidRDefault="00E573FF">
      <w:pPr>
        <w:pStyle w:val="af7"/>
        <w:framePr w:wrap="around"/>
      </w:pPr>
      <w:r>
        <w:t>DB</w:t>
      </w:r>
      <w:r>
        <w:rPr>
          <w:rFonts w:hint="eastAsia"/>
        </w:rPr>
        <w:t>XX</w:t>
      </w:r>
    </w:p>
    <w:p w14:paraId="5CC9C3E9" w14:textId="77777777" w:rsidR="00C85101" w:rsidRDefault="00E573FF">
      <w:pPr>
        <w:pStyle w:val="af8"/>
        <w:framePr w:wrap="around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4"/>
            <w:enabled/>
            <w:calcOnExit w:val="0"/>
            <w:entryMacro w:val="showhelp12"/>
            <w:textInput/>
          </w:ffData>
        </w:fldChar>
      </w:r>
      <w:bookmarkStart w:id="7" w:name="c4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湖南省</w:t>
      </w:r>
      <w:r>
        <w:rPr>
          <w:rFonts w:ascii="Times New Roman" w:hAnsi="Times New Roman"/>
        </w:rPr>
        <w:fldChar w:fldCharType="end"/>
      </w:r>
      <w:bookmarkEnd w:id="7"/>
      <w:r>
        <w:rPr>
          <w:rFonts w:ascii="Times New Roman" w:hAnsi="Times New Roman"/>
        </w:rPr>
        <w:t>地方标准</w:t>
      </w:r>
    </w:p>
    <w:p w14:paraId="436DABE5" w14:textId="77777777" w:rsidR="00C85101" w:rsidRDefault="00E573FF">
      <w:pPr>
        <w:pStyle w:val="21"/>
        <w:framePr w:wrap="around"/>
        <w:rPr>
          <w:rFonts w:ascii="Times New Roman"/>
          <w:highlight w:val="yellow"/>
        </w:rPr>
      </w:pPr>
      <w:r>
        <w:rPr>
          <w:rFonts w:ascii="Times New Roman"/>
        </w:rPr>
        <w:t>DB</w:t>
      </w:r>
      <w:r>
        <w:rPr>
          <w:rFonts w:ascii="Times New Roman" w:hint="eastAsia"/>
          <w:highlight w:val="yellow"/>
        </w:rPr>
        <w:t>XX</w:t>
      </w:r>
      <w:r>
        <w:rPr>
          <w:rFonts w:ascii="Times New Roman"/>
          <w:highlight w:val="yellow"/>
        </w:rPr>
        <w:t>/</w:t>
      </w:r>
      <w:r>
        <w:rPr>
          <w:rFonts w:ascii="Times New Roman"/>
          <w:color w:val="FF0000"/>
          <w:highlight w:val="yellow"/>
        </w:rPr>
        <w:t>T</w:t>
      </w:r>
      <w:r>
        <w:rPr>
          <w:rFonts w:ascii="Times New Roman"/>
          <w:highlight w:val="yellow"/>
        </w:rPr>
        <w:t>—2022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C85101" w14:paraId="766EC349" w14:textId="7777777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1683965" w14:textId="77777777" w:rsidR="00C85101" w:rsidRDefault="00E573FF">
            <w:pPr>
              <w:pStyle w:val="af9"/>
              <w:framePr w:wrap="around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E90C949" wp14:editId="1386ECE2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0" b="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372.8pt;margin-top:2.7pt;height:18pt;width:90pt;z-index:-251657216;mso-width-relative:page;mso-height-relative:page;" fillcolor="#FFFFFF" filled="t" stroked="f" coordsize="21600,21600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5g8svW&#10;AAAACAEAAA8AAAAAAAAAAQAgAAAAIgAAAGRycy9kb3ducmV2LnhtbFBLAQIUABQAAAAIAIdO4kD6&#10;2bYtsAEAAGEDAAAOAAAAAAAAAAEAIAAAACUBAABkcnMvZTJvRG9jLnhtbFBLBQYAAAAABgAGAFkB&#10;AABH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 w14:paraId="1246C16E" w14:textId="77777777" w:rsidR="00C85101" w:rsidRDefault="00C85101">
      <w:pPr>
        <w:pStyle w:val="21"/>
        <w:framePr w:wrap="around"/>
        <w:rPr>
          <w:rFonts w:ascii="Times New Roman"/>
        </w:rPr>
      </w:pPr>
    </w:p>
    <w:p w14:paraId="3F7760D1" w14:textId="77777777" w:rsidR="00C85101" w:rsidRDefault="00C85101">
      <w:pPr>
        <w:pStyle w:val="21"/>
        <w:framePr w:wrap="around"/>
        <w:rPr>
          <w:rFonts w:ascii="Times New Roman"/>
        </w:rPr>
      </w:pPr>
    </w:p>
    <w:p w14:paraId="61CA132E" w14:textId="77777777" w:rsidR="00C85101" w:rsidRDefault="00E573FF">
      <w:pPr>
        <w:pStyle w:val="af5"/>
        <w:framePr w:wrap="around"/>
        <w:spacing w:line="360" w:lineRule="auto"/>
        <w:rPr>
          <w:sz w:val="48"/>
          <w:szCs w:val="48"/>
        </w:rPr>
      </w:pPr>
      <w:r w:rsidRPr="00607BE1">
        <w:rPr>
          <w:rFonts w:hint="eastAsia"/>
          <w:sz w:val="48"/>
          <w:szCs w:val="48"/>
        </w:rPr>
        <w:t>辣椒白绢病绿色防控</w:t>
      </w:r>
      <w:r>
        <w:rPr>
          <w:sz w:val="48"/>
          <w:szCs w:val="48"/>
        </w:rPr>
        <w:t>技术规程</w:t>
      </w:r>
    </w:p>
    <w:p w14:paraId="204EC313" w14:textId="77777777" w:rsidR="00C85101" w:rsidRDefault="00E573FF">
      <w:pPr>
        <w:pStyle w:val="af5"/>
        <w:framePr w:wrap="around"/>
        <w:rPr>
          <w:i/>
        </w:rPr>
      </w:pPr>
      <w:r>
        <w:rPr>
          <w:rFonts w:hint="eastAsia"/>
          <w:color w:val="000000"/>
          <w:szCs w:val="21"/>
        </w:rPr>
        <w:t>T</w:t>
      </w:r>
      <w:r>
        <w:rPr>
          <w:color w:val="000000"/>
          <w:szCs w:val="21"/>
        </w:rPr>
        <w:t>echnical Regulation</w:t>
      </w:r>
      <w:r>
        <w:rPr>
          <w:rFonts w:hint="eastAsia"/>
          <w:color w:val="000000"/>
          <w:szCs w:val="21"/>
        </w:rPr>
        <w:t>s</w:t>
      </w:r>
      <w:r>
        <w:rPr>
          <w:color w:val="000000"/>
          <w:szCs w:val="21"/>
        </w:rPr>
        <w:t xml:space="preserve"> for</w:t>
      </w:r>
      <w:r>
        <w:rPr>
          <w:rFonts w:hint="eastAsia"/>
          <w:color w:val="000000"/>
          <w:szCs w:val="21"/>
        </w:rPr>
        <w:t xml:space="preserve"> </w:t>
      </w:r>
      <w:r w:rsidRPr="00607BE1">
        <w:rPr>
          <w:color w:val="000000"/>
          <w:szCs w:val="21"/>
        </w:rPr>
        <w:t xml:space="preserve">Green Control of Pepper Southern </w:t>
      </w:r>
      <w:proofErr w:type="spellStart"/>
      <w:r w:rsidRPr="00607BE1">
        <w:rPr>
          <w:color w:val="000000"/>
          <w:szCs w:val="21"/>
        </w:rPr>
        <w:t>Bligt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C85101" w14:paraId="415F9A81" w14:textId="77777777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089E70F2" w14:textId="77777777" w:rsidR="00C85101" w:rsidRDefault="00E573FF">
            <w:pPr>
              <w:pStyle w:val="afa"/>
              <w:framePr w:wrap="around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1" wp14:anchorId="3A3A5B37" wp14:editId="6BCA20E6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0" r="0" b="1270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3.3pt;margin-top:45.15pt;height:20pt;width:150pt;z-index:-251655168;mso-width-relative:page;mso-height-relative:page;" fillcolor="#FFFFFF" filled="t" stroked="f" coordsize="21600,21600" o:gfxdata="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Fia6S1QAA&#10;AAoBAAAPAAAAAAAAAAEAIAAAACIAAABkcnMvZG93bnJldi54bWxQSwECFAAUAAAACACHTuJAKeQO&#10;6K8BAABhAwAADgAAAAAAAAABACAAAAAkAQAAZHJzL2Uyb0RvYy54bWxQSwUGAAAAAAYABgBZAQAA&#10;RQUAAAAA&#10;">
                      <v:fill on="t" focussize="0,0"/>
                      <v:stroke on="f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45D022D" wp14:editId="3F296478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0" t="0" r="6350" b="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93.3pt;margin-top:20.15pt;height:24pt;width:100pt;z-index:-251656192;mso-width-relative:page;mso-height-relative:page;" fillcolor="#FFFFFF" filled="t" stroked="f" coordsize="21600,21600" o:gfxdata="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A+GL5dYA&#10;AAAJAQAADwAAAAAAAAABACAAAAAiAAAAZHJzL2Rvd25yZXYueG1sUEsBAhQAFAAAAAgAh07iQEIg&#10;RkGvAQAAYQMAAA4AAAAAAAAAAQAgAAAAJQEAAGRycy9lMm9Eb2MueG1sUEsFBgAAAAAGAAYAWQEA&#10;AEY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C85101" w14:paraId="08D0A933" w14:textId="77777777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0BB70F3F" w14:textId="77777777" w:rsidR="00C85101" w:rsidRDefault="00C85101">
            <w:pPr>
              <w:pStyle w:val="afb"/>
              <w:framePr w:wrap="around"/>
              <w:rPr>
                <w:rFonts w:ascii="Times New Roman"/>
              </w:rPr>
            </w:pPr>
          </w:p>
        </w:tc>
      </w:tr>
    </w:tbl>
    <w:p w14:paraId="47F7BDAD" w14:textId="77777777" w:rsidR="00C85101" w:rsidRDefault="00E573FF">
      <w:pPr>
        <w:pStyle w:val="afc"/>
        <w:framePr w:wrap="around"/>
      </w:pPr>
      <w:r>
        <w:t>202</w:t>
      </w:r>
      <w:r>
        <w:rPr>
          <w:rFonts w:hint="eastAsia"/>
        </w:rPr>
        <w:t>2</w:t>
      </w:r>
      <w:r>
        <w:t xml:space="preserve">-   -   </w:t>
      </w:r>
      <w:r>
        <w:t>发布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2002D8E" wp14:editId="4BE071E2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0.05pt;margin-top:728.5pt;height:0pt;width:481.9pt;mso-position-vertical-relative:page;z-index:251663360;mso-width-relative:page;mso-height-relative:page;" filled="f" stroked="t" coordsize="21600,21600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YdrPNYAAAALAQAADwAAAAAAAAABACAAAAAiAAAAZHJzL2Rvd25yZXYueG1sUEsBAhQA&#10;FAAAAAgAh07iQMTHdqn0AQAA5g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06347FE0" w14:textId="77777777" w:rsidR="00C85101" w:rsidRDefault="00E573FF">
      <w:pPr>
        <w:pStyle w:val="afd"/>
        <w:framePr w:wrap="around"/>
      </w:pPr>
      <w:r>
        <w:t>202</w:t>
      </w:r>
      <w:r>
        <w:rPr>
          <w:rFonts w:hint="eastAsia"/>
        </w:rPr>
        <w:t>2</w:t>
      </w:r>
      <w:r>
        <w:t xml:space="preserve">-  -  </w:t>
      </w:r>
      <w:r>
        <w:t>实施</w:t>
      </w:r>
    </w:p>
    <w:p w14:paraId="271A68AD" w14:textId="77777777" w:rsidR="00C85101" w:rsidRDefault="00E573FF">
      <w:pPr>
        <w:pStyle w:val="afe"/>
        <w:framePr w:wrap="around" w:vAnchor="page" w:hAnchor="page"/>
        <w:rPr>
          <w:rFonts w:ascii="Times New Roman"/>
        </w:rPr>
      </w:pPr>
      <w:r>
        <w:rPr>
          <w:rFonts w:ascii="Times New Roman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8" w:name="fm"/>
      <w:r>
        <w:rPr>
          <w:rFonts w:ascii="Times New Roman"/>
        </w:rPr>
        <w:instrText xml:space="preserve"> FORMTEXT </w:instrText>
      </w:r>
      <w:r>
        <w:rPr>
          <w:rFonts w:ascii="Times New Roman"/>
        </w:rPr>
      </w:r>
      <w:r>
        <w:rPr>
          <w:rFonts w:ascii="Times New Roman"/>
        </w:rPr>
        <w:fldChar w:fldCharType="separate"/>
      </w:r>
      <w:r>
        <w:rPr>
          <w:rFonts w:ascii="Times New Roman"/>
        </w:rPr>
        <w:t>湖南省市场监督管理局</w:t>
      </w:r>
      <w:r>
        <w:rPr>
          <w:rFonts w:ascii="Times New Roman"/>
        </w:rPr>
        <w:fldChar w:fldCharType="end"/>
      </w:r>
      <w:bookmarkEnd w:id="8"/>
      <w:r>
        <w:rPr>
          <w:rFonts w:ascii="Times New Roman"/>
        </w:rPr>
        <w:t>   </w:t>
      </w:r>
      <w:r>
        <w:rPr>
          <w:rStyle w:val="aff"/>
          <w:rFonts w:ascii="Times New Roman"/>
        </w:rPr>
        <w:t>发布</w:t>
      </w:r>
    </w:p>
    <w:p w14:paraId="3B2E8672" w14:textId="77777777" w:rsidR="00C85101" w:rsidRDefault="00C85101">
      <w:pPr>
        <w:pStyle w:val="af5"/>
        <w:framePr w:w="0" w:hRule="auto" w:wrap="auto" w:vAnchor="margin" w:hAnchor="text" w:xAlign="left" w:yAlign="inline"/>
        <w:spacing w:line="360" w:lineRule="auto"/>
        <w:rPr>
          <w:rFonts w:eastAsia="宋体"/>
          <w:sz w:val="48"/>
          <w:szCs w:val="48"/>
        </w:rPr>
        <w:sectPr w:rsidR="00C85101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1134" w:bottom="1134" w:left="1417" w:header="1418" w:footer="1134" w:gutter="0"/>
          <w:pgNumType w:fmt="upperRoman" w:start="1"/>
          <w:cols w:space="720"/>
          <w:formProt w:val="0"/>
          <w:docGrid w:type="lines" w:linePitch="312"/>
        </w:sectPr>
      </w:pPr>
    </w:p>
    <w:bookmarkEnd w:id="0"/>
    <w:p w14:paraId="0A3BAEA3" w14:textId="77777777" w:rsidR="00C85101" w:rsidRDefault="00E573FF">
      <w:pPr>
        <w:jc w:val="center"/>
      </w:pPr>
      <w:r>
        <w:lastRenderedPageBreak/>
        <w:t>目</w:t>
      </w:r>
      <w:bookmarkStart w:id="9" w:name="BKML"/>
      <w:r>
        <w:t>  </w:t>
      </w:r>
      <w:r>
        <w:t>次</w:t>
      </w:r>
      <w:bookmarkEnd w:id="9"/>
    </w:p>
    <w:p w14:paraId="2EA7587E" w14:textId="77777777" w:rsidR="00C85101" w:rsidRDefault="00C85101">
      <w:pPr>
        <w:pStyle w:val="WPSOffice1"/>
        <w:tabs>
          <w:tab w:val="right" w:leader="dot" w:pos="9355"/>
        </w:tabs>
      </w:pPr>
    </w:p>
    <w:p w14:paraId="64FA92DE" w14:textId="77777777" w:rsidR="00C85101" w:rsidRDefault="00E573FF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</w:rPr>
      </w:pPr>
      <w:r>
        <w:rPr>
          <w:rFonts w:ascii="Times New Roman"/>
        </w:rPr>
        <w:fldChar w:fldCharType="begin"/>
      </w:r>
      <w:r>
        <w:rPr>
          <w:rFonts w:ascii="Times New Roman"/>
        </w:rPr>
        <w:instrText xml:space="preserve">TOC \o "1-2" \h \u </w:instrText>
      </w:r>
      <w:r>
        <w:rPr>
          <w:rFonts w:ascii="Times New Roman"/>
        </w:rPr>
        <w:fldChar w:fldCharType="separate"/>
      </w:r>
      <w:hyperlink w:anchor="_Toc96332239" w:history="1">
        <w:r>
          <w:rPr>
            <w:rStyle w:val="ae"/>
            <w:rFonts w:ascii="Times New Roman"/>
          </w:rPr>
          <w:t>前</w:t>
        </w:r>
        <w:r>
          <w:rPr>
            <w:rStyle w:val="ae"/>
            <w:rFonts w:ascii="Times New Roman"/>
          </w:rPr>
          <w:t>  </w:t>
        </w:r>
        <w:r>
          <w:rPr>
            <w:rStyle w:val="ae"/>
            <w:rFonts w:ascii="Times New Roman"/>
          </w:rPr>
          <w:t>言</w:t>
        </w:r>
        <w:r>
          <w:tab/>
        </w:r>
        <w:r>
          <w:fldChar w:fldCharType="begin"/>
        </w:r>
        <w:r>
          <w:instrText xml:space="preserve"> PAGEREF _Toc96332239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0A36B9ED" w14:textId="77777777" w:rsidR="00C85101" w:rsidRDefault="00E573FF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</w:rPr>
      </w:pPr>
      <w:hyperlink w:anchor="_Toc96332241" w:history="1">
        <w:r>
          <w:rPr>
            <w:rStyle w:val="ae"/>
          </w:rPr>
          <w:t xml:space="preserve">1  </w:t>
        </w:r>
        <w:r>
          <w:rPr>
            <w:rStyle w:val="ae"/>
          </w:rPr>
          <w:t>范围</w:t>
        </w:r>
        <w:r>
          <w:tab/>
        </w:r>
        <w:r>
          <w:fldChar w:fldCharType="begin"/>
        </w:r>
        <w:r>
          <w:instrText xml:space="preserve"> PAGEREF _Toc9</w:instrText>
        </w:r>
        <w:r>
          <w:instrText xml:space="preserve">6332241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0877D0E" w14:textId="77777777" w:rsidR="00C85101" w:rsidRDefault="00E573FF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</w:rPr>
      </w:pPr>
      <w:hyperlink w:anchor="_Toc96332242" w:history="1">
        <w:r>
          <w:rPr>
            <w:rStyle w:val="ae"/>
          </w:rPr>
          <w:t xml:space="preserve">2  </w:t>
        </w:r>
        <w:r>
          <w:rPr>
            <w:rStyle w:val="ae"/>
          </w:rPr>
          <w:t>规范性引用文件</w:t>
        </w:r>
        <w:r>
          <w:tab/>
        </w:r>
        <w:r>
          <w:fldChar w:fldCharType="begin"/>
        </w:r>
        <w:r>
          <w:instrText xml:space="preserve"> PAGEREF _Toc96332242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8D578A0" w14:textId="77777777" w:rsidR="00C85101" w:rsidRDefault="00E573FF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</w:rPr>
      </w:pPr>
      <w:hyperlink w:anchor="_Toc96332243" w:history="1">
        <w:r>
          <w:rPr>
            <w:rStyle w:val="ae"/>
          </w:rPr>
          <w:t xml:space="preserve">3  </w:t>
        </w:r>
        <w:r>
          <w:rPr>
            <w:rStyle w:val="ae"/>
          </w:rPr>
          <w:t>术语和定义</w:t>
        </w:r>
        <w:r>
          <w:tab/>
        </w:r>
        <w:r>
          <w:fldChar w:fldCharType="begin"/>
        </w:r>
        <w:r>
          <w:instrText xml:space="preserve"> PAGEREF _Toc96332243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0815363" w14:textId="6D5DAAF7" w:rsidR="00C85101" w:rsidRDefault="00E573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332244" w:history="1">
        <w:r>
          <w:rPr>
            <w:rStyle w:val="ae"/>
          </w:rPr>
          <w:t xml:space="preserve">3.1 </w:t>
        </w:r>
        <w:r>
          <w:rPr>
            <w:rStyle w:val="ae"/>
          </w:rPr>
          <w:t>辣椒白绢病</w:t>
        </w:r>
        <w:r>
          <w:tab/>
        </w:r>
        <w:r>
          <w:fldChar w:fldCharType="begin"/>
        </w:r>
        <w:r>
          <w:instrText xml:space="preserve"> PAGEREF _Toc96332244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C68DED3" w14:textId="26296543" w:rsidR="00C85101" w:rsidRDefault="00E573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332245" w:history="1">
        <w:r>
          <w:rPr>
            <w:rStyle w:val="ae"/>
          </w:rPr>
          <w:t xml:space="preserve">3.2 </w:t>
        </w:r>
        <w:r>
          <w:rPr>
            <w:rStyle w:val="ae"/>
          </w:rPr>
          <w:t>绿色防控</w:t>
        </w:r>
        <w:r>
          <w:tab/>
        </w:r>
        <w:r>
          <w:fldChar w:fldCharType="begin"/>
        </w:r>
        <w:r>
          <w:instrText xml:space="preserve"> PAGEREF _Toc96332245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E3900AC" w14:textId="1D1E842C" w:rsidR="00C85101" w:rsidRDefault="00E573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332246" w:history="1">
        <w:r>
          <w:rPr>
            <w:rStyle w:val="ae"/>
          </w:rPr>
          <w:t xml:space="preserve">3.3 </w:t>
        </w:r>
        <w:r>
          <w:rPr>
            <w:rStyle w:val="ae"/>
          </w:rPr>
          <w:t>生物农药</w:t>
        </w:r>
        <w:r>
          <w:tab/>
        </w:r>
        <w:r>
          <w:fldChar w:fldCharType="begin"/>
        </w:r>
        <w:r>
          <w:instrText xml:space="preserve"> PAGEREF _Toc96332246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BDB8CEA" w14:textId="36C154BE" w:rsidR="00C85101" w:rsidRDefault="00E573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332247" w:history="1">
        <w:r>
          <w:rPr>
            <w:rStyle w:val="ae"/>
          </w:rPr>
          <w:t xml:space="preserve">3.4 </w:t>
        </w:r>
        <w:r>
          <w:rPr>
            <w:rStyle w:val="ae"/>
          </w:rPr>
          <w:t>微生物菌剂</w:t>
        </w:r>
        <w:r>
          <w:tab/>
        </w:r>
        <w:r>
          <w:fldChar w:fldCharType="begin"/>
        </w:r>
        <w:r>
          <w:instrText xml:space="preserve"> PAGEREF _Toc96332247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10B9E353" w14:textId="77777777" w:rsidR="00C85101" w:rsidRDefault="00E573FF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</w:rPr>
      </w:pPr>
      <w:hyperlink w:anchor="_Toc96332248" w:history="1">
        <w:r>
          <w:rPr>
            <w:rStyle w:val="ae"/>
          </w:rPr>
          <w:t xml:space="preserve">4 </w:t>
        </w:r>
        <w:r>
          <w:rPr>
            <w:rStyle w:val="ae"/>
          </w:rPr>
          <w:t>病情调查</w:t>
        </w:r>
        <w:r>
          <w:tab/>
        </w:r>
        <w:r>
          <w:fldChar w:fldCharType="begin"/>
        </w:r>
        <w:r>
          <w:instrText xml:space="preserve"> PAGEREF _Toc96332248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652935C" w14:textId="77777777" w:rsidR="00C85101" w:rsidRDefault="00E573FF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</w:rPr>
      </w:pPr>
      <w:hyperlink w:anchor="_Toc96332249" w:history="1">
        <w:r>
          <w:rPr>
            <w:rStyle w:val="ae"/>
          </w:rPr>
          <w:t xml:space="preserve">5 </w:t>
        </w:r>
        <w:r>
          <w:rPr>
            <w:rStyle w:val="ae"/>
          </w:rPr>
          <w:t>绿色防控技术</w:t>
        </w:r>
        <w:r>
          <w:tab/>
        </w:r>
        <w:r>
          <w:fldChar w:fldCharType="begin"/>
        </w:r>
        <w:r>
          <w:instrText xml:space="preserve"> PAGEREF _Toc96332249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8EC10B4" w14:textId="77777777" w:rsidR="00C85101" w:rsidRDefault="00E573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332250" w:history="1">
        <w:r>
          <w:rPr>
            <w:rStyle w:val="ae"/>
          </w:rPr>
          <w:t xml:space="preserve">5.1 </w:t>
        </w:r>
        <w:r>
          <w:rPr>
            <w:rStyle w:val="ae"/>
          </w:rPr>
          <w:t>农业防控</w:t>
        </w:r>
        <w:r>
          <w:tab/>
        </w:r>
        <w:r>
          <w:fldChar w:fldCharType="begin"/>
        </w:r>
        <w:r>
          <w:instrText xml:space="preserve"> PAGEREF _Toc96332250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349B2E4" w14:textId="77777777" w:rsidR="00C85101" w:rsidRDefault="00E573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332251" w:history="1">
        <w:r>
          <w:rPr>
            <w:rStyle w:val="ae"/>
          </w:rPr>
          <w:t xml:space="preserve">5.2 </w:t>
        </w:r>
        <w:r>
          <w:rPr>
            <w:rStyle w:val="ae"/>
          </w:rPr>
          <w:t>生物防控</w:t>
        </w:r>
        <w:r>
          <w:tab/>
        </w:r>
        <w:r>
          <w:fldChar w:fldCharType="begin"/>
        </w:r>
        <w:r>
          <w:instrText xml:space="preserve"> PAGEREF _Toc96332251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7D60A513" w14:textId="77777777" w:rsidR="00C85101" w:rsidRDefault="00E573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332252" w:history="1">
        <w:r>
          <w:rPr>
            <w:rStyle w:val="ae"/>
          </w:rPr>
          <w:t xml:space="preserve">5.3 </w:t>
        </w:r>
        <w:r>
          <w:rPr>
            <w:rStyle w:val="ae"/>
          </w:rPr>
          <w:t>物理防控</w:t>
        </w:r>
        <w:r>
          <w:tab/>
        </w:r>
        <w:r>
          <w:fldChar w:fldCharType="begin"/>
        </w:r>
        <w:r>
          <w:instrText xml:space="preserve"> PAGEREF _Toc96332252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7FA9B858" w14:textId="77777777" w:rsidR="00C85101" w:rsidRDefault="00E573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332253" w:history="1">
        <w:r>
          <w:rPr>
            <w:rStyle w:val="ae"/>
          </w:rPr>
          <w:t xml:space="preserve">5.4 </w:t>
        </w:r>
        <w:r>
          <w:rPr>
            <w:rStyle w:val="ae"/>
          </w:rPr>
          <w:t>科学用药</w:t>
        </w:r>
        <w:r>
          <w:tab/>
        </w:r>
        <w:r>
          <w:fldChar w:fldCharType="begin"/>
        </w:r>
        <w:r>
          <w:instrText xml:space="preserve"> PAGEREF _Toc9633</w:instrText>
        </w:r>
        <w:r>
          <w:instrText xml:space="preserve">2253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D11FE48" w14:textId="77777777" w:rsidR="00C85101" w:rsidRDefault="00E573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332254" w:history="1">
        <w:r>
          <w:rPr>
            <w:rStyle w:val="ae"/>
          </w:rPr>
          <w:t xml:space="preserve">5.5 </w:t>
        </w:r>
        <w:r>
          <w:rPr>
            <w:rStyle w:val="ae"/>
          </w:rPr>
          <w:t>绿色防控集成方案</w:t>
        </w:r>
        <w:r>
          <w:tab/>
        </w:r>
        <w:r>
          <w:fldChar w:fldCharType="begin"/>
        </w:r>
        <w:r>
          <w:instrText xml:space="preserve"> PAGEREF _Toc96332254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654E2CE" w14:textId="77777777" w:rsidR="00C85101" w:rsidRDefault="00E573FF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</w:rPr>
      </w:pPr>
      <w:hyperlink w:anchor="_Toc96332255" w:history="1">
        <w:r>
          <w:rPr>
            <w:rStyle w:val="ae"/>
          </w:rPr>
          <w:t>附</w:t>
        </w:r>
        <w:r>
          <w:rPr>
            <w:rStyle w:val="ae"/>
          </w:rPr>
          <w:t xml:space="preserve">  </w:t>
        </w:r>
        <w:r>
          <w:rPr>
            <w:rStyle w:val="ae"/>
          </w:rPr>
          <w:t>录</w:t>
        </w:r>
        <w:r>
          <w:rPr>
            <w:rStyle w:val="ae"/>
          </w:rPr>
          <w:t xml:space="preserve">  A</w:t>
        </w:r>
        <w:r>
          <w:rPr>
            <w:rStyle w:val="ae"/>
            <w:rFonts w:hint="eastAsia"/>
          </w:rPr>
          <w:t xml:space="preserve"> </w:t>
        </w:r>
        <w:r>
          <w:rPr>
            <w:rStyle w:val="ae"/>
            <w:rFonts w:hint="eastAsia"/>
          </w:rPr>
          <w:t>（资</w:t>
        </w:r>
        <w:r>
          <w:rPr>
            <w:rStyle w:val="ae"/>
            <w:rFonts w:hint="eastAsia"/>
          </w:rPr>
          <w:t>料性附录）白绢病相关资料</w:t>
        </w:r>
        <w:r>
          <w:tab/>
        </w:r>
        <w:r>
          <w:fldChar w:fldCharType="begin"/>
        </w:r>
        <w:r>
          <w:instrText xml:space="preserve"> PAGEREF _Toc96332255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18DB9BA" w14:textId="77777777" w:rsidR="00C85101" w:rsidRDefault="00E573FF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</w:rPr>
      </w:pPr>
      <w:hyperlink w:anchor="_Toc96332256" w:history="1">
        <w:r>
          <w:rPr>
            <w:rStyle w:val="ae"/>
          </w:rPr>
          <w:t>附</w:t>
        </w:r>
        <w:r>
          <w:rPr>
            <w:rStyle w:val="ae"/>
          </w:rPr>
          <w:t xml:space="preserve">  </w:t>
        </w:r>
        <w:r>
          <w:rPr>
            <w:rStyle w:val="ae"/>
          </w:rPr>
          <w:t>录</w:t>
        </w:r>
        <w:r>
          <w:rPr>
            <w:rStyle w:val="ae"/>
          </w:rPr>
          <w:t xml:space="preserve">  B</w:t>
        </w:r>
        <w:r w:rsidRPr="00607BE1">
          <w:rPr>
            <w:rStyle w:val="ae"/>
            <w:rFonts w:hint="eastAsia"/>
          </w:rPr>
          <w:t>（资料性附录）白绢病防治农药</w:t>
        </w:r>
        <w:r>
          <w:tab/>
        </w:r>
        <w:r>
          <w:fldChar w:fldCharType="begin"/>
        </w:r>
        <w:r>
          <w:instrText xml:space="preserve"> PAGEREF _Toc96332256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51AD396" w14:textId="77777777" w:rsidR="00C85101" w:rsidRDefault="00E573FF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</w:rPr>
      </w:pPr>
      <w:hyperlink w:anchor="_Toc96332257" w:history="1">
        <w:r>
          <w:rPr>
            <w:rStyle w:val="ae"/>
          </w:rPr>
          <w:t>附</w:t>
        </w:r>
        <w:r>
          <w:rPr>
            <w:rStyle w:val="ae"/>
          </w:rPr>
          <w:t xml:space="preserve">  </w:t>
        </w:r>
        <w:r>
          <w:rPr>
            <w:rStyle w:val="ae"/>
          </w:rPr>
          <w:t>录</w:t>
        </w:r>
        <w:r>
          <w:rPr>
            <w:rStyle w:val="ae"/>
          </w:rPr>
          <w:t xml:space="preserve">  C</w:t>
        </w:r>
        <w:r w:rsidRPr="00607BE1">
          <w:rPr>
            <w:rStyle w:val="ae"/>
            <w:rFonts w:hint="eastAsia"/>
          </w:rPr>
          <w:t>（规范性附录）绿色防控技术集成</w:t>
        </w:r>
        <w:r>
          <w:tab/>
        </w:r>
        <w:r>
          <w:fldChar w:fldCharType="begin"/>
        </w:r>
        <w:r>
          <w:instrText xml:space="preserve"> PAGEREF _Toc96332257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133F21F" w14:textId="77777777" w:rsidR="00C85101" w:rsidRDefault="00E573FF">
      <w:r>
        <w:fldChar w:fldCharType="end"/>
      </w:r>
    </w:p>
    <w:p w14:paraId="40DC2D75" w14:textId="77777777" w:rsidR="00C85101" w:rsidRDefault="00E573FF">
      <w:pPr>
        <w:pStyle w:val="TOC1"/>
        <w:spacing w:beforeLines="0" w:afterLines="0"/>
        <w:rPr>
          <w:rFonts w:ascii="Times New Roman"/>
        </w:rPr>
      </w:pPr>
      <w:r>
        <w:rPr>
          <w:rFonts w:ascii="Times New Roman"/>
        </w:rPr>
        <w:fldChar w:fldCharType="begin" w:fldLock="1"/>
      </w:r>
      <w:r>
        <w:rPr>
          <w:rFonts w:ascii="Times New Roman"/>
        </w:rPr>
        <w:instrText xml:space="preserve"> TOC \h \z \t"</w:instrText>
      </w:r>
      <w:r>
        <w:rPr>
          <w:rFonts w:ascii="Times New Roman"/>
        </w:rPr>
        <w:instrText>前言、引言标题</w:instrText>
      </w:r>
      <w:r>
        <w:rPr>
          <w:rFonts w:ascii="Times New Roman"/>
        </w:rPr>
        <w:instrText>,1,</w:instrText>
      </w:r>
      <w:r>
        <w:rPr>
          <w:rFonts w:ascii="Times New Roman"/>
        </w:rPr>
        <w:instrText>参考文献、索引标题</w:instrText>
      </w:r>
      <w:r>
        <w:rPr>
          <w:rFonts w:ascii="Times New Roman"/>
        </w:rPr>
        <w:instrText>,1,</w:instrText>
      </w:r>
      <w:r>
        <w:rPr>
          <w:rFonts w:ascii="Times New Roman"/>
        </w:rPr>
        <w:instrText>章标题</w:instrText>
      </w:r>
      <w:r>
        <w:rPr>
          <w:rFonts w:ascii="Times New Roman"/>
        </w:rPr>
        <w:instrText>,1,</w:instrText>
      </w:r>
      <w:r>
        <w:rPr>
          <w:rFonts w:ascii="Times New Roman"/>
        </w:rPr>
        <w:instrText>参考文献</w:instrText>
      </w:r>
      <w:r>
        <w:rPr>
          <w:rFonts w:ascii="Times New Roman"/>
        </w:rPr>
        <w:instrText>,1,</w:instrText>
      </w:r>
      <w:r>
        <w:rPr>
          <w:rFonts w:ascii="Times New Roman"/>
        </w:rPr>
        <w:instrText>附录标识</w:instrText>
      </w:r>
      <w:r>
        <w:rPr>
          <w:rFonts w:ascii="Times New Roman"/>
        </w:rPr>
        <w:instrText>,1,</w:instrText>
      </w:r>
      <w:r>
        <w:rPr>
          <w:rFonts w:ascii="Times New Roman"/>
        </w:rPr>
        <w:instrText>一级条标题</w:instrText>
      </w:r>
      <w:r>
        <w:rPr>
          <w:rFonts w:ascii="Times New Roman"/>
        </w:rPr>
        <w:instrText xml:space="preserve">, 3" \* MERGEFORMAT </w:instrText>
      </w:r>
      <w:r>
        <w:rPr>
          <w:rFonts w:ascii="Times New Roman"/>
        </w:rPr>
        <w:fldChar w:fldCharType="separate"/>
      </w:r>
    </w:p>
    <w:p w14:paraId="59C8C30F" w14:textId="77777777" w:rsidR="00C85101" w:rsidRDefault="00C85101"/>
    <w:p w14:paraId="05F00ECA" w14:textId="77777777" w:rsidR="00C85101" w:rsidRDefault="00C85101"/>
    <w:p w14:paraId="657403EB" w14:textId="77777777" w:rsidR="00C85101" w:rsidRDefault="00C85101">
      <w:pPr>
        <w:ind w:right="420"/>
      </w:pPr>
    </w:p>
    <w:p w14:paraId="2EC7327A" w14:textId="77777777" w:rsidR="00C85101" w:rsidRDefault="00C85101">
      <w:pPr>
        <w:pStyle w:val="af3"/>
        <w:outlineLvl w:val="9"/>
        <w:rPr>
          <w:rFonts w:ascii="Times New Roman" w:eastAsia="宋体"/>
        </w:rPr>
        <w:sectPr w:rsidR="00C85101">
          <w:pgSz w:w="11906" w:h="16838"/>
          <w:pgMar w:top="567" w:right="1134" w:bottom="1134" w:left="1417" w:header="1418" w:footer="1134" w:gutter="0"/>
          <w:pgNumType w:fmt="upperRoman" w:start="1"/>
          <w:cols w:space="720"/>
          <w:formProt w:val="0"/>
          <w:docGrid w:type="lines" w:linePitch="312"/>
        </w:sectPr>
      </w:pPr>
    </w:p>
    <w:p w14:paraId="2AE83F93" w14:textId="77777777" w:rsidR="00C85101" w:rsidRPr="00607BE1" w:rsidRDefault="00E573FF">
      <w:pPr>
        <w:pStyle w:val="af3"/>
        <w:ind w:firstLine="640"/>
        <w:rPr>
          <w:rFonts w:hAnsi="黑体" w:cs="黑体"/>
          <w:sz w:val="30"/>
          <w:szCs w:val="30"/>
        </w:rPr>
      </w:pPr>
      <w:r>
        <w:rPr>
          <w:rFonts w:ascii="Times New Roman" w:eastAsia="宋体"/>
        </w:rPr>
        <w:lastRenderedPageBreak/>
        <w:fldChar w:fldCharType="end"/>
      </w:r>
      <w:bookmarkStart w:id="10" w:name="_Toc499283542"/>
      <w:bookmarkStart w:id="11" w:name="_Toc24462"/>
      <w:bookmarkStart w:id="12" w:name="_Toc20309"/>
      <w:bookmarkStart w:id="13" w:name="_Toc46222874"/>
      <w:bookmarkStart w:id="14" w:name="_Toc16401"/>
      <w:bookmarkStart w:id="15" w:name="_Toc385925184"/>
      <w:bookmarkStart w:id="16" w:name="_Toc96332239"/>
      <w:bookmarkStart w:id="17" w:name="_Toc385162632"/>
      <w:bookmarkStart w:id="18" w:name="_Toc385925245"/>
      <w:bookmarkStart w:id="19" w:name="_Toc385925387"/>
      <w:bookmarkEnd w:id="1"/>
      <w:bookmarkEnd w:id="2"/>
      <w:r w:rsidRPr="00607BE1">
        <w:rPr>
          <w:rFonts w:hAnsi="黑体" w:cs="黑体" w:hint="eastAsia"/>
          <w:sz w:val="30"/>
          <w:szCs w:val="30"/>
        </w:rPr>
        <w:t>前</w:t>
      </w:r>
      <w:bookmarkStart w:id="20" w:name="BKQY"/>
      <w:r w:rsidRPr="00607BE1">
        <w:rPr>
          <w:rFonts w:hAnsi="黑体" w:cs="黑体"/>
          <w:sz w:val="30"/>
          <w:szCs w:val="30"/>
        </w:rPr>
        <w:t>  </w:t>
      </w:r>
      <w:r w:rsidRPr="00607BE1">
        <w:rPr>
          <w:rFonts w:hAnsi="黑体" w:cs="黑体" w:hint="eastAsia"/>
          <w:sz w:val="30"/>
          <w:szCs w:val="30"/>
        </w:rPr>
        <w:t>言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ADBA84B" w14:textId="77777777" w:rsidR="00C85101" w:rsidRPr="00607BE1" w:rsidRDefault="00E573FF">
      <w:pPr>
        <w:pStyle w:val="af0"/>
        <w:ind w:firstLine="60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 w:hint="eastAsia"/>
          <w:sz w:val="30"/>
          <w:szCs w:val="30"/>
        </w:rPr>
        <w:t>本文件按照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GB/T</w:t>
      </w:r>
      <w:r w:rsidRPr="00607BE1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1.1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—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2020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《标准化工作导则</w:t>
      </w:r>
      <w:r w:rsidRPr="00607BE1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第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1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部分：标准化文件的结构合起草规则》给出的规定起草。</w:t>
      </w:r>
    </w:p>
    <w:p w14:paraId="47D4206F" w14:textId="77777777" w:rsidR="00C85101" w:rsidRPr="00607BE1" w:rsidRDefault="00E573FF">
      <w:pPr>
        <w:pStyle w:val="af0"/>
        <w:ind w:firstLine="60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 w:hint="eastAsia"/>
          <w:sz w:val="30"/>
          <w:szCs w:val="30"/>
        </w:rPr>
        <w:t>请注意本文件的某些内容可能涉及专利。本文件的发布机构不承担识别这些专利的责任。</w:t>
      </w:r>
    </w:p>
    <w:p w14:paraId="2FED1E56" w14:textId="77777777" w:rsidR="00C85101" w:rsidRPr="00607BE1" w:rsidRDefault="00E573FF">
      <w:pPr>
        <w:pStyle w:val="af0"/>
        <w:ind w:firstLine="60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 w:hint="eastAsia"/>
          <w:sz w:val="30"/>
          <w:szCs w:val="30"/>
        </w:rPr>
        <w:t>本文件由湖南省农业农村厅提出。</w:t>
      </w:r>
    </w:p>
    <w:p w14:paraId="36B1A52E" w14:textId="77777777" w:rsidR="00C85101" w:rsidRPr="00607BE1" w:rsidRDefault="00E573FF">
      <w:pPr>
        <w:pStyle w:val="af0"/>
        <w:ind w:firstLine="60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 w:hint="eastAsia"/>
          <w:sz w:val="30"/>
          <w:szCs w:val="30"/>
        </w:rPr>
        <w:t>本文件由湖南省农业标准化技术委员会归口。</w:t>
      </w:r>
    </w:p>
    <w:p w14:paraId="581AAAAE" w14:textId="2CF8AFD8" w:rsidR="00C85101" w:rsidRPr="00607BE1" w:rsidRDefault="00E573FF">
      <w:pPr>
        <w:pStyle w:val="af0"/>
        <w:ind w:firstLine="60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 w:hint="eastAsia"/>
          <w:sz w:val="30"/>
          <w:szCs w:val="30"/>
        </w:rPr>
        <w:t>本文件起草单位：湖南省微生物研究院、湖南省蔬菜研究所、湖南农业大学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。</w:t>
      </w:r>
    </w:p>
    <w:p w14:paraId="1212AE4E" w14:textId="77777777" w:rsidR="00C85101" w:rsidRPr="00607BE1" w:rsidRDefault="00E573FF">
      <w:pPr>
        <w:pStyle w:val="af0"/>
        <w:ind w:firstLine="60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 w:hint="eastAsia"/>
          <w:sz w:val="30"/>
          <w:szCs w:val="30"/>
        </w:rPr>
        <w:t>本文件主要起草人：刘清术、黄彬彬、黄军、郑井元、陈武、郭照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辉、雷平、唐滢、毕世宇，龙青山，杜杰，张翠央，陈海荣。</w:t>
      </w:r>
    </w:p>
    <w:p w14:paraId="71B598AF" w14:textId="77777777" w:rsidR="00C85101" w:rsidRPr="00607BE1" w:rsidRDefault="00E573FF">
      <w:pPr>
        <w:pStyle w:val="af3"/>
        <w:tabs>
          <w:tab w:val="center" w:pos="4153"/>
          <w:tab w:val="left" w:pos="6970"/>
        </w:tabs>
        <w:jc w:val="left"/>
        <w:rPr>
          <w:rFonts w:ascii="Times New Roman" w:eastAsia="宋体"/>
          <w:sz w:val="30"/>
          <w:szCs w:val="30"/>
        </w:rPr>
      </w:pPr>
      <w:bookmarkStart w:id="21" w:name="_Toc39085556"/>
      <w:bookmarkStart w:id="22" w:name="_Toc46222875"/>
      <w:bookmarkStart w:id="23" w:name="_Toc19593"/>
      <w:bookmarkStart w:id="24" w:name="_Toc31910"/>
      <w:bookmarkStart w:id="25" w:name="_Toc39091892"/>
      <w:bookmarkStart w:id="26" w:name="_Toc3648"/>
      <w:bookmarkStart w:id="27" w:name="_Toc45728393"/>
      <w:bookmarkStart w:id="28" w:name="_Toc13438"/>
      <w:bookmarkStart w:id="29" w:name="_Toc7512"/>
      <w:r>
        <w:rPr>
          <w:rFonts w:ascii="Times New Roman" w:eastAsia="宋体"/>
        </w:rPr>
        <w:lastRenderedPageBreak/>
        <w:tab/>
      </w:r>
      <w:bookmarkStart w:id="30" w:name="_Toc96332240"/>
      <w:r w:rsidRPr="00607BE1">
        <w:rPr>
          <w:rFonts w:hAnsi="黑体" w:cs="黑体" w:hint="eastAsia"/>
          <w:sz w:val="30"/>
          <w:szCs w:val="30"/>
        </w:rPr>
        <w:t>辣椒白绢病绿色防控技术规程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607BE1">
        <w:rPr>
          <w:rFonts w:ascii="Times New Roman" w:eastAsia="宋体"/>
          <w:sz w:val="30"/>
          <w:szCs w:val="30"/>
        </w:rPr>
        <w:tab/>
      </w:r>
    </w:p>
    <w:p w14:paraId="5EAF742C" w14:textId="77777777" w:rsidR="00C85101" w:rsidRPr="00607BE1" w:rsidRDefault="00E573FF">
      <w:pPr>
        <w:pStyle w:val="1"/>
        <w:spacing w:before="312" w:after="312"/>
        <w:rPr>
          <w:rFonts w:ascii="黑体" w:hAnsi="黑体" w:cs="黑体"/>
          <w:b w:val="0"/>
          <w:bCs/>
          <w:color w:val="auto"/>
          <w:sz w:val="30"/>
          <w:szCs w:val="30"/>
        </w:rPr>
      </w:pPr>
      <w:bookmarkStart w:id="31" w:name="_Toc20522"/>
      <w:bookmarkStart w:id="32" w:name="_Toc17953"/>
      <w:bookmarkStart w:id="33" w:name="_Toc96332241"/>
      <w:bookmarkStart w:id="34" w:name="_Toc46222876"/>
      <w:bookmarkStart w:id="35" w:name="_Toc488914435"/>
      <w:bookmarkStart w:id="36" w:name="_Toc3924"/>
      <w:bookmarkStart w:id="37" w:name="_Toc45724795"/>
      <w:r w:rsidRPr="00607BE1">
        <w:rPr>
          <w:rFonts w:ascii="黑体" w:hAnsi="黑体" w:cs="黑体"/>
          <w:b w:val="0"/>
          <w:bCs/>
          <w:color w:val="auto"/>
          <w:sz w:val="30"/>
          <w:szCs w:val="30"/>
        </w:rPr>
        <w:t xml:space="preserve">1  </w:t>
      </w:r>
      <w:r w:rsidRPr="00607BE1">
        <w:rPr>
          <w:rFonts w:ascii="黑体" w:hAnsi="黑体" w:cs="黑体" w:hint="eastAsia"/>
          <w:b w:val="0"/>
          <w:bCs/>
          <w:color w:val="auto"/>
          <w:sz w:val="30"/>
          <w:szCs w:val="30"/>
        </w:rPr>
        <w:t>范围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0C08ACE8" w14:textId="3D437F11" w:rsidR="00C85101" w:rsidRPr="00607BE1" w:rsidRDefault="00E573FF">
      <w:pPr>
        <w:pStyle w:val="af0"/>
        <w:tabs>
          <w:tab w:val="left" w:pos="426"/>
        </w:tabs>
        <w:ind w:firstLine="60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 w:hint="eastAsia"/>
          <w:sz w:val="30"/>
          <w:szCs w:val="30"/>
        </w:rPr>
        <w:t>本文件规定了辣椒白绢病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[</w:t>
      </w:r>
      <w:r w:rsidRPr="00607BE1">
        <w:rPr>
          <w:rFonts w:ascii="Times New Roman" w:eastAsia="宋体" w:hAnsi="Times New Roman" w:cs="Times New Roman"/>
          <w:i/>
          <w:iCs/>
          <w:sz w:val="30"/>
          <w:szCs w:val="30"/>
        </w:rPr>
        <w:t xml:space="preserve">Sclerotium </w:t>
      </w:r>
      <w:proofErr w:type="spellStart"/>
      <w:r w:rsidRPr="00607BE1">
        <w:rPr>
          <w:rFonts w:ascii="Times New Roman" w:eastAsia="宋体" w:hAnsi="Times New Roman" w:cs="Times New Roman"/>
          <w:i/>
          <w:iCs/>
          <w:sz w:val="30"/>
          <w:szCs w:val="30"/>
        </w:rPr>
        <w:t>rolfsii</w:t>
      </w:r>
      <w:proofErr w:type="spellEnd"/>
      <w:r w:rsidRPr="00607BE1">
        <w:rPr>
          <w:rFonts w:ascii="Times New Roman" w:eastAsia="宋体" w:hAnsi="Times New Roman" w:cs="Times New Roman"/>
          <w:i/>
          <w:iCs/>
          <w:sz w:val="30"/>
          <w:szCs w:val="30"/>
        </w:rPr>
        <w:t xml:space="preserve"> </w:t>
      </w:r>
      <w:proofErr w:type="spellStart"/>
      <w:r w:rsidRPr="00607BE1">
        <w:rPr>
          <w:rFonts w:ascii="Times New Roman" w:eastAsia="宋体" w:hAnsi="Times New Roman" w:cs="Times New Roman" w:hint="eastAsia"/>
          <w:i/>
          <w:iCs/>
          <w:sz w:val="30"/>
          <w:szCs w:val="30"/>
        </w:rPr>
        <w:t>Sacc</w:t>
      </w:r>
      <w:proofErr w:type="spellEnd"/>
      <w:r w:rsidRPr="00607BE1">
        <w:rPr>
          <w:rFonts w:ascii="Times New Roman" w:eastAsia="宋体" w:hAnsi="Times New Roman" w:cs="Times New Roman" w:hint="eastAsia"/>
          <w:i/>
          <w:iCs/>
          <w:sz w:val="30"/>
          <w:szCs w:val="30"/>
        </w:rPr>
        <w:t>.</w:t>
      </w:r>
      <w:r w:rsidRPr="00607BE1">
        <w:rPr>
          <w:rFonts w:ascii="Times New Roman" w:eastAsia="宋体" w:hAnsi="Times New Roman" w:cs="Times New Roman" w:hint="eastAsia"/>
          <w:i/>
          <w:iCs/>
          <w:sz w:val="30"/>
          <w:szCs w:val="30"/>
        </w:rPr>
        <w:t>，</w:t>
      </w:r>
      <w:r>
        <w:rPr>
          <w:rFonts w:ascii="Times New Roman" w:eastAsia="宋体" w:hAnsi="Times New Roman" w:cs="Times New Roman" w:hint="eastAsia"/>
          <w:sz w:val="30"/>
          <w:szCs w:val="30"/>
        </w:rPr>
        <w:t>P</w:t>
      </w:r>
      <w:r w:rsidRPr="00607BE1">
        <w:rPr>
          <w:rFonts w:ascii="Times New Roman" w:eastAsia="宋体" w:hAnsi="Times New Roman" w:cs="Times New Roman"/>
          <w:sz w:val="30"/>
          <w:szCs w:val="30"/>
        </w:rPr>
        <w:t xml:space="preserve">epper Southern Blight] 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的病情调查、绿色防控技术。</w:t>
      </w:r>
    </w:p>
    <w:p w14:paraId="43DDE97E" w14:textId="77777777" w:rsidR="00C85101" w:rsidRPr="00607BE1" w:rsidRDefault="00E573FF">
      <w:pPr>
        <w:pStyle w:val="af0"/>
        <w:tabs>
          <w:tab w:val="left" w:pos="426"/>
        </w:tabs>
        <w:ind w:firstLine="60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 w:hint="eastAsia"/>
          <w:sz w:val="30"/>
          <w:szCs w:val="30"/>
        </w:rPr>
        <w:t>本文件适用于湖南省或相似地区辣椒白绢病的绿色防控。</w:t>
      </w:r>
    </w:p>
    <w:p w14:paraId="33535CDE" w14:textId="77777777" w:rsidR="00C85101" w:rsidRPr="00607BE1" w:rsidRDefault="00E573FF">
      <w:pPr>
        <w:pStyle w:val="1"/>
        <w:spacing w:before="312" w:after="312"/>
        <w:rPr>
          <w:rFonts w:ascii="黑体" w:hAnsi="黑体" w:cs="黑体"/>
          <w:b w:val="0"/>
          <w:bCs/>
          <w:color w:val="auto"/>
          <w:sz w:val="30"/>
          <w:szCs w:val="30"/>
        </w:rPr>
      </w:pPr>
      <w:bookmarkStart w:id="38" w:name="_Toc385925187"/>
      <w:bookmarkStart w:id="39" w:name="_Toc385162549"/>
      <w:bookmarkStart w:id="40" w:name="_Toc27628"/>
      <w:bookmarkStart w:id="41" w:name="_Toc385162635"/>
      <w:bookmarkStart w:id="42" w:name="_Toc384473982"/>
      <w:bookmarkStart w:id="43" w:name="_Toc499283545"/>
      <w:bookmarkStart w:id="44" w:name="_Toc385162464"/>
      <w:bookmarkStart w:id="45" w:name="_Toc27810"/>
      <w:bookmarkStart w:id="46" w:name="_Toc46222877"/>
      <w:bookmarkStart w:id="47" w:name="_Toc96332242"/>
      <w:bookmarkStart w:id="48" w:name="_Toc385925390"/>
      <w:bookmarkStart w:id="49" w:name="_Toc385925248"/>
      <w:bookmarkStart w:id="50" w:name="_Toc23401"/>
      <w:r w:rsidRPr="00607BE1">
        <w:rPr>
          <w:rFonts w:ascii="黑体" w:hAnsi="黑体" w:cs="黑体"/>
          <w:b w:val="0"/>
          <w:bCs/>
          <w:color w:val="auto"/>
          <w:sz w:val="30"/>
          <w:szCs w:val="30"/>
        </w:rPr>
        <w:t xml:space="preserve">2 </w:t>
      </w:r>
      <w:r w:rsidRPr="00607BE1">
        <w:rPr>
          <w:rFonts w:ascii="黑体" w:hAnsi="黑体" w:cs="黑体" w:hint="eastAsia"/>
          <w:b w:val="0"/>
          <w:bCs/>
          <w:color w:val="auto"/>
          <w:sz w:val="30"/>
          <w:szCs w:val="30"/>
        </w:rPr>
        <w:t xml:space="preserve"> </w:t>
      </w:r>
      <w:r w:rsidRPr="00607BE1">
        <w:rPr>
          <w:rFonts w:ascii="黑体" w:hAnsi="黑体" w:cs="黑体" w:hint="eastAsia"/>
          <w:b w:val="0"/>
          <w:bCs/>
          <w:color w:val="auto"/>
          <w:sz w:val="30"/>
          <w:szCs w:val="30"/>
        </w:rPr>
        <w:t>规范性引用文件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201E7F2D" w14:textId="77777777" w:rsidR="00C85101" w:rsidRPr="00607BE1" w:rsidRDefault="00E573FF">
      <w:pPr>
        <w:pStyle w:val="af0"/>
        <w:tabs>
          <w:tab w:val="left" w:pos="426"/>
        </w:tabs>
        <w:ind w:firstLine="60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 w:hint="eastAsia"/>
          <w:sz w:val="30"/>
          <w:szCs w:val="30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  <w:bookmarkStart w:id="51" w:name="_Toc384473983"/>
      <w:bookmarkStart w:id="52" w:name="_Toc385162550"/>
      <w:bookmarkStart w:id="53" w:name="_Toc385162465"/>
      <w:bookmarkStart w:id="54" w:name="_Toc385925391"/>
      <w:bookmarkStart w:id="55" w:name="_Toc385925249"/>
      <w:bookmarkStart w:id="56" w:name="_Toc499283546"/>
      <w:bookmarkStart w:id="57" w:name="_Toc385925188"/>
      <w:bookmarkStart w:id="58" w:name="_Toc385162636"/>
      <w:bookmarkStart w:id="59" w:name="_Toc46222878"/>
      <w:bookmarkEnd w:id="51"/>
    </w:p>
    <w:p w14:paraId="61FB496C" w14:textId="77777777" w:rsidR="00C85101" w:rsidRPr="00607BE1" w:rsidRDefault="00E573FF">
      <w:pPr>
        <w:pStyle w:val="af0"/>
        <w:tabs>
          <w:tab w:val="left" w:pos="426"/>
        </w:tabs>
        <w:ind w:firstLine="60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/>
          <w:sz w:val="30"/>
          <w:szCs w:val="30"/>
        </w:rPr>
        <w:t xml:space="preserve">GB 16715.3 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瓜菜作物种子</w:t>
      </w:r>
      <w:r w:rsidRPr="00607BE1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第</w:t>
      </w:r>
      <w:r w:rsidRPr="00607BE1">
        <w:rPr>
          <w:rFonts w:ascii="Times New Roman" w:eastAsia="宋体" w:hAnsi="Times New Roman" w:cs="Times New Roman"/>
          <w:sz w:val="30"/>
          <w:szCs w:val="30"/>
        </w:rPr>
        <w:t xml:space="preserve"> 3 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部分：茄果类</w:t>
      </w:r>
    </w:p>
    <w:p w14:paraId="003CA109" w14:textId="77777777" w:rsidR="00C85101" w:rsidRDefault="00E573FF">
      <w:pPr>
        <w:pStyle w:val="af0"/>
        <w:tabs>
          <w:tab w:val="left" w:pos="426"/>
        </w:tabs>
        <w:ind w:firstLine="600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sz w:val="30"/>
          <w:szCs w:val="30"/>
        </w:rPr>
        <w:t xml:space="preserve">GB/T 23416.1-2009 </w:t>
      </w:r>
      <w:r>
        <w:rPr>
          <w:rFonts w:ascii="Times New Roman" w:eastAsia="宋体" w:hAnsi="Times New Roman" w:cs="Times New Roman"/>
          <w:sz w:val="30"/>
          <w:szCs w:val="30"/>
        </w:rPr>
        <w:t>蔬菜病虫害安全防治技术规范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/>
          <w:sz w:val="30"/>
          <w:szCs w:val="30"/>
        </w:rPr>
        <w:t>第</w:t>
      </w:r>
      <w:r>
        <w:rPr>
          <w:rFonts w:ascii="Times New Roman" w:eastAsia="宋体" w:hAnsi="Times New Roman" w:cs="Times New Roman"/>
          <w:sz w:val="30"/>
          <w:szCs w:val="30"/>
        </w:rPr>
        <w:t>1</w:t>
      </w:r>
      <w:r>
        <w:rPr>
          <w:rFonts w:ascii="Times New Roman" w:eastAsia="宋体" w:hAnsi="Times New Roman" w:cs="Times New Roman"/>
          <w:sz w:val="30"/>
          <w:szCs w:val="30"/>
        </w:rPr>
        <w:t>部分：总则</w:t>
      </w:r>
    </w:p>
    <w:p w14:paraId="30FA7FDB" w14:textId="77777777" w:rsidR="00C85101" w:rsidRDefault="00E573FF">
      <w:pPr>
        <w:pStyle w:val="af0"/>
        <w:tabs>
          <w:tab w:val="left" w:pos="426"/>
        </w:tabs>
        <w:ind w:firstLine="600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sz w:val="30"/>
          <w:szCs w:val="30"/>
        </w:rPr>
        <w:t>GB/T 8321.1</w:t>
      </w:r>
      <w:r>
        <w:rPr>
          <w:rFonts w:ascii="Times New Roman" w:eastAsia="宋体" w:hAnsi="Times New Roman" w:cs="Times New Roman"/>
          <w:sz w:val="30"/>
          <w:szCs w:val="30"/>
        </w:rPr>
        <w:t>～</w:t>
      </w:r>
      <w:r>
        <w:rPr>
          <w:rFonts w:ascii="Times New Roman" w:eastAsia="宋体" w:hAnsi="Times New Roman" w:cs="Times New Roman"/>
          <w:sz w:val="30"/>
          <w:szCs w:val="30"/>
        </w:rPr>
        <w:t xml:space="preserve">7 </w:t>
      </w:r>
      <w:r>
        <w:rPr>
          <w:rFonts w:ascii="Times New Roman" w:eastAsia="宋体" w:hAnsi="Times New Roman" w:cs="Times New Roman"/>
          <w:sz w:val="30"/>
          <w:szCs w:val="30"/>
        </w:rPr>
        <w:t>农药合理使用准则（一）～（七）</w:t>
      </w:r>
    </w:p>
    <w:p w14:paraId="1507C722" w14:textId="77777777" w:rsidR="00C85101" w:rsidRDefault="00E573FF">
      <w:pPr>
        <w:pStyle w:val="af0"/>
        <w:tabs>
          <w:tab w:val="left" w:pos="426"/>
        </w:tabs>
        <w:ind w:firstLine="600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sz w:val="30"/>
          <w:szCs w:val="30"/>
        </w:rPr>
        <w:t xml:space="preserve">NY/T 1276 </w:t>
      </w:r>
      <w:r>
        <w:rPr>
          <w:rFonts w:ascii="Times New Roman" w:eastAsia="宋体" w:hAnsi="Times New Roman" w:cs="Times New Roman"/>
          <w:sz w:val="30"/>
          <w:szCs w:val="30"/>
        </w:rPr>
        <w:t>农药安全使用规范</w:t>
      </w: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/>
          <w:sz w:val="30"/>
          <w:szCs w:val="30"/>
        </w:rPr>
        <w:t>总则</w:t>
      </w:r>
    </w:p>
    <w:p w14:paraId="666F2BA8" w14:textId="77777777" w:rsidR="00C85101" w:rsidRPr="00607BE1" w:rsidRDefault="00E573FF">
      <w:pPr>
        <w:pStyle w:val="af0"/>
        <w:tabs>
          <w:tab w:val="left" w:pos="426"/>
        </w:tabs>
        <w:ind w:firstLine="60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/>
          <w:sz w:val="30"/>
          <w:szCs w:val="30"/>
        </w:rPr>
        <w:t xml:space="preserve">NY/T 393 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绿色食品</w:t>
      </w:r>
      <w:r w:rsidRPr="00607BE1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农药使用准则</w:t>
      </w:r>
    </w:p>
    <w:p w14:paraId="51EAB0BC" w14:textId="77777777" w:rsidR="00C85101" w:rsidRPr="00607BE1" w:rsidRDefault="00E573FF">
      <w:pPr>
        <w:pStyle w:val="af0"/>
        <w:tabs>
          <w:tab w:val="left" w:pos="426"/>
        </w:tabs>
        <w:ind w:firstLine="60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/>
          <w:sz w:val="30"/>
          <w:szCs w:val="30"/>
        </w:rPr>
        <w:t xml:space="preserve">NY/T 394 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绿色食品</w:t>
      </w:r>
      <w:r w:rsidRPr="00607BE1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肥料使用准则</w:t>
      </w:r>
    </w:p>
    <w:p w14:paraId="4A5F1E5B" w14:textId="77777777" w:rsidR="00C85101" w:rsidRDefault="00E573FF">
      <w:pPr>
        <w:pStyle w:val="af0"/>
        <w:tabs>
          <w:tab w:val="left" w:pos="426"/>
        </w:tabs>
        <w:ind w:firstLine="60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/>
          <w:sz w:val="30"/>
          <w:szCs w:val="30"/>
        </w:rPr>
        <w:t xml:space="preserve">DB21/T 1222.4-2021 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蔬菜主要病虫害绿色防控技术规程</w:t>
      </w:r>
      <w:r w:rsidRPr="00607BE1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第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4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部分：辣椒</w:t>
      </w:r>
    </w:p>
    <w:p w14:paraId="3E1C6F56" w14:textId="77777777" w:rsidR="00C85101" w:rsidRDefault="00E573FF">
      <w:pPr>
        <w:pStyle w:val="af0"/>
        <w:tabs>
          <w:tab w:val="left" w:pos="426"/>
        </w:tabs>
        <w:ind w:firstLine="600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sz w:val="30"/>
          <w:szCs w:val="30"/>
        </w:rPr>
        <w:t xml:space="preserve">DB21/T 2270 </w:t>
      </w:r>
      <w:r>
        <w:rPr>
          <w:rFonts w:ascii="Times New Roman" w:eastAsia="宋体" w:hAnsi="Times New Roman" w:cs="Times New Roman"/>
          <w:sz w:val="30"/>
          <w:szCs w:val="30"/>
        </w:rPr>
        <w:t>设施辣椒土传病害防控技术规程</w:t>
      </w:r>
    </w:p>
    <w:p w14:paraId="63E80DC2" w14:textId="77777777" w:rsidR="00C85101" w:rsidRPr="00607BE1" w:rsidRDefault="00C85101">
      <w:pPr>
        <w:pStyle w:val="af0"/>
        <w:tabs>
          <w:tab w:val="left" w:pos="426"/>
        </w:tabs>
        <w:ind w:firstLine="600"/>
        <w:rPr>
          <w:rFonts w:ascii="Times New Roman" w:eastAsia="宋体" w:hAnsi="Times New Roman" w:cs="Times New Roman"/>
          <w:sz w:val="30"/>
          <w:szCs w:val="30"/>
        </w:rPr>
      </w:pPr>
    </w:p>
    <w:p w14:paraId="5864AB4F" w14:textId="77777777" w:rsidR="00C85101" w:rsidRPr="00607BE1" w:rsidRDefault="00E573FF">
      <w:pPr>
        <w:pStyle w:val="af0"/>
        <w:tabs>
          <w:tab w:val="left" w:pos="426"/>
        </w:tabs>
        <w:ind w:firstLine="60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/>
          <w:sz w:val="30"/>
          <w:szCs w:val="30"/>
        </w:rPr>
        <w:lastRenderedPageBreak/>
        <w:t xml:space="preserve">NY/T 2312-2013 </w:t>
      </w:r>
      <w:proofErr w:type="gramStart"/>
      <w:r w:rsidRPr="00607BE1">
        <w:rPr>
          <w:rFonts w:ascii="Times New Roman" w:eastAsia="宋体" w:hAnsi="Times New Roman" w:cs="Times New Roman" w:hint="eastAsia"/>
          <w:sz w:val="30"/>
          <w:szCs w:val="30"/>
        </w:rPr>
        <w:t>茄果类蔬菜穴盘育苗</w:t>
      </w:r>
      <w:proofErr w:type="gramEnd"/>
      <w:r w:rsidRPr="00607BE1">
        <w:rPr>
          <w:rFonts w:ascii="Times New Roman" w:eastAsia="宋体" w:hAnsi="Times New Roman" w:cs="Times New Roman" w:hint="eastAsia"/>
          <w:sz w:val="30"/>
          <w:szCs w:val="30"/>
        </w:rPr>
        <w:t>技术规程</w:t>
      </w:r>
    </w:p>
    <w:p w14:paraId="290CDBC1" w14:textId="77777777" w:rsidR="00C85101" w:rsidRPr="00607BE1" w:rsidRDefault="00C85101">
      <w:pPr>
        <w:pStyle w:val="af0"/>
        <w:tabs>
          <w:tab w:val="left" w:pos="426"/>
        </w:tabs>
        <w:ind w:firstLine="600"/>
        <w:rPr>
          <w:rFonts w:ascii="Times New Roman" w:eastAsia="宋体" w:hAnsi="Times New Roman" w:cs="Times New Roman"/>
          <w:sz w:val="30"/>
          <w:szCs w:val="30"/>
        </w:rPr>
      </w:pPr>
    </w:p>
    <w:p w14:paraId="6D573DB9" w14:textId="77777777" w:rsidR="00C85101" w:rsidRPr="00607BE1" w:rsidRDefault="00E573FF">
      <w:pPr>
        <w:pStyle w:val="1"/>
        <w:spacing w:before="312" w:after="312"/>
        <w:rPr>
          <w:sz w:val="30"/>
          <w:szCs w:val="30"/>
        </w:rPr>
      </w:pPr>
      <w:bookmarkStart w:id="60" w:name="_Toc96332243"/>
      <w:bookmarkStart w:id="61" w:name="_Toc10918"/>
      <w:bookmarkStart w:id="62" w:name="_Toc11874"/>
      <w:bookmarkStart w:id="63" w:name="_Toc21942"/>
      <w:r w:rsidRPr="00607BE1">
        <w:rPr>
          <w:snapToGrid/>
          <w:kern w:val="2"/>
          <w:sz w:val="30"/>
          <w:szCs w:val="30"/>
          <w:shd w:val="clear" w:color="auto" w:fill="auto"/>
        </w:rPr>
        <w:t xml:space="preserve">3 </w:t>
      </w:r>
      <w:r w:rsidRPr="00607BE1">
        <w:rPr>
          <w:rFonts w:hint="eastAsia"/>
          <w:sz w:val="30"/>
          <w:szCs w:val="30"/>
        </w:rPr>
        <w:t xml:space="preserve"> </w:t>
      </w:r>
      <w:r w:rsidRPr="00607BE1">
        <w:rPr>
          <w:rFonts w:hint="eastAsia"/>
          <w:sz w:val="30"/>
          <w:szCs w:val="30"/>
        </w:rPr>
        <w:t>术语和定义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46E7CE67" w14:textId="77777777" w:rsidR="00C85101" w:rsidRPr="00607BE1" w:rsidRDefault="00E573FF">
      <w:pPr>
        <w:pStyle w:val="af0"/>
        <w:tabs>
          <w:tab w:val="left" w:pos="426"/>
        </w:tabs>
        <w:ind w:firstLine="60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 w:hint="eastAsia"/>
          <w:sz w:val="30"/>
          <w:szCs w:val="30"/>
        </w:rPr>
        <w:t>下列术语和定义及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GB/T</w:t>
      </w:r>
      <w:r w:rsidRPr="00607BE1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23416.1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界定的术语和定义适用于本文件。</w:t>
      </w:r>
    </w:p>
    <w:p w14:paraId="45E62A59" w14:textId="0F2FD3B5" w:rsidR="00C85101" w:rsidRPr="00607BE1" w:rsidRDefault="00E573FF">
      <w:pPr>
        <w:pStyle w:val="2"/>
        <w:spacing w:before="156" w:after="156"/>
        <w:rPr>
          <w:b/>
          <w:sz w:val="30"/>
          <w:szCs w:val="30"/>
        </w:rPr>
      </w:pPr>
      <w:bookmarkStart w:id="64" w:name="_Toc96332244"/>
      <w:r w:rsidRPr="00607BE1">
        <w:rPr>
          <w:rFonts w:hint="eastAsia"/>
          <w:sz w:val="30"/>
          <w:szCs w:val="30"/>
        </w:rPr>
        <w:t xml:space="preserve">3.1 </w:t>
      </w:r>
      <w:r w:rsidRPr="00607BE1">
        <w:rPr>
          <w:rFonts w:hint="eastAsia"/>
          <w:sz w:val="30"/>
          <w:szCs w:val="30"/>
        </w:rPr>
        <w:t>辣椒白绢病</w:t>
      </w:r>
      <w:r w:rsidRPr="00607BE1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P</w:t>
      </w:r>
      <w:r w:rsidRPr="00607BE1">
        <w:rPr>
          <w:sz w:val="30"/>
          <w:szCs w:val="30"/>
        </w:rPr>
        <w:t xml:space="preserve">epper </w:t>
      </w:r>
      <w:r w:rsidRPr="00607BE1">
        <w:rPr>
          <w:sz w:val="30"/>
          <w:szCs w:val="30"/>
        </w:rPr>
        <w:t xml:space="preserve">Southern </w:t>
      </w:r>
      <w:proofErr w:type="spellStart"/>
      <w:r w:rsidRPr="00607BE1">
        <w:rPr>
          <w:sz w:val="30"/>
          <w:szCs w:val="30"/>
        </w:rPr>
        <w:t>Bligt</w:t>
      </w:r>
      <w:bookmarkEnd w:id="64"/>
      <w:proofErr w:type="spellEnd"/>
    </w:p>
    <w:p w14:paraId="29F36583" w14:textId="77777777" w:rsidR="00C85101" w:rsidRPr="00607BE1" w:rsidRDefault="00E573FF">
      <w:pPr>
        <w:pStyle w:val="af0"/>
        <w:tabs>
          <w:tab w:val="left" w:pos="426"/>
        </w:tabs>
        <w:ind w:firstLine="60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 w:hint="eastAsia"/>
          <w:sz w:val="30"/>
          <w:szCs w:val="30"/>
        </w:rPr>
        <w:t>一种土传真菌病害，由齐整小核菌（</w:t>
      </w:r>
      <w:r w:rsidRPr="00607BE1">
        <w:rPr>
          <w:rFonts w:ascii="Times New Roman" w:eastAsia="宋体" w:hAnsi="Times New Roman" w:cs="Times New Roman"/>
          <w:i/>
          <w:iCs/>
          <w:sz w:val="30"/>
          <w:szCs w:val="30"/>
        </w:rPr>
        <w:t xml:space="preserve">Sclerotium </w:t>
      </w:r>
      <w:proofErr w:type="spellStart"/>
      <w:r w:rsidRPr="00607BE1">
        <w:rPr>
          <w:rFonts w:ascii="Times New Roman" w:eastAsia="宋体" w:hAnsi="Times New Roman" w:cs="Times New Roman"/>
          <w:i/>
          <w:iCs/>
          <w:sz w:val="30"/>
          <w:szCs w:val="30"/>
        </w:rPr>
        <w:t>rolfsii</w:t>
      </w:r>
      <w:proofErr w:type="spellEnd"/>
      <w:r w:rsidRPr="00607BE1">
        <w:rPr>
          <w:rFonts w:ascii="Times New Roman" w:eastAsia="宋体" w:hAnsi="Times New Roman" w:cs="Times New Roman"/>
          <w:i/>
          <w:iCs/>
          <w:sz w:val="30"/>
          <w:szCs w:val="30"/>
        </w:rPr>
        <w:t xml:space="preserve"> </w:t>
      </w:r>
      <w:proofErr w:type="spellStart"/>
      <w:r w:rsidRPr="00607BE1">
        <w:rPr>
          <w:rFonts w:ascii="Times New Roman" w:eastAsia="宋体" w:hAnsi="Times New Roman" w:cs="Times New Roman"/>
          <w:i/>
          <w:iCs/>
          <w:sz w:val="30"/>
          <w:szCs w:val="30"/>
        </w:rPr>
        <w:t>sacc</w:t>
      </w:r>
      <w:proofErr w:type="spellEnd"/>
      <w:r w:rsidRPr="00607BE1">
        <w:rPr>
          <w:rFonts w:ascii="Times New Roman" w:eastAsia="宋体" w:hAnsi="Times New Roman" w:cs="Times New Roman"/>
          <w:i/>
          <w:iCs/>
          <w:sz w:val="30"/>
          <w:szCs w:val="30"/>
        </w:rPr>
        <w:t>.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）菌引起，由于发病区域主要在南方，也有“</w:t>
      </w:r>
      <w:r w:rsidRPr="00607BE1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南方疫病”</w:t>
      </w:r>
      <w:r w:rsidRPr="00607BE1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之称。病症、发病规律等见附录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A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。</w:t>
      </w:r>
    </w:p>
    <w:p w14:paraId="798A0982" w14:textId="2E5B37C6" w:rsidR="00C85101" w:rsidRPr="00607BE1" w:rsidRDefault="00E573FF">
      <w:pPr>
        <w:pStyle w:val="2"/>
        <w:spacing w:before="156" w:after="156"/>
        <w:rPr>
          <w:b/>
          <w:sz w:val="30"/>
          <w:szCs w:val="30"/>
        </w:rPr>
      </w:pPr>
      <w:bookmarkStart w:id="65" w:name="_Toc96332245"/>
      <w:r w:rsidRPr="00607BE1">
        <w:rPr>
          <w:rFonts w:hint="eastAsia"/>
          <w:sz w:val="30"/>
          <w:szCs w:val="30"/>
        </w:rPr>
        <w:t xml:space="preserve">3.2 </w:t>
      </w:r>
      <w:r w:rsidRPr="00607BE1">
        <w:rPr>
          <w:rFonts w:hint="eastAsia"/>
          <w:sz w:val="30"/>
          <w:szCs w:val="30"/>
        </w:rPr>
        <w:t>绿色防控</w:t>
      </w:r>
      <w:r w:rsidRPr="00607BE1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G</w:t>
      </w:r>
      <w:r w:rsidRPr="00607BE1">
        <w:rPr>
          <w:sz w:val="30"/>
          <w:szCs w:val="30"/>
        </w:rPr>
        <w:t xml:space="preserve">reen control </w:t>
      </w:r>
      <w:r w:rsidRPr="00607BE1">
        <w:rPr>
          <w:rFonts w:hint="eastAsia"/>
          <w:sz w:val="30"/>
          <w:szCs w:val="30"/>
        </w:rPr>
        <w:t>或</w:t>
      </w:r>
      <w:r>
        <w:rPr>
          <w:rFonts w:hint="eastAsia"/>
          <w:sz w:val="30"/>
          <w:szCs w:val="30"/>
        </w:rPr>
        <w:t>E</w:t>
      </w:r>
      <w:r w:rsidRPr="00607BE1">
        <w:rPr>
          <w:sz w:val="30"/>
          <w:szCs w:val="30"/>
        </w:rPr>
        <w:t>nvironment-friendly prevention and control</w:t>
      </w:r>
      <w:bookmarkEnd w:id="65"/>
    </w:p>
    <w:p w14:paraId="3F9BC5E6" w14:textId="77777777" w:rsidR="00C85101" w:rsidRPr="00607BE1" w:rsidRDefault="00E573FF">
      <w:pPr>
        <w:pStyle w:val="af0"/>
        <w:tabs>
          <w:tab w:val="left" w:pos="426"/>
        </w:tabs>
        <w:ind w:firstLineChars="0" w:firstLine="0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/>
          <w:sz w:val="30"/>
          <w:szCs w:val="30"/>
        </w:rPr>
        <w:tab/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采取农业防治、生物防治、物理防治和科学用药等环境友好</w:t>
      </w:r>
      <w:proofErr w:type="gramStart"/>
      <w:r w:rsidRPr="00607BE1">
        <w:rPr>
          <w:rFonts w:ascii="Times New Roman" w:eastAsia="宋体" w:hAnsi="Times New Roman" w:cs="Times New Roman" w:hint="eastAsia"/>
          <w:sz w:val="30"/>
          <w:szCs w:val="30"/>
        </w:rPr>
        <w:t>型措施</w:t>
      </w:r>
      <w:proofErr w:type="gramEnd"/>
      <w:r w:rsidRPr="00607BE1">
        <w:rPr>
          <w:rFonts w:ascii="Times New Roman" w:eastAsia="宋体" w:hAnsi="Times New Roman" w:cs="Times New Roman" w:hint="eastAsia"/>
          <w:sz w:val="30"/>
          <w:szCs w:val="30"/>
        </w:rPr>
        <w:t>控制农作物病虫危害的植物保护措施。</w:t>
      </w:r>
    </w:p>
    <w:p w14:paraId="5603E431" w14:textId="32E0CBF8" w:rsidR="00C85101" w:rsidRPr="00607BE1" w:rsidRDefault="00E573FF">
      <w:pPr>
        <w:pStyle w:val="2"/>
        <w:spacing w:before="156" w:after="156"/>
        <w:rPr>
          <w:b/>
          <w:sz w:val="30"/>
          <w:szCs w:val="30"/>
        </w:rPr>
      </w:pPr>
      <w:bookmarkStart w:id="66" w:name="_Toc96332246"/>
      <w:r w:rsidRPr="00607BE1">
        <w:rPr>
          <w:rFonts w:hint="eastAsia"/>
          <w:sz w:val="30"/>
          <w:szCs w:val="30"/>
        </w:rPr>
        <w:t xml:space="preserve">3.3 </w:t>
      </w:r>
      <w:r w:rsidRPr="00607BE1">
        <w:rPr>
          <w:rFonts w:hint="eastAsia"/>
          <w:sz w:val="30"/>
          <w:szCs w:val="30"/>
        </w:rPr>
        <w:t>生物农药</w:t>
      </w:r>
      <w:r w:rsidRPr="00607BE1">
        <w:rPr>
          <w:rFonts w:hint="eastAsia"/>
          <w:sz w:val="30"/>
          <w:szCs w:val="30"/>
        </w:rPr>
        <w:t xml:space="preserve">Biological </w:t>
      </w:r>
      <w:r>
        <w:rPr>
          <w:rFonts w:hint="eastAsia"/>
          <w:sz w:val="30"/>
          <w:szCs w:val="30"/>
        </w:rPr>
        <w:t>P</w:t>
      </w:r>
      <w:r w:rsidRPr="00607BE1">
        <w:rPr>
          <w:sz w:val="30"/>
          <w:szCs w:val="30"/>
        </w:rPr>
        <w:t>esticide</w:t>
      </w:r>
      <w:bookmarkEnd w:id="66"/>
    </w:p>
    <w:p w14:paraId="6E560B42" w14:textId="77777777" w:rsidR="00C85101" w:rsidRPr="00607BE1" w:rsidRDefault="00E573FF">
      <w:pPr>
        <w:ind w:firstLineChars="200" w:firstLine="600"/>
        <w:rPr>
          <w:sz w:val="30"/>
          <w:szCs w:val="30"/>
        </w:rPr>
      </w:pPr>
      <w:r w:rsidRPr="00607BE1">
        <w:rPr>
          <w:rFonts w:hint="eastAsia"/>
          <w:sz w:val="30"/>
          <w:szCs w:val="30"/>
        </w:rPr>
        <w:t>指利用生物活体</w:t>
      </w:r>
      <w:r w:rsidRPr="00607BE1">
        <w:rPr>
          <w:rFonts w:hint="eastAsia"/>
          <w:sz w:val="30"/>
          <w:szCs w:val="30"/>
        </w:rPr>
        <w:t>(</w:t>
      </w:r>
      <w:r w:rsidRPr="00607BE1">
        <w:rPr>
          <w:rFonts w:hint="eastAsia"/>
          <w:sz w:val="30"/>
          <w:szCs w:val="30"/>
        </w:rPr>
        <w:t>真菌，细菌，昆虫病毒，转基因生物，天敌等</w:t>
      </w:r>
      <w:r w:rsidRPr="00607BE1">
        <w:rPr>
          <w:rFonts w:hint="eastAsia"/>
          <w:sz w:val="30"/>
          <w:szCs w:val="30"/>
        </w:rPr>
        <w:t>)</w:t>
      </w:r>
      <w:r w:rsidRPr="00607BE1">
        <w:rPr>
          <w:rFonts w:hint="eastAsia"/>
          <w:sz w:val="30"/>
          <w:szCs w:val="30"/>
        </w:rPr>
        <w:t>或其代谢产物针对农业有害生物进行杀灭或抑制的制剂。</w:t>
      </w:r>
      <w:bookmarkStart w:id="67" w:name="_Toc26276"/>
      <w:bookmarkStart w:id="68" w:name="_Toc10823"/>
      <w:bookmarkStart w:id="69" w:name="_Toc19042"/>
    </w:p>
    <w:p w14:paraId="75FACC8C" w14:textId="77777777" w:rsidR="00C85101" w:rsidRPr="00607BE1" w:rsidRDefault="00C85101">
      <w:pPr>
        <w:ind w:firstLineChars="200" w:firstLine="600"/>
        <w:rPr>
          <w:sz w:val="30"/>
          <w:szCs w:val="30"/>
        </w:rPr>
      </w:pPr>
    </w:p>
    <w:p w14:paraId="31861484" w14:textId="56B56615" w:rsidR="00C85101" w:rsidRPr="00607BE1" w:rsidRDefault="00E573FF">
      <w:pPr>
        <w:pStyle w:val="2"/>
        <w:spacing w:before="156" w:after="156"/>
        <w:rPr>
          <w:b/>
          <w:sz w:val="30"/>
          <w:szCs w:val="30"/>
        </w:rPr>
      </w:pPr>
      <w:bookmarkStart w:id="70" w:name="_Toc96332247"/>
      <w:r w:rsidRPr="00607BE1">
        <w:rPr>
          <w:rFonts w:hint="eastAsia"/>
          <w:sz w:val="30"/>
          <w:szCs w:val="30"/>
        </w:rPr>
        <w:t xml:space="preserve">3.4 </w:t>
      </w:r>
      <w:r w:rsidRPr="00607BE1">
        <w:rPr>
          <w:rFonts w:hint="eastAsia"/>
          <w:sz w:val="30"/>
          <w:szCs w:val="30"/>
        </w:rPr>
        <w:t>微生物菌剂</w:t>
      </w:r>
      <w:r w:rsidRPr="00607BE1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M</w:t>
      </w:r>
      <w:r w:rsidRPr="00607BE1">
        <w:rPr>
          <w:sz w:val="30"/>
          <w:szCs w:val="30"/>
        </w:rPr>
        <w:t xml:space="preserve">icrobial </w:t>
      </w:r>
      <w:proofErr w:type="spellStart"/>
      <w:r>
        <w:rPr>
          <w:rFonts w:hint="eastAsia"/>
          <w:sz w:val="30"/>
          <w:szCs w:val="30"/>
        </w:rPr>
        <w:t>I</w:t>
      </w:r>
      <w:r w:rsidRPr="00607BE1">
        <w:rPr>
          <w:sz w:val="30"/>
          <w:szCs w:val="30"/>
        </w:rPr>
        <w:t>nocalant</w:t>
      </w:r>
      <w:bookmarkEnd w:id="70"/>
      <w:proofErr w:type="spellEnd"/>
    </w:p>
    <w:p w14:paraId="7FCDD6F4" w14:textId="77777777" w:rsidR="00C85101" w:rsidRPr="00607BE1" w:rsidRDefault="00E573FF">
      <w:pPr>
        <w:ind w:firstLineChars="200" w:firstLine="600"/>
        <w:rPr>
          <w:sz w:val="30"/>
          <w:szCs w:val="30"/>
        </w:rPr>
      </w:pPr>
      <w:r w:rsidRPr="00607BE1">
        <w:rPr>
          <w:rFonts w:hint="eastAsia"/>
          <w:sz w:val="30"/>
          <w:szCs w:val="30"/>
        </w:rPr>
        <w:t>目标微生物（有效菌）经过工业化生产扩繁后，利用其菌体</w:t>
      </w:r>
      <w:r w:rsidRPr="00607BE1">
        <w:rPr>
          <w:rFonts w:hint="eastAsia"/>
          <w:sz w:val="30"/>
          <w:szCs w:val="30"/>
        </w:rPr>
        <w:lastRenderedPageBreak/>
        <w:t>发酵液或代谢产物作为主要抑制成分的活菌制剂。</w:t>
      </w:r>
    </w:p>
    <w:p w14:paraId="16BC4807" w14:textId="77777777" w:rsidR="00C85101" w:rsidRPr="00607BE1" w:rsidRDefault="00E573FF">
      <w:pPr>
        <w:pStyle w:val="1"/>
        <w:spacing w:before="312" w:after="312"/>
        <w:rPr>
          <w:rFonts w:eastAsia="宋体"/>
          <w:color w:val="auto"/>
          <w:sz w:val="30"/>
          <w:szCs w:val="30"/>
        </w:rPr>
      </w:pPr>
      <w:bookmarkStart w:id="71" w:name="_Toc96332248"/>
      <w:r w:rsidRPr="00607BE1">
        <w:rPr>
          <w:rFonts w:eastAsia="宋体"/>
          <w:color w:val="auto"/>
          <w:sz w:val="30"/>
          <w:szCs w:val="30"/>
        </w:rPr>
        <w:t xml:space="preserve">4 </w:t>
      </w:r>
      <w:r w:rsidRPr="00607BE1">
        <w:rPr>
          <w:rFonts w:eastAsia="宋体" w:hint="eastAsia"/>
          <w:color w:val="auto"/>
          <w:sz w:val="30"/>
          <w:szCs w:val="30"/>
        </w:rPr>
        <w:t>病情调查</w:t>
      </w:r>
      <w:bookmarkEnd w:id="67"/>
      <w:bookmarkEnd w:id="68"/>
      <w:bookmarkEnd w:id="69"/>
      <w:bookmarkEnd w:id="71"/>
    </w:p>
    <w:p w14:paraId="5023F1E9" w14:textId="77777777" w:rsidR="00C85101" w:rsidRPr="00607BE1" w:rsidRDefault="00E573FF">
      <w:pPr>
        <w:pStyle w:val="af0"/>
        <w:tabs>
          <w:tab w:val="left" w:pos="426"/>
        </w:tabs>
        <w:ind w:firstLineChars="0" w:firstLine="0"/>
        <w:jc w:val="left"/>
        <w:rPr>
          <w:rFonts w:ascii="Times New Roman" w:eastAsia="宋体" w:hAnsi="Times New Roman" w:cs="Times New Roman"/>
          <w:sz w:val="30"/>
          <w:szCs w:val="30"/>
        </w:rPr>
      </w:pPr>
      <w:r w:rsidRPr="00607BE1">
        <w:rPr>
          <w:rFonts w:ascii="Times New Roman" w:eastAsia="宋体" w:hAnsi="Times New Roman" w:cs="Times New Roman"/>
          <w:sz w:val="30"/>
          <w:szCs w:val="30"/>
        </w:rPr>
        <w:tab/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根据定植时间不同，从辣椒定植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7~10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天后开始，最后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1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次采收前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10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天结束，每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7~10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天调查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1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次，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5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点取样调查，每点随机调查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10-20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株。苗期采用随机探查法调查，发现疑似病株后，拔出确认，一旦出现中心病株立即普查，并对中心病株及其所在苗</w:t>
      </w:r>
      <w:proofErr w:type="gramStart"/>
      <w:r w:rsidRPr="00607BE1">
        <w:rPr>
          <w:rFonts w:ascii="Times New Roman" w:eastAsia="宋体" w:hAnsi="Times New Roman" w:cs="Times New Roman" w:hint="eastAsia"/>
          <w:sz w:val="30"/>
          <w:szCs w:val="30"/>
        </w:rPr>
        <w:t>棚进行</w:t>
      </w:r>
      <w:proofErr w:type="gramEnd"/>
      <w:r w:rsidRPr="00607BE1">
        <w:rPr>
          <w:rFonts w:ascii="Times New Roman" w:eastAsia="宋体" w:hAnsi="Times New Roman" w:cs="Times New Roman" w:hint="eastAsia"/>
          <w:sz w:val="30"/>
          <w:szCs w:val="30"/>
        </w:rPr>
        <w:t>重点挑治。辣椒白绢病发病症状见附录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A</w:t>
      </w:r>
      <w:r w:rsidRPr="00607BE1">
        <w:rPr>
          <w:rFonts w:ascii="Times New Roman" w:eastAsia="宋体" w:hAnsi="Times New Roman" w:cs="Times New Roman" w:hint="eastAsia"/>
          <w:sz w:val="30"/>
          <w:szCs w:val="30"/>
        </w:rPr>
        <w:t>。</w:t>
      </w:r>
    </w:p>
    <w:p w14:paraId="0E04486C" w14:textId="77777777" w:rsidR="00C85101" w:rsidRPr="00607BE1" w:rsidRDefault="00E573FF">
      <w:pPr>
        <w:pStyle w:val="1"/>
        <w:spacing w:before="312" w:after="312"/>
        <w:rPr>
          <w:rFonts w:eastAsia="宋体"/>
          <w:color w:val="auto"/>
          <w:sz w:val="30"/>
          <w:szCs w:val="30"/>
        </w:rPr>
      </w:pPr>
      <w:bookmarkStart w:id="72" w:name="_Toc23192"/>
      <w:bookmarkStart w:id="73" w:name="_Toc10521"/>
      <w:bookmarkStart w:id="74" w:name="_Toc4183"/>
      <w:bookmarkStart w:id="75" w:name="_Toc96332249"/>
      <w:r w:rsidRPr="00607BE1">
        <w:rPr>
          <w:rFonts w:eastAsia="宋体"/>
          <w:color w:val="auto"/>
          <w:sz w:val="30"/>
          <w:szCs w:val="30"/>
        </w:rPr>
        <w:t xml:space="preserve">5 </w:t>
      </w:r>
      <w:r w:rsidRPr="00607BE1">
        <w:rPr>
          <w:rFonts w:eastAsia="宋体" w:hint="eastAsia"/>
          <w:color w:val="auto"/>
          <w:sz w:val="30"/>
          <w:szCs w:val="30"/>
        </w:rPr>
        <w:t>绿色防控技术</w:t>
      </w:r>
      <w:bookmarkEnd w:id="72"/>
      <w:bookmarkEnd w:id="73"/>
      <w:bookmarkEnd w:id="74"/>
      <w:bookmarkEnd w:id="75"/>
    </w:p>
    <w:p w14:paraId="555B035E" w14:textId="77777777" w:rsidR="00C85101" w:rsidRPr="00607BE1" w:rsidRDefault="00E573FF">
      <w:pPr>
        <w:pStyle w:val="2"/>
        <w:spacing w:before="156" w:after="156"/>
        <w:rPr>
          <w:sz w:val="30"/>
          <w:szCs w:val="30"/>
        </w:rPr>
      </w:pPr>
      <w:bookmarkStart w:id="76" w:name="_Toc21619"/>
      <w:bookmarkStart w:id="77" w:name="_Toc14683"/>
      <w:bookmarkStart w:id="78" w:name="_Toc96332250"/>
      <w:r w:rsidRPr="00607BE1">
        <w:rPr>
          <w:sz w:val="30"/>
          <w:szCs w:val="30"/>
        </w:rPr>
        <w:t xml:space="preserve">5.1 </w:t>
      </w:r>
      <w:bookmarkEnd w:id="76"/>
      <w:bookmarkEnd w:id="77"/>
      <w:r w:rsidRPr="00607BE1">
        <w:rPr>
          <w:rFonts w:hint="eastAsia"/>
          <w:sz w:val="30"/>
          <w:szCs w:val="30"/>
        </w:rPr>
        <w:t>农业防控</w:t>
      </w:r>
      <w:bookmarkEnd w:id="78"/>
    </w:p>
    <w:p w14:paraId="1F9D0677" w14:textId="77777777" w:rsidR="00C85101" w:rsidRPr="00607BE1" w:rsidRDefault="00E573FF">
      <w:pPr>
        <w:pStyle w:val="3"/>
        <w:spacing w:before="156" w:after="156"/>
        <w:rPr>
          <w:sz w:val="30"/>
          <w:szCs w:val="30"/>
        </w:rPr>
      </w:pPr>
      <w:bookmarkStart w:id="79" w:name="_Toc13162"/>
      <w:r w:rsidRPr="00607BE1">
        <w:rPr>
          <w:sz w:val="30"/>
          <w:szCs w:val="30"/>
        </w:rPr>
        <w:t xml:space="preserve">5.1.1 </w:t>
      </w:r>
      <w:r w:rsidRPr="00607BE1">
        <w:rPr>
          <w:rFonts w:hint="eastAsia"/>
          <w:sz w:val="30"/>
          <w:szCs w:val="30"/>
        </w:rPr>
        <w:t>种植抗性品种</w:t>
      </w:r>
      <w:bookmarkEnd w:id="79"/>
    </w:p>
    <w:p w14:paraId="660DCA7C" w14:textId="77777777" w:rsidR="00C85101" w:rsidRPr="00607BE1" w:rsidRDefault="00E573FF">
      <w:pPr>
        <w:ind w:firstLine="420"/>
        <w:rPr>
          <w:sz w:val="30"/>
          <w:szCs w:val="30"/>
        </w:rPr>
      </w:pPr>
      <w:r w:rsidRPr="00607BE1">
        <w:rPr>
          <w:rFonts w:hint="eastAsia"/>
          <w:sz w:val="30"/>
          <w:szCs w:val="30"/>
        </w:rPr>
        <w:t>根据当地栽种条件和气候环境，选择适宜的抗病、耐病品种。按</w:t>
      </w:r>
      <w:r w:rsidRPr="00607BE1">
        <w:rPr>
          <w:rFonts w:hint="eastAsia"/>
          <w:sz w:val="30"/>
          <w:szCs w:val="30"/>
        </w:rPr>
        <w:t>N</w:t>
      </w:r>
      <w:r w:rsidRPr="00607BE1">
        <w:rPr>
          <w:rFonts w:hint="eastAsia"/>
          <w:sz w:val="30"/>
          <w:szCs w:val="30"/>
        </w:rPr>
        <w:t>Y/T</w:t>
      </w:r>
      <w:r w:rsidRPr="00607BE1">
        <w:rPr>
          <w:sz w:val="30"/>
          <w:szCs w:val="30"/>
        </w:rPr>
        <w:t xml:space="preserve"> 2312-2013 </w:t>
      </w:r>
      <w:proofErr w:type="gramStart"/>
      <w:r w:rsidRPr="00607BE1">
        <w:rPr>
          <w:rFonts w:hint="eastAsia"/>
          <w:sz w:val="30"/>
          <w:szCs w:val="30"/>
        </w:rPr>
        <w:t>茄果类蔬菜穴盘育苗</w:t>
      </w:r>
      <w:proofErr w:type="gramEnd"/>
      <w:r w:rsidRPr="00607BE1">
        <w:rPr>
          <w:rFonts w:hint="eastAsia"/>
          <w:sz w:val="30"/>
          <w:szCs w:val="30"/>
        </w:rPr>
        <w:t>技术规程的要求进行，培育无</w:t>
      </w:r>
      <w:proofErr w:type="gramStart"/>
      <w:r w:rsidRPr="00607BE1">
        <w:rPr>
          <w:rFonts w:hint="eastAsia"/>
          <w:sz w:val="30"/>
          <w:szCs w:val="30"/>
        </w:rPr>
        <w:t>病壮</w:t>
      </w:r>
      <w:proofErr w:type="gramEnd"/>
      <w:r w:rsidRPr="00607BE1">
        <w:rPr>
          <w:rFonts w:hint="eastAsia"/>
          <w:sz w:val="30"/>
          <w:szCs w:val="30"/>
        </w:rPr>
        <w:t>苗。</w:t>
      </w:r>
    </w:p>
    <w:p w14:paraId="3A1DED49" w14:textId="77777777" w:rsidR="00C85101" w:rsidRPr="00607BE1" w:rsidRDefault="00E573FF">
      <w:pPr>
        <w:pStyle w:val="3"/>
        <w:spacing w:before="156" w:after="156"/>
        <w:rPr>
          <w:sz w:val="30"/>
          <w:szCs w:val="30"/>
        </w:rPr>
      </w:pPr>
      <w:bookmarkStart w:id="80" w:name="_Hlk95896976"/>
      <w:r w:rsidRPr="00607BE1">
        <w:rPr>
          <w:sz w:val="30"/>
          <w:szCs w:val="30"/>
        </w:rPr>
        <w:t xml:space="preserve">5.1.2 </w:t>
      </w:r>
      <w:r w:rsidRPr="00607BE1">
        <w:rPr>
          <w:rFonts w:hint="eastAsia"/>
          <w:sz w:val="30"/>
          <w:szCs w:val="30"/>
        </w:rPr>
        <w:t>培育无</w:t>
      </w:r>
      <w:proofErr w:type="gramStart"/>
      <w:r w:rsidRPr="00607BE1">
        <w:rPr>
          <w:rFonts w:hint="eastAsia"/>
          <w:sz w:val="30"/>
          <w:szCs w:val="30"/>
        </w:rPr>
        <w:t>病壮</w:t>
      </w:r>
      <w:proofErr w:type="gramEnd"/>
      <w:r w:rsidRPr="00607BE1">
        <w:rPr>
          <w:rFonts w:hint="eastAsia"/>
          <w:sz w:val="30"/>
          <w:szCs w:val="30"/>
        </w:rPr>
        <w:t>苗</w:t>
      </w:r>
    </w:p>
    <w:p w14:paraId="2924D520" w14:textId="77777777" w:rsidR="00C85101" w:rsidRPr="00607BE1" w:rsidRDefault="00E573FF">
      <w:pPr>
        <w:ind w:firstLineChars="200" w:firstLine="600"/>
        <w:rPr>
          <w:sz w:val="30"/>
          <w:szCs w:val="30"/>
        </w:rPr>
      </w:pPr>
      <w:r w:rsidRPr="00607BE1">
        <w:rPr>
          <w:rFonts w:ascii="宋体" w:hAnsi="宋体"/>
          <w:color w:val="000000" w:themeColor="text1"/>
          <w:sz w:val="30"/>
          <w:szCs w:val="30"/>
        </w:rPr>
        <w:t>按</w:t>
      </w:r>
      <w:r w:rsidRPr="00607BE1">
        <w:rPr>
          <w:rFonts w:ascii="宋体" w:hAnsi="宋体"/>
          <w:color w:val="000000" w:themeColor="text1"/>
          <w:sz w:val="30"/>
          <w:szCs w:val="30"/>
        </w:rPr>
        <w:t xml:space="preserve">NY/T 2312-2013 </w:t>
      </w:r>
      <w:proofErr w:type="gramStart"/>
      <w:r w:rsidRPr="00607BE1">
        <w:rPr>
          <w:rFonts w:ascii="宋体" w:hAnsi="宋体"/>
          <w:color w:val="000000" w:themeColor="text1"/>
          <w:sz w:val="30"/>
          <w:szCs w:val="30"/>
        </w:rPr>
        <w:t>茄果类蔬菜穴盘育苗</w:t>
      </w:r>
      <w:proofErr w:type="gramEnd"/>
      <w:r w:rsidRPr="00607BE1">
        <w:rPr>
          <w:rFonts w:ascii="宋体" w:hAnsi="宋体"/>
          <w:color w:val="000000" w:themeColor="text1"/>
          <w:sz w:val="30"/>
          <w:szCs w:val="30"/>
        </w:rPr>
        <w:t>技术规程的要求进行。</w:t>
      </w:r>
      <w:bookmarkEnd w:id="80"/>
    </w:p>
    <w:p w14:paraId="0510EAAB" w14:textId="77777777" w:rsidR="00C85101" w:rsidRPr="00607BE1" w:rsidRDefault="00E573FF">
      <w:pPr>
        <w:pStyle w:val="3"/>
        <w:spacing w:before="156" w:after="156"/>
        <w:rPr>
          <w:sz w:val="30"/>
          <w:szCs w:val="30"/>
        </w:rPr>
      </w:pPr>
      <w:bookmarkStart w:id="81" w:name="_Toc4573"/>
      <w:r w:rsidRPr="00607BE1">
        <w:rPr>
          <w:sz w:val="30"/>
          <w:szCs w:val="30"/>
        </w:rPr>
        <w:t xml:space="preserve">5.1.3 </w:t>
      </w:r>
      <w:r w:rsidRPr="00607BE1">
        <w:rPr>
          <w:rFonts w:hint="eastAsia"/>
          <w:sz w:val="30"/>
          <w:szCs w:val="30"/>
        </w:rPr>
        <w:t>合理轮作</w:t>
      </w:r>
      <w:bookmarkEnd w:id="81"/>
    </w:p>
    <w:p w14:paraId="750764E1" w14:textId="149008BA" w:rsidR="00C85101" w:rsidRPr="00607BE1" w:rsidRDefault="00E573FF">
      <w:pPr>
        <w:ind w:firstLine="420"/>
        <w:rPr>
          <w:sz w:val="30"/>
          <w:szCs w:val="30"/>
        </w:rPr>
      </w:pPr>
      <w:r w:rsidRPr="00607BE1">
        <w:rPr>
          <w:rFonts w:hint="eastAsia"/>
          <w:sz w:val="30"/>
          <w:szCs w:val="30"/>
        </w:rPr>
        <w:t>由于病菌在土壤中存活时间长，</w:t>
      </w:r>
      <w:r>
        <w:rPr>
          <w:rFonts w:hint="eastAsia"/>
          <w:sz w:val="30"/>
          <w:szCs w:val="30"/>
        </w:rPr>
        <w:t>建议</w:t>
      </w:r>
      <w:r w:rsidRPr="00607BE1">
        <w:rPr>
          <w:rFonts w:hint="eastAsia"/>
          <w:sz w:val="30"/>
          <w:szCs w:val="30"/>
        </w:rPr>
        <w:t>辣椒</w:t>
      </w:r>
      <w:r w:rsidRPr="00607BE1">
        <w:rPr>
          <w:rFonts w:hint="eastAsia"/>
          <w:sz w:val="30"/>
          <w:szCs w:val="30"/>
        </w:rPr>
        <w:t>与非茄科作物轮作</w:t>
      </w:r>
      <w:r>
        <w:rPr>
          <w:sz w:val="30"/>
          <w:szCs w:val="30"/>
        </w:rPr>
        <w:t>种植</w:t>
      </w:r>
      <w:r w:rsidRPr="00607BE1">
        <w:rPr>
          <w:rFonts w:hint="eastAsia"/>
          <w:sz w:val="30"/>
          <w:szCs w:val="30"/>
        </w:rPr>
        <w:t>，如大蒜、白菜等，</w:t>
      </w:r>
      <w:r>
        <w:rPr>
          <w:rFonts w:hint="eastAsia"/>
          <w:sz w:val="30"/>
          <w:szCs w:val="30"/>
        </w:rPr>
        <w:t>对于有严重发病史的大田</w:t>
      </w:r>
      <w:r w:rsidRPr="00607BE1">
        <w:rPr>
          <w:rFonts w:hint="eastAsia"/>
          <w:sz w:val="30"/>
          <w:szCs w:val="30"/>
        </w:rPr>
        <w:t>提倡采用水旱</w:t>
      </w:r>
      <w:r w:rsidRPr="00607BE1">
        <w:rPr>
          <w:rFonts w:hint="eastAsia"/>
          <w:sz w:val="30"/>
          <w:szCs w:val="30"/>
        </w:rPr>
        <w:lastRenderedPageBreak/>
        <w:t>轮作。</w:t>
      </w:r>
    </w:p>
    <w:p w14:paraId="37B605DF" w14:textId="74AB7F77" w:rsidR="00C85101" w:rsidRPr="00607BE1" w:rsidRDefault="00E573FF">
      <w:pPr>
        <w:pStyle w:val="3"/>
        <w:spacing w:before="156" w:after="156"/>
        <w:rPr>
          <w:sz w:val="30"/>
          <w:szCs w:val="30"/>
        </w:rPr>
      </w:pPr>
      <w:bookmarkStart w:id="82" w:name="_Toc19663"/>
      <w:r w:rsidRPr="00607BE1">
        <w:rPr>
          <w:sz w:val="30"/>
          <w:szCs w:val="30"/>
        </w:rPr>
        <w:t>5.1.</w:t>
      </w:r>
      <w:r>
        <w:rPr>
          <w:rFonts w:hint="eastAsia"/>
          <w:sz w:val="30"/>
          <w:szCs w:val="30"/>
        </w:rPr>
        <w:t>4</w:t>
      </w:r>
      <w:r w:rsidRPr="00607BE1">
        <w:rPr>
          <w:rFonts w:hint="eastAsia"/>
          <w:sz w:val="30"/>
          <w:szCs w:val="30"/>
        </w:rPr>
        <w:t xml:space="preserve"> </w:t>
      </w:r>
      <w:r w:rsidRPr="00607BE1">
        <w:rPr>
          <w:rFonts w:hint="eastAsia"/>
          <w:sz w:val="30"/>
          <w:szCs w:val="30"/>
        </w:rPr>
        <w:t>栽培管理</w:t>
      </w:r>
      <w:bookmarkEnd w:id="82"/>
    </w:p>
    <w:p w14:paraId="5D0C18D9" w14:textId="77777777" w:rsidR="00C85101" w:rsidRPr="00607BE1" w:rsidRDefault="00E573FF">
      <w:pPr>
        <w:ind w:firstLine="420"/>
        <w:rPr>
          <w:sz w:val="30"/>
          <w:szCs w:val="30"/>
        </w:rPr>
      </w:pPr>
      <w:r w:rsidRPr="00607BE1">
        <w:rPr>
          <w:rFonts w:hint="eastAsia"/>
          <w:sz w:val="30"/>
          <w:szCs w:val="30"/>
        </w:rPr>
        <w:t>（</w:t>
      </w:r>
      <w:r w:rsidRPr="00607BE1">
        <w:rPr>
          <w:rFonts w:hint="eastAsia"/>
          <w:sz w:val="30"/>
          <w:szCs w:val="30"/>
        </w:rPr>
        <w:t>1</w:t>
      </w:r>
      <w:r w:rsidRPr="00607BE1">
        <w:rPr>
          <w:rFonts w:hint="eastAsia"/>
          <w:sz w:val="30"/>
          <w:szCs w:val="30"/>
        </w:rPr>
        <w:t>）清洁田园</w:t>
      </w:r>
    </w:p>
    <w:p w14:paraId="342218B2" w14:textId="77777777" w:rsidR="00C85101" w:rsidRPr="00607BE1" w:rsidRDefault="00E573FF">
      <w:pPr>
        <w:ind w:firstLine="420"/>
        <w:rPr>
          <w:sz w:val="30"/>
          <w:szCs w:val="30"/>
        </w:rPr>
      </w:pPr>
      <w:bookmarkStart w:id="83" w:name="_Hlk95897337"/>
      <w:r w:rsidRPr="00607BE1">
        <w:rPr>
          <w:rFonts w:hint="eastAsia"/>
          <w:sz w:val="30"/>
          <w:szCs w:val="30"/>
        </w:rPr>
        <w:t>耕种前清除前茬</w:t>
      </w:r>
      <w:r>
        <w:rPr>
          <w:rFonts w:hint="eastAsia"/>
          <w:sz w:val="30"/>
          <w:szCs w:val="30"/>
        </w:rPr>
        <w:t>辣椒</w:t>
      </w:r>
      <w:r w:rsidRPr="00607BE1">
        <w:rPr>
          <w:rFonts w:hint="eastAsia"/>
          <w:sz w:val="30"/>
          <w:szCs w:val="30"/>
        </w:rPr>
        <w:t>残体和田园杂草；生长期适时中耕、除草，发现病株应及时拔除，并在病穴及周围土壤上撒石灰消毒，所有清除物及时带出田外，集中无害化处理；辣椒收获完后对田间的残枝、落叶彻底清除干净，以减少传染源。</w:t>
      </w:r>
    </w:p>
    <w:bookmarkEnd w:id="83"/>
    <w:p w14:paraId="1B1A32AB" w14:textId="77777777" w:rsidR="00C85101" w:rsidRPr="00607BE1" w:rsidRDefault="00E573FF">
      <w:pPr>
        <w:ind w:firstLine="420"/>
        <w:rPr>
          <w:sz w:val="30"/>
          <w:szCs w:val="30"/>
        </w:rPr>
      </w:pPr>
      <w:r w:rsidRPr="00607BE1">
        <w:rPr>
          <w:rFonts w:hint="eastAsia"/>
          <w:sz w:val="30"/>
          <w:szCs w:val="30"/>
        </w:rPr>
        <w:t>（</w:t>
      </w:r>
      <w:r w:rsidRPr="00607BE1">
        <w:rPr>
          <w:rFonts w:hint="eastAsia"/>
          <w:sz w:val="30"/>
          <w:szCs w:val="30"/>
        </w:rPr>
        <w:t>2</w:t>
      </w:r>
      <w:r w:rsidRPr="00607BE1">
        <w:rPr>
          <w:rFonts w:hint="eastAsia"/>
          <w:sz w:val="30"/>
          <w:szCs w:val="30"/>
        </w:rPr>
        <w:t>）深耕土壤</w:t>
      </w:r>
    </w:p>
    <w:p w14:paraId="571680F8" w14:textId="77777777" w:rsidR="00C85101" w:rsidRPr="00607BE1" w:rsidRDefault="00E573FF">
      <w:pPr>
        <w:ind w:firstLine="420"/>
        <w:rPr>
          <w:sz w:val="30"/>
          <w:szCs w:val="30"/>
        </w:rPr>
      </w:pPr>
      <w:r w:rsidRPr="00607BE1">
        <w:rPr>
          <w:rFonts w:hint="eastAsia"/>
          <w:sz w:val="30"/>
          <w:szCs w:val="30"/>
        </w:rPr>
        <w:t>深耕可将表层土壤中的病菌翻入深土层，病菌的菌核在深土层中难以萌发，可有效地降低该病的发生；同时，深耕还能增加耕作层深度，有利于根系生长，促进植株健壮。</w:t>
      </w:r>
    </w:p>
    <w:p w14:paraId="155E8270" w14:textId="77777777" w:rsidR="00C85101" w:rsidRPr="00607BE1" w:rsidRDefault="00E573FF">
      <w:pPr>
        <w:ind w:firstLine="420"/>
        <w:rPr>
          <w:sz w:val="30"/>
          <w:szCs w:val="30"/>
        </w:rPr>
      </w:pPr>
      <w:r w:rsidRPr="00607BE1">
        <w:rPr>
          <w:rFonts w:hint="eastAsia"/>
          <w:sz w:val="30"/>
          <w:szCs w:val="30"/>
        </w:rPr>
        <w:t>（</w:t>
      </w:r>
      <w:r w:rsidRPr="00607BE1">
        <w:rPr>
          <w:rFonts w:hint="eastAsia"/>
          <w:sz w:val="30"/>
          <w:szCs w:val="30"/>
        </w:rPr>
        <w:t>3</w:t>
      </w:r>
      <w:r w:rsidRPr="00607BE1">
        <w:rPr>
          <w:rFonts w:hint="eastAsia"/>
          <w:sz w:val="30"/>
          <w:szCs w:val="30"/>
        </w:rPr>
        <w:t>）选择肥、</w:t>
      </w:r>
      <w:proofErr w:type="gramStart"/>
      <w:r w:rsidRPr="00607BE1">
        <w:rPr>
          <w:rFonts w:hint="eastAsia"/>
          <w:sz w:val="30"/>
          <w:szCs w:val="30"/>
        </w:rPr>
        <w:t>水条件</w:t>
      </w:r>
      <w:proofErr w:type="gramEnd"/>
      <w:r w:rsidRPr="00607BE1">
        <w:rPr>
          <w:rFonts w:hint="eastAsia"/>
          <w:sz w:val="30"/>
          <w:szCs w:val="30"/>
        </w:rPr>
        <w:t>良好的地块种植</w:t>
      </w:r>
    </w:p>
    <w:p w14:paraId="65BEBC15" w14:textId="77777777" w:rsidR="00C85101" w:rsidRPr="00607BE1" w:rsidRDefault="00E573FF">
      <w:pPr>
        <w:ind w:firstLine="420"/>
        <w:rPr>
          <w:sz w:val="30"/>
          <w:szCs w:val="30"/>
        </w:rPr>
      </w:pPr>
      <w:r w:rsidRPr="00607BE1">
        <w:rPr>
          <w:sz w:val="30"/>
          <w:szCs w:val="30"/>
        </w:rPr>
        <w:t xml:space="preserve"> </w:t>
      </w:r>
      <w:bookmarkStart w:id="84" w:name="_Hlk95897410"/>
      <w:r w:rsidRPr="00607BE1">
        <w:rPr>
          <w:rFonts w:hint="eastAsia"/>
          <w:sz w:val="30"/>
          <w:szCs w:val="30"/>
        </w:rPr>
        <w:t>种植辣椒应选择地势高燥、土层深厚、土壤疏松、排灌方便、中等以上肥力的沙壤土栽培。结合整地每亩施生石灰</w:t>
      </w:r>
      <w:r w:rsidRPr="00607BE1">
        <w:rPr>
          <w:rFonts w:hint="eastAsia"/>
          <w:sz w:val="30"/>
          <w:szCs w:val="30"/>
        </w:rPr>
        <w:t>150</w:t>
      </w:r>
      <w:r w:rsidRPr="00607BE1">
        <w:rPr>
          <w:rFonts w:hint="eastAsia"/>
          <w:sz w:val="30"/>
          <w:szCs w:val="30"/>
        </w:rPr>
        <w:t>～</w:t>
      </w:r>
      <w:r w:rsidRPr="00607BE1">
        <w:rPr>
          <w:rFonts w:hint="eastAsia"/>
          <w:sz w:val="30"/>
          <w:szCs w:val="30"/>
        </w:rPr>
        <w:t>200kg</w:t>
      </w:r>
      <w:r w:rsidRPr="00607BE1">
        <w:rPr>
          <w:rFonts w:hint="eastAsia"/>
          <w:sz w:val="30"/>
          <w:szCs w:val="30"/>
        </w:rPr>
        <w:t>，使土壤呈中性至微碱性，可抑制病菌的发生。</w:t>
      </w:r>
      <w:bookmarkEnd w:id="84"/>
      <w:r w:rsidRPr="00607BE1">
        <w:rPr>
          <w:rFonts w:hint="eastAsia"/>
          <w:sz w:val="30"/>
          <w:szCs w:val="30"/>
        </w:rPr>
        <w:t xml:space="preserve"> </w:t>
      </w:r>
      <w:r w:rsidRPr="00607BE1">
        <w:rPr>
          <w:rFonts w:hint="eastAsia"/>
          <w:sz w:val="30"/>
          <w:szCs w:val="30"/>
        </w:rPr>
        <w:t>合理密植。一般连</w:t>
      </w:r>
      <w:proofErr w:type="gramStart"/>
      <w:r w:rsidRPr="00607BE1">
        <w:rPr>
          <w:rFonts w:hint="eastAsia"/>
          <w:sz w:val="30"/>
          <w:szCs w:val="30"/>
        </w:rPr>
        <w:t>畦带沟</w:t>
      </w:r>
      <w:proofErr w:type="gramEnd"/>
      <w:r w:rsidRPr="00607BE1">
        <w:rPr>
          <w:rFonts w:hint="eastAsia"/>
          <w:sz w:val="30"/>
          <w:szCs w:val="30"/>
        </w:rPr>
        <w:t>宽</w:t>
      </w:r>
      <w:r w:rsidRPr="00607BE1">
        <w:rPr>
          <w:rFonts w:hint="eastAsia"/>
          <w:sz w:val="30"/>
          <w:szCs w:val="30"/>
        </w:rPr>
        <w:t xml:space="preserve"> 150cm</w:t>
      </w:r>
      <w:r w:rsidRPr="00607BE1">
        <w:rPr>
          <w:rFonts w:hint="eastAsia"/>
          <w:sz w:val="30"/>
          <w:szCs w:val="30"/>
        </w:rPr>
        <w:t>，双行种植，</w:t>
      </w:r>
      <w:proofErr w:type="gramStart"/>
      <w:r w:rsidRPr="00607BE1">
        <w:rPr>
          <w:rFonts w:hint="eastAsia"/>
          <w:sz w:val="30"/>
          <w:szCs w:val="30"/>
        </w:rPr>
        <w:t>畦高</w:t>
      </w:r>
      <w:r w:rsidRPr="00607BE1">
        <w:rPr>
          <w:rFonts w:hint="eastAsia"/>
          <w:sz w:val="30"/>
          <w:szCs w:val="30"/>
        </w:rPr>
        <w:t>25</w:t>
      </w:r>
      <w:r w:rsidRPr="00607BE1">
        <w:rPr>
          <w:rFonts w:hint="eastAsia"/>
          <w:sz w:val="30"/>
          <w:szCs w:val="30"/>
        </w:rPr>
        <w:t>～</w:t>
      </w:r>
      <w:r w:rsidRPr="00607BE1">
        <w:rPr>
          <w:rFonts w:hint="eastAsia"/>
          <w:sz w:val="30"/>
          <w:szCs w:val="30"/>
        </w:rPr>
        <w:t>30</w:t>
      </w:r>
      <w:proofErr w:type="gramEnd"/>
      <w:r w:rsidRPr="00607BE1">
        <w:rPr>
          <w:rFonts w:hint="eastAsia"/>
          <w:sz w:val="30"/>
          <w:szCs w:val="30"/>
        </w:rPr>
        <w:t xml:space="preserve"> cm</w:t>
      </w:r>
      <w:r w:rsidRPr="00607BE1">
        <w:rPr>
          <w:rFonts w:hint="eastAsia"/>
          <w:sz w:val="30"/>
          <w:szCs w:val="30"/>
        </w:rPr>
        <w:t>，</w:t>
      </w:r>
      <w:proofErr w:type="gramStart"/>
      <w:r w:rsidRPr="00607BE1">
        <w:rPr>
          <w:rFonts w:hint="eastAsia"/>
          <w:sz w:val="30"/>
          <w:szCs w:val="30"/>
        </w:rPr>
        <w:t>亩栽</w:t>
      </w:r>
      <w:proofErr w:type="gramEnd"/>
      <w:r w:rsidRPr="00607BE1">
        <w:rPr>
          <w:rFonts w:hint="eastAsia"/>
          <w:sz w:val="30"/>
          <w:szCs w:val="30"/>
        </w:rPr>
        <w:t>2200~2300</w:t>
      </w:r>
      <w:r w:rsidRPr="00607BE1">
        <w:rPr>
          <w:rFonts w:hint="eastAsia"/>
          <w:sz w:val="30"/>
          <w:szCs w:val="30"/>
        </w:rPr>
        <w:t>株。</w:t>
      </w:r>
    </w:p>
    <w:p w14:paraId="614250B6" w14:textId="10D5B13E" w:rsidR="00C85101" w:rsidRPr="00607BE1" w:rsidRDefault="00E573FF">
      <w:pPr>
        <w:pStyle w:val="3"/>
        <w:spacing w:before="156" w:after="156"/>
        <w:rPr>
          <w:sz w:val="30"/>
          <w:szCs w:val="30"/>
        </w:rPr>
      </w:pPr>
      <w:bookmarkStart w:id="85" w:name="_Toc9350"/>
      <w:r w:rsidRPr="00607BE1">
        <w:rPr>
          <w:sz w:val="30"/>
          <w:szCs w:val="30"/>
        </w:rPr>
        <w:t>5.1.</w:t>
      </w:r>
      <w:r>
        <w:rPr>
          <w:rFonts w:hint="eastAsia"/>
          <w:sz w:val="30"/>
          <w:szCs w:val="30"/>
        </w:rPr>
        <w:t>5</w:t>
      </w:r>
      <w:r w:rsidRPr="00607BE1">
        <w:rPr>
          <w:rFonts w:hint="eastAsia"/>
          <w:sz w:val="30"/>
          <w:szCs w:val="30"/>
        </w:rPr>
        <w:t xml:space="preserve"> </w:t>
      </w:r>
      <w:r w:rsidRPr="00607BE1">
        <w:rPr>
          <w:rFonts w:hint="eastAsia"/>
          <w:sz w:val="30"/>
          <w:szCs w:val="30"/>
        </w:rPr>
        <w:t>肥水管理</w:t>
      </w:r>
      <w:bookmarkEnd w:id="85"/>
    </w:p>
    <w:p w14:paraId="481F4336" w14:textId="77777777" w:rsidR="00C85101" w:rsidRPr="00607BE1" w:rsidRDefault="00E573FF">
      <w:pPr>
        <w:ind w:firstLine="420"/>
        <w:rPr>
          <w:sz w:val="30"/>
          <w:szCs w:val="30"/>
        </w:rPr>
      </w:pPr>
      <w:r w:rsidRPr="00607BE1">
        <w:rPr>
          <w:rFonts w:hint="eastAsia"/>
          <w:sz w:val="30"/>
          <w:szCs w:val="30"/>
        </w:rPr>
        <w:t>（</w:t>
      </w:r>
      <w:r w:rsidRPr="00607BE1">
        <w:rPr>
          <w:rFonts w:hint="eastAsia"/>
          <w:sz w:val="30"/>
          <w:szCs w:val="30"/>
        </w:rPr>
        <w:t>1</w:t>
      </w:r>
      <w:r w:rsidRPr="00607BE1">
        <w:rPr>
          <w:rFonts w:hint="eastAsia"/>
          <w:sz w:val="30"/>
          <w:szCs w:val="30"/>
        </w:rPr>
        <w:t>）合理施肥。施足底肥，亩施腐熟有机肥</w:t>
      </w:r>
      <w:r w:rsidRPr="00607BE1">
        <w:rPr>
          <w:rFonts w:hint="eastAsia"/>
          <w:sz w:val="30"/>
          <w:szCs w:val="30"/>
        </w:rPr>
        <w:t>1500</w:t>
      </w:r>
      <w:r w:rsidRPr="00607BE1">
        <w:rPr>
          <w:rFonts w:hint="eastAsia"/>
          <w:sz w:val="30"/>
          <w:szCs w:val="30"/>
        </w:rPr>
        <w:t>～</w:t>
      </w:r>
      <w:r w:rsidRPr="00607BE1">
        <w:rPr>
          <w:rFonts w:hint="eastAsia"/>
          <w:sz w:val="30"/>
          <w:szCs w:val="30"/>
        </w:rPr>
        <w:t>2</w:t>
      </w:r>
      <w:r w:rsidRPr="00607BE1">
        <w:rPr>
          <w:sz w:val="30"/>
          <w:szCs w:val="30"/>
        </w:rPr>
        <w:t xml:space="preserve"> 000 </w:t>
      </w:r>
      <w:r w:rsidRPr="00607BE1">
        <w:rPr>
          <w:rFonts w:hint="eastAsia"/>
          <w:sz w:val="30"/>
          <w:szCs w:val="30"/>
        </w:rPr>
        <w:t>kg</w:t>
      </w:r>
      <w:r w:rsidRPr="00607BE1">
        <w:rPr>
          <w:rFonts w:hint="eastAsia"/>
          <w:sz w:val="30"/>
          <w:szCs w:val="30"/>
        </w:rPr>
        <w:t>，过磷酸钙</w:t>
      </w:r>
      <w:r w:rsidRPr="00607BE1">
        <w:rPr>
          <w:sz w:val="30"/>
          <w:szCs w:val="30"/>
        </w:rPr>
        <w:t xml:space="preserve"> </w:t>
      </w:r>
      <w:r w:rsidRPr="00607BE1">
        <w:rPr>
          <w:rFonts w:hint="eastAsia"/>
          <w:sz w:val="30"/>
          <w:szCs w:val="30"/>
        </w:rPr>
        <w:t>40</w:t>
      </w:r>
      <w:r w:rsidRPr="00607BE1">
        <w:rPr>
          <w:rFonts w:hint="eastAsia"/>
          <w:sz w:val="30"/>
          <w:szCs w:val="30"/>
        </w:rPr>
        <w:t>～</w:t>
      </w:r>
      <w:r w:rsidRPr="00607BE1">
        <w:rPr>
          <w:rFonts w:hint="eastAsia"/>
          <w:sz w:val="30"/>
          <w:szCs w:val="30"/>
        </w:rPr>
        <w:t>50</w:t>
      </w:r>
      <w:r w:rsidRPr="00607BE1">
        <w:rPr>
          <w:sz w:val="30"/>
          <w:szCs w:val="30"/>
        </w:rPr>
        <w:t xml:space="preserve"> </w:t>
      </w:r>
      <w:r w:rsidRPr="00607BE1">
        <w:rPr>
          <w:rFonts w:hint="eastAsia"/>
          <w:sz w:val="30"/>
          <w:szCs w:val="30"/>
        </w:rPr>
        <w:t>kg</w:t>
      </w:r>
      <w:r w:rsidRPr="00607BE1">
        <w:rPr>
          <w:rFonts w:hint="eastAsia"/>
          <w:sz w:val="30"/>
          <w:szCs w:val="30"/>
        </w:rPr>
        <w:t>，硼砂</w:t>
      </w:r>
      <w:r w:rsidRPr="00607BE1">
        <w:rPr>
          <w:sz w:val="30"/>
          <w:szCs w:val="30"/>
        </w:rPr>
        <w:t xml:space="preserve"> 1.5 </w:t>
      </w:r>
      <w:r w:rsidRPr="00607BE1">
        <w:rPr>
          <w:rFonts w:hint="eastAsia"/>
          <w:sz w:val="30"/>
          <w:szCs w:val="30"/>
        </w:rPr>
        <w:t>kg</w:t>
      </w:r>
      <w:r w:rsidRPr="00607BE1">
        <w:rPr>
          <w:rFonts w:hint="eastAsia"/>
          <w:sz w:val="30"/>
          <w:szCs w:val="30"/>
        </w:rPr>
        <w:t>，硫酸镁</w:t>
      </w:r>
      <w:r w:rsidRPr="00607BE1">
        <w:rPr>
          <w:sz w:val="30"/>
          <w:szCs w:val="30"/>
        </w:rPr>
        <w:t xml:space="preserve"> 5 </w:t>
      </w:r>
      <w:r w:rsidRPr="00607BE1">
        <w:rPr>
          <w:rFonts w:hint="eastAsia"/>
          <w:sz w:val="30"/>
          <w:szCs w:val="30"/>
        </w:rPr>
        <w:t>kg</w:t>
      </w:r>
      <w:r w:rsidRPr="00607BE1">
        <w:rPr>
          <w:rFonts w:hint="eastAsia"/>
          <w:sz w:val="30"/>
          <w:szCs w:val="30"/>
        </w:rPr>
        <w:t>。实行氮、磷、钾肥平衡施肥，合理施用硝酸钙、硝酸钾等氮素肥料可减轻病害</w:t>
      </w:r>
      <w:r w:rsidRPr="00607BE1">
        <w:rPr>
          <w:rFonts w:hint="eastAsia"/>
          <w:sz w:val="30"/>
          <w:szCs w:val="30"/>
        </w:rPr>
        <w:lastRenderedPageBreak/>
        <w:t>为害。</w:t>
      </w:r>
    </w:p>
    <w:p w14:paraId="72625A70" w14:textId="77777777" w:rsidR="00C85101" w:rsidRPr="00607BE1" w:rsidRDefault="00E573FF">
      <w:pPr>
        <w:ind w:firstLine="420"/>
        <w:rPr>
          <w:sz w:val="30"/>
          <w:szCs w:val="30"/>
        </w:rPr>
      </w:pPr>
      <w:r w:rsidRPr="00607BE1">
        <w:rPr>
          <w:rFonts w:hint="eastAsia"/>
          <w:sz w:val="30"/>
          <w:szCs w:val="30"/>
        </w:rPr>
        <w:t>（</w:t>
      </w:r>
      <w:r w:rsidRPr="00607BE1">
        <w:rPr>
          <w:rFonts w:hint="eastAsia"/>
          <w:sz w:val="30"/>
          <w:szCs w:val="30"/>
        </w:rPr>
        <w:t>2</w:t>
      </w:r>
      <w:r w:rsidRPr="00607BE1">
        <w:rPr>
          <w:rFonts w:hint="eastAsia"/>
          <w:sz w:val="30"/>
          <w:szCs w:val="30"/>
        </w:rPr>
        <w:t>）根据土壤墒情</w:t>
      </w:r>
      <w:r w:rsidRPr="00607BE1">
        <w:rPr>
          <w:rFonts w:hint="eastAsia"/>
          <w:sz w:val="30"/>
          <w:szCs w:val="30"/>
        </w:rPr>
        <w:t>适量浇水；进入雨季，晴天选择傍晚浇水；进入雨季，要及时排水，避免阴雨天进行农事操作。</w:t>
      </w:r>
      <w:r w:rsidRPr="00607BE1">
        <w:rPr>
          <w:rFonts w:hint="eastAsia"/>
          <w:sz w:val="30"/>
          <w:szCs w:val="30"/>
        </w:rPr>
        <w:t xml:space="preserve"> </w:t>
      </w:r>
    </w:p>
    <w:p w14:paraId="42346323" w14:textId="77777777" w:rsidR="00C85101" w:rsidRPr="00607BE1" w:rsidRDefault="00E573FF">
      <w:pPr>
        <w:ind w:firstLine="420"/>
        <w:rPr>
          <w:sz w:val="30"/>
          <w:szCs w:val="30"/>
        </w:rPr>
      </w:pPr>
      <w:r w:rsidRPr="00607BE1">
        <w:rPr>
          <w:rFonts w:hint="eastAsia"/>
          <w:sz w:val="30"/>
          <w:szCs w:val="30"/>
        </w:rPr>
        <w:t>（</w:t>
      </w:r>
      <w:r w:rsidRPr="00607BE1">
        <w:rPr>
          <w:rFonts w:hint="eastAsia"/>
          <w:sz w:val="30"/>
          <w:szCs w:val="30"/>
        </w:rPr>
        <w:t>3</w:t>
      </w:r>
      <w:r w:rsidRPr="00607BE1">
        <w:rPr>
          <w:rFonts w:hint="eastAsia"/>
          <w:sz w:val="30"/>
          <w:szCs w:val="30"/>
        </w:rPr>
        <w:t>）适时中耕、除草、松土，增加土壤的透气性，促进植株健壮生长，增强植株抗病能力。</w:t>
      </w:r>
    </w:p>
    <w:p w14:paraId="6ECC17A5" w14:textId="77777777" w:rsidR="00C85101" w:rsidRPr="00607BE1" w:rsidRDefault="00E573FF">
      <w:pPr>
        <w:pStyle w:val="2"/>
        <w:spacing w:before="156" w:after="156"/>
        <w:rPr>
          <w:sz w:val="30"/>
          <w:szCs w:val="30"/>
        </w:rPr>
      </w:pPr>
      <w:bookmarkStart w:id="86" w:name="_Toc18396"/>
      <w:bookmarkStart w:id="87" w:name="_Toc8557"/>
      <w:bookmarkStart w:id="88" w:name="_Toc96332251"/>
      <w:r w:rsidRPr="00607BE1">
        <w:rPr>
          <w:sz w:val="30"/>
          <w:szCs w:val="30"/>
        </w:rPr>
        <w:t xml:space="preserve">5.2 </w:t>
      </w:r>
      <w:r w:rsidRPr="00607BE1">
        <w:rPr>
          <w:rFonts w:hint="eastAsia"/>
          <w:sz w:val="30"/>
          <w:szCs w:val="30"/>
        </w:rPr>
        <w:t>生物</w:t>
      </w:r>
      <w:bookmarkEnd w:id="86"/>
      <w:bookmarkEnd w:id="87"/>
      <w:r w:rsidRPr="00607BE1">
        <w:rPr>
          <w:rFonts w:hint="eastAsia"/>
          <w:sz w:val="30"/>
          <w:szCs w:val="30"/>
        </w:rPr>
        <w:t>防控</w:t>
      </w:r>
      <w:bookmarkEnd w:id="88"/>
    </w:p>
    <w:p w14:paraId="26B3FE4B" w14:textId="28430A3A" w:rsidR="00C85101" w:rsidRPr="00607BE1" w:rsidRDefault="00E573FF">
      <w:pPr>
        <w:ind w:firstLine="420"/>
        <w:rPr>
          <w:sz w:val="30"/>
          <w:szCs w:val="30"/>
        </w:rPr>
      </w:pPr>
      <w:r w:rsidRPr="00607BE1">
        <w:rPr>
          <w:rFonts w:hint="eastAsia"/>
          <w:sz w:val="30"/>
          <w:szCs w:val="30"/>
        </w:rPr>
        <w:t>利用生物农药或生防功能的微生物菌剂，按照产品规范说明使用，可在育苗基质中添加，又可灌根使用，特别是在花期前后</w:t>
      </w:r>
      <w:r w:rsidRPr="00607BE1">
        <w:rPr>
          <w:rFonts w:hint="eastAsia"/>
          <w:sz w:val="30"/>
          <w:szCs w:val="30"/>
        </w:rPr>
        <w:t>及夏季雨后灌根。药剂及用量等见附录</w:t>
      </w:r>
      <w:r w:rsidRPr="00607BE1">
        <w:rPr>
          <w:rFonts w:hint="eastAsia"/>
          <w:sz w:val="30"/>
          <w:szCs w:val="30"/>
        </w:rPr>
        <w:t>B</w:t>
      </w:r>
      <w:r w:rsidRPr="00607BE1">
        <w:rPr>
          <w:rFonts w:hint="eastAsia"/>
          <w:sz w:val="30"/>
          <w:szCs w:val="30"/>
        </w:rPr>
        <w:t>。</w:t>
      </w:r>
    </w:p>
    <w:p w14:paraId="622F45B5" w14:textId="77777777" w:rsidR="00C85101" w:rsidRPr="00607BE1" w:rsidRDefault="00E573FF">
      <w:pPr>
        <w:pStyle w:val="2"/>
        <w:spacing w:before="156" w:after="156"/>
        <w:rPr>
          <w:sz w:val="30"/>
          <w:szCs w:val="30"/>
        </w:rPr>
      </w:pPr>
      <w:bookmarkStart w:id="89" w:name="_Toc96332252"/>
      <w:r w:rsidRPr="00607BE1">
        <w:rPr>
          <w:sz w:val="30"/>
          <w:szCs w:val="30"/>
        </w:rPr>
        <w:t xml:space="preserve">5.3 </w:t>
      </w:r>
      <w:r w:rsidRPr="00607BE1">
        <w:rPr>
          <w:rFonts w:hint="eastAsia"/>
          <w:sz w:val="30"/>
          <w:szCs w:val="30"/>
        </w:rPr>
        <w:t>物理防控</w:t>
      </w:r>
      <w:bookmarkEnd w:id="89"/>
    </w:p>
    <w:p w14:paraId="4A920F03" w14:textId="6D052C3C" w:rsidR="00C85101" w:rsidRPr="00607BE1" w:rsidRDefault="00E573FF">
      <w:pPr>
        <w:autoSpaceDE w:val="0"/>
        <w:autoSpaceDN w:val="0"/>
        <w:adjustRightInd w:val="0"/>
        <w:ind w:firstLineChars="200" w:firstLine="600"/>
        <w:jc w:val="left"/>
        <w:rPr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尽早</w:t>
      </w:r>
      <w:r w:rsidRPr="00607BE1">
        <w:rPr>
          <w:rFonts w:hint="eastAsia"/>
          <w:kern w:val="0"/>
          <w:sz w:val="30"/>
          <w:szCs w:val="30"/>
        </w:rPr>
        <w:t>清除上茬</w:t>
      </w:r>
      <w:r>
        <w:rPr>
          <w:rFonts w:hint="eastAsia"/>
          <w:kern w:val="0"/>
          <w:sz w:val="30"/>
          <w:szCs w:val="30"/>
        </w:rPr>
        <w:t>辣椒病株</w:t>
      </w:r>
      <w:r w:rsidRPr="00607BE1">
        <w:rPr>
          <w:rFonts w:hint="eastAsia"/>
          <w:kern w:val="0"/>
          <w:sz w:val="30"/>
          <w:szCs w:val="30"/>
        </w:rPr>
        <w:t>残体，</w:t>
      </w:r>
      <w:r>
        <w:rPr>
          <w:rFonts w:hint="eastAsia"/>
          <w:kern w:val="0"/>
          <w:sz w:val="30"/>
          <w:szCs w:val="30"/>
        </w:rPr>
        <w:t>并在入冬前</w:t>
      </w:r>
      <w:r w:rsidRPr="00607BE1">
        <w:rPr>
          <w:rFonts w:hint="eastAsia"/>
          <w:kern w:val="0"/>
          <w:sz w:val="30"/>
          <w:szCs w:val="30"/>
        </w:rPr>
        <w:t>将土壤深翻，在上冻前灌透水，土壤冻</w:t>
      </w:r>
      <w:proofErr w:type="gramStart"/>
      <w:r w:rsidRPr="00607BE1">
        <w:rPr>
          <w:rFonts w:hint="eastAsia"/>
          <w:kern w:val="0"/>
          <w:sz w:val="30"/>
          <w:szCs w:val="30"/>
        </w:rPr>
        <w:t>垡</w:t>
      </w:r>
      <w:proofErr w:type="gramEnd"/>
      <w:r w:rsidRPr="00607BE1">
        <w:rPr>
          <w:rFonts w:hint="eastAsia"/>
          <w:kern w:val="0"/>
          <w:sz w:val="30"/>
          <w:szCs w:val="30"/>
        </w:rPr>
        <w:t>；夏季晒垡或采用高温</w:t>
      </w:r>
      <w:proofErr w:type="gramStart"/>
      <w:r w:rsidRPr="00607BE1">
        <w:rPr>
          <w:rFonts w:hint="eastAsia"/>
          <w:kern w:val="0"/>
          <w:sz w:val="30"/>
          <w:szCs w:val="30"/>
        </w:rPr>
        <w:t>闷棚技术</w:t>
      </w:r>
      <w:proofErr w:type="gramEnd"/>
      <w:r w:rsidRPr="00607BE1">
        <w:rPr>
          <w:rFonts w:hint="eastAsia"/>
          <w:kern w:val="0"/>
          <w:sz w:val="30"/>
          <w:szCs w:val="30"/>
        </w:rPr>
        <w:t>处理，晴好天气保持</w:t>
      </w:r>
      <w:r w:rsidRPr="00607BE1">
        <w:rPr>
          <w:rFonts w:hint="eastAsia"/>
          <w:kern w:val="0"/>
          <w:sz w:val="30"/>
          <w:szCs w:val="30"/>
        </w:rPr>
        <w:t>15</w:t>
      </w:r>
      <w:r w:rsidRPr="00607BE1">
        <w:rPr>
          <w:rFonts w:hint="eastAsia"/>
          <w:kern w:val="0"/>
          <w:sz w:val="30"/>
          <w:szCs w:val="30"/>
        </w:rPr>
        <w:t>天以上。</w:t>
      </w:r>
    </w:p>
    <w:p w14:paraId="6056D342" w14:textId="77777777" w:rsidR="00C85101" w:rsidRPr="00607BE1" w:rsidRDefault="00E573FF">
      <w:pPr>
        <w:pStyle w:val="2"/>
        <w:spacing w:before="156" w:after="156"/>
        <w:rPr>
          <w:rFonts w:eastAsia="宋体"/>
          <w:sz w:val="30"/>
          <w:szCs w:val="30"/>
        </w:rPr>
      </w:pPr>
      <w:bookmarkStart w:id="90" w:name="_Toc1409"/>
      <w:bookmarkStart w:id="91" w:name="_Toc26984"/>
      <w:bookmarkStart w:id="92" w:name="_Toc96332253"/>
      <w:r w:rsidRPr="00607BE1">
        <w:rPr>
          <w:sz w:val="30"/>
          <w:szCs w:val="30"/>
        </w:rPr>
        <w:t xml:space="preserve">5.4 </w:t>
      </w:r>
      <w:r w:rsidRPr="00607BE1">
        <w:rPr>
          <w:rFonts w:hint="eastAsia"/>
          <w:sz w:val="30"/>
          <w:szCs w:val="30"/>
        </w:rPr>
        <w:t>科学用药</w:t>
      </w:r>
      <w:bookmarkStart w:id="93" w:name="_Hlk95897949"/>
      <w:bookmarkEnd w:id="90"/>
      <w:bookmarkEnd w:id="91"/>
      <w:bookmarkEnd w:id="92"/>
    </w:p>
    <w:p w14:paraId="7DF37DC3" w14:textId="7A7EFA25" w:rsidR="00C85101" w:rsidRPr="00607BE1" w:rsidRDefault="00E573FF">
      <w:pPr>
        <w:ind w:firstLine="420"/>
        <w:rPr>
          <w:sz w:val="30"/>
          <w:szCs w:val="30"/>
        </w:rPr>
      </w:pPr>
      <w:bookmarkStart w:id="94" w:name="_Hlk95898154"/>
      <w:r w:rsidRPr="00607BE1">
        <w:rPr>
          <w:rFonts w:hint="eastAsia"/>
          <w:sz w:val="30"/>
          <w:szCs w:val="30"/>
        </w:rPr>
        <w:t>本着“预防为主，综合防治”的原则，合理使用高效、低毒、低残留、环境友好的化学农药，精准施药。发病初期，</w:t>
      </w:r>
      <w:bookmarkEnd w:id="94"/>
      <w:r w:rsidRPr="00607BE1">
        <w:rPr>
          <w:rFonts w:hint="eastAsia"/>
          <w:sz w:val="30"/>
          <w:szCs w:val="30"/>
        </w:rPr>
        <w:t>可选</w:t>
      </w:r>
      <w:proofErr w:type="gramStart"/>
      <w:r w:rsidRPr="00607BE1">
        <w:rPr>
          <w:rFonts w:hint="eastAsia"/>
          <w:sz w:val="30"/>
          <w:szCs w:val="30"/>
        </w:rPr>
        <w:t>用恶霉灵</w:t>
      </w:r>
      <w:proofErr w:type="gramEnd"/>
      <w:r w:rsidRPr="00607BE1">
        <w:rPr>
          <w:rFonts w:hint="eastAsia"/>
          <w:sz w:val="30"/>
          <w:szCs w:val="30"/>
        </w:rPr>
        <w:t> 15%</w:t>
      </w:r>
      <w:r w:rsidRPr="00607BE1">
        <w:rPr>
          <w:rFonts w:hint="eastAsia"/>
          <w:sz w:val="30"/>
          <w:szCs w:val="30"/>
        </w:rPr>
        <w:t>水剂或</w:t>
      </w:r>
      <w:r w:rsidRPr="00607BE1">
        <w:rPr>
          <w:sz w:val="30"/>
          <w:szCs w:val="30"/>
        </w:rPr>
        <w:t xml:space="preserve"> </w:t>
      </w:r>
      <w:r w:rsidRPr="00607BE1">
        <w:rPr>
          <w:rFonts w:hint="eastAsia"/>
          <w:sz w:val="30"/>
          <w:szCs w:val="30"/>
        </w:rPr>
        <w:t>15%</w:t>
      </w:r>
      <w:r w:rsidRPr="00607BE1">
        <w:rPr>
          <w:rFonts w:hint="eastAsia"/>
          <w:sz w:val="30"/>
          <w:szCs w:val="30"/>
        </w:rPr>
        <w:t>可湿性粉剂</w:t>
      </w:r>
      <w:r w:rsidRPr="00607BE1">
        <w:rPr>
          <w:sz w:val="30"/>
          <w:szCs w:val="30"/>
        </w:rPr>
        <w:t xml:space="preserve"> </w:t>
      </w:r>
      <w:r w:rsidRPr="00607BE1">
        <w:rPr>
          <w:rFonts w:hint="eastAsia"/>
          <w:sz w:val="30"/>
          <w:szCs w:val="30"/>
        </w:rPr>
        <w:t>300</w:t>
      </w:r>
      <w:r w:rsidRPr="00607BE1">
        <w:rPr>
          <w:rFonts w:hint="eastAsia"/>
          <w:sz w:val="30"/>
          <w:szCs w:val="30"/>
        </w:rPr>
        <w:t>～</w:t>
      </w:r>
      <w:r w:rsidRPr="00607BE1">
        <w:rPr>
          <w:rFonts w:hint="eastAsia"/>
          <w:sz w:val="30"/>
          <w:szCs w:val="30"/>
        </w:rPr>
        <w:t>400</w:t>
      </w:r>
      <w:r w:rsidRPr="00607BE1">
        <w:rPr>
          <w:sz w:val="30"/>
          <w:szCs w:val="30"/>
        </w:rPr>
        <w:t xml:space="preserve"> </w:t>
      </w:r>
      <w:proofErr w:type="gramStart"/>
      <w:r w:rsidRPr="00607BE1">
        <w:rPr>
          <w:rFonts w:hint="eastAsia"/>
          <w:sz w:val="30"/>
          <w:szCs w:val="30"/>
        </w:rPr>
        <w:t>倍</w:t>
      </w:r>
      <w:proofErr w:type="gramEnd"/>
      <w:r w:rsidRPr="00607BE1">
        <w:rPr>
          <w:rFonts w:hint="eastAsia"/>
          <w:sz w:val="30"/>
          <w:szCs w:val="30"/>
        </w:rPr>
        <w:t>液、</w:t>
      </w:r>
      <w:r w:rsidRPr="00607BE1">
        <w:rPr>
          <w:rFonts w:hint="eastAsia"/>
          <w:sz w:val="30"/>
          <w:szCs w:val="30"/>
        </w:rPr>
        <w:t>25%</w:t>
      </w:r>
      <w:bookmarkStart w:id="95" w:name="_Hlk95487189"/>
      <w:r w:rsidRPr="00607BE1">
        <w:rPr>
          <w:rFonts w:hint="eastAsia"/>
          <w:sz w:val="30"/>
          <w:szCs w:val="30"/>
        </w:rPr>
        <w:t>吡唑</w:t>
      </w:r>
      <w:proofErr w:type="gramStart"/>
      <w:r w:rsidRPr="00607BE1">
        <w:rPr>
          <w:rFonts w:hint="eastAsia"/>
          <w:sz w:val="30"/>
          <w:szCs w:val="30"/>
        </w:rPr>
        <w:t>醚菌酯</w:t>
      </w:r>
      <w:bookmarkEnd w:id="95"/>
      <w:proofErr w:type="gramEnd"/>
      <w:r w:rsidRPr="00607BE1">
        <w:rPr>
          <w:rFonts w:hint="eastAsia"/>
          <w:sz w:val="30"/>
          <w:szCs w:val="30"/>
        </w:rPr>
        <w:t>水剂</w:t>
      </w:r>
      <w:r w:rsidRPr="00607BE1">
        <w:rPr>
          <w:rFonts w:hint="eastAsia"/>
          <w:sz w:val="30"/>
          <w:szCs w:val="30"/>
        </w:rPr>
        <w:t>2000</w:t>
      </w:r>
      <w:r w:rsidRPr="00607BE1">
        <w:rPr>
          <w:rFonts w:hint="eastAsia"/>
          <w:sz w:val="30"/>
          <w:szCs w:val="30"/>
        </w:rPr>
        <w:t>倍液、</w:t>
      </w:r>
      <w:r w:rsidRPr="00607BE1">
        <w:rPr>
          <w:rFonts w:hint="eastAsia"/>
          <w:sz w:val="30"/>
          <w:szCs w:val="30"/>
        </w:rPr>
        <w:t xml:space="preserve">40% </w:t>
      </w:r>
      <w:r w:rsidRPr="00607BE1">
        <w:rPr>
          <w:rFonts w:hint="eastAsia"/>
          <w:sz w:val="30"/>
          <w:szCs w:val="30"/>
        </w:rPr>
        <w:t>五氯硝基苯可湿性粉剂</w:t>
      </w:r>
      <w:r w:rsidRPr="00607BE1">
        <w:rPr>
          <w:rFonts w:hint="eastAsia"/>
          <w:sz w:val="30"/>
          <w:szCs w:val="30"/>
        </w:rPr>
        <w:t xml:space="preserve"> 600 </w:t>
      </w:r>
      <w:proofErr w:type="gramStart"/>
      <w:r w:rsidRPr="00607BE1">
        <w:rPr>
          <w:rFonts w:hint="eastAsia"/>
          <w:sz w:val="30"/>
          <w:szCs w:val="30"/>
        </w:rPr>
        <w:t>倍</w:t>
      </w:r>
      <w:proofErr w:type="gramEnd"/>
      <w:r w:rsidRPr="00607BE1">
        <w:rPr>
          <w:rFonts w:hint="eastAsia"/>
          <w:sz w:val="30"/>
          <w:szCs w:val="30"/>
        </w:rPr>
        <w:t>液、</w:t>
      </w:r>
      <w:r w:rsidRPr="00607BE1">
        <w:rPr>
          <w:rFonts w:hint="eastAsia"/>
          <w:sz w:val="30"/>
          <w:szCs w:val="30"/>
        </w:rPr>
        <w:t>25%</w:t>
      </w:r>
      <w:proofErr w:type="gramStart"/>
      <w:r w:rsidRPr="00607BE1">
        <w:rPr>
          <w:rFonts w:hint="eastAsia"/>
          <w:sz w:val="30"/>
          <w:szCs w:val="30"/>
        </w:rPr>
        <w:t>咪</w:t>
      </w:r>
      <w:proofErr w:type="gramEnd"/>
      <w:r w:rsidRPr="00607BE1">
        <w:rPr>
          <w:rFonts w:hint="eastAsia"/>
          <w:sz w:val="30"/>
          <w:szCs w:val="30"/>
        </w:rPr>
        <w:t>鲜胺</w:t>
      </w:r>
      <w:r w:rsidRPr="00607BE1">
        <w:rPr>
          <w:rFonts w:hint="eastAsia"/>
          <w:sz w:val="30"/>
          <w:szCs w:val="30"/>
        </w:rPr>
        <w:t>500</w:t>
      </w:r>
      <w:r w:rsidRPr="00607BE1">
        <w:rPr>
          <w:rFonts w:hint="eastAsia"/>
          <w:sz w:val="30"/>
          <w:szCs w:val="30"/>
        </w:rPr>
        <w:t>倍液，每隔</w:t>
      </w:r>
      <w:r w:rsidRPr="00607BE1">
        <w:rPr>
          <w:rFonts w:hint="eastAsia"/>
          <w:sz w:val="30"/>
          <w:szCs w:val="30"/>
        </w:rPr>
        <w:t xml:space="preserve">5~7 </w:t>
      </w:r>
      <w:r>
        <w:rPr>
          <w:rFonts w:hint="eastAsia"/>
          <w:sz w:val="30"/>
          <w:szCs w:val="30"/>
        </w:rPr>
        <w:t>天</w:t>
      </w:r>
      <w:r w:rsidRPr="00607BE1">
        <w:rPr>
          <w:rFonts w:hint="eastAsia"/>
          <w:sz w:val="30"/>
          <w:szCs w:val="30"/>
        </w:rPr>
        <w:t>施用</w:t>
      </w:r>
      <w:r w:rsidRPr="00607BE1">
        <w:rPr>
          <w:rFonts w:hint="eastAsia"/>
          <w:sz w:val="30"/>
          <w:szCs w:val="30"/>
        </w:rPr>
        <w:t>1</w:t>
      </w:r>
      <w:r w:rsidRPr="00607BE1">
        <w:rPr>
          <w:rFonts w:hint="eastAsia"/>
          <w:sz w:val="30"/>
          <w:szCs w:val="30"/>
        </w:rPr>
        <w:t>次，连续使用</w:t>
      </w:r>
      <w:r w:rsidRPr="00607BE1">
        <w:rPr>
          <w:rFonts w:hint="eastAsia"/>
          <w:sz w:val="30"/>
          <w:szCs w:val="30"/>
        </w:rPr>
        <w:t>2~3</w:t>
      </w:r>
      <w:r w:rsidRPr="00607BE1">
        <w:rPr>
          <w:rFonts w:hint="eastAsia"/>
          <w:sz w:val="30"/>
          <w:szCs w:val="30"/>
        </w:rPr>
        <w:t>次。部分药剂联合施用效果更好，五氯硝基苯</w:t>
      </w:r>
      <w:r w:rsidRPr="00607BE1">
        <w:rPr>
          <w:rFonts w:hint="eastAsia"/>
          <w:sz w:val="30"/>
          <w:szCs w:val="30"/>
        </w:rPr>
        <w:t>+</w:t>
      </w:r>
      <w:proofErr w:type="gramStart"/>
      <w:r w:rsidRPr="00607BE1">
        <w:rPr>
          <w:rFonts w:hint="eastAsia"/>
          <w:sz w:val="30"/>
          <w:szCs w:val="30"/>
        </w:rPr>
        <w:t>醚菌酯</w:t>
      </w:r>
      <w:proofErr w:type="gramEnd"/>
      <w:r w:rsidRPr="00607BE1">
        <w:rPr>
          <w:rFonts w:hint="eastAsia"/>
          <w:sz w:val="30"/>
          <w:szCs w:val="30"/>
        </w:rPr>
        <w:t>复合药剂，戊</w:t>
      </w:r>
      <w:proofErr w:type="gramStart"/>
      <w:r w:rsidRPr="00607BE1">
        <w:rPr>
          <w:rFonts w:hint="eastAsia"/>
          <w:sz w:val="30"/>
          <w:szCs w:val="30"/>
        </w:rPr>
        <w:t>唑</w:t>
      </w:r>
      <w:proofErr w:type="gramEnd"/>
      <w:r w:rsidRPr="00607BE1">
        <w:rPr>
          <w:rFonts w:hint="eastAsia"/>
          <w:sz w:val="30"/>
          <w:szCs w:val="30"/>
        </w:rPr>
        <w:t>醇</w:t>
      </w:r>
      <w:r w:rsidRPr="00607BE1">
        <w:rPr>
          <w:rFonts w:hint="eastAsia"/>
          <w:sz w:val="30"/>
          <w:szCs w:val="30"/>
        </w:rPr>
        <w:t>+</w:t>
      </w:r>
      <w:r w:rsidRPr="00607BE1">
        <w:rPr>
          <w:rFonts w:hint="eastAsia"/>
          <w:sz w:val="30"/>
          <w:szCs w:val="30"/>
        </w:rPr>
        <w:t>吡唑</w:t>
      </w:r>
      <w:proofErr w:type="gramStart"/>
      <w:r w:rsidRPr="00607BE1">
        <w:rPr>
          <w:rFonts w:hint="eastAsia"/>
          <w:sz w:val="30"/>
          <w:szCs w:val="30"/>
        </w:rPr>
        <w:t>醚菌酯</w:t>
      </w:r>
      <w:proofErr w:type="gramEnd"/>
      <w:r w:rsidRPr="00607BE1">
        <w:rPr>
          <w:rFonts w:hint="eastAsia"/>
          <w:sz w:val="30"/>
          <w:szCs w:val="30"/>
        </w:rPr>
        <w:t>，吡唑</w:t>
      </w:r>
      <w:proofErr w:type="gramStart"/>
      <w:r w:rsidRPr="00607BE1">
        <w:rPr>
          <w:rFonts w:hint="eastAsia"/>
          <w:sz w:val="30"/>
          <w:szCs w:val="30"/>
        </w:rPr>
        <w:t>醚菌</w:t>
      </w:r>
      <w:r w:rsidRPr="00607BE1">
        <w:rPr>
          <w:rFonts w:hint="eastAsia"/>
          <w:sz w:val="30"/>
          <w:szCs w:val="30"/>
        </w:rPr>
        <w:t>酯</w:t>
      </w:r>
      <w:r w:rsidRPr="00607BE1">
        <w:rPr>
          <w:rFonts w:hint="eastAsia"/>
          <w:sz w:val="30"/>
          <w:szCs w:val="30"/>
        </w:rPr>
        <w:t>+</w:t>
      </w:r>
      <w:r w:rsidRPr="00607BE1">
        <w:rPr>
          <w:rFonts w:hint="eastAsia"/>
          <w:sz w:val="30"/>
          <w:szCs w:val="30"/>
        </w:rPr>
        <w:t>咪</w:t>
      </w:r>
      <w:proofErr w:type="gramEnd"/>
      <w:r w:rsidRPr="00607BE1">
        <w:rPr>
          <w:rFonts w:hint="eastAsia"/>
          <w:sz w:val="30"/>
          <w:szCs w:val="30"/>
        </w:rPr>
        <w:t>鲜胺的复合菌剂较好。</w:t>
      </w:r>
    </w:p>
    <w:p w14:paraId="012CAC89" w14:textId="77777777" w:rsidR="00C85101" w:rsidRPr="00607BE1" w:rsidRDefault="00E573FF">
      <w:pPr>
        <w:pStyle w:val="2"/>
        <w:spacing w:before="156" w:after="156"/>
        <w:rPr>
          <w:sz w:val="30"/>
          <w:szCs w:val="30"/>
        </w:rPr>
      </w:pPr>
      <w:bookmarkStart w:id="96" w:name="_Toc96332254"/>
      <w:bookmarkStart w:id="97" w:name="_Toc10928"/>
      <w:bookmarkStart w:id="98" w:name="_Toc30044"/>
      <w:bookmarkEnd w:id="93"/>
      <w:r w:rsidRPr="00607BE1">
        <w:rPr>
          <w:sz w:val="30"/>
          <w:szCs w:val="30"/>
        </w:rPr>
        <w:lastRenderedPageBreak/>
        <w:t xml:space="preserve">5.5 </w:t>
      </w:r>
      <w:r w:rsidRPr="00607BE1">
        <w:rPr>
          <w:rFonts w:hint="eastAsia"/>
          <w:sz w:val="30"/>
          <w:szCs w:val="30"/>
        </w:rPr>
        <w:t>绿色防控集成方案</w:t>
      </w:r>
      <w:bookmarkEnd w:id="96"/>
      <w:bookmarkEnd w:id="97"/>
      <w:bookmarkEnd w:id="98"/>
    </w:p>
    <w:p w14:paraId="29E3BFA4" w14:textId="75BEC3A0" w:rsidR="00C85101" w:rsidRPr="00607BE1" w:rsidRDefault="00E573FF">
      <w:pPr>
        <w:rPr>
          <w:sz w:val="30"/>
          <w:szCs w:val="30"/>
        </w:rPr>
      </w:pPr>
      <w:r w:rsidRPr="00607BE1">
        <w:rPr>
          <w:rFonts w:hint="eastAsia"/>
          <w:sz w:val="30"/>
          <w:szCs w:val="30"/>
        </w:rPr>
        <w:t>以预防为主，</w:t>
      </w:r>
      <w:r>
        <w:rPr>
          <w:rFonts w:hint="eastAsia"/>
          <w:sz w:val="30"/>
          <w:szCs w:val="30"/>
        </w:rPr>
        <w:t>防治结合，</w:t>
      </w:r>
      <w:r w:rsidRPr="00607BE1">
        <w:rPr>
          <w:rFonts w:hint="eastAsia"/>
          <w:sz w:val="30"/>
          <w:szCs w:val="30"/>
        </w:rPr>
        <w:t>综合防</w:t>
      </w:r>
      <w:r>
        <w:rPr>
          <w:rFonts w:hint="eastAsia"/>
          <w:sz w:val="30"/>
          <w:szCs w:val="30"/>
        </w:rPr>
        <w:t>控</w:t>
      </w:r>
      <w:r w:rsidRPr="00607BE1">
        <w:rPr>
          <w:rFonts w:hint="eastAsia"/>
          <w:sz w:val="30"/>
          <w:szCs w:val="30"/>
        </w:rPr>
        <w:t>。参见附录</w:t>
      </w:r>
      <w:r w:rsidRPr="00607BE1">
        <w:rPr>
          <w:rFonts w:hint="eastAsia"/>
          <w:sz w:val="30"/>
          <w:szCs w:val="30"/>
        </w:rPr>
        <w:t>C</w:t>
      </w:r>
      <w:r w:rsidRPr="00607BE1">
        <w:rPr>
          <w:rFonts w:hint="eastAsia"/>
          <w:sz w:val="30"/>
          <w:szCs w:val="30"/>
        </w:rPr>
        <w:t>。</w:t>
      </w:r>
    </w:p>
    <w:p w14:paraId="213BAF14" w14:textId="77777777" w:rsidR="00C85101" w:rsidRDefault="00C85101"/>
    <w:p w14:paraId="09B84F99" w14:textId="77777777" w:rsidR="00C85101" w:rsidRDefault="00C85101"/>
    <w:p w14:paraId="7ED25AAF" w14:textId="77777777" w:rsidR="00C85101" w:rsidRDefault="00C85101"/>
    <w:p w14:paraId="66EDF9AC" w14:textId="77777777" w:rsidR="00C85101" w:rsidRDefault="00C85101"/>
    <w:p w14:paraId="52903B16" w14:textId="77777777" w:rsidR="00C85101" w:rsidRDefault="00C85101"/>
    <w:p w14:paraId="0237A1A6" w14:textId="77777777" w:rsidR="00C85101" w:rsidRDefault="00C85101"/>
    <w:p w14:paraId="2B410AF0" w14:textId="77777777" w:rsidR="00C85101" w:rsidRDefault="00C85101"/>
    <w:p w14:paraId="794D646A" w14:textId="77777777" w:rsidR="00C85101" w:rsidRDefault="00C85101"/>
    <w:p w14:paraId="29123570" w14:textId="77777777" w:rsidR="00C85101" w:rsidRDefault="00C85101"/>
    <w:p w14:paraId="3A98D823" w14:textId="77777777" w:rsidR="00C85101" w:rsidRDefault="00C85101"/>
    <w:p w14:paraId="14A89760" w14:textId="77777777" w:rsidR="00C85101" w:rsidRDefault="00C85101"/>
    <w:p w14:paraId="22C3FD7E" w14:textId="77777777" w:rsidR="00C85101" w:rsidRDefault="00C85101"/>
    <w:p w14:paraId="53E0866A" w14:textId="77777777" w:rsidR="00C85101" w:rsidRDefault="00C85101"/>
    <w:p w14:paraId="679180D3" w14:textId="77777777" w:rsidR="00C85101" w:rsidRDefault="00C85101"/>
    <w:p w14:paraId="54080335" w14:textId="77777777" w:rsidR="00C85101" w:rsidRDefault="00C85101">
      <w:pPr>
        <w:pStyle w:val="1"/>
        <w:spacing w:before="312" w:after="312"/>
        <w:jc w:val="left"/>
        <w:rPr>
          <w:rFonts w:eastAsia="宋体"/>
          <w:color w:val="auto"/>
        </w:rPr>
        <w:sectPr w:rsidR="00C8510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99" w:name="_Toc96332255"/>
    </w:p>
    <w:p w14:paraId="526FD8F3" w14:textId="77777777" w:rsidR="00C85101" w:rsidRDefault="00E573FF">
      <w:pPr>
        <w:pStyle w:val="1"/>
        <w:spacing w:before="312" w:after="312"/>
        <w:jc w:val="left"/>
        <w:rPr>
          <w:rFonts w:eastAsia="宋体"/>
          <w:color w:val="auto"/>
        </w:rPr>
      </w:pPr>
      <w:r>
        <w:rPr>
          <w:rFonts w:eastAsia="宋体"/>
          <w:color w:val="auto"/>
        </w:rPr>
        <w:lastRenderedPageBreak/>
        <w:t>附</w:t>
      </w:r>
      <w:r>
        <w:rPr>
          <w:rFonts w:eastAsia="宋体"/>
          <w:color w:val="auto"/>
        </w:rPr>
        <w:t xml:space="preserve">  </w:t>
      </w:r>
      <w:r>
        <w:rPr>
          <w:rFonts w:eastAsia="宋体"/>
          <w:color w:val="auto"/>
        </w:rPr>
        <w:t>录</w:t>
      </w:r>
      <w:r>
        <w:rPr>
          <w:rFonts w:eastAsia="宋体"/>
          <w:color w:val="auto"/>
        </w:rPr>
        <w:t xml:space="preserve">  A</w:t>
      </w:r>
      <w:bookmarkEnd w:id="3"/>
      <w:bookmarkEnd w:id="4"/>
      <w:bookmarkEnd w:id="5"/>
      <w:bookmarkEnd w:id="6"/>
      <w:bookmarkEnd w:id="99"/>
    </w:p>
    <w:p w14:paraId="27E2D42C" w14:textId="77777777" w:rsidR="00C85101" w:rsidRPr="00607BE1" w:rsidRDefault="00E573FF">
      <w:pPr>
        <w:rPr>
          <w:b/>
          <w:bCs/>
        </w:rPr>
      </w:pPr>
      <w:r w:rsidRPr="00607BE1">
        <w:rPr>
          <w:rFonts w:hint="eastAsia"/>
          <w:b/>
          <w:bCs/>
        </w:rPr>
        <w:t>（资料性附录）</w:t>
      </w:r>
    </w:p>
    <w:p w14:paraId="43F2530F" w14:textId="77777777" w:rsidR="00C85101" w:rsidRPr="00607BE1" w:rsidRDefault="00E573FF">
      <w:pPr>
        <w:rPr>
          <w:b/>
          <w:bCs/>
        </w:rPr>
      </w:pPr>
      <w:r w:rsidRPr="00607BE1">
        <w:rPr>
          <w:rFonts w:hint="eastAsia"/>
          <w:b/>
          <w:bCs/>
        </w:rPr>
        <w:t>白绢病相关资料</w:t>
      </w:r>
    </w:p>
    <w:p w14:paraId="42692D55" w14:textId="77777777" w:rsidR="00C85101" w:rsidRDefault="00C85101"/>
    <w:p w14:paraId="57FCE946" w14:textId="77777777" w:rsidR="00C85101" w:rsidRDefault="00E573FF">
      <w:r>
        <w:t xml:space="preserve">A.1 </w:t>
      </w:r>
      <w:r>
        <w:t>分布地区</w:t>
      </w:r>
    </w:p>
    <w:p w14:paraId="1C8E02A4" w14:textId="77777777" w:rsidR="00C85101" w:rsidRDefault="00E573FF">
      <w:r>
        <w:t>在南方及长江中下游地区较为常见，辣椒白绢病的发病盛期在</w:t>
      </w:r>
      <w:r>
        <w:t>5-10</w:t>
      </w:r>
      <w:r>
        <w:t>月。夏季高温、高湿有利于发病；大雨或连阴雨后骤然放晴，气温迅速升高，田间湿度大，有利于病害流行；田块间连作田、低洼田、雨后积水、偏酸土壤的田块发病重；栽培上种植密度过高，偏施氮肥易发病。</w:t>
      </w:r>
    </w:p>
    <w:p w14:paraId="426AB8C2" w14:textId="77777777" w:rsidR="00C85101" w:rsidRDefault="00E573FF">
      <w:bookmarkStart w:id="100" w:name="OLE_LINK1"/>
      <w:r>
        <w:t xml:space="preserve">A.2 </w:t>
      </w:r>
      <w:r>
        <w:t>为害状</w:t>
      </w:r>
    </w:p>
    <w:bookmarkEnd w:id="100"/>
    <w:p w14:paraId="133EB230" w14:textId="77777777" w:rsidR="00C85101" w:rsidRDefault="00E573FF">
      <w:r>
        <w:t>辣椒白绢病主要危害辣椒植株的茎基部和根部。发病初期，在接近地面的茎基部表皮腐烂，出现暗褐色水渍状病斑，随后病部凹陷，表皮长出白色绢丝状菌丝体并呈辐射状向四周扩展（图</w:t>
      </w:r>
      <w:r>
        <w:t>1</w:t>
      </w:r>
      <w:r>
        <w:t>）。</w:t>
      </w:r>
      <w:proofErr w:type="gramStart"/>
      <w:r>
        <w:t>初期病健部</w:t>
      </w:r>
      <w:proofErr w:type="gramEnd"/>
      <w:r>
        <w:t>分界明显，病部以上叶片迅速萎蔫，叶色变黄、干枯脱落，最后根茎部腐烂，全株枯死。辣椒植株根部受害时皮层腐烂，病部产生稀疏白色菌丝，接近地面的辣椒也可被</w:t>
      </w:r>
      <w:proofErr w:type="gramStart"/>
      <w:r>
        <w:t>侵染</w:t>
      </w:r>
      <w:proofErr w:type="gramEnd"/>
      <w:r>
        <w:t>发病，发病后的辣椒果实呈软腐状，果面出现白色绢丝状菌丝体。</w:t>
      </w:r>
    </w:p>
    <w:p w14:paraId="67468864" w14:textId="77777777" w:rsidR="00C85101" w:rsidRDefault="00E573FF">
      <w:pPr>
        <w:jc w:val="center"/>
      </w:pPr>
      <w:r>
        <w:rPr>
          <w:noProof/>
        </w:rPr>
        <w:drawing>
          <wp:inline distT="0" distB="0" distL="0" distR="0" wp14:anchorId="7C7DC802" wp14:editId="006EFDED">
            <wp:extent cx="1795145" cy="2341245"/>
            <wp:effectExtent l="0" t="0" r="146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7EB63EF" w14:textId="77777777" w:rsidR="00C85101" w:rsidRDefault="00E573FF">
      <w:pPr>
        <w:jc w:val="center"/>
      </w:pPr>
      <w:r>
        <w:t>图</w:t>
      </w:r>
      <w:r>
        <w:t xml:space="preserve">1 </w:t>
      </w:r>
      <w:r>
        <w:t>辣椒白绢病发病早期茎基部图</w:t>
      </w:r>
    </w:p>
    <w:p w14:paraId="3C65881D" w14:textId="77777777" w:rsidR="00C85101" w:rsidRDefault="00E573FF">
      <w:r>
        <w:t xml:space="preserve">A.3 </w:t>
      </w:r>
      <w:r>
        <w:t>病害易发的主要因素</w:t>
      </w:r>
    </w:p>
    <w:p w14:paraId="1E239488" w14:textId="77777777" w:rsidR="00C85101" w:rsidRDefault="00E573FF">
      <w:r>
        <w:t>温、湿度。白绢病的发生需要高温高湿的环境，因而在夏季</w:t>
      </w:r>
      <w:r>
        <w:t>6</w:t>
      </w:r>
      <w:r>
        <w:t>-10</w:t>
      </w:r>
      <w:r>
        <w:rPr>
          <w:rFonts w:hint="eastAsia"/>
        </w:rPr>
        <w:t>月</w:t>
      </w:r>
      <w:r>
        <w:t>较为常见，其中国尤以</w:t>
      </w:r>
      <w:r>
        <w:t>7-8</w:t>
      </w:r>
      <w:r>
        <w:t>月为盛。</w:t>
      </w:r>
    </w:p>
    <w:p w14:paraId="5605F0A2" w14:textId="77777777" w:rsidR="00C85101" w:rsidRDefault="00E573FF">
      <w:r>
        <w:t>连作。白绢病是土传真菌病害，病原长期留存在土壤中，特别是有白绢病史的农田</w:t>
      </w:r>
      <w:r>
        <w:rPr>
          <w:rFonts w:hint="eastAsia"/>
        </w:rPr>
        <w:t>更容易发病</w:t>
      </w:r>
      <w:r>
        <w:t>。</w:t>
      </w:r>
    </w:p>
    <w:p w14:paraId="3CED5EC7" w14:textId="505EDCC1" w:rsidR="00C85101" w:rsidRDefault="00E573FF">
      <w:r>
        <w:t>地势。在平原、丘陵地区更容易发生，山地或坡地则不易发病，常见于低洼地区，排水不畅，土壤</w:t>
      </w:r>
      <w:r>
        <w:rPr>
          <w:rFonts w:hint="eastAsia"/>
        </w:rPr>
        <w:t>含水率高</w:t>
      </w:r>
      <w:r>
        <w:t>的地块。</w:t>
      </w:r>
    </w:p>
    <w:p w14:paraId="7959CFA8" w14:textId="6247B360" w:rsidR="00C85101" w:rsidRDefault="00E573FF">
      <w:r>
        <w:t>土质和栽培方式。在</w:t>
      </w:r>
      <w:r>
        <w:t>粘土</w:t>
      </w:r>
      <w:r>
        <w:rPr>
          <w:rFonts w:hint="eastAsia"/>
        </w:rPr>
        <w:t>等</w:t>
      </w:r>
      <w:r>
        <w:t>贫瘠土</w:t>
      </w:r>
      <w:r>
        <w:rPr>
          <w:rFonts w:hint="eastAsia"/>
        </w:rPr>
        <w:t>壤</w:t>
      </w:r>
      <w:r>
        <w:t>中更容易发生，栽培中施肥过少或偏施氮肥易发病，栽培过密不透风易发病。</w:t>
      </w:r>
    </w:p>
    <w:p w14:paraId="0580584C" w14:textId="77777777" w:rsidR="00C85101" w:rsidRDefault="00E573FF">
      <w:r>
        <w:t>A.4</w:t>
      </w:r>
      <w:r>
        <w:t>传播途径</w:t>
      </w:r>
    </w:p>
    <w:p w14:paraId="27C7FD41" w14:textId="77777777" w:rsidR="00C85101" w:rsidRDefault="00E573FF">
      <w:r>
        <w:t>该病以菌核在土壤或混杂在种子里过冬。翌年当气候条件适宜时，菌核长出菌丝从辣椒根部或根茎部侵入为害，使植株茎基部组织腐烂，病株周围土壤中的菌丝可沿着</w:t>
      </w:r>
      <w:r>
        <w:t>地表蔓延到邻近植株上，造成病害的扩展蔓延。</w:t>
      </w:r>
      <w:r>
        <w:t xml:space="preserve"> </w:t>
      </w:r>
      <w:r>
        <w:t>菌核也可随雨水、灌溉传播。</w:t>
      </w:r>
      <w:r>
        <w:t xml:space="preserve"> </w:t>
      </w:r>
      <w:r>
        <w:t>辣椒种子带菌是远距离传播的主要途径。</w:t>
      </w:r>
    </w:p>
    <w:p w14:paraId="3E4B6F72" w14:textId="77777777" w:rsidR="00C85101" w:rsidRDefault="00E573FF">
      <w:pPr>
        <w:pStyle w:val="1"/>
        <w:spacing w:before="312" w:after="312"/>
        <w:rPr>
          <w:rFonts w:eastAsia="宋体"/>
          <w:color w:val="auto"/>
        </w:rPr>
      </w:pPr>
      <w:bookmarkStart w:id="101" w:name="_Toc96332256"/>
      <w:r>
        <w:rPr>
          <w:rFonts w:eastAsia="宋体"/>
          <w:color w:val="auto"/>
        </w:rPr>
        <w:lastRenderedPageBreak/>
        <w:t>附</w:t>
      </w:r>
      <w:r>
        <w:rPr>
          <w:rFonts w:eastAsia="宋体"/>
          <w:color w:val="auto"/>
        </w:rPr>
        <w:t xml:space="preserve">  </w:t>
      </w:r>
      <w:r>
        <w:rPr>
          <w:rFonts w:eastAsia="宋体"/>
          <w:color w:val="auto"/>
        </w:rPr>
        <w:t>录</w:t>
      </w:r>
      <w:r>
        <w:rPr>
          <w:rFonts w:eastAsia="宋体"/>
          <w:color w:val="auto"/>
        </w:rPr>
        <w:t xml:space="preserve">  B</w:t>
      </w:r>
      <w:bookmarkEnd w:id="101"/>
    </w:p>
    <w:p w14:paraId="6EFF312B" w14:textId="77777777" w:rsidR="00C85101" w:rsidRDefault="00E573FF">
      <w:pPr>
        <w:rPr>
          <w:b/>
          <w:bCs/>
        </w:rPr>
      </w:pPr>
      <w:r>
        <w:rPr>
          <w:b/>
          <w:bCs/>
        </w:rPr>
        <w:t>（资料性附录）</w:t>
      </w:r>
    </w:p>
    <w:p w14:paraId="4F0E26C5" w14:textId="77777777" w:rsidR="00C85101" w:rsidRDefault="00E573FF">
      <w:pPr>
        <w:rPr>
          <w:b/>
          <w:bCs/>
        </w:rPr>
      </w:pPr>
      <w:r>
        <w:rPr>
          <w:b/>
          <w:bCs/>
        </w:rPr>
        <w:t>白绢病</w:t>
      </w:r>
      <w:r>
        <w:rPr>
          <w:rFonts w:hint="eastAsia"/>
          <w:b/>
          <w:bCs/>
        </w:rPr>
        <w:t>防治农药</w:t>
      </w:r>
    </w:p>
    <w:p w14:paraId="6CF23FFC" w14:textId="77777777" w:rsidR="00C85101" w:rsidRDefault="00C85101"/>
    <w:p w14:paraId="248DA062" w14:textId="26C64560" w:rsidR="00C85101" w:rsidRDefault="00E573FF">
      <w:r>
        <w:t>辣椒白绢病生物农药及低毒化学农药防治方案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501"/>
        <w:gridCol w:w="1618"/>
        <w:gridCol w:w="1742"/>
        <w:gridCol w:w="1538"/>
      </w:tblGrid>
      <w:tr w:rsidR="00C85101" w14:paraId="54C1CC72" w14:textId="77777777">
        <w:trPr>
          <w:trHeight w:val="318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9090" w14:textId="77777777" w:rsidR="00C85101" w:rsidRDefault="00E573FF">
            <w:r>
              <w:t>防治药剂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D0A9" w14:textId="77777777" w:rsidR="00C85101" w:rsidRDefault="00E573FF">
            <w:r>
              <w:t>有效含量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AFE5" w14:textId="77777777" w:rsidR="00C85101" w:rsidRDefault="00E573FF">
            <w:r>
              <w:t>使用剂量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CF7E" w14:textId="77777777" w:rsidR="00C85101" w:rsidRDefault="00E573FF">
            <w:r>
              <w:t>使用方法</w:t>
            </w:r>
          </w:p>
        </w:tc>
      </w:tr>
      <w:tr w:rsidR="00C85101" w14:paraId="4E4BEA0A" w14:textId="77777777">
        <w:trPr>
          <w:trHeight w:val="318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9AF" w14:textId="77777777" w:rsidR="00C85101" w:rsidRDefault="00E573FF">
            <w:r>
              <w:t>哈</w:t>
            </w:r>
            <w:proofErr w:type="gramStart"/>
            <w:r>
              <w:t>茨</w:t>
            </w:r>
            <w:proofErr w:type="gramEnd"/>
            <w:r>
              <w:t>木霉菌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3C77" w14:textId="77777777" w:rsidR="00C85101" w:rsidRDefault="00E573FF">
            <w:r>
              <w:t>3</w:t>
            </w:r>
            <w:r>
              <w:t>亿</w:t>
            </w:r>
            <w:r>
              <w:t>CFU/</w:t>
            </w:r>
            <w:r>
              <w:t>克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7C6B" w14:textId="77777777" w:rsidR="00C85101" w:rsidRDefault="00E573FF">
            <w:r>
              <w:t>200-250</w:t>
            </w:r>
            <w:r>
              <w:t>倍液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F0E2" w14:textId="77777777" w:rsidR="00C85101" w:rsidRDefault="00E573FF">
            <w:r>
              <w:t>灌根、喷施</w:t>
            </w:r>
          </w:p>
        </w:tc>
      </w:tr>
      <w:tr w:rsidR="00C85101" w14:paraId="59F3FC92" w14:textId="77777777">
        <w:trPr>
          <w:trHeight w:val="318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569A" w14:textId="77777777" w:rsidR="00C85101" w:rsidRDefault="00E573FF">
            <w:r>
              <w:t>井冈霉素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2B09" w14:textId="77777777" w:rsidR="00C85101" w:rsidRDefault="00E573FF">
            <w:r>
              <w:t>16%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D0FB" w14:textId="77777777" w:rsidR="00C85101" w:rsidRDefault="00E573FF">
            <w:r>
              <w:t>150-200</w:t>
            </w:r>
            <w:r>
              <w:t>克</w:t>
            </w:r>
            <w:r>
              <w:t>/</w:t>
            </w:r>
            <w:r>
              <w:t>亩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2FC8" w14:textId="77777777" w:rsidR="00C85101" w:rsidRDefault="00E573FF">
            <w:r>
              <w:t>灌根、喷施</w:t>
            </w:r>
          </w:p>
        </w:tc>
      </w:tr>
      <w:tr w:rsidR="00C85101" w14:paraId="193315EF" w14:textId="77777777">
        <w:trPr>
          <w:trHeight w:val="318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62FB" w14:textId="77777777" w:rsidR="00C85101" w:rsidRDefault="00E573FF">
            <w:r>
              <w:t>多抗霉素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E6E9" w14:textId="77777777" w:rsidR="00C85101" w:rsidRDefault="00E573FF">
            <w:r>
              <w:t>10%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6D89" w14:textId="77777777" w:rsidR="00C85101" w:rsidRDefault="00E573FF">
            <w:r>
              <w:t>800-900</w:t>
            </w:r>
            <w:r>
              <w:t>倍液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F06C" w14:textId="77777777" w:rsidR="00C85101" w:rsidRDefault="00E573FF">
            <w:r>
              <w:t>灌根、喷施</w:t>
            </w:r>
          </w:p>
        </w:tc>
      </w:tr>
      <w:tr w:rsidR="00C85101" w14:paraId="3EC75AB9" w14:textId="77777777">
        <w:trPr>
          <w:trHeight w:val="318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3C3B" w14:textId="77777777" w:rsidR="00C85101" w:rsidRDefault="00E573FF">
            <w:r>
              <w:t>农抗</w:t>
            </w:r>
            <w:r>
              <w:t>120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7C13" w14:textId="77777777" w:rsidR="00C85101" w:rsidRDefault="00E573FF">
            <w:r>
              <w:t>4%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BA2C" w14:textId="77777777" w:rsidR="00C85101" w:rsidRDefault="00E573FF">
            <w:r>
              <w:t>100</w:t>
            </w:r>
            <w:r>
              <w:t>倍液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F895" w14:textId="77777777" w:rsidR="00C85101" w:rsidRDefault="00E573FF">
            <w:r>
              <w:t>浸种</w:t>
            </w:r>
          </w:p>
        </w:tc>
      </w:tr>
      <w:tr w:rsidR="00C85101" w14:paraId="32297CD5" w14:textId="77777777">
        <w:trPr>
          <w:trHeight w:val="318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48F2" w14:textId="77777777" w:rsidR="00C85101" w:rsidRDefault="00E573FF">
            <w:proofErr w:type="gramStart"/>
            <w:r>
              <w:t>噻呋</w:t>
            </w:r>
            <w:proofErr w:type="gramEnd"/>
            <w:r>
              <w:t>酰胺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284F" w14:textId="77777777" w:rsidR="00C85101" w:rsidRDefault="00E573FF">
            <w:r>
              <w:t>0.15%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219D" w14:textId="77777777" w:rsidR="00C85101" w:rsidRDefault="00E573FF">
            <w:r>
              <w:t>10-13</w:t>
            </w:r>
            <w:r>
              <w:t>千克</w:t>
            </w:r>
            <w:r>
              <w:t>/</w:t>
            </w:r>
            <w:r>
              <w:t>亩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4AE1" w14:textId="77777777" w:rsidR="00C85101" w:rsidRDefault="00E573FF">
            <w:r>
              <w:t>灌根、喷施</w:t>
            </w:r>
          </w:p>
        </w:tc>
      </w:tr>
      <w:tr w:rsidR="00C85101" w14:paraId="73F38ACD" w14:textId="77777777">
        <w:trPr>
          <w:trHeight w:val="318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C676" w14:textId="77777777" w:rsidR="00C85101" w:rsidRDefault="00E573FF">
            <w:r>
              <w:t>戊</w:t>
            </w:r>
            <w:proofErr w:type="gramStart"/>
            <w:r>
              <w:t>唑</w:t>
            </w:r>
            <w:proofErr w:type="gramEnd"/>
            <w:r>
              <w:t>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A593" w14:textId="77777777" w:rsidR="00C85101" w:rsidRDefault="00E573FF">
            <w:r>
              <w:t>25%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CEA5" w14:textId="77777777" w:rsidR="00C85101" w:rsidRDefault="00E573FF">
            <w:r>
              <w:t>2000-3000</w:t>
            </w:r>
            <w:r>
              <w:t>倍液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6C68" w14:textId="77777777" w:rsidR="00C85101" w:rsidRDefault="00E573FF">
            <w:r>
              <w:t>灌根、喷施</w:t>
            </w:r>
          </w:p>
        </w:tc>
      </w:tr>
      <w:tr w:rsidR="00C85101" w14:paraId="4E16222F" w14:textId="77777777">
        <w:trPr>
          <w:trHeight w:val="318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BD14" w14:textId="77777777" w:rsidR="00C85101" w:rsidRDefault="00E573FF">
            <w:proofErr w:type="gramStart"/>
            <w:r>
              <w:t>嘧菌酯</w:t>
            </w:r>
            <w:proofErr w:type="gram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839B" w14:textId="77777777" w:rsidR="00C85101" w:rsidRDefault="00E573FF">
            <w:r>
              <w:t>250</w:t>
            </w:r>
            <w:r>
              <w:t>克</w:t>
            </w:r>
            <w:r>
              <w:t>/</w:t>
            </w:r>
            <w:r>
              <w:t>升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94E5" w14:textId="77777777" w:rsidR="00C85101" w:rsidRDefault="00E573FF">
            <w:r>
              <w:t>40-60</w:t>
            </w:r>
            <w:r>
              <w:t>克</w:t>
            </w:r>
            <w:r>
              <w:t>/</w:t>
            </w:r>
            <w:r>
              <w:t>亩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E8E3" w14:textId="77777777" w:rsidR="00C85101" w:rsidRDefault="00E573FF">
            <w:r>
              <w:t>灌根、喷施</w:t>
            </w:r>
          </w:p>
        </w:tc>
      </w:tr>
      <w:tr w:rsidR="00C85101" w14:paraId="350A535D" w14:textId="77777777">
        <w:trPr>
          <w:trHeight w:val="318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371F" w14:textId="77777777" w:rsidR="00C85101" w:rsidRDefault="00E573FF">
            <w:proofErr w:type="gramStart"/>
            <w:r>
              <w:t>恶霉灵</w:t>
            </w:r>
            <w:proofErr w:type="gram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7621" w14:textId="77777777" w:rsidR="00C85101" w:rsidRDefault="00E573FF">
            <w:r>
              <w:t> 15%</w:t>
            </w:r>
            <w:r>
              <w:t>水剂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AFF9" w14:textId="77777777" w:rsidR="00C85101" w:rsidRDefault="00E573FF">
            <w:r>
              <w:t>300</w:t>
            </w:r>
            <w:r>
              <w:t>～</w:t>
            </w:r>
            <w:r>
              <w:t xml:space="preserve">400 </w:t>
            </w:r>
            <w:proofErr w:type="gramStart"/>
            <w:r>
              <w:t>倍</w:t>
            </w:r>
            <w:proofErr w:type="gramEnd"/>
            <w:r>
              <w:t>液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B116" w14:textId="77777777" w:rsidR="00C85101" w:rsidRDefault="00E573FF">
            <w:r>
              <w:t>灌根、喷施</w:t>
            </w:r>
          </w:p>
        </w:tc>
      </w:tr>
      <w:tr w:rsidR="00C85101" w14:paraId="7E5CEB7D" w14:textId="77777777">
        <w:trPr>
          <w:trHeight w:val="318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DD5E" w14:textId="77777777" w:rsidR="00C85101" w:rsidRDefault="00E573FF">
            <w:r>
              <w:t>吡唑</w:t>
            </w:r>
            <w:proofErr w:type="gramStart"/>
            <w:r>
              <w:t>醚菌酯</w:t>
            </w:r>
            <w:proofErr w:type="gram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3D09" w14:textId="77777777" w:rsidR="00C85101" w:rsidRDefault="00E573FF">
            <w:r>
              <w:t>25%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4C99" w14:textId="77777777" w:rsidR="00C85101" w:rsidRDefault="00E573FF">
            <w:r>
              <w:t>2000</w:t>
            </w:r>
            <w:r>
              <w:t>倍液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6A9C" w14:textId="77777777" w:rsidR="00C85101" w:rsidRDefault="00E573FF">
            <w:r>
              <w:t>灌根、喷施</w:t>
            </w:r>
          </w:p>
        </w:tc>
      </w:tr>
      <w:tr w:rsidR="00C85101" w14:paraId="3AB48B90" w14:textId="77777777">
        <w:trPr>
          <w:trHeight w:val="318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0E53" w14:textId="77777777" w:rsidR="00C85101" w:rsidRDefault="00E573FF">
            <w:r>
              <w:t>五氯硝基苯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5FFE" w14:textId="77777777" w:rsidR="00C85101" w:rsidRDefault="00E573FF">
            <w:r>
              <w:t>40%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64F2" w14:textId="77777777" w:rsidR="00C85101" w:rsidRDefault="00E573FF">
            <w:r>
              <w:t>600</w:t>
            </w:r>
            <w:r>
              <w:t>倍液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714D" w14:textId="77777777" w:rsidR="00C85101" w:rsidRDefault="00E573FF">
            <w:r>
              <w:t>灌根、喷施</w:t>
            </w:r>
          </w:p>
        </w:tc>
      </w:tr>
    </w:tbl>
    <w:p w14:paraId="3B5ADF11" w14:textId="77777777" w:rsidR="00C85101" w:rsidRDefault="00E573FF">
      <w:pPr>
        <w:pStyle w:val="1"/>
        <w:spacing w:before="312" w:after="312"/>
        <w:rPr>
          <w:rFonts w:eastAsia="宋体"/>
          <w:color w:val="auto"/>
        </w:rPr>
      </w:pPr>
      <w:r>
        <w:rPr>
          <w:rFonts w:eastAsia="宋体"/>
          <w:color w:val="auto"/>
        </w:rPr>
        <w:br w:type="page"/>
      </w:r>
      <w:bookmarkStart w:id="102" w:name="_Toc10430"/>
      <w:bookmarkStart w:id="103" w:name="_Toc46222895"/>
      <w:bookmarkStart w:id="104" w:name="_Toc29809"/>
      <w:bookmarkStart w:id="105" w:name="_Toc20188"/>
      <w:bookmarkStart w:id="106" w:name="_Toc96332257"/>
      <w:r>
        <w:rPr>
          <w:rFonts w:eastAsia="宋体"/>
          <w:color w:val="auto"/>
        </w:rPr>
        <w:lastRenderedPageBreak/>
        <w:t>附</w:t>
      </w:r>
      <w:r>
        <w:rPr>
          <w:rFonts w:eastAsia="宋体"/>
          <w:color w:val="auto"/>
        </w:rPr>
        <w:t xml:space="preserve">  </w:t>
      </w:r>
      <w:r>
        <w:rPr>
          <w:rFonts w:eastAsia="宋体"/>
          <w:color w:val="auto"/>
        </w:rPr>
        <w:t>录</w:t>
      </w:r>
      <w:r>
        <w:rPr>
          <w:rFonts w:eastAsia="宋体"/>
          <w:color w:val="auto"/>
        </w:rPr>
        <w:t xml:space="preserve">  </w:t>
      </w:r>
      <w:bookmarkEnd w:id="102"/>
      <w:bookmarkEnd w:id="103"/>
      <w:bookmarkEnd w:id="104"/>
      <w:bookmarkEnd w:id="105"/>
      <w:r>
        <w:rPr>
          <w:rFonts w:eastAsia="宋体"/>
          <w:color w:val="auto"/>
        </w:rPr>
        <w:t>C</w:t>
      </w:r>
      <w:bookmarkEnd w:id="106"/>
    </w:p>
    <w:p w14:paraId="282C5B28" w14:textId="77777777" w:rsidR="00C85101" w:rsidRPr="00607BE1" w:rsidRDefault="00E573FF">
      <w:pPr>
        <w:rPr>
          <w:b/>
          <w:bCs/>
        </w:rPr>
      </w:pPr>
      <w:r w:rsidRPr="00607BE1">
        <w:rPr>
          <w:rFonts w:hint="eastAsia"/>
          <w:b/>
          <w:bCs/>
        </w:rPr>
        <w:t>（规范性附录）</w:t>
      </w:r>
    </w:p>
    <w:p w14:paraId="67546F3D" w14:textId="77777777" w:rsidR="00C85101" w:rsidRPr="00607BE1" w:rsidRDefault="00E573FF">
      <w:pPr>
        <w:rPr>
          <w:b/>
          <w:bCs/>
        </w:rPr>
      </w:pPr>
      <w:r w:rsidRPr="00607BE1">
        <w:rPr>
          <w:rFonts w:hint="eastAsia"/>
          <w:b/>
          <w:bCs/>
        </w:rPr>
        <w:t>绿色防控技术集成</w:t>
      </w:r>
    </w:p>
    <w:p w14:paraId="2D3C732B" w14:textId="77777777" w:rsidR="00C85101" w:rsidRDefault="00C85101"/>
    <w:p w14:paraId="031B03B4" w14:textId="77777777" w:rsidR="00C85101" w:rsidRDefault="00E573FF">
      <w:r>
        <w:t>由于白绢病害是土传真菌病害，在绿色循环农业的背景下，当前尚无特效药剂，主要防控方式是</w:t>
      </w:r>
      <w:r>
        <w:t>“</w:t>
      </w:r>
      <w:r>
        <w:t>以防为主，防治结合</w:t>
      </w:r>
      <w:r>
        <w:t>”</w:t>
      </w:r>
      <w:r>
        <w:t>，具体方案如下：</w:t>
      </w:r>
    </w:p>
    <w:tbl>
      <w:tblPr>
        <w:tblW w:w="9038" w:type="dxa"/>
        <w:tblInd w:w="-5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305"/>
        <w:gridCol w:w="1380"/>
        <w:gridCol w:w="5168"/>
      </w:tblGrid>
      <w:tr w:rsidR="00C85101" w14:paraId="41A926F7" w14:textId="77777777">
        <w:trPr>
          <w:trHeight w:val="537"/>
        </w:trPr>
        <w:tc>
          <w:tcPr>
            <w:tcW w:w="1185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69C404" w14:textId="77777777" w:rsidR="00C85101" w:rsidRDefault="00E573FF">
            <w:r>
              <w:t>病害情况</w:t>
            </w:r>
          </w:p>
        </w:tc>
        <w:tc>
          <w:tcPr>
            <w:tcW w:w="785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91AD10" w14:textId="77777777" w:rsidR="00C85101" w:rsidRDefault="00E573FF">
            <w:r>
              <w:t>主要策略及措施</w:t>
            </w:r>
          </w:p>
        </w:tc>
      </w:tr>
      <w:tr w:rsidR="00C85101" w14:paraId="0F12057B" w14:textId="77777777">
        <w:trPr>
          <w:trHeight w:val="270"/>
        </w:trPr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4897CB" w14:textId="77777777" w:rsidR="00C85101" w:rsidRDefault="00E573FF">
            <w:r>
              <w:t>无病时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F3F3DB" w14:textId="77777777" w:rsidR="00C85101" w:rsidRDefault="00E573FF">
            <w:r>
              <w:t>预防为主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DED95F" w14:textId="77777777" w:rsidR="00C85101" w:rsidRDefault="00E573FF">
            <w:r>
              <w:t>土壤改良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45EFEC" w14:textId="77777777" w:rsidR="00C85101" w:rsidRDefault="00E573FF">
            <w:r>
              <w:t>添加谷壳、腐熟的粪肥、种过蘑菇的锯木屑等作为改良剂加到土壤中，改善土壤质地、营养状况、碳氮比等以此降低土壤病菌发病率。冬季绿肥还田，提升土壤和改善土壤地力及微生物环境。</w:t>
            </w:r>
          </w:p>
        </w:tc>
      </w:tr>
      <w:tr w:rsidR="00C85101" w14:paraId="5893ED88" w14:textId="77777777">
        <w:trPr>
          <w:trHeight w:val="270"/>
        </w:trPr>
        <w:tc>
          <w:tcPr>
            <w:tcW w:w="1185" w:type="dxa"/>
            <w:vMerge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416903DE" w14:textId="77777777" w:rsidR="00C85101" w:rsidRDefault="00C85101"/>
        </w:tc>
        <w:tc>
          <w:tcPr>
            <w:tcW w:w="1305" w:type="dxa"/>
            <w:vMerge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4C640B9" w14:textId="77777777" w:rsidR="00C85101" w:rsidRDefault="00C85101"/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ADFAAE" w14:textId="77777777" w:rsidR="00C85101" w:rsidRDefault="00E573FF">
            <w:r>
              <w:t>抗性品种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76E09E" w14:textId="77777777" w:rsidR="00C85101" w:rsidRDefault="00E573FF">
            <w:r>
              <w:t>根据当地气候、市场环境选择适宜的抗性品种，一般田间品种的种植需要考虑多种病害的综合耐受性和抗性，一般情况下病害的综合耐受性，尖椒＞</w:t>
            </w:r>
            <w:r>
              <w:t xml:space="preserve"> </w:t>
            </w:r>
            <w:r>
              <w:t>甜柿</w:t>
            </w:r>
            <w:proofErr w:type="gramStart"/>
            <w:r>
              <w:t>椒</w:t>
            </w:r>
            <w:proofErr w:type="gramEnd"/>
            <w:r>
              <w:t>；簇生</w:t>
            </w:r>
            <w:proofErr w:type="gramStart"/>
            <w:r>
              <w:t>椒</w:t>
            </w:r>
            <w:proofErr w:type="gramEnd"/>
            <w:r>
              <w:t>类＞</w:t>
            </w:r>
            <w:r>
              <w:t xml:space="preserve"> </w:t>
            </w:r>
            <w:r>
              <w:t>长</w:t>
            </w:r>
            <w:proofErr w:type="gramStart"/>
            <w:r>
              <w:t>椒</w:t>
            </w:r>
            <w:proofErr w:type="gramEnd"/>
            <w:r>
              <w:t>类</w:t>
            </w:r>
            <w:r>
              <w:t xml:space="preserve"> </w:t>
            </w:r>
            <w:r>
              <w:t>＞</w:t>
            </w:r>
            <w:r>
              <w:t xml:space="preserve"> </w:t>
            </w:r>
            <w:r>
              <w:t>甜柿</w:t>
            </w:r>
            <w:proofErr w:type="gramStart"/>
            <w:r>
              <w:t>椒</w:t>
            </w:r>
            <w:proofErr w:type="gramEnd"/>
            <w:r>
              <w:t>。</w:t>
            </w:r>
          </w:p>
        </w:tc>
      </w:tr>
      <w:tr w:rsidR="00C85101" w14:paraId="661DC89E" w14:textId="77777777">
        <w:trPr>
          <w:trHeight w:val="402"/>
        </w:trPr>
        <w:tc>
          <w:tcPr>
            <w:tcW w:w="1185" w:type="dxa"/>
            <w:vMerge/>
            <w:tcBorders>
              <w:left w:val="nil"/>
              <w:right w:val="nil"/>
            </w:tcBorders>
            <w:noWrap/>
            <w:vAlign w:val="center"/>
          </w:tcPr>
          <w:p w14:paraId="3E0C55F8" w14:textId="77777777" w:rsidR="00C85101" w:rsidRDefault="00C85101"/>
        </w:tc>
        <w:tc>
          <w:tcPr>
            <w:tcW w:w="1305" w:type="dxa"/>
            <w:vMerge/>
            <w:tcBorders>
              <w:left w:val="nil"/>
              <w:right w:val="nil"/>
            </w:tcBorders>
            <w:noWrap/>
            <w:vAlign w:val="center"/>
          </w:tcPr>
          <w:p w14:paraId="7A4AE395" w14:textId="77777777" w:rsidR="00C85101" w:rsidRDefault="00C85101"/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09B8D3" w14:textId="77777777" w:rsidR="00C85101" w:rsidRDefault="00E573FF">
            <w:r>
              <w:t>农艺措施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044D7E" w14:textId="77777777" w:rsidR="00C85101" w:rsidRDefault="00E573FF">
            <w:r>
              <w:t>深耕翻土；高起垄；合理密植；适时中耕，除草，松土。</w:t>
            </w:r>
          </w:p>
        </w:tc>
      </w:tr>
      <w:tr w:rsidR="00C85101" w14:paraId="59DD3E5F" w14:textId="77777777">
        <w:trPr>
          <w:trHeight w:val="519"/>
        </w:trPr>
        <w:tc>
          <w:tcPr>
            <w:tcW w:w="1185" w:type="dxa"/>
            <w:vMerge/>
            <w:tcBorders>
              <w:left w:val="nil"/>
              <w:right w:val="nil"/>
            </w:tcBorders>
            <w:noWrap/>
            <w:vAlign w:val="center"/>
          </w:tcPr>
          <w:p w14:paraId="1FA63A2E" w14:textId="77777777" w:rsidR="00C85101" w:rsidRDefault="00C85101"/>
        </w:tc>
        <w:tc>
          <w:tcPr>
            <w:tcW w:w="1305" w:type="dxa"/>
            <w:vMerge/>
            <w:tcBorders>
              <w:left w:val="nil"/>
              <w:right w:val="nil"/>
            </w:tcBorders>
            <w:noWrap/>
            <w:vAlign w:val="center"/>
          </w:tcPr>
          <w:p w14:paraId="4712B5F3" w14:textId="77777777" w:rsidR="00C85101" w:rsidRDefault="00C85101"/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DB10CE" w14:textId="77777777" w:rsidR="00C85101" w:rsidRDefault="00E573FF">
            <w:r>
              <w:t>肥水管理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208D64" w14:textId="77777777" w:rsidR="00C85101" w:rsidRDefault="00E573FF">
            <w:r>
              <w:t>合理施肥，</w:t>
            </w:r>
            <w:proofErr w:type="gramStart"/>
            <w:r>
              <w:t>切忌偏氮施肥</w:t>
            </w:r>
            <w:proofErr w:type="gramEnd"/>
            <w:r>
              <w:t>，合理补充钙镁等中微量元素；</w:t>
            </w:r>
          </w:p>
        </w:tc>
      </w:tr>
      <w:tr w:rsidR="00C85101" w14:paraId="52AA123D" w14:textId="77777777">
        <w:trPr>
          <w:trHeight w:val="270"/>
        </w:trPr>
        <w:tc>
          <w:tcPr>
            <w:tcW w:w="1185" w:type="dxa"/>
            <w:vMerge/>
            <w:tcBorders>
              <w:left w:val="nil"/>
              <w:right w:val="nil"/>
            </w:tcBorders>
            <w:noWrap/>
            <w:vAlign w:val="center"/>
          </w:tcPr>
          <w:p w14:paraId="17AEA4E5" w14:textId="77777777" w:rsidR="00C85101" w:rsidRDefault="00C85101"/>
        </w:tc>
        <w:tc>
          <w:tcPr>
            <w:tcW w:w="1305" w:type="dxa"/>
            <w:vMerge/>
            <w:tcBorders>
              <w:left w:val="nil"/>
              <w:right w:val="nil"/>
            </w:tcBorders>
            <w:noWrap/>
            <w:vAlign w:val="center"/>
          </w:tcPr>
          <w:p w14:paraId="21F8ABA0" w14:textId="77777777" w:rsidR="00C85101" w:rsidRDefault="00C85101"/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DCE912" w14:textId="77777777" w:rsidR="00C85101" w:rsidRDefault="00E573FF">
            <w:r>
              <w:t>培育壮苗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E65079" w14:textId="77777777" w:rsidR="00C85101" w:rsidRDefault="00E573FF">
            <w:r>
              <w:t>合理施肥，适时炼苗，木霉、枯草芽孢等功能菌剂蘸根。</w:t>
            </w:r>
          </w:p>
        </w:tc>
      </w:tr>
      <w:tr w:rsidR="00C85101" w14:paraId="68752AD1" w14:textId="77777777">
        <w:trPr>
          <w:trHeight w:val="270"/>
        </w:trPr>
        <w:tc>
          <w:tcPr>
            <w:tcW w:w="1185" w:type="dxa"/>
            <w:vMerge/>
            <w:tcBorders>
              <w:left w:val="nil"/>
              <w:right w:val="nil"/>
            </w:tcBorders>
            <w:noWrap/>
            <w:vAlign w:val="center"/>
          </w:tcPr>
          <w:p w14:paraId="618A97A8" w14:textId="77777777" w:rsidR="00C85101" w:rsidRDefault="00C85101"/>
        </w:tc>
        <w:tc>
          <w:tcPr>
            <w:tcW w:w="1305" w:type="dxa"/>
            <w:vMerge/>
            <w:tcBorders>
              <w:left w:val="nil"/>
              <w:right w:val="nil"/>
            </w:tcBorders>
            <w:noWrap/>
            <w:vAlign w:val="center"/>
          </w:tcPr>
          <w:p w14:paraId="1CE8FEA5" w14:textId="77777777" w:rsidR="00C85101" w:rsidRDefault="00C85101"/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7DC806" w14:textId="77777777" w:rsidR="00C85101" w:rsidRDefault="00E573FF">
            <w:r>
              <w:t>微生物菌剂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6F5DFB" w14:textId="77777777" w:rsidR="00C85101" w:rsidRDefault="00E573FF">
            <w:r>
              <w:t>辣椒苗移栽后、花期前后及高温季节雨季后用微生物菌剂灌根，提供健康的根际微生态环境。</w:t>
            </w:r>
          </w:p>
        </w:tc>
      </w:tr>
      <w:tr w:rsidR="00C85101" w14:paraId="0A817FD2" w14:textId="77777777">
        <w:trPr>
          <w:trHeight w:val="270"/>
        </w:trPr>
        <w:tc>
          <w:tcPr>
            <w:tcW w:w="1185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F87C73" w14:textId="77777777" w:rsidR="00C85101" w:rsidRDefault="00C85101"/>
        </w:tc>
        <w:tc>
          <w:tcPr>
            <w:tcW w:w="1305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CB3086" w14:textId="77777777" w:rsidR="00C85101" w:rsidRDefault="00C85101"/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11827C" w14:textId="77777777" w:rsidR="00C85101" w:rsidRDefault="00E573FF">
            <w:r>
              <w:t>合理轮作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C7A7E9" w14:textId="77777777" w:rsidR="00C85101" w:rsidRDefault="00E573FF">
            <w:r>
              <w:t>与非茄科作物轮作，提倡水旱轮作。</w:t>
            </w:r>
          </w:p>
        </w:tc>
      </w:tr>
      <w:tr w:rsidR="00C85101" w14:paraId="68234D06" w14:textId="77777777">
        <w:trPr>
          <w:trHeight w:val="270"/>
        </w:trPr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25115D87" w14:textId="77777777" w:rsidR="00C85101" w:rsidRDefault="00E573FF">
            <w:r>
              <w:t>病症轻</w:t>
            </w:r>
          </w:p>
          <w:p w14:paraId="263DCD66" w14:textId="77777777" w:rsidR="00C85101" w:rsidRDefault="00E573FF">
            <w:r>
              <w:t>（发病率＜</w:t>
            </w:r>
            <w:r>
              <w:t>30%</w:t>
            </w:r>
            <w:r>
              <w:t>）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2BFD953A" w14:textId="77777777" w:rsidR="00C85101" w:rsidRDefault="00E573FF">
            <w:r>
              <w:t>预防为主，防治结合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529D60" w14:textId="77777777" w:rsidR="00C85101" w:rsidRDefault="00E573FF">
            <w:r>
              <w:t>病害调查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6C3469" w14:textId="77777777" w:rsidR="00C85101" w:rsidRDefault="00E573FF">
            <w:r>
              <w:t>10</w:t>
            </w:r>
            <w:r>
              <w:t>天左右一次病害调查，及时尽早发现田间病害情况</w:t>
            </w:r>
          </w:p>
        </w:tc>
      </w:tr>
      <w:tr w:rsidR="00C85101" w14:paraId="09642371" w14:textId="77777777">
        <w:trPr>
          <w:trHeight w:val="270"/>
        </w:trPr>
        <w:tc>
          <w:tcPr>
            <w:tcW w:w="1185" w:type="dxa"/>
            <w:vMerge/>
            <w:tcBorders>
              <w:left w:val="nil"/>
              <w:right w:val="nil"/>
            </w:tcBorders>
            <w:noWrap/>
            <w:vAlign w:val="center"/>
          </w:tcPr>
          <w:p w14:paraId="2D4ED7D1" w14:textId="77777777" w:rsidR="00C85101" w:rsidRDefault="00C85101"/>
        </w:tc>
        <w:tc>
          <w:tcPr>
            <w:tcW w:w="1305" w:type="dxa"/>
            <w:vMerge/>
            <w:tcBorders>
              <w:left w:val="nil"/>
              <w:right w:val="nil"/>
            </w:tcBorders>
            <w:noWrap/>
            <w:vAlign w:val="center"/>
          </w:tcPr>
          <w:p w14:paraId="44BA3156" w14:textId="77777777" w:rsidR="00C85101" w:rsidRDefault="00C85101"/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0383DD" w14:textId="77777777" w:rsidR="00C85101" w:rsidRDefault="00E573FF">
            <w:r>
              <w:t>病株拔出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E68409" w14:textId="77777777" w:rsidR="00C85101" w:rsidRDefault="00E573FF">
            <w:r>
              <w:t>田间的零星病株要尽早拔出，并铲走病株</w:t>
            </w:r>
            <w:proofErr w:type="gramStart"/>
            <w:r>
              <w:t>茎</w:t>
            </w:r>
            <w:proofErr w:type="gramEnd"/>
            <w:r>
              <w:t>基部的带菌核土壤，并对其周边病株加强病害调查。</w:t>
            </w:r>
          </w:p>
        </w:tc>
      </w:tr>
      <w:tr w:rsidR="00C85101" w14:paraId="7141EB82" w14:textId="77777777">
        <w:trPr>
          <w:trHeight w:val="270"/>
        </w:trPr>
        <w:tc>
          <w:tcPr>
            <w:tcW w:w="1185" w:type="dxa"/>
            <w:vMerge/>
            <w:tcBorders>
              <w:left w:val="nil"/>
              <w:right w:val="nil"/>
            </w:tcBorders>
            <w:noWrap/>
            <w:vAlign w:val="center"/>
          </w:tcPr>
          <w:p w14:paraId="61B0552E" w14:textId="77777777" w:rsidR="00C85101" w:rsidRDefault="00C85101"/>
        </w:tc>
        <w:tc>
          <w:tcPr>
            <w:tcW w:w="1305" w:type="dxa"/>
            <w:vMerge/>
            <w:tcBorders>
              <w:left w:val="nil"/>
              <w:right w:val="nil"/>
            </w:tcBorders>
            <w:noWrap/>
            <w:vAlign w:val="center"/>
          </w:tcPr>
          <w:p w14:paraId="44C0A937" w14:textId="77777777" w:rsidR="00C85101" w:rsidRDefault="00C85101"/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288536" w14:textId="77777777" w:rsidR="00C85101" w:rsidRDefault="00E573FF">
            <w:r>
              <w:t>科学用药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8B4779" w14:textId="77777777" w:rsidR="00C85101" w:rsidRDefault="00E573FF">
            <w:r>
              <w:t>选用微生物菌剂及低毒化学农药</w:t>
            </w:r>
            <w:proofErr w:type="gramStart"/>
            <w:r>
              <w:t>灌根挑</w:t>
            </w:r>
            <w:proofErr w:type="gramEnd"/>
            <w:r>
              <w:t>治。</w:t>
            </w:r>
          </w:p>
        </w:tc>
      </w:tr>
      <w:tr w:rsidR="00C85101" w14:paraId="03A2E006" w14:textId="77777777">
        <w:trPr>
          <w:trHeight w:val="270"/>
        </w:trPr>
        <w:tc>
          <w:tcPr>
            <w:tcW w:w="1185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F4D26A" w14:textId="77777777" w:rsidR="00C85101" w:rsidRDefault="00C85101"/>
        </w:tc>
        <w:tc>
          <w:tcPr>
            <w:tcW w:w="1305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38ED79" w14:textId="77777777" w:rsidR="00C85101" w:rsidRDefault="00C85101"/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FB00F1" w14:textId="77777777" w:rsidR="00C85101" w:rsidRDefault="00E573FF">
            <w:r>
              <w:t>预防措施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5FEA0E" w14:textId="77777777" w:rsidR="00C85101" w:rsidRDefault="00E573FF">
            <w:r>
              <w:t>同无病时措施。</w:t>
            </w:r>
          </w:p>
        </w:tc>
      </w:tr>
      <w:tr w:rsidR="00C85101" w14:paraId="6541184B" w14:textId="77777777">
        <w:trPr>
          <w:trHeight w:val="270"/>
        </w:trPr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A78FDDB" w14:textId="77777777" w:rsidR="00C85101" w:rsidRDefault="00E573FF">
            <w:r>
              <w:t>病症重</w:t>
            </w:r>
          </w:p>
          <w:p w14:paraId="2EAF6C76" w14:textId="77777777" w:rsidR="00C85101" w:rsidRDefault="00E573FF">
            <w:r>
              <w:t>（发病率</w:t>
            </w:r>
            <w:r>
              <w:t>≥30%</w:t>
            </w:r>
            <w:r>
              <w:t>）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AE0C3A9" w14:textId="77777777" w:rsidR="00C85101" w:rsidRDefault="00E573FF">
            <w:r>
              <w:t>化学防治为主，其他防治为辅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BEE73D" w14:textId="77777777" w:rsidR="00C85101" w:rsidRDefault="00E573FF">
            <w:r>
              <w:t>化学农药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B9D585" w14:textId="77777777" w:rsidR="00C85101" w:rsidRDefault="00E573FF">
            <w:r>
              <w:t>根据</w:t>
            </w:r>
            <w:r>
              <w:t>GB/T 8321.1</w:t>
            </w:r>
            <w:r>
              <w:t>～</w:t>
            </w:r>
            <w:r>
              <w:t xml:space="preserve">7 </w:t>
            </w:r>
            <w:r>
              <w:t>农药合理使用准则；</w:t>
            </w:r>
            <w:r>
              <w:t xml:space="preserve">NY/T 393 </w:t>
            </w:r>
            <w:r>
              <w:t>绿色食品</w:t>
            </w:r>
            <w:r>
              <w:t xml:space="preserve"> </w:t>
            </w:r>
            <w:r>
              <w:t>农药使用准则；</w:t>
            </w:r>
            <w:r>
              <w:t xml:space="preserve">NY/T 1276 </w:t>
            </w:r>
            <w:r>
              <w:t>农药安全使用规范，等原则进行农药喷洒。</w:t>
            </w:r>
          </w:p>
        </w:tc>
      </w:tr>
      <w:tr w:rsidR="00C85101" w14:paraId="7437B816" w14:textId="77777777">
        <w:trPr>
          <w:trHeight w:val="270"/>
        </w:trPr>
        <w:tc>
          <w:tcPr>
            <w:tcW w:w="1185" w:type="dxa"/>
            <w:vMerge/>
            <w:tcBorders>
              <w:left w:val="nil"/>
              <w:right w:val="nil"/>
            </w:tcBorders>
            <w:noWrap/>
            <w:vAlign w:val="center"/>
          </w:tcPr>
          <w:p w14:paraId="0D4DF24E" w14:textId="77777777" w:rsidR="00C85101" w:rsidRDefault="00C85101"/>
        </w:tc>
        <w:tc>
          <w:tcPr>
            <w:tcW w:w="1305" w:type="dxa"/>
            <w:vMerge/>
            <w:tcBorders>
              <w:left w:val="nil"/>
              <w:right w:val="nil"/>
            </w:tcBorders>
            <w:noWrap/>
            <w:vAlign w:val="center"/>
          </w:tcPr>
          <w:p w14:paraId="025553E3" w14:textId="77777777" w:rsidR="00C85101" w:rsidRDefault="00C85101"/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7FCBC3" w14:textId="77777777" w:rsidR="00C85101" w:rsidRDefault="00E573FF">
            <w:r>
              <w:t>土壤消毒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B8B656" w14:textId="77777777" w:rsidR="00C85101" w:rsidRDefault="00E573FF">
            <w:r>
              <w:t>对于病害严重的田块，可以</w:t>
            </w:r>
            <w:proofErr w:type="gramStart"/>
            <w:r>
              <w:t>采用棉龙等</w:t>
            </w:r>
            <w:proofErr w:type="gramEnd"/>
            <w:r>
              <w:t>土壤强还原类的消毒剂消毒。</w:t>
            </w:r>
          </w:p>
        </w:tc>
      </w:tr>
      <w:tr w:rsidR="00C85101" w14:paraId="27FB7658" w14:textId="77777777">
        <w:trPr>
          <w:trHeight w:val="270"/>
        </w:trPr>
        <w:tc>
          <w:tcPr>
            <w:tcW w:w="1185" w:type="dxa"/>
            <w:vMerge/>
            <w:tcBorders>
              <w:left w:val="nil"/>
              <w:right w:val="nil"/>
            </w:tcBorders>
            <w:noWrap/>
            <w:vAlign w:val="center"/>
          </w:tcPr>
          <w:p w14:paraId="189E22B3" w14:textId="77777777" w:rsidR="00C85101" w:rsidRDefault="00C85101"/>
        </w:tc>
        <w:tc>
          <w:tcPr>
            <w:tcW w:w="1305" w:type="dxa"/>
            <w:vMerge/>
            <w:tcBorders>
              <w:left w:val="nil"/>
              <w:right w:val="nil"/>
            </w:tcBorders>
            <w:noWrap/>
            <w:vAlign w:val="center"/>
          </w:tcPr>
          <w:p w14:paraId="05A5E680" w14:textId="77777777" w:rsidR="00C85101" w:rsidRDefault="00C85101"/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887C30" w14:textId="77777777" w:rsidR="00C85101" w:rsidRDefault="00E573FF">
            <w:r>
              <w:t>拔出病株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11266A" w14:textId="77777777" w:rsidR="00C85101" w:rsidRDefault="00E573FF">
            <w:r>
              <w:t>对于发病严重病株全部拔出，并集中销毁。</w:t>
            </w:r>
          </w:p>
        </w:tc>
      </w:tr>
      <w:tr w:rsidR="00C85101" w14:paraId="1637712A" w14:textId="77777777">
        <w:trPr>
          <w:trHeight w:val="270"/>
        </w:trPr>
        <w:tc>
          <w:tcPr>
            <w:tcW w:w="1185" w:type="dxa"/>
            <w:vMerge/>
            <w:tcBorders>
              <w:left w:val="nil"/>
              <w:right w:val="nil"/>
            </w:tcBorders>
            <w:noWrap/>
            <w:vAlign w:val="center"/>
          </w:tcPr>
          <w:p w14:paraId="74F7CC88" w14:textId="77777777" w:rsidR="00C85101" w:rsidRDefault="00C85101"/>
        </w:tc>
        <w:tc>
          <w:tcPr>
            <w:tcW w:w="1305" w:type="dxa"/>
            <w:vMerge/>
            <w:tcBorders>
              <w:left w:val="nil"/>
              <w:right w:val="nil"/>
            </w:tcBorders>
            <w:noWrap/>
            <w:vAlign w:val="center"/>
          </w:tcPr>
          <w:p w14:paraId="616E70F2" w14:textId="77777777" w:rsidR="00C85101" w:rsidRDefault="00C85101"/>
        </w:tc>
        <w:tc>
          <w:tcPr>
            <w:tcW w:w="1380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64EFD159" w14:textId="77777777" w:rsidR="00C85101" w:rsidRDefault="00E573FF">
            <w:r>
              <w:t>预防措施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F3F3093" w14:textId="77777777" w:rsidR="00C85101" w:rsidRDefault="00E573FF">
            <w:r>
              <w:t>同无病时措施。</w:t>
            </w:r>
          </w:p>
        </w:tc>
      </w:tr>
    </w:tbl>
    <w:p w14:paraId="67FD121A" w14:textId="77777777" w:rsidR="00C85101" w:rsidRDefault="00C85101"/>
    <w:p w14:paraId="72AC51F9" w14:textId="77777777" w:rsidR="00C85101" w:rsidRDefault="00C85101"/>
    <w:sectPr w:rsidR="00C85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53BA" w14:textId="77777777" w:rsidR="00E573FF" w:rsidRDefault="00E573FF">
      <w:r>
        <w:separator/>
      </w:r>
    </w:p>
  </w:endnote>
  <w:endnote w:type="continuationSeparator" w:id="0">
    <w:p w14:paraId="34B87E0B" w14:textId="77777777" w:rsidR="00E573FF" w:rsidRDefault="00E5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E72A" w14:textId="77777777" w:rsidR="00C85101" w:rsidRDefault="00E573FF">
    <w:pPr>
      <w:pStyle w:val="af1"/>
      <w:tabs>
        <w:tab w:val="right" w:pos="9134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C116D" wp14:editId="38957F8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432C2" w14:textId="77777777" w:rsidR="00C85101" w:rsidRDefault="00E573F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II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C116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717432C2" w14:textId="77777777" w:rsidR="00C85101" w:rsidRDefault="00E573F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II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4949E9" wp14:editId="48A5458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DABA7" w14:textId="77777777" w:rsidR="00C85101" w:rsidRDefault="00C85101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4949E9" id="文本框 3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GDVVcM4BAACX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60EDABA7" w14:textId="77777777" w:rsidR="00C85101" w:rsidRDefault="00C85101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5BC4" w14:textId="77777777" w:rsidR="00C85101" w:rsidRDefault="00E573F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689294" wp14:editId="51CBDF0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8100" cy="131445"/>
              <wp:effectExtent l="0" t="0" r="0" b="381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7F047" w14:textId="77777777" w:rsidR="00C85101" w:rsidRDefault="00E573F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8929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-48.2pt;margin-top:0;width:3pt;height:10.35pt;z-index:25166233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" filled="f" stroked="f">
              <v:textbox style="mso-fit-shape-to-text:t" inset="0,0,0,0">
                <w:txbxContent>
                  <w:p w14:paraId="1537F047" w14:textId="77777777" w:rsidR="00C85101" w:rsidRDefault="00E573F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45D9" w14:textId="77777777" w:rsidR="00E573FF" w:rsidRDefault="00E573FF">
      <w:r>
        <w:separator/>
      </w:r>
    </w:p>
  </w:footnote>
  <w:footnote w:type="continuationSeparator" w:id="0">
    <w:p w14:paraId="630A1083" w14:textId="77777777" w:rsidR="00E573FF" w:rsidRDefault="00E5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8A8F" w14:textId="77777777" w:rsidR="00C85101" w:rsidRDefault="00C85101">
    <w:pPr>
      <w:pStyle w:val="a8"/>
      <w:framePr w:wrap="around" w:vAnchor="text" w:hAnchor="margin" w:xAlign="right" w:y="1"/>
      <w:rPr>
        <w:rStyle w:val="ac"/>
      </w:rPr>
    </w:pPr>
  </w:p>
  <w:p w14:paraId="1E2E70D5" w14:textId="77777777" w:rsidR="00C85101" w:rsidRDefault="00E573FF">
    <w:pPr>
      <w:pStyle w:val="af4"/>
      <w:ind w:right="360"/>
    </w:pPr>
    <w:r>
      <w:t>DB43/</w:t>
    </w:r>
    <w:r>
      <w:rPr>
        <w:rFonts w:hint="eastAsia"/>
      </w:rPr>
      <w:t>T</w:t>
    </w:r>
    <w:r>
      <w:t>—</w:t>
    </w:r>
    <w:r>
      <w:t>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A033" w14:textId="77777777" w:rsidR="00C85101" w:rsidRDefault="00C85101">
    <w:pPr>
      <w:pStyle w:val="af2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37DDE"/>
    <w:multiLevelType w:val="multilevel"/>
    <w:tmpl w:val="74937DD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7E"/>
    <w:rsid w:val="000011FF"/>
    <w:rsid w:val="00036259"/>
    <w:rsid w:val="00037941"/>
    <w:rsid w:val="00054582"/>
    <w:rsid w:val="000A0D93"/>
    <w:rsid w:val="001439D4"/>
    <w:rsid w:val="00342BB3"/>
    <w:rsid w:val="00475A21"/>
    <w:rsid w:val="00546408"/>
    <w:rsid w:val="00574E7D"/>
    <w:rsid w:val="00580C56"/>
    <w:rsid w:val="005934FE"/>
    <w:rsid w:val="005A2B9C"/>
    <w:rsid w:val="005B5A3E"/>
    <w:rsid w:val="006013C3"/>
    <w:rsid w:val="00607BE1"/>
    <w:rsid w:val="006479BD"/>
    <w:rsid w:val="00695416"/>
    <w:rsid w:val="006C3F19"/>
    <w:rsid w:val="006E64F0"/>
    <w:rsid w:val="007150FC"/>
    <w:rsid w:val="007955B0"/>
    <w:rsid w:val="0085098D"/>
    <w:rsid w:val="00864672"/>
    <w:rsid w:val="00882B7E"/>
    <w:rsid w:val="008D07D2"/>
    <w:rsid w:val="00907CA9"/>
    <w:rsid w:val="009228AE"/>
    <w:rsid w:val="00A63471"/>
    <w:rsid w:val="00A76BC4"/>
    <w:rsid w:val="00AA33CB"/>
    <w:rsid w:val="00AB0104"/>
    <w:rsid w:val="00B21D77"/>
    <w:rsid w:val="00B5770E"/>
    <w:rsid w:val="00B87D4E"/>
    <w:rsid w:val="00BE6A5B"/>
    <w:rsid w:val="00C40070"/>
    <w:rsid w:val="00C85101"/>
    <w:rsid w:val="00CC74EA"/>
    <w:rsid w:val="00D52C1C"/>
    <w:rsid w:val="00E573FF"/>
    <w:rsid w:val="00E678E7"/>
    <w:rsid w:val="00E94A68"/>
    <w:rsid w:val="00EA30DA"/>
    <w:rsid w:val="00EA771F"/>
    <w:rsid w:val="00EE4308"/>
    <w:rsid w:val="00F47DD4"/>
    <w:rsid w:val="00F506E2"/>
    <w:rsid w:val="1DE13528"/>
    <w:rsid w:val="7FD9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0F545"/>
  <w15:docId w15:val="{F52A8F4A-7CC2-42EC-95E6-C7075428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pPr>
      <w:widowControl/>
      <w:shd w:val="clear" w:color="auto" w:fill="FFFFFF"/>
      <w:spacing w:beforeLines="100" w:before="100" w:afterLines="100" w:after="100" w:line="240" w:lineRule="atLeast"/>
      <w:outlineLvl w:val="0"/>
    </w:pPr>
    <w:rPr>
      <w:rFonts w:eastAsia="黑体"/>
      <w:b/>
      <w:snapToGrid w:val="0"/>
      <w:color w:val="000000"/>
      <w:kern w:val="0"/>
      <w:szCs w:val="21"/>
      <w:shd w:val="clear" w:color="auto" w:fill="FFFFFF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Lines="50" w:before="50" w:afterLines="50" w:after="50" w:line="360" w:lineRule="auto"/>
      <w:outlineLvl w:val="1"/>
    </w:pPr>
    <w:rPr>
      <w:rFonts w:ascii="Arial" w:eastAsia="黑体" w:hAnsi="Arial"/>
    </w:rPr>
  </w:style>
  <w:style w:type="paragraph" w:styleId="3">
    <w:name w:val="heading 3"/>
    <w:basedOn w:val="a0"/>
    <w:next w:val="a0"/>
    <w:link w:val="30"/>
    <w:qFormat/>
    <w:pPr>
      <w:keepNext/>
      <w:keepLines/>
      <w:spacing w:beforeLines="50" w:before="50" w:afterLines="50" w:after="50" w:line="360" w:lineRule="auto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semiHidden/>
    <w:unhideWhenUsed/>
    <w:pPr>
      <w:jc w:val="left"/>
    </w:pPr>
  </w:style>
  <w:style w:type="paragraph" w:styleId="a6">
    <w:name w:val="footer"/>
    <w:basedOn w:val="a0"/>
    <w:link w:val="a7"/>
    <w:pPr>
      <w:snapToGrid w:val="0"/>
      <w:ind w:rightChars="100" w:right="210"/>
      <w:jc w:val="right"/>
    </w:pPr>
    <w:rPr>
      <w:sz w:val="18"/>
      <w:szCs w:val="18"/>
    </w:rPr>
  </w:style>
  <w:style w:type="paragraph" w:styleId="a8">
    <w:name w:val="header"/>
    <w:basedOn w:val="a0"/>
    <w:link w:val="a9"/>
    <w:pPr>
      <w:snapToGrid w:val="0"/>
      <w:jc w:val="left"/>
    </w:pPr>
    <w:rPr>
      <w:sz w:val="18"/>
      <w:szCs w:val="18"/>
    </w:rPr>
  </w:style>
  <w:style w:type="paragraph" w:styleId="TOC1">
    <w:name w:val="toc 1"/>
    <w:basedOn w:val="a0"/>
    <w:next w:val="a0"/>
    <w:uiPriority w:val="39"/>
    <w:pPr>
      <w:tabs>
        <w:tab w:val="right" w:leader="dot" w:pos="9241"/>
      </w:tabs>
      <w:spacing w:beforeLines="25" w:before="25" w:afterLines="25" w:after="25"/>
      <w:jc w:val="left"/>
    </w:pPr>
    <w:rPr>
      <w:rFonts w:ascii="宋体"/>
      <w:szCs w:val="21"/>
    </w:rPr>
  </w:style>
  <w:style w:type="paragraph" w:styleId="TOC2">
    <w:name w:val="toc 2"/>
    <w:basedOn w:val="a0"/>
    <w:next w:val="a0"/>
    <w:uiPriority w:val="39"/>
    <w:pPr>
      <w:tabs>
        <w:tab w:val="right" w:leader="dot" w:pos="9241"/>
      </w:tabs>
    </w:pPr>
    <w:rPr>
      <w:rFonts w:ascii="宋体"/>
      <w:szCs w:val="21"/>
    </w:rPr>
  </w:style>
  <w:style w:type="paragraph" w:styleId="aa">
    <w:name w:val="annotation subject"/>
    <w:basedOn w:val="a4"/>
    <w:next w:val="a4"/>
    <w:link w:val="ab"/>
    <w:uiPriority w:val="99"/>
    <w:semiHidden/>
    <w:unhideWhenUsed/>
    <w:qFormat/>
    <w:rPr>
      <w:b/>
      <w:bCs/>
    </w:rPr>
  </w:style>
  <w:style w:type="character" w:styleId="ac">
    <w:name w:val="page number"/>
    <w:qFormat/>
    <w:rPr>
      <w:rFonts w:ascii="Times New Roman" w:eastAsia="宋体" w:hAnsi="Times New Roman"/>
      <w:sz w:val="18"/>
    </w:rPr>
  </w:style>
  <w:style w:type="character" w:styleId="ad">
    <w:name w:val="Emphasis"/>
    <w:basedOn w:val="a1"/>
    <w:uiPriority w:val="20"/>
    <w:qFormat/>
    <w:rPr>
      <w:i/>
      <w:iCs/>
    </w:rPr>
  </w:style>
  <w:style w:type="character" w:styleId="ae">
    <w:name w:val="Hyperlink"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character" w:styleId="af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1"/>
    <w:link w:val="1"/>
    <w:qFormat/>
    <w:rPr>
      <w:rFonts w:ascii="Times New Roman" w:eastAsia="黑体" w:hAnsi="Times New Roman" w:cs="Times New Roman"/>
      <w:b/>
      <w:snapToGrid w:val="0"/>
      <w:color w:val="000000"/>
      <w:kern w:val="0"/>
      <w:szCs w:val="21"/>
      <w:shd w:val="clear" w:color="auto" w:fill="FFFFFF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Times New Roman"/>
      <w:szCs w:val="24"/>
    </w:rPr>
  </w:style>
  <w:style w:type="character" w:customStyle="1" w:styleId="30">
    <w:name w:val="标题 3 字符"/>
    <w:basedOn w:val="a1"/>
    <w:link w:val="3"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段 Char"/>
    <w:link w:val="af0"/>
    <w:qFormat/>
    <w:rPr>
      <w:rFonts w:ascii="宋体"/>
    </w:rPr>
  </w:style>
  <w:style w:type="paragraph" w:customStyle="1" w:styleId="af0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1"/>
      <w:szCs w:val="22"/>
    </w:rPr>
  </w:style>
  <w:style w:type="character" w:customStyle="1" w:styleId="Char0">
    <w:name w:val="章标题 Char"/>
    <w:link w:val="a"/>
    <w:rPr>
      <w:rFonts w:ascii="黑体" w:eastAsia="黑体"/>
    </w:rPr>
  </w:style>
  <w:style w:type="paragraph" w:customStyle="1" w:styleId="a">
    <w:name w:val="章标题"/>
    <w:next w:val="af0"/>
    <w:link w:val="Char0"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/>
      <w:kern w:val="2"/>
      <w:sz w:val="21"/>
      <w:szCs w:val="22"/>
    </w:rPr>
  </w:style>
  <w:style w:type="character" w:customStyle="1" w:styleId="a9">
    <w:name w:val="页眉 字符"/>
    <w:basedOn w:val="a1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rPr>
      <w:rFonts w:ascii="Times New Roman" w:eastAsia="宋体" w:hAnsi="Times New Roman" w:cs="Times New Roman"/>
      <w:sz w:val="18"/>
      <w:szCs w:val="18"/>
    </w:rPr>
  </w:style>
  <w:style w:type="paragraph" w:customStyle="1" w:styleId="af1">
    <w:name w:val="标准书脚_偶数页"/>
    <w:pPr>
      <w:spacing w:before="120"/>
      <w:ind w:left="221"/>
    </w:pPr>
    <w:rPr>
      <w:rFonts w:ascii="宋体" w:eastAsia="宋体" w:hAnsi="Times New Roman" w:cs="Times New Roman"/>
      <w:sz w:val="18"/>
      <w:szCs w:val="18"/>
    </w:rPr>
  </w:style>
  <w:style w:type="paragraph" w:customStyle="1" w:styleId="af2">
    <w:name w:val="标准书眉_奇数页"/>
    <w:next w:val="a0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f3">
    <w:name w:val="目次、标准名称标题"/>
    <w:basedOn w:val="a0"/>
    <w:next w:val="af0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4">
    <w:name w:val="标准书眉_偶数页"/>
    <w:basedOn w:val="af2"/>
    <w:next w:val="a0"/>
    <w:qFormat/>
    <w:pPr>
      <w:jc w:val="left"/>
    </w:pPr>
  </w:style>
  <w:style w:type="paragraph" w:customStyle="1" w:styleId="WPSOffice1">
    <w:name w:val="WPSOffice手动目录 1"/>
    <w:qFormat/>
    <w:rPr>
      <w:rFonts w:ascii="Times New Roman" w:eastAsia="宋体" w:hAnsi="Times New Roman" w:cs="Times New Roman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b">
    <w:name w:val="批注主题 字符"/>
    <w:basedOn w:val="a5"/>
    <w:link w:val="aa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af5">
    <w:name w:val="封面标准英文名称"/>
    <w:basedOn w:val="a0"/>
    <w:qFormat/>
    <w:pPr>
      <w:framePr w:w="9639" w:h="6917" w:hRule="exact" w:wrap="around" w:vAnchor="page" w:hAnchor="page" w:xAlign="center" w:y="6408" w:anchorLock="1"/>
      <w:spacing w:before="370" w:line="400" w:lineRule="exact"/>
      <w:jc w:val="center"/>
      <w:textAlignment w:val="center"/>
    </w:pPr>
    <w:rPr>
      <w:rFonts w:eastAsia="黑体"/>
      <w:kern w:val="0"/>
      <w:sz w:val="28"/>
      <w:szCs w:val="28"/>
    </w:rPr>
  </w:style>
  <w:style w:type="paragraph" w:customStyle="1" w:styleId="af6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sz w:val="21"/>
      <w:szCs w:val="21"/>
    </w:rPr>
  </w:style>
  <w:style w:type="paragraph" w:customStyle="1" w:styleId="af7">
    <w:name w:val="其他标准标志"/>
    <w:basedOn w:val="a0"/>
    <w:qFormat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b/>
      <w:w w:val="130"/>
      <w:kern w:val="0"/>
      <w:sz w:val="96"/>
      <w:szCs w:val="96"/>
    </w:rPr>
  </w:style>
  <w:style w:type="paragraph" w:customStyle="1" w:styleId="af8">
    <w:name w:val="其他标准称谓"/>
    <w:next w:val="a0"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sz w:val="48"/>
      <w:szCs w:val="52"/>
    </w:rPr>
  </w:style>
  <w:style w:type="paragraph" w:customStyle="1" w:styleId="21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f9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sz w:val="21"/>
      <w:szCs w:val="21"/>
    </w:rPr>
  </w:style>
  <w:style w:type="paragraph" w:customStyle="1" w:styleId="afa">
    <w:name w:val="封面标准文稿类别"/>
    <w:basedOn w:val="a0"/>
    <w:qFormat/>
    <w:pPr>
      <w:framePr w:w="9639" w:h="6917" w:hRule="exact" w:wrap="around" w:vAnchor="page" w:hAnchor="page" w:xAlign="center" w:y="6408" w:anchorLock="1"/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afb">
    <w:name w:val="封面标准文稿编辑信息"/>
    <w:basedOn w:val="afa"/>
    <w:qFormat/>
    <w:pPr>
      <w:framePr w:wrap="around"/>
      <w:spacing w:before="180" w:line="180" w:lineRule="exact"/>
    </w:pPr>
    <w:rPr>
      <w:sz w:val="21"/>
    </w:rPr>
  </w:style>
  <w:style w:type="paragraph" w:customStyle="1" w:styleId="afc">
    <w:name w:val="其他发布日期"/>
    <w:basedOn w:val="a0"/>
    <w:qFormat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 w:val="28"/>
      <w:szCs w:val="20"/>
    </w:rPr>
  </w:style>
  <w:style w:type="paragraph" w:customStyle="1" w:styleId="afd">
    <w:name w:val="其他实施日期"/>
    <w:basedOn w:val="a0"/>
    <w:qFormat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 w:val="28"/>
      <w:szCs w:val="20"/>
    </w:rPr>
  </w:style>
  <w:style w:type="paragraph" w:customStyle="1" w:styleId="afe">
    <w:name w:val="其他发布部门"/>
    <w:basedOn w:val="a0"/>
    <w:qFormat/>
    <w:pPr>
      <w:framePr w:w="7938" w:h="1134" w:hRule="exact" w:hSpace="125" w:vSpace="181" w:wrap="around" w:hAnchor="text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28"/>
      <w:szCs w:val="20"/>
    </w:rPr>
  </w:style>
  <w:style w:type="character" w:customStyle="1" w:styleId="aff">
    <w:name w:val="发布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styleId="aff0">
    <w:name w:val="Revision"/>
    <w:hidden/>
    <w:uiPriority w:val="99"/>
    <w:semiHidden/>
    <w:rsid w:val="00607BE1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清术</dc:creator>
  <cp:lastModifiedBy>刘 清术</cp:lastModifiedBy>
  <cp:revision>8</cp:revision>
  <dcterms:created xsi:type="dcterms:W3CDTF">2022-02-14T07:45:00Z</dcterms:created>
  <dcterms:modified xsi:type="dcterms:W3CDTF">2022-02-23T01:59:00Z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0E224900C3A64E24ABDA3197489EA436</vt:lpwstr>
  </property>
</Properties>
</file>