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framePr w:wrap="around"/>
        <w:rPr>
          <w:rFonts w:ascii="Times New Roman"/>
        </w:rPr>
      </w:pPr>
      <w:r>
        <w:rPr>
          <w:rFonts w:ascii="Times New Roman"/>
        </w:rPr>
        <w:t>ICS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34"/>
              <w:framePr w:wrap="around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0" b="1905"/>
                      <wp:wrapNone/>
                      <wp:docPr id="6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6192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K4v7NUAAAAHAQAADwAAAAAAAAABACAAAAAi&#10;AAAAZHJzL2Rvd25yZXYueG1sUEsBAhQAFAAAAAgAh07iQMhJMdUNAgAAIAQAAA4AAAAAAAAAAQAg&#10;AAAAJAEAAGRycy9lMm9Eb2MueG1sUEsFBgAAAAAGAAYAWQEAAKM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/>
              </w:rP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bookmarkStart w:id="0" w:name="BAH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t>     </w:t>
            </w:r>
            <w:r>
              <w:rPr>
                <w:rFonts w:ascii="Times New Roman"/>
              </w:rPr>
              <w:fldChar w:fldCharType="end"/>
            </w:r>
            <w:bookmarkEnd w:id="0"/>
          </w:p>
        </w:tc>
      </w:tr>
    </w:tbl>
    <w:p>
      <w:pPr>
        <w:pStyle w:val="30"/>
        <w:framePr w:wrap="around"/>
      </w:pPr>
      <w:bookmarkStart w:id="1" w:name="c6"/>
      <w:r>
        <w:t>DB43</w:t>
      </w:r>
    </w:p>
    <w:bookmarkEnd w:id="1"/>
    <w:p>
      <w:pPr>
        <w:pStyle w:val="31"/>
        <w:framePr w:w="9477" w:wrap="around" w:x="1501" w:y="229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湖南省地方标准 </w:t>
      </w:r>
    </w:p>
    <w:p>
      <w:pPr>
        <w:pStyle w:val="16"/>
        <w:framePr w:wrap="around"/>
        <w:rPr>
          <w:rFonts w:hint="eastAsia" w:ascii="Times New Roman" w:eastAsia="黑体"/>
          <w:lang w:eastAsia="zh-CN"/>
        </w:rPr>
      </w:pPr>
      <w:r>
        <w:rPr>
          <w:rFonts w:ascii="Times New Roman"/>
        </w:rPr>
        <w:t>DB43/T—202</w:t>
      </w:r>
      <w:r>
        <w:rPr>
          <w:rFonts w:hint="eastAsia" w:ascii="Times New Roman"/>
          <w:lang w:val="en-US" w:eastAsia="zh-CN"/>
        </w:rPr>
        <w:t>2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24"/>
              <w:framePr w:wrap="around"/>
              <w:rPr>
                <w:rFonts w:ascii="Times New Roman"/>
              </w:rPr>
            </w:pPr>
            <w:bookmarkStart w:id="2" w:name="DT"/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635" t="0" r="0" b="3810"/>
                      <wp:wrapNone/>
                      <wp:docPr id="5" name="D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T" o:spid="_x0000_s1026" o:spt="1" style="position:absolute;left:0pt;margin-left:372.8pt;margin-top:2.7pt;height:18pt;width:90pt;z-index:-251657216;mso-width-relative:page;mso-height-relative:page;" fillcolor="#FFFFFF" filled="t" stroked="f" coordsize="21600,21600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mDyy9YAAAAIAQAADwAAAAAAAAABACAAAAAiAAAA&#10;ZHJzL2Rvd25yZXYueG1sUEsBAhQAFAAAAAgAh07iQOl1ToMJAgAAIAQAAA4AAAAAAAAAAQAgAAAA&#10;JQEAAGRycy9lMm9Eb2MueG1sUEsFBgAAAAAGAAYAWQEAAKA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/>
              </w:rP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t>     </w:t>
            </w:r>
            <w:r>
              <w:rPr>
                <w:rFonts w:ascii="Times New Roman"/>
              </w:rPr>
              <w:fldChar w:fldCharType="end"/>
            </w:r>
            <w:bookmarkEnd w:id="2"/>
          </w:p>
        </w:tc>
      </w:tr>
    </w:tbl>
    <w:p>
      <w:pPr>
        <w:pStyle w:val="16"/>
        <w:framePr w:wrap="around"/>
        <w:rPr>
          <w:rFonts w:ascii="Times New Roman"/>
        </w:rPr>
      </w:pPr>
    </w:p>
    <w:p>
      <w:pPr>
        <w:pStyle w:val="16"/>
        <w:framePr w:wrap="around"/>
        <w:rPr>
          <w:rFonts w:ascii="Times New Roman"/>
        </w:rPr>
      </w:pPr>
    </w:p>
    <w:p>
      <w:pPr>
        <w:framePr w:w="9639" w:h="6917" w:hRule="exact" w:wrap="around" w:vAnchor="page" w:hAnchor="page" w:xAlign="center" w:y="6408" w:anchorLock="1"/>
        <w:rPr>
          <w:rFonts w:ascii="Times New Roman" w:hAnsi="Times New Roman" w:eastAsia="黑体" w:cs="Times New Roman"/>
          <w:kern w:val="0"/>
          <w:sz w:val="5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52"/>
          <w:szCs w:val="20"/>
        </w:rPr>
        <w:t>龙牙百合脱毒试管苗低成本繁育技术规程</w:t>
      </w:r>
    </w:p>
    <w:p>
      <w:pPr>
        <w:pStyle w:val="25"/>
        <w:framePr w:wrap="around"/>
        <w:rPr>
          <w:rFonts w:ascii="Times New Roman"/>
        </w:rPr>
      </w:pPr>
      <w:r>
        <w:rPr>
          <w:rFonts w:hint="eastAsia" w:ascii="Times New Roman"/>
        </w:rPr>
        <w:t xml:space="preserve"> </w:t>
      </w:r>
    </w:p>
    <w:p>
      <w:pPr>
        <w:pStyle w:val="26"/>
        <w:framePr w:wrap="around"/>
      </w:pPr>
      <w:bookmarkStart w:id="3" w:name="YZBS"/>
      <w:r>
        <w:rPr>
          <w:rFonts w:eastAsia="仿宋"/>
          <w:position w:val="6"/>
          <w:szCs w:val="21"/>
        </w:rPr>
        <w:t xml:space="preserve">Technical regulation for low cost propagation of virus free test tube seedlings of </w:t>
      </w:r>
      <w:r>
        <w:rPr>
          <w:i/>
          <w:iCs/>
          <w:szCs w:val="21"/>
        </w:rPr>
        <w:t xml:space="preserve">Lilium brownii </w:t>
      </w:r>
      <w:r>
        <w:rPr>
          <w:szCs w:val="21"/>
        </w:rPr>
        <w:t>Var. viridulum</w:t>
      </w:r>
      <w:r>
        <w:t xml:space="preserve"> </w:t>
      </w:r>
      <w:bookmarkEnd w:id="3"/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28"/>
              <w:framePr w:wrap="around"/>
              <w:rPr>
                <w:rFonts w:ascii="Times New Roman"/>
              </w:rPr>
            </w:pP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573405</wp:posOffset>
                      </wp:positionV>
                      <wp:extent cx="1905000" cy="254000"/>
                      <wp:effectExtent l="635" t="1905" r="0" b="1270"/>
                      <wp:wrapNone/>
                      <wp:docPr id="4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45.15pt;height:20pt;width:150pt;z-index:-251652096;mso-width-relative:page;mso-height-relative:page;" fillcolor="#FFFFFF" filled="t" stroked="f" coordsize="21600,21600" o:gfxdata="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ia6S1QAAAAoBAAAPAAAAAAAAAAEAIAAAACIAAABk&#10;cnMvZG93bnJldi54bWxQSwECFAAUAAAACACHTuJAbG1PugkCAAAgBAAADgAAAAAAAAABACAAAAAk&#10;AQAAZHJzL2Uyb0RvYy54bWxQSwUGAAAAAAYABgBZAQAAnwUAAAAA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255905</wp:posOffset>
                      </wp:positionV>
                      <wp:extent cx="1270000" cy="304800"/>
                      <wp:effectExtent l="0" t="0" r="0" b="1270"/>
                      <wp:wrapNone/>
                      <wp:docPr id="3" name="LB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LB" o:spid="_x0000_s1026" o:spt="1" style="position:absolute;left:0pt;margin-left:193.3pt;margin-top:20.15pt;height:24pt;width:100pt;z-index:-251653120;mso-width-relative:page;mso-height-relative:page;" fillcolor="#FFFFFF" filled="t" stroked="f" coordsize="21600,21600" o:gfxdata="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+GL5dYAAAAJAQAADwAAAAAAAAABACAAAAAiAAAA&#10;ZHJzL2Rvd25yZXYueG1sUEsBAhQAFAAAAAgAh07iQBxxlwgJAgAAIAQAAA4AAAAAAAAAAQAgAAAA&#10;JQEAAGRycy9lMm9Eb2MueG1sUEsFBgAAAAAGAAYAWQEAAKA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/>
              </w:rPr>
              <w:t>（征求意见稿）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29"/>
              <w:framePr w:wrap="around"/>
              <w:rPr>
                <w:rFonts w:ascii="Times New Roman"/>
              </w:rPr>
            </w:pPr>
            <w:bookmarkStart w:id="15" w:name="_GoBack"/>
            <w:bookmarkEnd w:id="15"/>
          </w:p>
        </w:tc>
      </w:tr>
    </w:tbl>
    <w:p>
      <w:pPr>
        <w:pStyle w:val="35"/>
        <w:framePr w:wrap="around" w:hAnchor="page" w:x="1592" w:y="13912"/>
      </w:pPr>
      <w:r>
        <w:rPr>
          <w:rFonts w:hint="eastAsia"/>
          <w:lang w:val="en-US" w:eastAsia="zh-CN"/>
        </w:rPr>
        <w:t>2022</w:t>
      </w:r>
      <w:r>
        <w:t xml:space="preserve"> - </w:t>
      </w:r>
      <w: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XX</w:t>
      </w:r>
      <w:r>
        <w:fldChar w:fldCharType="end"/>
      </w:r>
      <w:r>
        <w:t xml:space="preserve"> - </w:t>
      </w:r>
      <w:bookmarkStart w:id="4" w:name="FD"/>
      <w: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XX</w:t>
      </w:r>
      <w:r>
        <w:fldChar w:fldCharType="end"/>
      </w:r>
      <w:bookmarkEnd w:id="4"/>
      <w:r>
        <w:t>发布</w: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8890" t="12700" r="5080" b="63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05pt;margin-top:728.5pt;height:0pt;width:481.9pt;mso-position-vertical-relative:page;z-index:251661312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HazzWAAAACwEAAA8AAAAAAAAAAQAgAAAAIgAAAGRycy9kb3du&#10;cmV2LnhtbFBLAQIUABQAAAAIAIdO4kDZIE0TyAEAAJ8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36"/>
        <w:framePr w:wrap="around" w:hAnchor="page" w:x="6337" w:y="13888"/>
      </w:pPr>
      <w:r>
        <w:rPr>
          <w:rFonts w:hint="eastAsia"/>
          <w:lang w:val="en-US" w:eastAsia="zh-CN"/>
        </w:rPr>
        <w:t>2022</w:t>
      </w:r>
      <w:r>
        <w:t xml:space="preserve"> - </w:t>
      </w:r>
      <w:bookmarkStart w:id="5" w:name="SM"/>
      <w: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XX</w:t>
      </w:r>
      <w:r>
        <w:fldChar w:fldCharType="end"/>
      </w:r>
      <w:bookmarkEnd w:id="5"/>
      <w:r>
        <w:t xml:space="preserve"> - </w:t>
      </w:r>
      <w:bookmarkStart w:id="6" w:name="SD"/>
      <w: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XX</w:t>
      </w:r>
      <w:r>
        <w:fldChar w:fldCharType="end"/>
      </w:r>
      <w:bookmarkEnd w:id="6"/>
      <w:r>
        <w:t>实施</w:t>
      </w:r>
    </w:p>
    <w:p>
      <w:pPr>
        <w:pStyle w:val="32"/>
        <w:framePr w:wrap="around" w:y="14927"/>
        <w:rPr>
          <w:rFonts w:ascii="Times New Roman"/>
        </w:rPr>
      </w:pPr>
      <w:r>
        <w:rPr>
          <w:rFonts w:ascii="Times New Roman"/>
        </w:rPr>
        <w:t>湖南省市场监督管理局   </w:t>
      </w:r>
      <w:r>
        <w:rPr>
          <w:rStyle w:val="23"/>
          <w:rFonts w:ascii="Times New Roman"/>
        </w:rPr>
        <w:t>发布</w:t>
      </w:r>
    </w:p>
    <w:p>
      <w:pPr>
        <w:pStyle w:val="9"/>
        <w:rPr>
          <w:rFonts w:ascii="Times New Roman"/>
        </w:rPr>
        <w:sectPr>
          <w:headerReference r:id="rId3" w:type="even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2339975</wp:posOffset>
                </wp:positionV>
                <wp:extent cx="6120130" cy="0"/>
                <wp:effectExtent l="8890" t="6350" r="5080" b="1270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0.05pt;margin-top:184.25pt;height:0pt;width:481.9pt;z-index:251662336;mso-width-relative:page;mso-height-relative:page;" filled="f" stroked="t" coordsize="21600,21600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QeJf1wAAAAkBAAAPAAAAAAAAAAEAIAAAACIAAABkcnMvZG93&#10;bnJldi54bWxQSwECFAAUAAAACACHTuJAtnhwkcgBAACfAwAADgAAAAAAAAABACAAAAAm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7"/>
        <w:rPr>
          <w:rFonts w:ascii="Times New Roman"/>
        </w:rPr>
      </w:pPr>
      <w:bookmarkStart w:id="7" w:name="_Toc67478932"/>
      <w:r>
        <w:rPr>
          <w:rFonts w:ascii="Times New Roman"/>
        </w:rPr>
        <w:t>目</w:t>
      </w:r>
      <w:bookmarkStart w:id="8" w:name="BKML"/>
      <w:r>
        <w:rPr>
          <w:rFonts w:ascii="Times New Roman"/>
        </w:rPr>
        <w:t>  次</w:t>
      </w:r>
      <w:bookmarkEnd w:id="8"/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rPr>
          <w:rFonts w:ascii="Times New Roman"/>
        </w:rPr>
        <w:fldChar w:fldCharType="begin"/>
      </w:r>
      <w:r>
        <w:rPr>
          <w:rFonts w:ascii="Times New Roman"/>
        </w:rPr>
        <w:instrText xml:space="preserve"> TOC \h \z \t"前言、引言标题,1,参考文献、索引标题,1,章标题,1,参考文献,1,附录标识,1" \* MERGEFORMAT  \* MERGEFORMAT </w:instrText>
      </w:r>
      <w:r>
        <w:rPr>
          <w:rFonts w:ascii="Times New Roman"/>
        </w:rPr>
        <w:fldChar w:fldCharType="separate"/>
      </w:r>
      <w:r>
        <w:fldChar w:fldCharType="begin"/>
      </w:r>
      <w:r>
        <w:instrText xml:space="preserve"> HYPERLINK \l "_Toc84255966" </w:instrText>
      </w:r>
      <w:r>
        <w:fldChar w:fldCharType="separate"/>
      </w:r>
      <w:r>
        <w:rPr>
          <w:rStyle w:val="8"/>
          <w:rFonts w:ascii="Times New Roman"/>
        </w:rPr>
        <w:t>前言</w:t>
      </w:r>
      <w:r>
        <w:tab/>
      </w:r>
      <w:r>
        <w:fldChar w:fldCharType="begin"/>
      </w:r>
      <w:r>
        <w:instrText xml:space="preserve"> PAGEREF _Toc84255966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"_Toc84255967" </w:instrText>
      </w:r>
      <w:r>
        <w:fldChar w:fldCharType="separate"/>
      </w:r>
      <w:r>
        <w:rPr>
          <w:rStyle w:val="8"/>
        </w:rPr>
        <w:t>1</w:t>
      </w:r>
      <w:r>
        <w:rPr>
          <w:rStyle w:val="8"/>
          <w:rFonts w:ascii="Times New Roman"/>
        </w:rPr>
        <w:t xml:space="preserve"> 范围</w:t>
      </w:r>
      <w:r>
        <w:tab/>
      </w:r>
      <w:r>
        <w:fldChar w:fldCharType="begin"/>
      </w:r>
      <w:r>
        <w:instrText xml:space="preserve"> PAGEREF _Toc84255967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"_Toc84255968" </w:instrText>
      </w:r>
      <w:r>
        <w:fldChar w:fldCharType="separate"/>
      </w:r>
      <w:r>
        <w:rPr>
          <w:rStyle w:val="8"/>
        </w:rPr>
        <w:t>2</w:t>
      </w:r>
      <w:r>
        <w:rPr>
          <w:rStyle w:val="8"/>
          <w:rFonts w:ascii="Times New Roman"/>
        </w:rPr>
        <w:t xml:space="preserve"> 规范性引用文件</w:t>
      </w:r>
      <w:r>
        <w:tab/>
      </w:r>
      <w:r>
        <w:fldChar w:fldCharType="begin"/>
      </w:r>
      <w:r>
        <w:instrText xml:space="preserve"> PAGEREF _Toc84255968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"_Toc84255969" </w:instrText>
      </w:r>
      <w:r>
        <w:fldChar w:fldCharType="separate"/>
      </w:r>
      <w:r>
        <w:rPr>
          <w:rStyle w:val="8"/>
        </w:rPr>
        <w:t>3</w:t>
      </w:r>
      <w:r>
        <w:rPr>
          <w:rStyle w:val="8"/>
          <w:rFonts w:ascii="Times New Roman"/>
        </w:rPr>
        <w:t xml:space="preserve"> 术语和定义</w:t>
      </w:r>
      <w:r>
        <w:tab/>
      </w:r>
      <w:r>
        <w:fldChar w:fldCharType="begin"/>
      </w:r>
      <w:r>
        <w:instrText xml:space="preserve"> PAGEREF _Toc84255969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"_Toc84255970" </w:instrText>
      </w:r>
      <w:r>
        <w:fldChar w:fldCharType="separate"/>
      </w:r>
      <w:r>
        <w:rPr>
          <w:rStyle w:val="8"/>
        </w:rPr>
        <w:t>4</w:t>
      </w:r>
      <w:r>
        <w:rPr>
          <w:rStyle w:val="8"/>
          <w:rFonts w:ascii="Times New Roman"/>
        </w:rPr>
        <w:t xml:space="preserve"> </w:t>
      </w:r>
      <w:r>
        <w:rPr>
          <w:rStyle w:val="8"/>
          <w:rFonts w:hint="eastAsia" w:ascii="Times New Roman"/>
        </w:rPr>
        <w:t>外植体消毒与选择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"_Toc84255971" </w:instrText>
      </w:r>
      <w:r>
        <w:fldChar w:fldCharType="separate"/>
      </w:r>
      <w:r>
        <w:rPr>
          <w:rStyle w:val="8"/>
        </w:rPr>
        <w:t>5</w:t>
      </w:r>
      <w:r>
        <w:rPr>
          <w:rStyle w:val="8"/>
          <w:rFonts w:ascii="Times New Roman"/>
        </w:rPr>
        <w:t xml:space="preserve"> </w:t>
      </w:r>
      <w:r>
        <w:rPr>
          <w:rStyle w:val="8"/>
          <w:rFonts w:hint="eastAsia" w:ascii="Times New Roman"/>
        </w:rPr>
        <w:t>培养基制备</w:t>
      </w:r>
      <w:r>
        <w:tab/>
      </w:r>
      <w:r>
        <w:fldChar w:fldCharType="begin"/>
      </w:r>
      <w:r>
        <w:instrText xml:space="preserve"> PAGEREF _Toc84255971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5"/>
        <w:spacing w:before="78" w:after="7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"_Toc84255972" </w:instrText>
      </w:r>
      <w:r>
        <w:fldChar w:fldCharType="separate"/>
      </w:r>
      <w:r>
        <w:rPr>
          <w:rStyle w:val="8"/>
        </w:rPr>
        <w:t>6</w:t>
      </w:r>
      <w:r>
        <w:rPr>
          <w:rStyle w:val="8"/>
          <w:rFonts w:ascii="Times New Roman"/>
        </w:rPr>
        <w:t xml:space="preserve"> </w:t>
      </w:r>
      <w:r>
        <w:rPr>
          <w:rStyle w:val="8"/>
          <w:rFonts w:hint="eastAsia" w:ascii="Times New Roman"/>
        </w:rPr>
        <w:t>龙牙百合脱毒试管苗低成本生产技术</w:t>
      </w:r>
      <w:r>
        <w:tab/>
      </w:r>
      <w:r>
        <w:rPr>
          <w:rFonts w:hint="eastAsia"/>
        </w:rPr>
        <w:t>2</w:t>
      </w:r>
      <w:r>
        <w:rPr>
          <w:rFonts w:hint="eastAsia"/>
        </w:rPr>
        <w:fldChar w:fldCharType="end"/>
      </w:r>
    </w:p>
    <w:p>
      <w:pPr>
        <w:pStyle w:val="5"/>
        <w:spacing w:before="78" w:after="78"/>
        <w:rPr>
          <w:rFonts w:ascii="Times New Roman"/>
        </w:rPr>
      </w:pPr>
      <w:r>
        <w:rPr>
          <w:rFonts w:ascii="Times New Roman"/>
        </w:rPr>
        <w:fldChar w:fldCharType="end"/>
      </w:r>
    </w:p>
    <w:p>
      <w:pPr>
        <w:pStyle w:val="33"/>
        <w:rPr>
          <w:rFonts w:ascii="Times New Roman"/>
        </w:rPr>
      </w:pPr>
      <w:bookmarkStart w:id="9" w:name="_Toc67479548"/>
      <w:bookmarkStart w:id="10" w:name="_Toc67562361"/>
      <w:bookmarkStart w:id="11" w:name="_Toc84255966"/>
      <w:r>
        <w:rPr>
          <w:rFonts w:ascii="Times New Roman"/>
        </w:rPr>
        <w:t>前</w:t>
      </w:r>
      <w:bookmarkStart w:id="12" w:name="BKQY"/>
      <w:r>
        <w:rPr>
          <w:rFonts w:ascii="Times New Roman"/>
        </w:rPr>
        <w:t>  言</w:t>
      </w:r>
      <w:bookmarkEnd w:id="7"/>
      <w:bookmarkEnd w:id="9"/>
      <w:bookmarkEnd w:id="10"/>
      <w:bookmarkEnd w:id="11"/>
      <w:bookmarkEnd w:id="12"/>
    </w:p>
    <w:p>
      <w:pPr>
        <w:pStyle w:val="9"/>
        <w:rPr>
          <w:rFonts w:ascii="Times New Roman"/>
        </w:rPr>
      </w:pPr>
      <w:r>
        <w:rPr>
          <w:rFonts w:ascii="Times New Roman"/>
        </w:rPr>
        <w:t>本文件按照GB/T 1.1-2020《标准化工作导则 第1部分：标准化文件的结构和起草规则》的规定起草。</w:t>
      </w:r>
    </w:p>
    <w:p>
      <w:pPr>
        <w:pStyle w:val="9"/>
        <w:rPr>
          <w:rFonts w:ascii="Times New Roman"/>
        </w:rPr>
      </w:pPr>
      <w:r>
        <w:rPr>
          <w:rFonts w:ascii="Times New Roman"/>
        </w:rPr>
        <w:t>本文件由湖南省</w:t>
      </w:r>
      <w:r>
        <w:rPr>
          <w:rFonts w:hint="eastAsia" w:ascii="Times New Roman"/>
        </w:rPr>
        <w:t>市场监督管理局</w:t>
      </w:r>
      <w:r>
        <w:rPr>
          <w:rFonts w:ascii="Times New Roman"/>
        </w:rPr>
        <w:t>提出。</w:t>
      </w:r>
    </w:p>
    <w:p>
      <w:pPr>
        <w:pStyle w:val="9"/>
        <w:rPr>
          <w:rFonts w:ascii="Times New Roman"/>
        </w:rPr>
      </w:pPr>
      <w:r>
        <w:rPr>
          <w:rFonts w:ascii="Times New Roman"/>
        </w:rPr>
        <w:t>本文件由湖南省农业标准化技术委员会归口。</w:t>
      </w:r>
    </w:p>
    <w:p>
      <w:pPr>
        <w:pStyle w:val="9"/>
        <w:rPr>
          <w:rFonts w:ascii="Times New Roman"/>
        </w:rPr>
      </w:pPr>
      <w:r>
        <w:rPr>
          <w:rFonts w:ascii="Times New Roman"/>
        </w:rPr>
        <w:t>本文件起草单位：湖南农业大学</w:t>
      </w:r>
    </w:p>
    <w:p>
      <w:pPr>
        <w:pStyle w:val="9"/>
        <w:rPr>
          <w:rFonts w:ascii="Times New Roman"/>
        </w:rPr>
        <w:sectPr>
          <w:headerReference r:id="rId5" w:type="default"/>
          <w:footerReference r:id="rId6" w:type="default"/>
          <w:pgSz w:w="11906" w:h="16838"/>
          <w:pgMar w:top="567" w:right="1134" w:bottom="1134" w:left="1417" w:header="1418" w:footer="1134" w:gutter="0"/>
          <w:pgNumType w:fmt="upperRoman" w:start="1"/>
          <w:cols w:space="425" w:num="1"/>
          <w:formProt w:val="0"/>
          <w:docGrid w:type="lines" w:linePitch="312" w:charSpace="0"/>
        </w:sectPr>
      </w:pPr>
      <w:r>
        <w:rPr>
          <w:rFonts w:ascii="Times New Roman"/>
        </w:rPr>
        <w:t>本文件主要起草人：</w:t>
      </w:r>
      <w:r>
        <w:rPr>
          <w:rFonts w:hint="eastAsia" w:ascii="Times New Roman"/>
        </w:rPr>
        <w:t>陈海霞</w:t>
      </w:r>
      <w:r>
        <w:rPr>
          <w:rFonts w:ascii="Times New Roman"/>
        </w:rPr>
        <w:t>、</w:t>
      </w:r>
      <w:r>
        <w:rPr>
          <w:rFonts w:hint="eastAsia" w:ascii="Times New Roman"/>
        </w:rPr>
        <w:t>李玉帆</w:t>
      </w:r>
      <w:r>
        <w:rPr>
          <w:rFonts w:ascii="Times New Roman"/>
        </w:rPr>
        <w:t>、</w:t>
      </w:r>
      <w:r>
        <w:rPr>
          <w:rFonts w:hint="eastAsia" w:ascii="Times New Roman"/>
        </w:rPr>
        <w:t>蒋辉。</w:t>
      </w:r>
    </w:p>
    <w:p>
      <w:pPr>
        <w:ind w:firstLine="1280" w:firstLineChars="400"/>
        <w:rPr>
          <w:rFonts w:ascii="黑体" w:eastAsia="黑体"/>
          <w:kern w:val="0"/>
          <w:sz w:val="32"/>
          <w:szCs w:val="20"/>
        </w:rPr>
      </w:pPr>
      <w:r>
        <w:rPr>
          <w:rFonts w:hint="eastAsia" w:ascii="黑体" w:eastAsia="黑体"/>
          <w:kern w:val="0"/>
          <w:sz w:val="32"/>
          <w:szCs w:val="20"/>
        </w:rPr>
        <w:t>龙牙百合脱毒试管苗低成本繁育技术规程</w:t>
      </w:r>
    </w:p>
    <w:p>
      <w:pPr>
        <w:ind w:firstLine="1120" w:firstLineChars="350"/>
        <w:rPr>
          <w:rFonts w:ascii="黑体" w:eastAsia="黑体"/>
          <w:kern w:val="0"/>
          <w:sz w:val="32"/>
          <w:szCs w:val="20"/>
        </w:rPr>
      </w:pPr>
    </w:p>
    <w:p>
      <w:pPr>
        <w:pStyle w:val="2"/>
        <w:spacing w:before="120" w:after="120"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1 范围</w:t>
      </w:r>
    </w:p>
    <w:p>
      <w:pPr>
        <w:pStyle w:val="9"/>
        <w:spacing w:after="156" w:afterLines="50"/>
        <w:rPr>
          <w:rFonts w:ascii="Times New Roman"/>
          <w:szCs w:val="21"/>
        </w:rPr>
      </w:pPr>
      <w:r>
        <w:rPr>
          <w:rFonts w:ascii="Times New Roman"/>
          <w:szCs w:val="21"/>
        </w:rPr>
        <w:t>本标准规定了</w:t>
      </w:r>
      <w:r>
        <w:rPr>
          <w:rFonts w:hint="eastAsia" w:ascii="Times New Roman"/>
          <w:szCs w:val="21"/>
        </w:rPr>
        <w:t>龙牙百合（</w:t>
      </w:r>
      <w:r>
        <w:rPr>
          <w:rFonts w:ascii="Times New Roman"/>
          <w:i/>
          <w:szCs w:val="21"/>
        </w:rPr>
        <w:t>Lilium brownii</w:t>
      </w:r>
      <w:r>
        <w:rPr>
          <w:rFonts w:ascii="Times New Roman"/>
          <w:szCs w:val="21"/>
        </w:rPr>
        <w:t xml:space="preserve"> Var. </w:t>
      </w:r>
      <w:r>
        <w:rPr>
          <w:rFonts w:ascii="Times New Roman"/>
          <w:i/>
          <w:szCs w:val="21"/>
        </w:rPr>
        <w:t>viridulum</w:t>
      </w:r>
      <w:r>
        <w:rPr>
          <w:rFonts w:ascii="Times New Roman"/>
          <w:szCs w:val="21"/>
        </w:rPr>
        <w:t xml:space="preserve"> Baker</w:t>
      </w:r>
      <w:r>
        <w:rPr>
          <w:rFonts w:hint="eastAsia" w:ascii="Times New Roman"/>
          <w:szCs w:val="21"/>
        </w:rPr>
        <w:t>）脱毒种苗低成本繁育技术的术语和定义、外植体选择、培养基制备、诱导培养、增殖培养和瓶外生根的技术</w:t>
      </w:r>
      <w:r>
        <w:rPr>
          <w:rFonts w:ascii="Times New Roman"/>
          <w:szCs w:val="21"/>
        </w:rPr>
        <w:t>。</w:t>
      </w:r>
    </w:p>
    <w:p>
      <w:pPr>
        <w:pStyle w:val="9"/>
        <w:spacing w:after="156" w:afterLines="50"/>
        <w:rPr>
          <w:rFonts w:ascii="Times New Roman"/>
          <w:szCs w:val="21"/>
        </w:rPr>
      </w:pPr>
      <w:r>
        <w:rPr>
          <w:rFonts w:ascii="Times New Roman"/>
          <w:szCs w:val="21"/>
        </w:rPr>
        <w:t>本</w:t>
      </w:r>
      <w:r>
        <w:rPr>
          <w:rFonts w:hint="eastAsia" w:ascii="Times New Roman"/>
          <w:szCs w:val="21"/>
        </w:rPr>
        <w:t>文件</w:t>
      </w:r>
      <w:r>
        <w:rPr>
          <w:rFonts w:ascii="Times New Roman"/>
          <w:szCs w:val="21"/>
        </w:rPr>
        <w:t>适用于</w:t>
      </w:r>
      <w:r>
        <w:rPr>
          <w:rFonts w:hint="eastAsia" w:ascii="Times New Roman"/>
          <w:szCs w:val="21"/>
        </w:rPr>
        <w:t>龙牙百合脱毒试管苗低成本生产</w:t>
      </w:r>
      <w:r>
        <w:rPr>
          <w:rFonts w:ascii="Times New Roman"/>
          <w:szCs w:val="21"/>
        </w:rPr>
        <w:t>。</w:t>
      </w:r>
    </w:p>
    <w:p>
      <w:pPr>
        <w:pStyle w:val="2"/>
        <w:spacing w:before="120" w:after="120"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2 规范性引用文件</w:t>
      </w:r>
    </w:p>
    <w:p>
      <w:pPr>
        <w:pStyle w:val="9"/>
        <w:spacing w:after="156" w:afterLines="50"/>
        <w:rPr>
          <w:rFonts w:ascii="Times New Roman"/>
          <w:szCs w:val="21"/>
        </w:rPr>
      </w:pPr>
      <w:r>
        <w:rPr>
          <w:rFonts w:ascii="Times New Roman"/>
          <w:szCs w:val="21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9"/>
        <w:spacing w:after="156" w:afterLines="50"/>
        <w:rPr>
          <w:rFonts w:ascii="Times New Roman"/>
          <w:szCs w:val="21"/>
        </w:rPr>
      </w:pPr>
      <w:r>
        <w:rPr>
          <w:rFonts w:hint="eastAsia" w:ascii="Times New Roman"/>
          <w:szCs w:val="21"/>
        </w:rPr>
        <w:t>DB15/T 1611-2019 细叶百合组织培养技术规程</w:t>
      </w:r>
    </w:p>
    <w:p>
      <w:pPr>
        <w:pStyle w:val="2"/>
        <w:spacing w:before="120" w:after="120"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3 术语与定义</w:t>
      </w:r>
    </w:p>
    <w:p>
      <w:pPr>
        <w:pStyle w:val="9"/>
        <w:spacing w:after="156" w:afterLines="50"/>
        <w:rPr>
          <w:rFonts w:ascii="Times New Roman"/>
          <w:szCs w:val="21"/>
        </w:rPr>
      </w:pPr>
      <w:bookmarkStart w:id="13" w:name="_Toc24911963"/>
      <w:bookmarkEnd w:id="13"/>
      <w:r>
        <w:rPr>
          <w:rFonts w:hint="eastAsia"/>
          <w:szCs w:val="21"/>
        </w:rPr>
        <w:t>龙牙百合</w:t>
      </w:r>
      <w:r>
        <w:rPr>
          <w:rFonts w:ascii="Times New Roman"/>
          <w:szCs w:val="21"/>
        </w:rPr>
        <w:t>（</w:t>
      </w:r>
      <w:r>
        <w:rPr>
          <w:rFonts w:ascii="Times New Roman"/>
          <w:i/>
          <w:szCs w:val="21"/>
        </w:rPr>
        <w:t>Lilium brownii</w:t>
      </w:r>
      <w:r>
        <w:rPr>
          <w:rFonts w:ascii="Times New Roman"/>
          <w:szCs w:val="21"/>
        </w:rPr>
        <w:t xml:space="preserve"> Var. </w:t>
      </w:r>
      <w:r>
        <w:rPr>
          <w:rFonts w:ascii="Times New Roman"/>
          <w:i/>
          <w:szCs w:val="21"/>
        </w:rPr>
        <w:t>viridulum</w:t>
      </w:r>
      <w:r>
        <w:rPr>
          <w:rFonts w:ascii="Times New Roman"/>
          <w:szCs w:val="21"/>
        </w:rPr>
        <w:t xml:space="preserve"> Baker）</w:t>
      </w:r>
      <w:r>
        <w:rPr>
          <w:rFonts w:hint="eastAsia" w:ascii="Times New Roman"/>
          <w:szCs w:val="21"/>
        </w:rPr>
        <w:t>是百合科百合属多年生草本球根植物，是我国人工栽培的三大食用百合之一，其鳞片富含淀粉、蛋白质和脂肪，具有养阴润肺、止咳、清热、安神和利尿的功效。</w:t>
      </w:r>
    </w:p>
    <w:p>
      <w:pPr>
        <w:pStyle w:val="9"/>
        <w:spacing w:after="156" w:afterLines="50"/>
        <w:rPr>
          <w:szCs w:val="21"/>
        </w:rPr>
      </w:pPr>
      <w:r>
        <w:rPr>
          <w:rFonts w:hint="eastAsia"/>
          <w:szCs w:val="21"/>
        </w:rPr>
        <w:t>下列术语和定义适用于本标准。</w:t>
      </w:r>
    </w:p>
    <w:p>
      <w:pPr>
        <w:pStyle w:val="9"/>
        <w:spacing w:after="156" w:afterLines="50"/>
        <w:ind w:firstLine="0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3.1 接种</w:t>
      </w:r>
    </w:p>
    <w:p>
      <w:pPr>
        <w:pStyle w:val="9"/>
        <w:spacing w:after="156" w:afterLines="50"/>
        <w:ind w:firstLine="0" w:firstLineChars="0"/>
        <w:rPr>
          <w:szCs w:val="21"/>
        </w:rPr>
      </w:pPr>
      <w:r>
        <w:rPr>
          <w:rFonts w:hint="eastAsia"/>
          <w:szCs w:val="21"/>
        </w:rPr>
        <w:t xml:space="preserve">    在无菌条件下，将表面灭菌后的外植体或继代培养、增殖培养和生根培养的组培材料接入培养基的过程。</w:t>
      </w:r>
    </w:p>
    <w:p>
      <w:pPr>
        <w:pStyle w:val="9"/>
        <w:spacing w:after="156" w:afterLines="50"/>
        <w:ind w:firstLine="0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3.2 诱导培养</w:t>
      </w:r>
    </w:p>
    <w:p>
      <w:pPr>
        <w:pStyle w:val="9"/>
        <w:spacing w:after="156" w:afterLines="50"/>
        <w:ind w:firstLine="0" w:firstLineChars="0"/>
        <w:rPr>
          <w:szCs w:val="21"/>
        </w:rPr>
      </w:pPr>
      <w:r>
        <w:rPr>
          <w:rFonts w:hint="eastAsia"/>
          <w:szCs w:val="21"/>
        </w:rPr>
        <w:t xml:space="preserve">    将采集的外植体对其表面灭菌后接种，将其置于适宜条件下，启动生长、获得最初无菌培养材料的过程。</w:t>
      </w:r>
    </w:p>
    <w:p>
      <w:pPr>
        <w:pStyle w:val="9"/>
        <w:spacing w:after="156" w:afterLines="50"/>
        <w:ind w:firstLine="0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3.3 增殖培养</w:t>
      </w:r>
    </w:p>
    <w:p>
      <w:pPr>
        <w:pStyle w:val="9"/>
        <w:spacing w:after="156" w:afterLines="50"/>
        <w:ind w:firstLine="0" w:firstLineChars="0"/>
        <w:rPr>
          <w:szCs w:val="21"/>
        </w:rPr>
      </w:pPr>
      <w:r>
        <w:rPr>
          <w:rFonts w:hint="eastAsia"/>
          <w:szCs w:val="21"/>
        </w:rPr>
        <w:t xml:space="preserve">    将诱导出来的无菌材料接种，将其置于适宜条件下，使其形成丛生芽（苗）的过程。</w:t>
      </w:r>
    </w:p>
    <w:p>
      <w:pPr>
        <w:pStyle w:val="9"/>
        <w:spacing w:after="156" w:afterLines="50"/>
        <w:ind w:firstLine="0" w:firstLineChars="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3.4 瓶外生根法</w:t>
      </w:r>
    </w:p>
    <w:p>
      <w:pPr>
        <w:pStyle w:val="9"/>
        <w:spacing w:after="156" w:afterLines="50"/>
        <w:ind w:firstLine="0" w:firstLineChars="0"/>
        <w:rPr>
          <w:szCs w:val="21"/>
        </w:rPr>
      </w:pPr>
      <w:r>
        <w:rPr>
          <w:rFonts w:hint="eastAsia"/>
          <w:szCs w:val="21"/>
        </w:rPr>
        <w:t xml:space="preserve">    以无根组培苗为材料，直接种植在合适的基质中使其生根的方法。</w:t>
      </w:r>
    </w:p>
    <w:p>
      <w:pPr>
        <w:pStyle w:val="2"/>
        <w:spacing w:before="0" w:after="156" w:afterLines="50" w:line="240" w:lineRule="auto"/>
        <w:rPr>
          <w:rFonts w:ascii="黑体" w:hAnsi="黑体" w:eastAsia="黑体"/>
          <w:bCs w:val="0"/>
          <w:kern w:val="0"/>
          <w:sz w:val="21"/>
          <w:szCs w:val="21"/>
        </w:rPr>
      </w:pPr>
      <w:bookmarkStart w:id="14" w:name="_Toc86828419"/>
      <w:r>
        <w:rPr>
          <w:rFonts w:hint="eastAsia" w:ascii="黑体" w:hAnsi="黑体" w:eastAsia="黑体"/>
          <w:bCs w:val="0"/>
          <w:kern w:val="0"/>
          <w:sz w:val="21"/>
          <w:szCs w:val="21"/>
        </w:rPr>
        <w:t>4 外植体消毒与选择</w:t>
      </w:r>
      <w:bookmarkEnd w:id="14"/>
    </w:p>
    <w:p>
      <w:pPr>
        <w:pStyle w:val="9"/>
        <w:spacing w:after="156" w:afterLines="50"/>
        <w:ind w:firstLine="0" w:firstLineChars="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4.1 外植体消毒</w:t>
      </w:r>
    </w:p>
    <w:p>
      <w:pPr>
        <w:spacing w:after="156" w:afterLines="5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以脱毒</w:t>
      </w:r>
      <w:r>
        <w:rPr>
          <w:kern w:val="0"/>
          <w:szCs w:val="21"/>
        </w:rPr>
        <w:t>龙牙百合商品球为外植体，</w:t>
      </w:r>
      <w:r>
        <w:rPr>
          <w:rFonts w:hint="eastAsia"/>
          <w:kern w:val="0"/>
          <w:szCs w:val="21"/>
        </w:rPr>
        <w:t>将种球</w:t>
      </w:r>
      <w:r>
        <w:rPr>
          <w:kern w:val="0"/>
          <w:szCs w:val="21"/>
        </w:rPr>
        <w:t>从外至里剥下</w:t>
      </w:r>
      <w:r>
        <w:rPr>
          <w:rFonts w:hint="eastAsia"/>
          <w:kern w:val="0"/>
          <w:szCs w:val="21"/>
        </w:rPr>
        <w:t>所有</w:t>
      </w:r>
      <w:r>
        <w:rPr>
          <w:kern w:val="0"/>
          <w:szCs w:val="21"/>
        </w:rPr>
        <w:t>鳞片，放</w:t>
      </w:r>
      <w:r>
        <w:rPr>
          <w:rFonts w:hint="eastAsia"/>
          <w:kern w:val="0"/>
          <w:szCs w:val="21"/>
        </w:rPr>
        <w:t>入</w:t>
      </w:r>
      <w:r>
        <w:rPr>
          <w:kern w:val="0"/>
          <w:szCs w:val="21"/>
        </w:rPr>
        <w:t>1L大烧杯中，自来水下</w:t>
      </w:r>
      <w:r>
        <w:rPr>
          <w:rFonts w:hint="eastAsia"/>
          <w:kern w:val="0"/>
          <w:szCs w:val="21"/>
        </w:rPr>
        <w:t>流水冲洗</w:t>
      </w:r>
      <w:r>
        <w:rPr>
          <w:kern w:val="0"/>
          <w:szCs w:val="21"/>
        </w:rPr>
        <w:t>30min，</w:t>
      </w:r>
      <w:r>
        <w:rPr>
          <w:rFonts w:hint="eastAsia"/>
          <w:kern w:val="0"/>
          <w:szCs w:val="21"/>
        </w:rPr>
        <w:t>之后用</w:t>
      </w:r>
      <w:r>
        <w:rPr>
          <w:kern w:val="0"/>
          <w:szCs w:val="21"/>
        </w:rPr>
        <w:t>蒸馏水洗10min</w:t>
      </w:r>
      <w:r>
        <w:rPr>
          <w:rFonts w:hint="eastAsia"/>
          <w:kern w:val="0"/>
          <w:szCs w:val="21"/>
        </w:rPr>
        <w:t>；在超净工作台上，用已经配制好的</w:t>
      </w:r>
      <w:r>
        <w:rPr>
          <w:kern w:val="0"/>
          <w:szCs w:val="21"/>
        </w:rPr>
        <w:t>0.1%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Hgcl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中再浸泡</w:t>
      </w:r>
      <w:r>
        <w:rPr>
          <w:kern w:val="0"/>
          <w:szCs w:val="21"/>
        </w:rPr>
        <w:t>消毒10min，</w:t>
      </w:r>
      <w:r>
        <w:rPr>
          <w:rFonts w:hint="eastAsia"/>
          <w:kern w:val="0"/>
          <w:szCs w:val="21"/>
        </w:rPr>
        <w:t>再</w:t>
      </w:r>
      <w:r>
        <w:rPr>
          <w:kern w:val="0"/>
          <w:szCs w:val="21"/>
        </w:rPr>
        <w:t>无菌水冲洗3-5次，每次冲洗5min</w:t>
      </w:r>
      <w:r>
        <w:rPr>
          <w:rFonts w:hint="eastAsia"/>
          <w:kern w:val="0"/>
          <w:szCs w:val="21"/>
        </w:rPr>
        <w:t>，最后使用无菌</w:t>
      </w:r>
      <w:r>
        <w:rPr>
          <w:kern w:val="0"/>
          <w:szCs w:val="21"/>
        </w:rPr>
        <w:t>滤纸吸干</w:t>
      </w:r>
      <w:r>
        <w:rPr>
          <w:rFonts w:hint="eastAsia"/>
          <w:kern w:val="0"/>
          <w:szCs w:val="21"/>
        </w:rPr>
        <w:t>鳞片表面的</w:t>
      </w:r>
      <w:r>
        <w:rPr>
          <w:kern w:val="0"/>
          <w:szCs w:val="21"/>
        </w:rPr>
        <w:t>水分。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4.2 外植体选择</w:t>
      </w:r>
    </w:p>
    <w:p>
      <w:pPr>
        <w:spacing w:after="156" w:afterLines="50"/>
        <w:ind w:firstLine="420" w:firstLineChars="200"/>
        <w:rPr>
          <w:kern w:val="0"/>
          <w:szCs w:val="21"/>
        </w:rPr>
      </w:pPr>
      <w:r>
        <w:rPr>
          <w:kern w:val="0"/>
          <w:szCs w:val="21"/>
        </w:rPr>
        <w:t>将</w:t>
      </w:r>
      <w:r>
        <w:rPr>
          <w:rFonts w:hint="eastAsia"/>
          <w:kern w:val="0"/>
          <w:szCs w:val="21"/>
        </w:rPr>
        <w:t>消毒完成的龙牙百合</w:t>
      </w:r>
      <w:r>
        <w:rPr>
          <w:kern w:val="0"/>
          <w:szCs w:val="21"/>
        </w:rPr>
        <w:t>鳞片从中部</w:t>
      </w:r>
      <w:r>
        <w:rPr>
          <w:rFonts w:hint="eastAsia"/>
          <w:kern w:val="0"/>
          <w:szCs w:val="21"/>
        </w:rPr>
        <w:t>横</w:t>
      </w:r>
      <w:r>
        <w:rPr>
          <w:kern w:val="0"/>
          <w:szCs w:val="21"/>
        </w:rPr>
        <w:t>切，分成上下两段</w:t>
      </w:r>
      <w:r>
        <w:rPr>
          <w:rFonts w:hint="eastAsia"/>
          <w:kern w:val="0"/>
          <w:szCs w:val="21"/>
        </w:rPr>
        <w:t>，备用。</w:t>
      </w:r>
    </w:p>
    <w:p>
      <w:pPr>
        <w:pStyle w:val="2"/>
        <w:spacing w:before="120" w:after="120"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5 培养基制备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5.1 培养基配方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>5.1.1 诱导培养基：</w:t>
      </w:r>
      <w:r>
        <w:rPr>
          <w:kern w:val="0"/>
          <w:szCs w:val="21"/>
        </w:rPr>
        <w:t>MS+1.0 mg/L 6-BA+0.5 mg/L NAA</w:t>
      </w:r>
      <w:r>
        <w:rPr>
          <w:rFonts w:hint="eastAsia"/>
          <w:kern w:val="0"/>
          <w:szCs w:val="21"/>
        </w:rPr>
        <w:t>+食用白砂糖30g/L+琼脂7g/L，调整p</w:t>
      </w:r>
      <w:r>
        <w:rPr>
          <w:kern w:val="0"/>
          <w:szCs w:val="21"/>
        </w:rPr>
        <w:t>H</w:t>
      </w:r>
      <w:r>
        <w:rPr>
          <w:rFonts w:hint="eastAsia"/>
          <w:kern w:val="0"/>
          <w:szCs w:val="21"/>
        </w:rPr>
        <w:t>为</w:t>
      </w:r>
      <w:r>
        <w:rPr>
          <w:kern w:val="0"/>
          <w:szCs w:val="21"/>
        </w:rPr>
        <w:t>5.8</w:t>
      </w:r>
      <w:r>
        <w:rPr>
          <w:rFonts w:hint="eastAsia"/>
          <w:kern w:val="0"/>
          <w:szCs w:val="21"/>
        </w:rPr>
        <w:t>。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>5.1.2 增殖培养基：</w:t>
      </w:r>
      <w:r>
        <w:rPr>
          <w:szCs w:val="21"/>
        </w:rPr>
        <w:t>MS+1.0 mg/L 6-BA +0.1 mg/L NAA</w:t>
      </w:r>
      <w:r>
        <w:rPr>
          <w:rFonts w:hint="eastAsia"/>
          <w:kern w:val="0"/>
          <w:szCs w:val="21"/>
        </w:rPr>
        <w:t>+食用白砂糖30g/L+琼脂7g/L，调整p</w:t>
      </w:r>
      <w:r>
        <w:rPr>
          <w:kern w:val="0"/>
          <w:szCs w:val="21"/>
        </w:rPr>
        <w:t>H</w:t>
      </w:r>
      <w:r>
        <w:rPr>
          <w:rFonts w:hint="eastAsia"/>
          <w:kern w:val="0"/>
          <w:szCs w:val="21"/>
        </w:rPr>
        <w:t>为</w:t>
      </w:r>
      <w:r>
        <w:rPr>
          <w:kern w:val="0"/>
          <w:szCs w:val="21"/>
        </w:rPr>
        <w:t>5.8</w:t>
      </w:r>
      <w:r>
        <w:rPr>
          <w:rFonts w:hint="eastAsia"/>
          <w:kern w:val="0"/>
          <w:szCs w:val="21"/>
        </w:rPr>
        <w:t>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5.2 培养基母液及培养基配制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按照DB15/T 1611-2019执行。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5.3 培养基灭菌及保存</w:t>
      </w:r>
    </w:p>
    <w:p>
      <w:pPr>
        <w:spacing w:after="156" w:afterLines="50"/>
        <w:ind w:firstLine="435"/>
        <w:rPr>
          <w:kern w:val="0"/>
          <w:szCs w:val="21"/>
        </w:rPr>
      </w:pPr>
      <w:r>
        <w:rPr>
          <w:rFonts w:hint="eastAsia"/>
          <w:kern w:val="0"/>
          <w:szCs w:val="21"/>
        </w:rPr>
        <w:t>将封口好的培养瓶尽快放入高压灭菌锅内，121℃灭菌15-20min。灭菌完成后，切断电源，待灭菌锅内气压表降至0时再打开高压灭菌锅，取出培养基，并置于接种室冷却。</w:t>
      </w:r>
    </w:p>
    <w:p>
      <w:pPr>
        <w:spacing w:after="156" w:afterLines="50"/>
        <w:ind w:firstLine="435"/>
        <w:rPr>
          <w:kern w:val="0"/>
          <w:szCs w:val="21"/>
        </w:rPr>
      </w:pPr>
      <w:r>
        <w:rPr>
          <w:rFonts w:hint="eastAsia"/>
          <w:kern w:val="0"/>
          <w:szCs w:val="21"/>
        </w:rPr>
        <w:t>灭菌后的培养基，贮存时间不超过10d。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5.4 培养条件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培养温度25</w:t>
      </w:r>
      <w:r>
        <w:rPr>
          <w:rFonts w:hint="eastAsia" w:ascii="宋体" w:hAnsi="宋体"/>
          <w:kern w:val="0"/>
          <w:szCs w:val="21"/>
        </w:rPr>
        <w:t>±</w:t>
      </w:r>
      <w:r>
        <w:rPr>
          <w:rFonts w:hint="eastAsia"/>
          <w:kern w:val="0"/>
          <w:szCs w:val="21"/>
        </w:rPr>
        <w:t>1℃，光照强度2500Lx，每天光照时间10-12h。</w:t>
      </w:r>
    </w:p>
    <w:p>
      <w:pPr>
        <w:pStyle w:val="2"/>
        <w:spacing w:before="120" w:after="120" w:line="360" w:lineRule="auto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6 龙牙百合脱毒试管苗低成本生产技术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6.1 无菌接种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>6.1.1 提前打开超净工作台的风机和紫外灯，通风15min。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>6.1.2 首先将接种工具用酒精棉擦拭，然后置入已完成预热的电热消毒器中消毒1min，取出冷却后备用。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>6.1.3 将消毒和处理完成的鳞片，接入培养基，每瓶接2-4个外植体，分布均匀，封好瓶口后，注明代号及日期等，放至培养室培养。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6.2 诱导培养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将已消毒的鳞片接种至诱导培养基上，接种后15-</w:t>
      </w:r>
      <w:r>
        <w:rPr>
          <w:kern w:val="0"/>
          <w:szCs w:val="21"/>
        </w:rPr>
        <w:t>20d</w:t>
      </w:r>
      <w:r>
        <w:rPr>
          <w:rFonts w:hint="eastAsia"/>
          <w:kern w:val="0"/>
          <w:szCs w:val="21"/>
        </w:rPr>
        <w:t>时，在鳞片切口位置，萌出不定芽，上端鳞片的不定芽萌发数量和速度均优于下端鳞片；接种4</w:t>
      </w:r>
      <w:r>
        <w:rPr>
          <w:kern w:val="0"/>
          <w:szCs w:val="21"/>
        </w:rPr>
        <w:t>0d</w:t>
      </w:r>
      <w:r>
        <w:rPr>
          <w:rFonts w:hint="eastAsia"/>
          <w:kern w:val="0"/>
          <w:szCs w:val="21"/>
        </w:rPr>
        <w:t>时，鳞片切口处不定芽数量多且生长健壮，并开始抽生新叶，叶片呈新绿色。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6.3 增殖培养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在超净工作台上，将已经诱导培养出来的丛生芽切成单芽，接种到增殖培养基中进行培养，每瓶接种2-4个单芽，接种20d左右时，单芽逐渐长成丛芽；接种40d后在丛生芽形成小鳞茎，数量多，且长势旺盛。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6.4 瓶外生根培养</w:t>
      </w:r>
    </w:p>
    <w:p>
      <w:pPr>
        <w:spacing w:after="156" w:afterLines="50"/>
        <w:ind w:firstLine="420" w:firstLineChars="200"/>
        <w:rPr>
          <w:kern w:val="0"/>
          <w:szCs w:val="21"/>
        </w:rPr>
      </w:pPr>
      <w:r>
        <w:rPr>
          <w:rFonts w:hint="eastAsia"/>
          <w:kern w:val="0"/>
          <w:szCs w:val="21"/>
        </w:rPr>
        <w:t>以清洁的河沙为基质，</w:t>
      </w:r>
      <w:r>
        <w:rPr>
          <w:kern w:val="0"/>
          <w:szCs w:val="21"/>
        </w:rPr>
        <w:t>用1-2‰高锰酸钾溶液对基质进行消毒</w:t>
      </w:r>
      <w:r>
        <w:rPr>
          <w:rFonts w:hint="eastAsia"/>
          <w:kern w:val="0"/>
          <w:szCs w:val="21"/>
        </w:rPr>
        <w:t>处理</w:t>
      </w:r>
      <w:r>
        <w:rPr>
          <w:kern w:val="0"/>
          <w:szCs w:val="21"/>
        </w:rPr>
        <w:t>，种植</w:t>
      </w:r>
      <w:r>
        <w:rPr>
          <w:rFonts w:hint="eastAsia"/>
          <w:kern w:val="0"/>
          <w:szCs w:val="21"/>
        </w:rPr>
        <w:t>前再使用0.1%</w:t>
      </w:r>
      <w:r>
        <w:rPr>
          <w:kern w:val="0"/>
          <w:szCs w:val="21"/>
        </w:rPr>
        <w:t>多菌灵溶液</w:t>
      </w:r>
      <w:r>
        <w:rPr>
          <w:rFonts w:hint="eastAsia"/>
          <w:kern w:val="0"/>
          <w:szCs w:val="21"/>
        </w:rPr>
        <w:t>喷施基质表面</w:t>
      </w:r>
      <w:r>
        <w:rPr>
          <w:kern w:val="0"/>
          <w:szCs w:val="21"/>
        </w:rPr>
        <w:t>，</w:t>
      </w:r>
      <w:r>
        <w:rPr>
          <w:rFonts w:hint="eastAsia"/>
          <w:kern w:val="0"/>
          <w:szCs w:val="21"/>
        </w:rPr>
        <w:t>覆膜</w:t>
      </w:r>
      <w:r>
        <w:rPr>
          <w:kern w:val="0"/>
          <w:szCs w:val="21"/>
        </w:rPr>
        <w:t>保</w:t>
      </w:r>
      <w:r>
        <w:rPr>
          <w:rFonts w:hint="eastAsia"/>
          <w:kern w:val="0"/>
          <w:szCs w:val="21"/>
        </w:rPr>
        <w:t>持</w:t>
      </w:r>
      <w:r>
        <w:rPr>
          <w:kern w:val="0"/>
          <w:szCs w:val="21"/>
        </w:rPr>
        <w:t>适宜的湿度。当</w:t>
      </w:r>
      <w:r>
        <w:rPr>
          <w:rFonts w:hint="eastAsia"/>
          <w:kern w:val="0"/>
          <w:szCs w:val="21"/>
        </w:rPr>
        <w:t>龙牙百合</w:t>
      </w:r>
      <w:r>
        <w:rPr>
          <w:kern w:val="0"/>
          <w:szCs w:val="21"/>
        </w:rPr>
        <w:t>无</w:t>
      </w:r>
      <w:r>
        <w:rPr>
          <w:rFonts w:hint="eastAsia"/>
          <w:kern w:val="0"/>
          <w:szCs w:val="21"/>
        </w:rPr>
        <w:t>根</w:t>
      </w:r>
      <w:r>
        <w:rPr>
          <w:kern w:val="0"/>
          <w:szCs w:val="21"/>
        </w:rPr>
        <w:t>苗</w:t>
      </w:r>
      <w:r>
        <w:rPr>
          <w:rFonts w:hint="eastAsia"/>
          <w:kern w:val="0"/>
          <w:szCs w:val="21"/>
        </w:rPr>
        <w:t>的小</w:t>
      </w:r>
      <w:r>
        <w:rPr>
          <w:kern w:val="0"/>
          <w:szCs w:val="21"/>
        </w:rPr>
        <w:t>鳞茎直径大于</w:t>
      </w: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cm时，置于无强烈直射光的炼苗室</w:t>
      </w:r>
      <w:r>
        <w:rPr>
          <w:rFonts w:hint="eastAsia"/>
          <w:kern w:val="0"/>
          <w:szCs w:val="21"/>
        </w:rPr>
        <w:t>内</w:t>
      </w:r>
      <w:r>
        <w:rPr>
          <w:kern w:val="0"/>
          <w:szCs w:val="21"/>
        </w:rPr>
        <w:t>进行炼苗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d</w:t>
      </w:r>
      <w:r>
        <w:rPr>
          <w:kern w:val="0"/>
          <w:szCs w:val="21"/>
        </w:rPr>
        <w:t>后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将组培苗从瓶内取出，洗净残留的培养基，</w:t>
      </w:r>
      <w:r>
        <w:rPr>
          <w:rFonts w:hint="eastAsia"/>
          <w:kern w:val="0"/>
          <w:szCs w:val="21"/>
        </w:rPr>
        <w:t>在</w:t>
      </w:r>
      <w:r>
        <w:rPr>
          <w:kern w:val="0"/>
          <w:szCs w:val="21"/>
        </w:rPr>
        <w:t>300 mg/L NAA溶液中浸泡15</w:t>
      </w:r>
      <w:r>
        <w:rPr>
          <w:rFonts w:hint="eastAsia"/>
          <w:kern w:val="0"/>
          <w:szCs w:val="21"/>
        </w:rPr>
        <w:t>min后</w:t>
      </w:r>
      <w:r>
        <w:rPr>
          <w:kern w:val="0"/>
          <w:szCs w:val="21"/>
        </w:rPr>
        <w:t>，移栽到基质中，湿度控制在80%-90%，移栽温度以20-25℃为宜</w:t>
      </w:r>
      <w:r>
        <w:rPr>
          <w:rFonts w:hint="eastAsia"/>
          <w:kern w:val="0"/>
          <w:szCs w:val="21"/>
        </w:rPr>
        <w:t>，并适度遮阴，</w:t>
      </w:r>
      <w:r>
        <w:rPr>
          <w:kern w:val="0"/>
          <w:szCs w:val="21"/>
        </w:rPr>
        <w:t>30天后</w:t>
      </w:r>
      <w:r>
        <w:rPr>
          <w:rFonts w:hint="eastAsia"/>
          <w:kern w:val="0"/>
          <w:szCs w:val="21"/>
        </w:rPr>
        <w:t>生根多且健壮。</w:t>
      </w:r>
    </w:p>
    <w:p>
      <w:pPr>
        <w:spacing w:after="156" w:afterLines="50"/>
        <w:rPr>
          <w:rFonts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</w:rPr>
        <w:t>6.5移栽</w:t>
      </w:r>
    </w:p>
    <w:p>
      <w:pPr>
        <w:spacing w:after="156" w:afterLines="5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将有3-4片真叶的幼苗进行移栽，混合基质为</w:t>
      </w:r>
      <w:r>
        <w:rPr>
          <w:kern w:val="0"/>
          <w:szCs w:val="21"/>
        </w:rPr>
        <w:t>珍珠岩:蛭石:泥炭土=1 ：1 ：1</w:t>
      </w:r>
      <w:r>
        <w:rPr>
          <w:rFonts w:hint="eastAsia"/>
          <w:kern w:val="0"/>
          <w:szCs w:val="21"/>
        </w:rPr>
        <w:t>，环境</w:t>
      </w:r>
      <w:r>
        <w:rPr>
          <w:kern w:val="0"/>
          <w:szCs w:val="21"/>
        </w:rPr>
        <w:t>湿度控制在80%-90%，温度以20-25℃为宜</w:t>
      </w:r>
      <w:r>
        <w:rPr>
          <w:rFonts w:hint="eastAsia"/>
          <w:kern w:val="0"/>
          <w:szCs w:val="21"/>
        </w:rPr>
        <w:t>，并适度遮阴；移栽2周后，幼苗渡过缓苗期，每周喷施一次1/2MS培养基溶液，促进幼苗生长。</w:t>
      </w:r>
    </w:p>
    <w:sectPr>
      <w:pgSz w:w="11906" w:h="16838"/>
      <w:pgMar w:top="567" w:right="1134" w:bottom="1134" w:left="1417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t>T/XXX XXXXX—2021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t>DB43/T—2021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 w:themeColor="text1"/>
        <w:sz w:val="21"/>
        <w:szCs w:val="21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8D"/>
    <w:rsid w:val="00042D26"/>
    <w:rsid w:val="0009408D"/>
    <w:rsid w:val="000B2708"/>
    <w:rsid w:val="000D26D6"/>
    <w:rsid w:val="000E2E7C"/>
    <w:rsid w:val="001404AE"/>
    <w:rsid w:val="00177C5A"/>
    <w:rsid w:val="001D4B40"/>
    <w:rsid w:val="00206819"/>
    <w:rsid w:val="002141B1"/>
    <w:rsid w:val="00284322"/>
    <w:rsid w:val="002F7E6C"/>
    <w:rsid w:val="00302684"/>
    <w:rsid w:val="00314A2A"/>
    <w:rsid w:val="003B5C18"/>
    <w:rsid w:val="003E1BB4"/>
    <w:rsid w:val="00402286"/>
    <w:rsid w:val="005D74AA"/>
    <w:rsid w:val="00617EF1"/>
    <w:rsid w:val="00637911"/>
    <w:rsid w:val="00663157"/>
    <w:rsid w:val="00674766"/>
    <w:rsid w:val="006E0E02"/>
    <w:rsid w:val="006F58F9"/>
    <w:rsid w:val="007201C1"/>
    <w:rsid w:val="007C3881"/>
    <w:rsid w:val="00912D52"/>
    <w:rsid w:val="00947D4C"/>
    <w:rsid w:val="00965756"/>
    <w:rsid w:val="00966655"/>
    <w:rsid w:val="00A82ECD"/>
    <w:rsid w:val="00B20A0F"/>
    <w:rsid w:val="00B6728F"/>
    <w:rsid w:val="00B83D7A"/>
    <w:rsid w:val="00BB14B1"/>
    <w:rsid w:val="00C23BAF"/>
    <w:rsid w:val="00CA1D1D"/>
    <w:rsid w:val="00D16CC4"/>
    <w:rsid w:val="00D7631D"/>
    <w:rsid w:val="00D874E5"/>
    <w:rsid w:val="00DC5849"/>
    <w:rsid w:val="00DD5C74"/>
    <w:rsid w:val="00DF1DE1"/>
    <w:rsid w:val="00DF646F"/>
    <w:rsid w:val="00E06B31"/>
    <w:rsid w:val="00E3022D"/>
    <w:rsid w:val="00E64813"/>
    <w:rsid w:val="00EC71C2"/>
    <w:rsid w:val="00ED3CBE"/>
    <w:rsid w:val="00EF791F"/>
    <w:rsid w:val="00F53503"/>
    <w:rsid w:val="00F74DE5"/>
    <w:rsid w:val="00F82F0C"/>
    <w:rsid w:val="00FA60D2"/>
    <w:rsid w:val="15D5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1"/>
      </w:tabs>
      <w:spacing w:before="25" w:beforeLines="25" w:after="25" w:afterLines="25"/>
      <w:jc w:val="left"/>
    </w:pPr>
    <w:rPr>
      <w:rFonts w:ascii="宋体" w:hAnsi="Times New Roman" w:eastAsia="宋体" w:cs="Times New Roman"/>
      <w:szCs w:val="21"/>
    </w:rPr>
  </w:style>
  <w:style w:type="character" w:styleId="8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paragraph" w:customStyle="1" w:styleId="9">
    <w:name w:val="段"/>
    <w:link w:val="1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段 Char"/>
    <w:link w:val="9"/>
    <w:qFormat/>
    <w:uiPriority w:val="0"/>
    <w:rPr>
      <w:rFonts w:ascii="宋体"/>
      <w:sz w:val="21"/>
    </w:rPr>
  </w:style>
  <w:style w:type="paragraph" w:customStyle="1" w:styleId="11">
    <w:name w:val="一级条标题"/>
    <w:next w:val="9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3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9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1"/>
    <w:next w:val="9"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7">
    <w:name w:val="目次、标准名称标题"/>
    <w:basedOn w:val="1"/>
    <w:next w:val="9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三级条标题"/>
    <w:basedOn w:val="15"/>
    <w:next w:val="9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9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9"/>
    <w:qFormat/>
    <w:uiPriority w:val="0"/>
    <w:pPr>
      <w:numPr>
        <w:ilvl w:val="5"/>
      </w:numPr>
      <w:outlineLvl w:val="6"/>
    </w:pPr>
  </w:style>
  <w:style w:type="paragraph" w:customStyle="1" w:styleId="21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2">
    <w:name w:val="标准书眉_偶数页"/>
    <w:basedOn w:val="13"/>
    <w:next w:val="1"/>
    <w:qFormat/>
    <w:uiPriority w:val="0"/>
    <w:pPr>
      <w:jc w:val="left"/>
    </w:pPr>
  </w:style>
  <w:style w:type="character" w:customStyle="1" w:styleId="23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4">
    <w:name w:val="封面标准代替信息"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25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">
    <w:name w:val="封面标准英文名称"/>
    <w:basedOn w:val="25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27">
    <w:name w:val="封面一致性程度标识"/>
    <w:basedOn w:val="26"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8">
    <w:name w:val="封面标准文稿类别"/>
    <w:basedOn w:val="27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9">
    <w:name w:val="封面标准文稿编辑信息"/>
    <w:basedOn w:val="28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30">
    <w:name w:val="其他标准标志"/>
    <w:basedOn w:val="1"/>
    <w:qFormat/>
    <w:uiPriority w:val="0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96"/>
    </w:rPr>
  </w:style>
  <w:style w:type="paragraph" w:customStyle="1" w:styleId="31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32">
    <w:name w:val="其他发布部门"/>
    <w:basedOn w:val="1"/>
    <w:qFormat/>
    <w:uiPriority w:val="0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28"/>
      <w:szCs w:val="20"/>
    </w:rPr>
  </w:style>
  <w:style w:type="paragraph" w:customStyle="1" w:styleId="33">
    <w:name w:val="前言、引言标题"/>
    <w:next w:val="9"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4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5">
    <w:name w:val="其他发布日期"/>
    <w:basedOn w:val="1"/>
    <w:qFormat/>
    <w:uiPriority w:val="0"/>
    <w:pPr>
      <w:framePr w:w="3997" w:h="471" w:hRule="exact" w:vSpace="181" w:wrap="around" w:vAnchor="page" w:hAnchor="text" w:x="1419" w:y="14097" w:anchorLock="1"/>
      <w:widowControl/>
      <w:jc w:val="lef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36">
    <w:name w:val="其他实施日期"/>
    <w:basedOn w:val="1"/>
    <w:uiPriority w:val="0"/>
    <w:pPr>
      <w:framePr w:w="3997" w:h="471" w:hRule="exact" w:vSpace="181" w:wrap="around" w:vAnchor="page" w:hAnchor="text" w:x="7089" w:y="14097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character" w:customStyle="1" w:styleId="37">
    <w:name w:val="正文文本 (2)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9"/>
      <w:szCs w:val="19"/>
      <w:u w:val="none"/>
      <w:lang w:val="zh-CN" w:eastAsia="zh-CN" w:bidi="zh-CN"/>
    </w:rPr>
  </w:style>
  <w:style w:type="paragraph" w:customStyle="1" w:styleId="38">
    <w:name w:val="终结线"/>
    <w:basedOn w:val="1"/>
    <w:uiPriority w:val="0"/>
    <w:pPr>
      <w:framePr w:hSpace="181" w:vSpace="181" w:wrap="around" w:vAnchor="text" w:hAnchor="margin" w:xAlign="center" w:y="285"/>
    </w:pPr>
    <w:rPr>
      <w:rFonts w:ascii="Calibri" w:hAnsi="Calibri" w:eastAsia="宋体" w:cs="Times New Roman"/>
      <w:szCs w:val="24"/>
    </w:rPr>
  </w:style>
  <w:style w:type="character" w:customStyle="1" w:styleId="39">
    <w:name w:val="标题 1 Char"/>
    <w:basedOn w:val="7"/>
    <w:link w:val="2"/>
    <w:uiPriority w:val="0"/>
    <w:rPr>
      <w:b/>
      <w:bCs/>
      <w:kern w:val="44"/>
      <w:sz w:val="44"/>
      <w:szCs w:val="44"/>
    </w:rPr>
  </w:style>
  <w:style w:type="character" w:customStyle="1" w:styleId="4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1744</Words>
  <Characters>2164</Characters>
  <Lines>20</Lines>
  <Paragraphs>5</Paragraphs>
  <TotalTime>33</TotalTime>
  <ScaleCrop>false</ScaleCrop>
  <LinksUpToDate>false</LinksUpToDate>
  <CharactersWithSpaces>2289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2021-11-13T12:51:00Z</dcterms:created>
  <dc:creator>User</dc:creator>
  <cp:lastModifiedBy>木木木</cp:lastModifiedBy>
  <dcterms:modified xsi:type="dcterms:W3CDTF">2021-11-28T03:23:59Z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53B0E73914C34BECA5E185EAC548A492</vt:lpwstr>
  </property>
</Properties>
</file>