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《辣椒植株氮素利用效率鉴定技术规程》</w:t>
      </w:r>
      <w:r>
        <w:rPr>
          <w:szCs w:val="21"/>
        </w:rPr>
        <w:t xml:space="preserve"> 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湖南农业大学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val="en-US" w:eastAsia="zh-CN"/>
        </w:rPr>
        <w:t>欧立军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bookmarkStart w:id="0" w:name="_GoBack"/>
      <w:r>
        <w:rPr>
          <w:rFonts w:hint="eastAsia"/>
          <w:szCs w:val="21"/>
          <w:lang w:val="en-US" w:eastAsia="zh-CN"/>
        </w:rPr>
        <w:t>15388097309</w:t>
      </w:r>
      <w:bookmarkEnd w:id="0"/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ou9572@hunau.edu.cn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B671FD"/>
    <w:rsid w:val="00D84BF9"/>
    <w:rsid w:val="00DB3982"/>
    <w:rsid w:val="00EE3ADA"/>
    <w:rsid w:val="00F0025F"/>
    <w:rsid w:val="00F86D83"/>
    <w:rsid w:val="060B1482"/>
    <w:rsid w:val="13F57257"/>
    <w:rsid w:val="14915D93"/>
    <w:rsid w:val="23EF2541"/>
    <w:rsid w:val="4F9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lzb</cp:lastModifiedBy>
  <dcterms:modified xsi:type="dcterms:W3CDTF">2021-11-23T07:18:16Z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