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bidi w:val="0"/>
        <w:rPr>
          <w:rFonts w:hint="eastAsia"/>
          <w:color w:val="auto"/>
          <w:highlight w:val="none"/>
          <w:lang w:val="en-US" w:eastAsia="zh-CN"/>
        </w:rPr>
      </w:pPr>
      <w:r>
        <w:rPr>
          <w:rFonts w:hint="eastAsia"/>
          <w:color w:val="auto"/>
          <w:highlight w:val="none"/>
          <w:lang w:val="en-US" w:eastAsia="zh-CN"/>
        </w:rPr>
        <w:t>湖南省地方标准</w:t>
      </w:r>
    </w:p>
    <w:p>
      <w:pPr>
        <w:pStyle w:val="41"/>
        <w:bidi w:val="0"/>
        <w:rPr>
          <w:rFonts w:hint="eastAsia"/>
          <w:color w:val="auto"/>
          <w:highlight w:val="none"/>
          <w:lang w:val="en-US" w:eastAsia="zh-CN"/>
        </w:rPr>
      </w:pPr>
      <w:bookmarkStart w:id="0" w:name="StandNo"/>
      <w:r>
        <w:rPr>
          <w:rFonts w:hint="eastAsia" w:ascii="黑体" w:hAnsi="Times New Roman" w:eastAsia="黑体" w:cs="Times New Roman"/>
          <w:color w:val="auto"/>
          <w:sz w:val="28"/>
          <w:highlight w:val="none"/>
          <w:lang w:val="en-US" w:eastAsia="zh-CN"/>
        </w:rPr>
        <w:fldChar w:fldCharType="begin">
          <w:ffData>
            <w:name w:val="StandNo"/>
            <w:enabled/>
            <w:calcOnExit w:val="0"/>
            <w:textInput>
              <w:default w:val="DB XX XXXXX—2021"/>
            </w:textInput>
          </w:ffData>
        </w:fldChar>
      </w:r>
      <w:r>
        <w:rPr>
          <w:rFonts w:hint="eastAsia" w:ascii="黑体" w:hAnsi="Times New Roman" w:eastAsia="黑体" w:cs="Times New Roman"/>
          <w:color w:val="auto"/>
          <w:sz w:val="28"/>
          <w:highlight w:val="none"/>
          <w:lang w:val="en-US" w:eastAsia="zh-CN"/>
        </w:rPr>
        <w:instrText xml:space="preserve">FORMTEXT</w:instrText>
      </w:r>
      <w:r>
        <w:rPr>
          <w:rFonts w:hint="eastAsia" w:ascii="黑体" w:hAnsi="Times New Roman" w:eastAsia="黑体" w:cs="Times New Roman"/>
          <w:color w:val="auto"/>
          <w:sz w:val="28"/>
          <w:highlight w:val="none"/>
          <w:lang w:val="en-US" w:eastAsia="zh-CN"/>
        </w:rPr>
        <w:fldChar w:fldCharType="separate"/>
      </w:r>
      <w:r>
        <w:rPr>
          <w:rFonts w:hint="eastAsia" w:ascii="黑体" w:hAnsi="Times New Roman" w:eastAsia="黑体" w:cs="Times New Roman"/>
          <w:color w:val="auto"/>
          <w:sz w:val="28"/>
          <w:highlight w:val="none"/>
          <w:lang w:val="en-US" w:eastAsia="zh-CN"/>
        </w:rPr>
        <w:t>DB</w:t>
      </w:r>
      <w:r>
        <w:rPr>
          <w:rFonts w:hint="eastAsia" w:cs="Times New Roman"/>
          <w:color w:val="auto"/>
          <w:sz w:val="28"/>
          <w:highlight w:val="none"/>
          <w:lang w:val="en-US" w:eastAsia="zh-CN"/>
        </w:rPr>
        <w:t>43/T</w:t>
      </w:r>
      <w:r>
        <w:rPr>
          <w:rFonts w:hint="eastAsia" w:ascii="黑体" w:hAnsi="Times New Roman" w:eastAsia="黑体" w:cs="Times New Roman"/>
          <w:color w:val="auto"/>
          <w:sz w:val="28"/>
          <w:highlight w:val="none"/>
          <w:lang w:val="en-US" w:eastAsia="zh-CN"/>
        </w:rPr>
        <w:t xml:space="preserve"> XXX—2021</w:t>
      </w:r>
      <w:r>
        <w:rPr>
          <w:rFonts w:hint="eastAsia" w:ascii="黑体" w:hAnsi="Times New Roman" w:eastAsia="黑体" w:cs="Times New Roman"/>
          <w:color w:val="auto"/>
          <w:sz w:val="28"/>
          <w:highlight w:val="none"/>
          <w:lang w:val="en-US" w:eastAsia="zh-CN"/>
        </w:rPr>
        <w:fldChar w:fldCharType="end"/>
      </w:r>
      <w:bookmarkEnd w:id="0"/>
    </w:p>
    <w:p>
      <w:pPr>
        <w:pStyle w:val="40"/>
        <w:bidi w:val="0"/>
        <w:rPr>
          <w:rFonts w:hint="eastAsia"/>
          <w:color w:val="auto"/>
          <w:highlight w:val="none"/>
          <w:lang w:val="en-US" w:eastAsia="zh-CN"/>
        </w:rPr>
      </w:pPr>
      <w:r>
        <w:rPr>
          <w:rFonts w:hint="eastAsia"/>
          <w:color w:val="auto"/>
          <w:highlight w:val="none"/>
          <w:lang w:val="en-US" w:eastAsia="zh-CN"/>
        </w:rPr>
        <w:fldChar w:fldCharType="begin">
          <w:ffData>
            <w:name w:val="ReplaceDB"/>
            <w:enabled/>
            <w:calcOnExit w:val="0"/>
            <w:textInput/>
          </w:ffData>
        </w:fldChar>
      </w:r>
      <w:bookmarkStart w:id="1" w:name="ReplaceDB"/>
      <w:r>
        <w:rPr>
          <w:rFonts w:hint="eastAsia"/>
          <w:color w:val="auto"/>
          <w:highlight w:val="none"/>
          <w:lang w:val="en-US" w:eastAsia="zh-CN"/>
        </w:rPr>
        <w:instrText xml:space="preserve">FORMTEXT</w:instrText>
      </w:r>
      <w:r>
        <w:rPr>
          <w:rFonts w:hint="eastAsia"/>
          <w:color w:val="auto"/>
          <w:highlight w:val="none"/>
          <w:lang w:val="en-US" w:eastAsia="zh-CN"/>
        </w:rPr>
        <w:fldChar w:fldCharType="separate"/>
      </w:r>
      <w:r>
        <w:rPr>
          <w:rFonts w:hint="default"/>
          <w:color w:val="auto"/>
          <w:highlight w:val="none"/>
          <w:lang w:val="en-US" w:eastAsia="zh-CN"/>
        </w:rPr>
        <w:t>     </w:t>
      </w:r>
      <w:r>
        <w:rPr>
          <w:rFonts w:hint="eastAsia"/>
          <w:color w:val="auto"/>
          <w:highlight w:val="none"/>
          <w:lang w:val="en-US" w:eastAsia="zh-CN"/>
        </w:rPr>
        <w:fldChar w:fldCharType="end"/>
      </w:r>
      <w:bookmarkEnd w:id="1"/>
    </w:p>
    <w:tbl>
      <w:tblPr>
        <w:tblStyle w:val="21"/>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89" w:type="dxa"/>
            <w:tcBorders>
              <w:top w:val="single" w:color="auto" w:sz="8" w:space="0"/>
            </w:tcBorders>
          </w:tcPr>
          <w:p>
            <w:pPr>
              <w:pStyle w:val="35"/>
              <w:widowControl w:val="0"/>
              <w:bidi w:val="0"/>
              <w:jc w:val="both"/>
              <w:rPr>
                <w:rFonts w:hint="eastAsia"/>
                <w:color w:val="auto"/>
                <w:sz w:val="10"/>
                <w:highlight w:val="none"/>
                <w:vertAlign w:val="baseline"/>
                <w:lang w:val="en-US" w:eastAsia="zh-CN"/>
              </w:rPr>
            </w:pPr>
          </w:p>
        </w:tc>
      </w:tr>
    </w:tbl>
    <w:p>
      <w:pPr>
        <w:pStyle w:val="42"/>
        <w:bidi w:val="0"/>
        <w:rPr>
          <w:rFonts w:hint="eastAsia"/>
          <w:color w:val="auto"/>
          <w:highlight w:val="none"/>
          <w:lang w:val="en-US" w:eastAsia="zh-CN"/>
        </w:rPr>
      </w:pPr>
      <w:bookmarkStart w:id="2" w:name="StdName"/>
      <w:r>
        <w:rPr>
          <w:rFonts w:hint="eastAsia" w:ascii="黑体" w:hAnsi="Times New Roman" w:eastAsia="黑体" w:cs="Times New Roman"/>
          <w:color w:val="auto"/>
          <w:sz w:val="52"/>
          <w:highlight w:val="none"/>
          <w:lang w:val="en-US" w:eastAsia="zh-CN"/>
        </w:rPr>
        <w:fldChar w:fldCharType="begin">
          <w:ffData>
            <w:name w:val="StdName"/>
            <w:enabled/>
            <w:calcOnExit w:val="0"/>
            <w:textInput>
              <w:default w:val="政务公开评估规范"/>
            </w:textInput>
          </w:ffData>
        </w:fldChar>
      </w:r>
      <w:r>
        <w:rPr>
          <w:rFonts w:hint="eastAsia" w:ascii="黑体" w:hAnsi="Times New Roman" w:eastAsia="黑体" w:cs="Times New Roman"/>
          <w:color w:val="auto"/>
          <w:sz w:val="52"/>
          <w:highlight w:val="none"/>
          <w:lang w:val="en-US" w:eastAsia="zh-CN"/>
        </w:rPr>
        <w:instrText xml:space="preserve">FORMTEXT</w:instrText>
      </w:r>
      <w:r>
        <w:rPr>
          <w:rFonts w:hint="eastAsia" w:ascii="黑体" w:hAnsi="Times New Roman" w:eastAsia="黑体" w:cs="Times New Roman"/>
          <w:color w:val="auto"/>
          <w:sz w:val="52"/>
          <w:highlight w:val="none"/>
          <w:lang w:val="en-US" w:eastAsia="zh-CN"/>
        </w:rPr>
        <w:fldChar w:fldCharType="separate"/>
      </w:r>
      <w:r>
        <w:rPr>
          <w:rFonts w:hint="eastAsia" w:ascii="黑体" w:hAnsi="Times New Roman" w:eastAsia="黑体" w:cs="Times New Roman"/>
          <w:color w:val="auto"/>
          <w:sz w:val="52"/>
          <w:highlight w:val="none"/>
          <w:lang w:val="en-US" w:eastAsia="zh-CN"/>
        </w:rPr>
        <w:t>政务公开评估规范</w:t>
      </w:r>
      <w:r>
        <w:rPr>
          <w:rFonts w:hint="eastAsia" w:ascii="黑体" w:hAnsi="Times New Roman" w:eastAsia="黑体" w:cs="Times New Roman"/>
          <w:color w:val="auto"/>
          <w:sz w:val="52"/>
          <w:highlight w:val="none"/>
          <w:lang w:val="en-US" w:eastAsia="zh-CN"/>
        </w:rPr>
        <w:fldChar w:fldCharType="end"/>
      </w:r>
      <w:bookmarkEnd w:id="2"/>
    </w:p>
    <w:p>
      <w:pPr>
        <w:pStyle w:val="43"/>
        <w:bidi w:val="0"/>
        <w:rPr>
          <w:rFonts w:hint="eastAsia"/>
          <w:color w:val="auto"/>
          <w:highlight w:val="none"/>
          <w:lang w:val="en-US" w:eastAsia="zh-CN"/>
        </w:rPr>
      </w:pPr>
      <w:bookmarkStart w:id="3" w:name="StdEnglishName"/>
      <w:r>
        <w:rPr>
          <w:rFonts w:hint="eastAsia" w:ascii="Times New Roman" w:hAnsi="Times New Roman" w:eastAsia="黑体" w:cs="Times New Roman"/>
          <w:color w:val="auto"/>
          <w:sz w:val="28"/>
          <w:highlight w:val="none"/>
          <w:lang w:val="en-US" w:eastAsia="zh-CN"/>
        </w:rPr>
        <w:fldChar w:fldCharType="begin">
          <w:ffData>
            <w:name w:val="StdEnglishName"/>
            <w:enabled/>
            <w:calcOnExit w:val="0"/>
            <w:textInput>
              <w:default w:val="Specification for assessment of transparency in government affairs"/>
            </w:textInput>
          </w:ffData>
        </w:fldChar>
      </w:r>
      <w:r>
        <w:rPr>
          <w:rFonts w:hint="eastAsia" w:ascii="Times New Roman" w:hAnsi="Times New Roman" w:eastAsia="黑体" w:cs="Times New Roman"/>
          <w:color w:val="auto"/>
          <w:sz w:val="28"/>
          <w:highlight w:val="none"/>
          <w:lang w:val="en-US" w:eastAsia="zh-CN"/>
        </w:rPr>
        <w:instrText xml:space="preserve">FORMTEXT</w:instrText>
      </w:r>
      <w:r>
        <w:rPr>
          <w:rFonts w:hint="eastAsia" w:ascii="Times New Roman" w:hAnsi="Times New Roman" w:eastAsia="黑体" w:cs="Times New Roman"/>
          <w:color w:val="auto"/>
          <w:sz w:val="28"/>
          <w:highlight w:val="none"/>
          <w:lang w:val="en-US" w:eastAsia="zh-CN"/>
        </w:rPr>
        <w:fldChar w:fldCharType="separate"/>
      </w:r>
      <w:r>
        <w:rPr>
          <w:rFonts w:hint="eastAsia" w:ascii="Times New Roman" w:hAnsi="Times New Roman" w:eastAsia="黑体" w:cs="Times New Roman"/>
          <w:color w:val="auto"/>
          <w:sz w:val="28"/>
          <w:highlight w:val="none"/>
          <w:lang w:val="en-US" w:eastAsia="zh-CN"/>
        </w:rPr>
        <w:t>Specification for assessment of transparency in government affairs</w:t>
      </w:r>
      <w:r>
        <w:rPr>
          <w:rFonts w:hint="eastAsia" w:ascii="Times New Roman" w:hAnsi="Times New Roman" w:eastAsia="黑体" w:cs="Times New Roman"/>
          <w:color w:val="auto"/>
          <w:sz w:val="28"/>
          <w:highlight w:val="none"/>
          <w:lang w:val="en-US" w:eastAsia="zh-CN"/>
        </w:rPr>
        <w:fldChar w:fldCharType="end"/>
      </w:r>
      <w:bookmarkEnd w:id="3"/>
    </w:p>
    <w:p>
      <w:pPr>
        <w:pStyle w:val="44"/>
        <w:bidi w:val="0"/>
        <w:rPr>
          <w:rFonts w:hint="eastAsia"/>
          <w:color w:val="auto"/>
          <w:highlight w:val="none"/>
          <w:lang w:val="en-US" w:eastAsia="zh-CN"/>
        </w:rPr>
      </w:pPr>
      <w:bookmarkStart w:id="4" w:name="YZBS"/>
      <w:r>
        <w:rPr>
          <w:rFonts w:hint="eastAsia" w:ascii="Times New Roman" w:hAnsi="Times New Roman" w:eastAsia="黑体" w:cs="Times New Roman"/>
          <w:color w:val="auto"/>
          <w:sz w:val="28"/>
          <w:highlight w:val="none"/>
          <w:lang w:val="en-US" w:eastAsia="zh-CN"/>
        </w:rPr>
        <w:fldChar w:fldCharType="begin">
          <w:ffData>
            <w:name w:val="YZBS"/>
            <w:enabled/>
            <w:calcOnExit w:val="0"/>
            <w:textInput/>
          </w:ffData>
        </w:fldChar>
      </w:r>
      <w:r>
        <w:rPr>
          <w:rFonts w:hint="eastAsia" w:ascii="Times New Roman" w:hAnsi="Times New Roman" w:eastAsia="黑体" w:cs="Times New Roman"/>
          <w:color w:val="auto"/>
          <w:sz w:val="28"/>
          <w:highlight w:val="none"/>
          <w:lang w:val="en-US" w:eastAsia="zh-CN"/>
        </w:rPr>
        <w:instrText xml:space="preserve">FORMTEXT</w:instrText>
      </w:r>
      <w:r>
        <w:rPr>
          <w:rFonts w:hint="eastAsia" w:ascii="Times New Roman" w:hAnsi="Times New Roman" w:eastAsia="黑体" w:cs="Times New Roman"/>
          <w:color w:val="auto"/>
          <w:sz w:val="28"/>
          <w:highlight w:val="none"/>
          <w:lang w:val="en-US" w:eastAsia="zh-CN"/>
        </w:rPr>
        <w:fldChar w:fldCharType="separate"/>
      </w:r>
      <w:r>
        <w:rPr>
          <w:rFonts w:hint="eastAsia" w:ascii="Times New Roman" w:hAnsi="Times New Roman" w:eastAsia="黑体" w:cs="Times New Roman"/>
          <w:color w:val="auto"/>
          <w:sz w:val="28"/>
          <w:highlight w:val="none"/>
          <w:lang w:val="en-US" w:eastAsia="zh-CN"/>
        </w:rPr>
        <w:t>     </w:t>
      </w:r>
      <w:r>
        <w:rPr>
          <w:rFonts w:hint="eastAsia" w:ascii="Times New Roman" w:hAnsi="Times New Roman" w:eastAsia="黑体" w:cs="Times New Roman"/>
          <w:color w:val="auto"/>
          <w:sz w:val="28"/>
          <w:highlight w:val="none"/>
          <w:lang w:val="en-US" w:eastAsia="zh-CN"/>
        </w:rPr>
        <w:fldChar w:fldCharType="end"/>
      </w:r>
      <w:bookmarkEnd w:id="4"/>
    </w:p>
    <w:p>
      <w:pPr>
        <w:pStyle w:val="45"/>
        <w:bidi w:val="0"/>
        <w:spacing w:after="0"/>
        <w:rPr>
          <w:rFonts w:hint="default"/>
          <w:color w:val="auto"/>
          <w:highlight w:val="none"/>
          <w:lang w:val="en-US" w:eastAsia="zh-CN"/>
        </w:rPr>
      </w:pPr>
      <w:r>
        <w:rPr>
          <w:rFonts w:hint="eastAsia"/>
          <w:color w:val="auto"/>
          <w:highlight w:val="none"/>
          <w:lang w:val="en-US" w:eastAsia="zh-CN"/>
        </w:rPr>
        <w:t>（征求意见稿）</w:t>
      </w:r>
    </w:p>
    <w:p>
      <w:pPr>
        <w:pStyle w:val="46"/>
        <w:bidi w:val="0"/>
        <w:spacing w:before="100"/>
        <w:jc w:val="both"/>
        <w:rPr>
          <w:rFonts w:hint="eastAsia"/>
          <w:color w:val="auto"/>
          <w:highlight w:val="none"/>
          <w:lang w:val="en-US" w:eastAsia="zh-CN"/>
        </w:rPr>
      </w:pPr>
    </w:p>
    <w:p>
      <w:pPr>
        <w:pStyle w:val="47"/>
        <w:bidi w:val="0"/>
        <w:spacing w:before="687" w:beforeLines="220"/>
        <w:rPr>
          <w:rFonts w:hint="eastAsia"/>
          <w:color w:val="auto"/>
          <w:highlight w:val="none"/>
          <w:lang w:val="en-US" w:eastAsia="zh-CN"/>
        </w:rPr>
      </w:pPr>
      <w:r>
        <w:rPr>
          <w:rFonts w:hint="eastAsia"/>
          <w:color w:val="auto"/>
          <w:highlight w:val="none"/>
          <w:lang w:val="en-US" w:eastAsia="zh-CN"/>
        </w:rPr>
        <w:fldChar w:fldCharType="begin">
          <w:ffData>
            <w:name w:val="FileSelect"/>
            <w:enabled/>
            <w:calcOnExit w:val="0"/>
            <w:ddList>
              <w:listEntry w:val="     "/>
              <w:listEntry w:val="在提交反馈意见时，请将您知道的相关专利连同支持性文件一件附上。"/>
            </w:ddList>
          </w:ffData>
        </w:fldChar>
      </w:r>
      <w:bookmarkStart w:id="5" w:name="FileSelect"/>
      <w:r>
        <w:rPr>
          <w:rFonts w:hint="eastAsia"/>
          <w:color w:val="auto"/>
          <w:highlight w:val="none"/>
          <w:lang w:val="en-US" w:eastAsia="zh-CN"/>
        </w:rPr>
        <w:instrText xml:space="preserve">FORMDROPDOWN</w:instrText>
      </w:r>
      <w:r>
        <w:rPr>
          <w:rFonts w:hint="eastAsia"/>
          <w:color w:val="auto"/>
          <w:highlight w:val="none"/>
          <w:lang w:val="en-US" w:eastAsia="zh-CN"/>
        </w:rPr>
        <w:fldChar w:fldCharType="separate"/>
      </w:r>
      <w:r>
        <w:rPr>
          <w:rFonts w:hint="eastAsia"/>
          <w:color w:val="auto"/>
          <w:highlight w:val="none"/>
          <w:lang w:val="en-US" w:eastAsia="zh-CN"/>
        </w:rPr>
        <w:fldChar w:fldCharType="end"/>
      </w:r>
      <w:bookmarkEnd w:id="5"/>
    </w:p>
    <w:tbl>
      <w:tblPr>
        <w:tblStyle w:val="21"/>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944" w:type="dxa"/>
            <w:tcBorders>
              <w:bottom w:val="single" w:color="auto" w:sz="8" w:space="0"/>
            </w:tcBorders>
            <w:tcMar>
              <w:left w:w="57" w:type="dxa"/>
              <w:bottom w:w="28" w:type="dxa"/>
            </w:tcMar>
          </w:tcPr>
          <w:p>
            <w:pPr>
              <w:pStyle w:val="39"/>
              <w:widowControl w:val="0"/>
              <w:bidi w:val="0"/>
              <w:jc w:val="both"/>
              <w:rPr>
                <w:rFonts w:hint="eastAsia"/>
                <w:color w:val="auto"/>
                <w:highlight w:val="none"/>
                <w:vertAlign w:val="baseline"/>
                <w:lang w:val="en-US" w:eastAsia="zh-CN"/>
              </w:rPr>
            </w:pPr>
            <w:r>
              <w:rPr>
                <w:rFonts w:hint="eastAsia"/>
                <w:color w:val="auto"/>
                <w:highlight w:val="none"/>
                <w:vertAlign w:val="baseline"/>
                <w:lang w:val="en-US" w:eastAsia="zh-CN"/>
              </w:rPr>
              <w:t xml:space="preserve">2021 - </w:t>
            </w:r>
            <w:r>
              <w:rPr>
                <w:rFonts w:hint="eastAsia"/>
                <w:color w:val="auto"/>
                <w:highlight w:val="none"/>
                <w:vertAlign w:val="baseline"/>
                <w:lang w:val="en-US" w:eastAsia="zh-CN"/>
              </w:rPr>
              <w:fldChar w:fldCharType="begin">
                <w:ffData>
                  <w:name w:val="FM"/>
                  <w:enabled/>
                  <w:calcOnExit w:val="0"/>
                  <w:textInput>
                    <w:maxLength w:val="2"/>
                  </w:textInput>
                </w:ffData>
              </w:fldChar>
            </w:r>
            <w:bookmarkStart w:id="6" w:name="FM"/>
            <w:r>
              <w:rPr>
                <w:rFonts w:hint="eastAsia"/>
                <w:color w:val="auto"/>
                <w:highlight w:val="none"/>
                <w:vertAlign w:val="baseline"/>
                <w:lang w:val="en-US" w:eastAsia="zh-CN"/>
              </w:rPr>
              <w:instrText xml:space="preserve">FORMTEXT</w:instrText>
            </w:r>
            <w:r>
              <w:rPr>
                <w:rFonts w:hint="eastAsia"/>
                <w:color w:val="auto"/>
                <w:highlight w:val="none"/>
                <w:vertAlign w:val="baseline"/>
                <w:lang w:val="en-US" w:eastAsia="zh-CN"/>
              </w:rPr>
              <w:fldChar w:fldCharType="separate"/>
            </w:r>
            <w:r>
              <w:rPr>
                <w:rFonts w:hint="eastAsia"/>
                <w:color w:val="auto"/>
                <w:highlight w:val="none"/>
                <w:vertAlign w:val="baseline"/>
                <w:lang w:val="en-US" w:eastAsia="zh-CN"/>
              </w:rPr>
              <w:t>  </w:t>
            </w:r>
            <w:r>
              <w:rPr>
                <w:rFonts w:hint="eastAsia"/>
                <w:color w:val="auto"/>
                <w:highlight w:val="none"/>
                <w:vertAlign w:val="baseline"/>
                <w:lang w:val="en-US" w:eastAsia="zh-CN"/>
              </w:rPr>
              <w:fldChar w:fldCharType="end"/>
            </w:r>
            <w:bookmarkEnd w:id="6"/>
            <w:r>
              <w:rPr>
                <w:rFonts w:hint="eastAsia"/>
                <w:color w:val="auto"/>
                <w:highlight w:val="none"/>
                <w:vertAlign w:val="baseline"/>
                <w:lang w:val="en-US" w:eastAsia="zh-CN"/>
              </w:rPr>
              <w:t xml:space="preserve"> - </w:t>
            </w:r>
            <w:r>
              <w:rPr>
                <w:rFonts w:hint="eastAsia"/>
                <w:color w:val="auto"/>
                <w:highlight w:val="none"/>
                <w:vertAlign w:val="baseline"/>
                <w:lang w:val="en-US" w:eastAsia="zh-CN"/>
              </w:rPr>
              <w:fldChar w:fldCharType="begin">
                <w:ffData>
                  <w:name w:val="FD"/>
                  <w:enabled/>
                  <w:calcOnExit w:val="0"/>
                  <w:textInput>
                    <w:maxLength w:val="2"/>
                  </w:textInput>
                </w:ffData>
              </w:fldChar>
            </w:r>
            <w:bookmarkStart w:id="7" w:name="FD"/>
            <w:r>
              <w:rPr>
                <w:rFonts w:hint="eastAsia"/>
                <w:color w:val="auto"/>
                <w:highlight w:val="none"/>
                <w:vertAlign w:val="baseline"/>
                <w:lang w:val="en-US" w:eastAsia="zh-CN"/>
              </w:rPr>
              <w:instrText xml:space="preserve">FORMTEXT</w:instrText>
            </w:r>
            <w:r>
              <w:rPr>
                <w:rFonts w:hint="eastAsia"/>
                <w:color w:val="auto"/>
                <w:highlight w:val="none"/>
                <w:vertAlign w:val="baseline"/>
                <w:lang w:val="en-US" w:eastAsia="zh-CN"/>
              </w:rPr>
              <w:fldChar w:fldCharType="separate"/>
            </w:r>
            <w:r>
              <w:rPr>
                <w:rFonts w:hint="eastAsia"/>
                <w:color w:val="auto"/>
                <w:highlight w:val="none"/>
                <w:vertAlign w:val="baseline"/>
                <w:lang w:val="en-US" w:eastAsia="zh-CN"/>
              </w:rPr>
              <w:t>  </w:t>
            </w:r>
            <w:r>
              <w:rPr>
                <w:rFonts w:hint="eastAsia"/>
                <w:color w:val="auto"/>
                <w:highlight w:val="none"/>
                <w:vertAlign w:val="baseline"/>
                <w:lang w:val="en-US" w:eastAsia="zh-CN"/>
              </w:rPr>
              <w:fldChar w:fldCharType="end"/>
            </w:r>
            <w:bookmarkEnd w:id="7"/>
            <w:r>
              <w:rPr>
                <w:rFonts w:hint="eastAsia"/>
                <w:color w:val="auto"/>
                <w:highlight w:val="none"/>
                <w:vertAlign w:val="baseline"/>
                <w:lang w:val="en-US" w:eastAsia="zh-CN"/>
              </w:rPr>
              <w:t xml:space="preserve"> 发布</w:t>
            </w:r>
          </w:p>
        </w:tc>
        <w:tc>
          <w:tcPr>
            <w:tcW w:w="4945" w:type="dxa"/>
            <w:tcBorders>
              <w:bottom w:val="single" w:color="auto" w:sz="8" w:space="0"/>
            </w:tcBorders>
            <w:tcMar>
              <w:right w:w="57" w:type="dxa"/>
            </w:tcMar>
          </w:tcPr>
          <w:p>
            <w:pPr>
              <w:pStyle w:val="39"/>
              <w:widowControl w:val="0"/>
              <w:bidi w:val="0"/>
              <w:jc w:val="right"/>
              <w:rPr>
                <w:rFonts w:hint="eastAsia"/>
                <w:color w:val="auto"/>
                <w:highlight w:val="none"/>
                <w:vertAlign w:val="baseline"/>
                <w:lang w:val="en-US" w:eastAsia="zh-CN"/>
              </w:rPr>
            </w:pPr>
            <w:r>
              <w:rPr>
                <w:rFonts w:hint="eastAsia"/>
                <w:color w:val="auto"/>
                <w:highlight w:val="none"/>
                <w:vertAlign w:val="baseline"/>
                <w:lang w:val="en-US" w:eastAsia="zh-CN"/>
              </w:rPr>
              <w:t xml:space="preserve">2021 - </w:t>
            </w:r>
            <w:r>
              <w:rPr>
                <w:rFonts w:hint="eastAsia"/>
                <w:color w:val="auto"/>
                <w:highlight w:val="none"/>
                <w:vertAlign w:val="baseline"/>
                <w:lang w:val="en-US" w:eastAsia="zh-CN"/>
              </w:rPr>
              <w:fldChar w:fldCharType="begin">
                <w:ffData>
                  <w:name w:val="SM"/>
                  <w:enabled/>
                  <w:calcOnExit w:val="0"/>
                  <w:textInput>
                    <w:maxLength w:val="2"/>
                  </w:textInput>
                </w:ffData>
              </w:fldChar>
            </w:r>
            <w:bookmarkStart w:id="8" w:name="SM"/>
            <w:r>
              <w:rPr>
                <w:rFonts w:hint="eastAsia"/>
                <w:color w:val="auto"/>
                <w:highlight w:val="none"/>
                <w:vertAlign w:val="baseline"/>
                <w:lang w:val="en-US" w:eastAsia="zh-CN"/>
              </w:rPr>
              <w:instrText xml:space="preserve">FORMTEXT</w:instrText>
            </w:r>
            <w:r>
              <w:rPr>
                <w:rFonts w:hint="eastAsia"/>
                <w:color w:val="auto"/>
                <w:highlight w:val="none"/>
                <w:vertAlign w:val="baseline"/>
                <w:lang w:val="en-US" w:eastAsia="zh-CN"/>
              </w:rPr>
              <w:fldChar w:fldCharType="separate"/>
            </w:r>
            <w:r>
              <w:rPr>
                <w:rFonts w:hint="eastAsia"/>
                <w:color w:val="auto"/>
                <w:highlight w:val="none"/>
                <w:vertAlign w:val="baseline"/>
                <w:lang w:val="en-US" w:eastAsia="zh-CN"/>
              </w:rPr>
              <w:t xml:space="preserve">  </w:t>
            </w:r>
            <w:r>
              <w:rPr>
                <w:rFonts w:hint="eastAsia"/>
                <w:color w:val="auto"/>
                <w:highlight w:val="none"/>
                <w:vertAlign w:val="baseline"/>
                <w:lang w:val="en-US" w:eastAsia="zh-CN"/>
              </w:rPr>
              <w:fldChar w:fldCharType="end"/>
            </w:r>
            <w:bookmarkEnd w:id="8"/>
            <w:r>
              <w:rPr>
                <w:rFonts w:hint="eastAsia"/>
                <w:color w:val="auto"/>
                <w:highlight w:val="none"/>
                <w:vertAlign w:val="baseline"/>
                <w:lang w:val="en-US" w:eastAsia="zh-CN"/>
              </w:rPr>
              <w:t xml:space="preserve"> - </w:t>
            </w:r>
            <w:r>
              <w:rPr>
                <w:rFonts w:hint="eastAsia"/>
                <w:color w:val="auto"/>
                <w:highlight w:val="none"/>
                <w:vertAlign w:val="baseline"/>
                <w:lang w:val="en-US" w:eastAsia="zh-CN"/>
              </w:rPr>
              <w:fldChar w:fldCharType="begin">
                <w:ffData>
                  <w:name w:val="SD"/>
                  <w:enabled/>
                  <w:calcOnExit w:val="0"/>
                  <w:textInput>
                    <w:maxLength w:val="2"/>
                  </w:textInput>
                </w:ffData>
              </w:fldChar>
            </w:r>
            <w:bookmarkStart w:id="9" w:name="SD"/>
            <w:r>
              <w:rPr>
                <w:rFonts w:hint="eastAsia"/>
                <w:color w:val="auto"/>
                <w:highlight w:val="none"/>
                <w:vertAlign w:val="baseline"/>
                <w:lang w:val="en-US" w:eastAsia="zh-CN"/>
              </w:rPr>
              <w:instrText xml:space="preserve">FORMTEXT</w:instrText>
            </w:r>
            <w:r>
              <w:rPr>
                <w:rFonts w:hint="eastAsia"/>
                <w:color w:val="auto"/>
                <w:highlight w:val="none"/>
                <w:vertAlign w:val="baseline"/>
                <w:lang w:val="en-US" w:eastAsia="zh-CN"/>
              </w:rPr>
              <w:fldChar w:fldCharType="separate"/>
            </w:r>
            <w:r>
              <w:rPr>
                <w:rFonts w:hint="eastAsia"/>
                <w:color w:val="auto"/>
                <w:highlight w:val="none"/>
                <w:vertAlign w:val="baseline"/>
                <w:lang w:val="en-US" w:eastAsia="zh-CN"/>
              </w:rPr>
              <w:t>  </w:t>
            </w:r>
            <w:r>
              <w:rPr>
                <w:rFonts w:hint="eastAsia"/>
                <w:color w:val="auto"/>
                <w:highlight w:val="none"/>
                <w:vertAlign w:val="baseline"/>
                <w:lang w:val="en-US" w:eastAsia="zh-CN"/>
              </w:rPr>
              <w:fldChar w:fldCharType="end"/>
            </w:r>
            <w:bookmarkEnd w:id="9"/>
            <w:r>
              <w:rPr>
                <w:rFonts w:hint="eastAsia"/>
                <w:color w:val="auto"/>
                <w:highlight w:val="none"/>
                <w:vertAlign w:val="baseline"/>
                <w:lang w:val="en-US" w:eastAsia="zh-CN"/>
              </w:rPr>
              <w:t xml:space="preserve"> 实施</w:t>
            </w:r>
          </w:p>
        </w:tc>
      </w:tr>
    </w:tbl>
    <w:p>
      <w:pPr>
        <w:pStyle w:val="49"/>
        <w:keepNext w:val="0"/>
        <w:keepLines w:val="0"/>
        <w:pageBreakBefore w:val="0"/>
        <w:widowControl/>
        <w:kinsoku/>
        <w:wordWrap/>
        <w:overflowPunct/>
        <w:topLinePunct w:val="0"/>
        <w:autoSpaceDE/>
        <w:autoSpaceDN/>
        <w:bidi w:val="0"/>
        <w:adjustRightInd/>
        <w:snapToGrid/>
        <w:spacing w:before="100"/>
        <w:textAlignment w:val="auto"/>
        <w:rPr>
          <w:rFonts w:hint="eastAsia"/>
          <w:color w:val="auto"/>
          <w:spacing w:val="0"/>
          <w:w w:val="100"/>
          <w:sz w:val="28"/>
          <w:highlight w:val="none"/>
          <w:lang w:val="en-US" w:eastAsia="zh-CN"/>
        </w:rPr>
      </w:pPr>
      <w:r>
        <w:rPr>
          <w:rFonts w:hint="eastAsia"/>
          <w:color w:val="auto"/>
          <w:spacing w:val="20"/>
          <w:w w:val="135"/>
          <w:sz w:val="28"/>
          <w:highlight w:val="none"/>
          <w:lang w:val="en-US" w:eastAsia="zh-CN"/>
        </w:rPr>
        <w:t>湖南省市场监督管理局</w:t>
      </w:r>
      <w:r>
        <w:rPr>
          <w:rFonts w:hint="eastAsia"/>
          <w:color w:val="auto"/>
          <w:sz w:val="28"/>
          <w:highlight w:val="none"/>
          <w:lang w:val="en-US" w:eastAsia="zh-CN"/>
        </w:rPr>
        <w:t>  </w:t>
      </w:r>
      <w:r>
        <w:rPr>
          <w:rFonts w:hint="eastAsia"/>
          <w:color w:val="auto"/>
          <w:spacing w:val="85"/>
          <w:w w:val="100"/>
          <w:sz w:val="28"/>
          <w:highlight w:val="none"/>
          <w:lang w:val="en-US" w:eastAsia="zh-CN"/>
        </w:rPr>
        <w:t>发</w:t>
      </w:r>
      <w:r>
        <w:rPr>
          <w:rFonts w:hint="eastAsia"/>
          <w:color w:val="auto"/>
          <w:spacing w:val="0"/>
          <w:w w:val="100"/>
          <w:sz w:val="28"/>
          <w:highlight w:val="none"/>
          <w:lang w:val="en-US" w:eastAsia="zh-CN"/>
        </w:rPr>
        <w:t>布</w:t>
      </w:r>
    </w:p>
    <w:tbl>
      <w:tblPr>
        <w:tblStyle w:val="21"/>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3"/>
              <w:framePr w:w="9397"/>
              <w:bidi w:val="0"/>
              <w:jc w:val="both"/>
              <w:rPr>
                <w:rFonts w:hint="eastAsia"/>
                <w:color w:val="auto"/>
                <w:highlight w:val="none"/>
                <w:vertAlign w:val="baseline"/>
                <w:lang w:val="en-US" w:eastAsia="zh-CN"/>
              </w:rPr>
            </w:pPr>
            <w:r>
              <w:rPr>
                <w:rFonts w:hint="eastAsia"/>
                <w:color w:val="auto"/>
                <w:highlight w:val="none"/>
                <w:vertAlign w:val="baseline"/>
                <w:lang w:val="en-US" w:eastAsia="zh-CN"/>
              </w:rPr>
              <w:t>ICS</w:t>
            </w:r>
          </w:p>
        </w:tc>
        <w:tc>
          <w:tcPr>
            <w:tcW w:w="9107" w:type="dxa"/>
          </w:tcPr>
          <w:p>
            <w:pPr>
              <w:pStyle w:val="53"/>
              <w:framePr w:w="9397"/>
              <w:bidi w:val="0"/>
              <w:jc w:val="both"/>
              <w:rPr>
                <w:rFonts w:hint="default"/>
                <w:color w:val="auto"/>
                <w:highlight w:val="none"/>
                <w:vertAlign w:val="baseline"/>
                <w:lang w:val="en-US" w:eastAsia="zh-CN"/>
              </w:rPr>
            </w:pPr>
            <w:r>
              <w:rPr>
                <w:rFonts w:hint="eastAsia"/>
                <w:color w:val="auto"/>
                <w:highlight w:val="none"/>
                <w:vertAlign w:val="baseline"/>
                <w:lang w:val="en-US" w:eastAsia="zh-CN"/>
              </w:rPr>
              <w:t>01.040.03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3"/>
              <w:framePr w:w="9397"/>
              <w:bidi w:val="0"/>
              <w:jc w:val="both"/>
              <w:rPr>
                <w:rFonts w:hint="eastAsia"/>
                <w:color w:val="auto"/>
                <w:highlight w:val="none"/>
                <w:vertAlign w:val="baseline"/>
                <w:lang w:val="en-US" w:eastAsia="zh-CN"/>
              </w:rPr>
            </w:pPr>
            <w:r>
              <w:rPr>
                <w:rFonts w:hint="eastAsia"/>
                <w:color w:val="auto"/>
                <w:highlight w:val="none"/>
                <w:vertAlign w:val="baseline"/>
                <w:lang w:val="en-US" w:eastAsia="zh-CN"/>
              </w:rPr>
              <w:t>CCS</w:t>
            </w:r>
          </w:p>
        </w:tc>
        <w:tc>
          <w:tcPr>
            <w:tcW w:w="9107" w:type="dxa"/>
          </w:tcPr>
          <w:p>
            <w:pPr>
              <w:pStyle w:val="53"/>
              <w:framePr w:w="9397"/>
              <w:bidi w:val="0"/>
              <w:jc w:val="both"/>
              <w:rPr>
                <w:rFonts w:hint="default"/>
                <w:color w:val="auto"/>
                <w:highlight w:val="none"/>
                <w:vertAlign w:val="baseline"/>
                <w:lang w:val="en-US" w:eastAsia="zh-CN"/>
              </w:rPr>
            </w:pPr>
            <w:r>
              <w:rPr>
                <w:rFonts w:hint="eastAsia"/>
                <w:color w:val="auto"/>
                <w:highlight w:val="none"/>
                <w:vertAlign w:val="baseline"/>
                <w:lang w:val="en-US" w:eastAsia="zh-CN"/>
              </w:rPr>
              <w:t>A 12</w:t>
            </w:r>
          </w:p>
          <w:tbl>
            <w:tblPr>
              <w:tblStyle w:val="21"/>
              <w:tblpPr w:vertAnchor="page" w:horzAnchor="margin" w:tblpXSpec="right" w:tblpY="114"/>
              <w:tblOverlap w:val="never"/>
              <w:tblW w:w="6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107" w:type="dxa"/>
                  <w:vAlign w:val="center"/>
                </w:tcPr>
                <w:p>
                  <w:pPr>
                    <w:pStyle w:val="53"/>
                    <w:framePr w:w="9397"/>
                    <w:bidi w:val="0"/>
                    <w:jc w:val="right"/>
                    <w:rPr>
                      <w:rFonts w:hint="default" w:ascii="Times New Roman" w:hAnsi="Times New Roman" w:eastAsia="宋体" w:cs="Times New Roman"/>
                      <w:b/>
                      <w:color w:val="auto"/>
                      <w:w w:val="130"/>
                      <w:kern w:val="0"/>
                      <w:sz w:val="21"/>
                      <w:highlight w:val="none"/>
                      <w:vertAlign w:val="baseline"/>
                      <w:lang w:val="en-US" w:eastAsia="zh-CN"/>
                    </w:rPr>
                  </w:pPr>
                  <w:r>
                    <w:rPr>
                      <w:rFonts w:hint="eastAsia" w:eastAsia="宋体" w:cs="Times New Roman"/>
                      <w:b/>
                      <w:color w:val="auto"/>
                      <w:w w:val="130"/>
                      <w:kern w:val="0"/>
                      <w:sz w:val="96"/>
                      <w:highlight w:val="none"/>
                      <w:vertAlign w:val="baseline"/>
                      <w:lang w:val="en-US" w:eastAsia="zh-CN"/>
                    </w:rPr>
                    <w:t>DB</w:t>
                  </w:r>
                  <w:r>
                    <w:rPr>
                      <w:rFonts w:hint="eastAsia" w:eastAsia="宋体" w:cs="Times New Roman"/>
                      <w:b/>
                      <w:color w:val="auto"/>
                      <w:w w:val="130"/>
                      <w:kern w:val="0"/>
                      <w:sz w:val="21"/>
                      <w:highlight w:val="none"/>
                      <w:vertAlign w:val="baseline"/>
                      <w:lang w:val="en-US" w:eastAsia="zh-CN"/>
                    </w:rPr>
                    <w:t xml:space="preserve"> </w:t>
                  </w:r>
                  <w:r>
                    <w:rPr>
                      <w:rFonts w:hint="eastAsia" w:eastAsia="宋体" w:cs="Times New Roman"/>
                      <w:b/>
                      <w:color w:val="auto"/>
                      <w:w w:val="130"/>
                      <w:kern w:val="0"/>
                      <w:sz w:val="96"/>
                      <w:highlight w:val="none"/>
                      <w:vertAlign w:val="baseline"/>
                      <w:lang w:val="en-US" w:eastAsia="zh-CN"/>
                    </w:rPr>
                    <w:t xml:space="preserve">43 </w:t>
                  </w:r>
                </w:p>
              </w:tc>
            </w:tr>
          </w:tbl>
          <w:p>
            <w:pPr>
              <w:pStyle w:val="53"/>
              <w:framePr w:w="9397"/>
              <w:bidi w:val="0"/>
              <w:jc w:val="both"/>
              <w:rPr>
                <w:rFonts w:hint="eastAsia"/>
                <w:color w:val="auto"/>
                <w:highlight w:val="none"/>
                <w:vertAlign w:val="baseline"/>
                <w:lang w:val="en-US" w:eastAsia="zh-CN"/>
              </w:rPr>
            </w:pPr>
          </w:p>
        </w:tc>
      </w:tr>
    </w:tbl>
    <w:p>
      <w:pPr>
        <w:pStyle w:val="53"/>
        <w:framePr w:w="9397"/>
        <w:bidi w:val="0"/>
        <w:rPr>
          <w:rFonts w:hint="eastAsia"/>
          <w:color w:val="auto"/>
          <w:highlight w:val="none"/>
          <w:lang w:val="en-US" w:eastAsia="zh-CN"/>
        </w:rPr>
        <w:sectPr>
          <w:headerReference r:id="rId3" w:type="default"/>
          <w:headerReference r:id="rId4" w:type="even"/>
          <w:footerReference r:id="rId5" w:type="even"/>
          <w:pgSz w:w="11906" w:h="16838"/>
          <w:pgMar w:top="-340" w:right="1134" w:bottom="1021" w:left="1134" w:header="0" w:footer="0" w:gutter="284"/>
          <w:pgBorders>
            <w:top w:val="none" w:sz="0" w:space="0"/>
            <w:left w:val="none" w:sz="0" w:space="0"/>
            <w:bottom w:val="none" w:sz="0" w:space="0"/>
            <w:right w:val="none" w:sz="0" w:space="0"/>
          </w:pgBorders>
          <w:lnNumType w:countBy="0" w:restart="continuous"/>
          <w:pgNumType w:fmt="decimal" w:start="1"/>
          <w:cols w:space="425" w:num="1"/>
          <w:formProt w:val="1"/>
          <w:titlePg/>
          <w:docGrid w:type="lines" w:linePitch="312" w:charSpace="0"/>
        </w:sectPr>
      </w:pPr>
    </w:p>
    <w:p>
      <w:pPr>
        <w:pStyle w:val="55"/>
        <w:bidi w:val="0"/>
        <w:rPr>
          <w:rFonts w:hint="eastAsia"/>
          <w:color w:val="auto"/>
          <w:highlight w:val="none"/>
          <w:lang w:val="en-US" w:eastAsia="zh-CN"/>
        </w:rPr>
      </w:pPr>
      <w:r>
        <w:rPr>
          <w:rFonts w:hint="eastAsia"/>
          <w:color w:val="auto"/>
          <w:spacing w:val="317"/>
          <w:highlight w:val="none"/>
          <w:lang w:val="en-US" w:eastAsia="zh-CN"/>
        </w:rPr>
        <w:t>前</w:t>
      </w:r>
      <w:bookmarkStart w:id="10" w:name="BKQY"/>
      <w:r>
        <w:rPr>
          <w:rFonts w:hint="eastAsia"/>
          <w:color w:val="auto"/>
          <w:highlight w:val="none"/>
          <w:lang w:val="en-US" w:eastAsia="zh-CN"/>
        </w:rPr>
        <w:t>言</w:t>
      </w:r>
    </w:p>
    <w:p>
      <w:pPr>
        <w:pStyle w:val="25"/>
        <w:bidi w:val="0"/>
        <w:rPr>
          <w:rFonts w:hint="eastAsia"/>
          <w:color w:val="auto"/>
          <w:highlight w:val="none"/>
          <w:lang w:val="en-US" w:eastAsia="zh-CN"/>
        </w:rPr>
      </w:pPr>
      <w:r>
        <w:rPr>
          <w:rFonts w:hint="eastAsia"/>
          <w:color w:val="auto"/>
          <w:highlight w:val="none"/>
          <w:lang w:val="en-US" w:eastAsia="zh-CN"/>
        </w:rPr>
        <w:t>本文件按照GB/T 1.1—2020《标准化工作导则 第1部分：标准化文件的结构和起草规则》的规定起草。</w:t>
      </w:r>
    </w:p>
    <w:p>
      <w:pPr>
        <w:pStyle w:val="25"/>
        <w:bidi w:val="0"/>
        <w:rPr>
          <w:rFonts w:hint="eastAsia"/>
          <w:color w:val="auto"/>
          <w:highlight w:val="none"/>
          <w:lang w:val="en-US" w:eastAsia="zh-CN"/>
        </w:rPr>
      </w:pPr>
      <w:r>
        <w:rPr>
          <w:rFonts w:hint="eastAsia"/>
          <w:color w:val="auto"/>
          <w:highlight w:val="none"/>
          <w:lang w:val="en-US" w:eastAsia="zh-CN"/>
        </w:rPr>
        <w:t>请注意本文件的某些内容可能涉及专利。本文件的发布机构不承担识别专利的责任。</w:t>
      </w:r>
    </w:p>
    <w:p>
      <w:pPr>
        <w:pStyle w:val="25"/>
        <w:bidi w:val="0"/>
        <w:rPr>
          <w:rFonts w:hint="eastAsia"/>
          <w:color w:val="auto"/>
          <w:highlight w:val="none"/>
          <w:lang w:val="en-US" w:eastAsia="zh-CN"/>
        </w:rPr>
      </w:pPr>
      <w:r>
        <w:rPr>
          <w:rFonts w:hint="eastAsia"/>
          <w:color w:val="auto"/>
          <w:highlight w:val="none"/>
          <w:lang w:val="en-US" w:eastAsia="zh-CN"/>
        </w:rPr>
        <w:t>本文件由长沙市行政审批服务局提出。</w:t>
      </w:r>
    </w:p>
    <w:p>
      <w:pPr>
        <w:pStyle w:val="25"/>
        <w:bidi w:val="0"/>
        <w:rPr>
          <w:rFonts w:hint="eastAsia"/>
          <w:color w:val="auto"/>
          <w:highlight w:val="none"/>
          <w:lang w:val="en-US" w:eastAsia="zh-CN"/>
        </w:rPr>
      </w:pPr>
      <w:r>
        <w:rPr>
          <w:rFonts w:hint="eastAsia"/>
          <w:color w:val="auto"/>
          <w:highlight w:val="none"/>
          <w:lang w:val="en-US" w:eastAsia="zh-CN"/>
        </w:rPr>
        <w:t>本文件由湖南省政务管理服务局归口。</w:t>
      </w:r>
    </w:p>
    <w:p>
      <w:pPr>
        <w:pStyle w:val="25"/>
        <w:bidi w:val="0"/>
        <w:rPr>
          <w:rFonts w:hint="eastAsia"/>
          <w:color w:val="auto"/>
          <w:highlight w:val="none"/>
          <w:lang w:val="en-US" w:eastAsia="zh-CN"/>
        </w:rPr>
      </w:pPr>
      <w:r>
        <w:rPr>
          <w:rFonts w:hint="eastAsia"/>
          <w:color w:val="auto"/>
          <w:highlight w:val="none"/>
          <w:lang w:val="en-US" w:eastAsia="zh-CN"/>
        </w:rPr>
        <w:t>本文件起草单位：</w:t>
      </w:r>
      <w:r>
        <w:rPr>
          <w:rFonts w:hint="eastAsia"/>
          <w:lang w:val="en-US" w:eastAsia="zh-CN"/>
        </w:rPr>
        <w:t>××××。</w:t>
      </w:r>
    </w:p>
    <w:p>
      <w:pPr>
        <w:pStyle w:val="25"/>
        <w:bidi w:val="0"/>
        <w:rPr>
          <w:rFonts w:hint="eastAsia"/>
          <w:color w:val="auto"/>
          <w:highlight w:val="none"/>
          <w:lang w:val="en-US" w:eastAsia="zh-CN"/>
        </w:rPr>
      </w:pPr>
      <w:r>
        <w:rPr>
          <w:rFonts w:hint="eastAsia"/>
          <w:color w:val="auto"/>
          <w:highlight w:val="none"/>
          <w:lang w:val="en-US" w:eastAsia="zh-CN"/>
        </w:rPr>
        <w:t>本文件主要起草人：</w:t>
      </w:r>
      <w:r>
        <w:rPr>
          <w:rFonts w:hint="eastAsia"/>
          <w:lang w:val="en-US" w:eastAsia="zh-CN"/>
        </w:rPr>
        <w:t>××××。</w:t>
      </w:r>
    </w:p>
    <w:bookmarkEnd w:id="10"/>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sectPr>
          <w:headerReference r:id="rId6" w:type="default"/>
          <w:footerReference r:id="rId7" w:type="default"/>
          <w:footerReference r:id="rId8" w:type="even"/>
          <w:pgSz w:w="11906" w:h="16838"/>
          <w:pgMar w:top="1871" w:right="1134" w:bottom="1134" w:left="1134" w:header="1418" w:footer="1134" w:gutter="284"/>
          <w:pgBorders>
            <w:top w:val="none" w:sz="0" w:space="0"/>
            <w:left w:val="none" w:sz="0" w:space="0"/>
            <w:bottom w:val="none" w:sz="0" w:space="0"/>
            <w:right w:val="none" w:sz="0" w:space="0"/>
          </w:pgBorders>
          <w:lnNumType w:countBy="0" w:restart="continuous"/>
          <w:pgNumType w:fmt="upperRoman" w:start="1"/>
          <w:cols w:space="425" w:num="1"/>
          <w:formProt w:val="0"/>
          <w:docGrid w:type="lines" w:linePitch="312" w:charSpace="0"/>
        </w:sectPr>
      </w:pPr>
    </w:p>
    <w:sdt>
      <w:sdtPr>
        <w:rPr>
          <w:rStyle w:val="120"/>
          <w:rFonts w:hint="eastAsia"/>
          <w:color w:val="auto"/>
          <w:highlight w:val="none"/>
          <w:lang w:val="en-US" w:eastAsia="zh-CN"/>
        </w:rPr>
        <w:tag w:val="StandardName"/>
        <w:id w:val="147455005"/>
        <w:lock w:val="sdtLocked"/>
        <w:placeholder>
          <w:docPart w:val="{704c8c4a-e1cc-4016-b3d7-6036cef710a5}"/>
        </w:placeholder>
        <w:text w:multiLine="1"/>
      </w:sdtPr>
      <w:sdtEndPr>
        <w:rPr>
          <w:rStyle w:val="120"/>
          <w:rFonts w:hint="eastAsia"/>
          <w:color w:val="auto"/>
          <w:highlight w:val="none"/>
          <w:lang w:val="en-US" w:eastAsia="zh-CN"/>
        </w:rPr>
      </w:sdtEndPr>
      <w:sdtContent>
        <w:p>
          <w:pPr>
            <w:pStyle w:val="61"/>
            <w:bidi w:val="0"/>
            <w:rPr>
              <w:rStyle w:val="120"/>
              <w:rFonts w:hint="eastAsia"/>
              <w:color w:val="auto"/>
              <w:highlight w:val="none"/>
              <w:lang w:val="en-US" w:eastAsia="zh-CN"/>
            </w:rPr>
          </w:pPr>
          <w:bookmarkStart w:id="11" w:name="StandardName"/>
          <w:r>
            <w:rPr>
              <w:rStyle w:val="120"/>
              <w:rFonts w:hint="eastAsia"/>
              <w:color w:val="auto"/>
              <w:highlight w:val="none"/>
              <w:lang w:val="en-US" w:eastAsia="zh-CN"/>
            </w:rPr>
            <w:t>政务公开评估规范</w:t>
          </w:r>
          <w:bookmarkEnd w:id="11"/>
        </w:p>
      </w:sdtContent>
    </w:sdt>
    <w:p>
      <w:pPr>
        <w:pStyle w:val="72"/>
        <w:bidi w:val="0"/>
        <w:rPr>
          <w:rStyle w:val="120"/>
          <w:rFonts w:hint="eastAsia"/>
          <w:color w:val="auto"/>
          <w:highlight w:val="none"/>
          <w:lang w:val="en-US" w:eastAsia="zh-CN"/>
        </w:rPr>
      </w:pPr>
      <w:r>
        <w:rPr>
          <w:rFonts w:hint="eastAsia"/>
          <w:color w:val="auto"/>
          <w:highlight w:val="none"/>
          <w:lang w:val="en-US" w:eastAsia="zh-CN"/>
        </w:rPr>
        <w:t>范围</w:t>
      </w:r>
    </w:p>
    <w:p>
      <w:pPr>
        <w:pStyle w:val="121"/>
        <w:tabs>
          <w:tab w:val="center" w:pos="4677"/>
          <w:tab w:val="clear" w:pos="9298"/>
        </w:tabs>
        <w:rPr>
          <w:rFonts w:hint="default"/>
          <w:color w:val="auto"/>
          <w:highlight w:val="none"/>
          <w:lang w:val="en-US" w:eastAsia="zh-CN"/>
        </w:rPr>
      </w:pPr>
      <w:r>
        <w:rPr>
          <w:rFonts w:hint="eastAsia"/>
          <w:color w:val="auto"/>
          <w:highlight w:val="none"/>
          <w:lang w:val="en-US" w:eastAsia="zh-CN"/>
        </w:rPr>
        <w:t>本文件规定了政务公开评估工作的评估原则、评估主体、评估内容和方式、评估要求、评估流程、评估结果及应用。</w:t>
      </w:r>
    </w:p>
    <w:p>
      <w:pPr>
        <w:pStyle w:val="25"/>
        <w:rPr>
          <w:rFonts w:hint="eastAsia"/>
          <w:color w:val="auto"/>
          <w:highlight w:val="none"/>
          <w:lang w:val="en-US" w:eastAsia="zh-CN"/>
        </w:rPr>
      </w:pPr>
      <w:r>
        <w:rPr>
          <w:rFonts w:hint="eastAsia"/>
          <w:color w:val="auto"/>
          <w:highlight w:val="none"/>
          <w:lang w:val="en-US" w:eastAsia="zh-CN"/>
        </w:rPr>
        <w:t>本文件适用于政务公开评估工作的管理。</w:t>
      </w:r>
    </w:p>
    <w:p>
      <w:pPr>
        <w:pStyle w:val="72"/>
        <w:bidi w:val="0"/>
        <w:rPr>
          <w:rFonts w:hint="eastAsia"/>
          <w:color w:val="auto"/>
          <w:highlight w:val="none"/>
          <w:lang w:val="en-US" w:eastAsia="zh-CN"/>
        </w:rPr>
      </w:pPr>
      <w:r>
        <w:rPr>
          <w:rFonts w:hint="eastAsia"/>
          <w:color w:val="auto"/>
          <w:highlight w:val="none"/>
          <w:lang w:val="en-US" w:eastAsia="zh-CN"/>
        </w:rPr>
        <w:t>规范性引用文件</w:t>
      </w:r>
    </w:p>
    <w:sdt>
      <w:sdtPr>
        <w:rPr>
          <w:rFonts w:hint="eastAsia" w:ascii="宋体" w:hAnsi="Times New Roman" w:eastAsia="宋体" w:cs="宋体"/>
          <w:color w:val="auto"/>
          <w:sz w:val="21"/>
          <w:highlight w:val="none"/>
          <w:lang w:val="en-US" w:eastAsia="zh-CN"/>
        </w:rPr>
        <w:tag w:val="StandNameFile"/>
        <w:id w:val="147455005"/>
        <w:placeholder>
          <w:docPart w:val="{24cf9b37-d24b-409c-b665-ab6bb7984216}"/>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rPr>
          <w:rFonts w:hint="eastAsia" w:ascii="宋体" w:hAnsi="Times New Roman" w:eastAsia="宋体" w:cs="宋体"/>
          <w:color w:val="auto"/>
          <w:sz w:val="21"/>
          <w:highlight w:val="none"/>
          <w:lang w:val="en-US" w:eastAsia="zh-CN"/>
        </w:rPr>
      </w:sdtEndPr>
      <w:sdtContent>
        <w:p>
          <w:pPr>
            <w:pStyle w:val="25"/>
            <w:bidi w:val="0"/>
            <w:rPr>
              <w:rFonts w:hint="eastAsia" w:ascii="宋体" w:hAnsi="Times New Roman" w:eastAsia="宋体" w:cs="宋体"/>
              <w:color w:val="auto"/>
              <w:sz w:val="21"/>
              <w:highlight w:val="none"/>
              <w:lang w:val="en-US" w:eastAsia="zh-CN"/>
            </w:rPr>
          </w:pPr>
          <w:r>
            <w:rPr>
              <w:rFonts w:hint="eastAsia" w:ascii="宋体" w:hAnsi="Times New Roman" w:eastAsia="宋体" w:cs="宋体"/>
              <w:color w:val="auto"/>
              <w:sz w:val="21"/>
              <w:highlight w:val="none"/>
              <w:lang w:val="en-US" w:eastAsia="zh-CN"/>
            </w:rPr>
            <w:t>本文件没有规范性引用文件。</w:t>
          </w:r>
        </w:p>
      </w:sdtContent>
    </w:sdt>
    <w:p>
      <w:pPr>
        <w:pStyle w:val="72"/>
        <w:bidi w:val="0"/>
        <w:rPr>
          <w:rFonts w:hint="eastAsia" w:ascii="宋体" w:hAnsi="Times New Roman" w:eastAsia="宋体" w:cs="宋体"/>
          <w:color w:val="auto"/>
          <w:highlight w:val="none"/>
          <w:lang w:val="en-US" w:eastAsia="zh-CN"/>
        </w:rPr>
      </w:pPr>
      <w:r>
        <w:rPr>
          <w:rFonts w:hint="eastAsia"/>
          <w:color w:val="auto"/>
          <w:highlight w:val="none"/>
          <w:lang w:val="en-US" w:eastAsia="zh-CN"/>
        </w:rPr>
        <w:t>术语和定义</w:t>
      </w:r>
    </w:p>
    <w:sdt>
      <w:sdtPr>
        <w:rPr>
          <w:rFonts w:hint="eastAsia" w:ascii="宋体" w:hAnsi="Times New Roman" w:eastAsia="宋体" w:cs="宋体"/>
          <w:color w:val="auto"/>
          <w:sz w:val="21"/>
          <w:highlight w:val="none"/>
          <w:lang w:val="en-US" w:eastAsia="zh-CN"/>
        </w:rPr>
        <w:tag w:val="TermContent"/>
        <w:id w:val="147455005"/>
        <w:placeholder>
          <w:docPart w:val="{a343206d-5b2b-45c9-baf1-49e78a39384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宋体" w:hAnsi="Times New Roman" w:eastAsia="宋体" w:cs="宋体"/>
          <w:color w:val="auto"/>
          <w:sz w:val="21"/>
          <w:highlight w:val="none"/>
          <w:lang w:val="en-US" w:eastAsia="zh-CN"/>
        </w:rPr>
      </w:sdtEndPr>
      <w:sdtContent>
        <w:p>
          <w:pPr>
            <w:pStyle w:val="25"/>
            <w:rPr>
              <w:rFonts w:hint="eastAsia"/>
              <w:color w:val="auto"/>
              <w:highlight w:val="none"/>
              <w:lang w:val="en-US" w:eastAsia="zh-CN"/>
            </w:rPr>
          </w:pPr>
          <w:r>
            <w:rPr>
              <w:rFonts w:hint="eastAsia" w:ascii="宋体" w:hAnsi="Times New Roman" w:eastAsia="宋体" w:cs="宋体"/>
              <w:color w:val="auto"/>
              <w:sz w:val="21"/>
              <w:highlight w:val="none"/>
              <w:lang w:val="en-US" w:eastAsia="zh-CN"/>
            </w:rPr>
            <w:t>下列术语和定义适用于本文件。</w:t>
          </w:r>
        </w:p>
      </w:sdtContent>
    </w:sdt>
    <w:p>
      <w:pPr>
        <w:pStyle w:val="83"/>
        <w:bidi w:val="0"/>
        <w:rPr>
          <w:rFonts w:hint="default"/>
          <w:color w:val="auto"/>
          <w:highlight w:val="none"/>
          <w:lang w:val="en-US" w:eastAsia="zh-CN"/>
        </w:rPr>
      </w:pPr>
      <w:r>
        <w:rPr>
          <w:rFonts w:hint="eastAsia"/>
          <w:color w:val="auto"/>
          <w:highlight w:val="none"/>
          <w:lang w:val="en-US" w:eastAsia="zh-CN"/>
        </w:rPr>
        <w:br w:type="textWrapping"/>
      </w:r>
      <w:r>
        <w:rPr>
          <w:rFonts w:hint="eastAsia"/>
          <w:color w:val="auto"/>
          <w:highlight w:val="none"/>
          <w:lang w:val="en-US" w:eastAsia="zh-CN"/>
        </w:rPr>
        <w:t xml:space="preserve">政务公开  </w:t>
      </w:r>
    </w:p>
    <w:p>
      <w:pPr>
        <w:pStyle w:val="25"/>
        <w:bidi w:val="0"/>
        <w:rPr>
          <w:color w:val="auto"/>
          <w:highlight w:val="none"/>
        </w:rPr>
      </w:pPr>
      <w:r>
        <w:rPr>
          <w:rFonts w:hint="eastAsia"/>
          <w:color w:val="auto"/>
          <w:highlight w:val="none"/>
          <w:lang w:val="en-US" w:eastAsia="zh-CN"/>
        </w:rPr>
        <w:t>是行政机关全面推进决策、执行、管理、服务、结果全过程公开，加强政策解读、回应关切、平台建设、数据开放，保障公众知情权、参与权、表达权和监督权，增强政府公信力执行力，提升政府治理能力的制度安排。</w:t>
      </w:r>
    </w:p>
    <w:p>
      <w:pPr>
        <w:pStyle w:val="72"/>
        <w:bidi w:val="0"/>
        <w:rPr>
          <w:rFonts w:hint="eastAsia"/>
          <w:color w:val="auto"/>
          <w:highlight w:val="none"/>
          <w:lang w:val="en-US" w:eastAsia="zh-CN"/>
        </w:rPr>
      </w:pPr>
      <w:r>
        <w:rPr>
          <w:rFonts w:hint="eastAsia"/>
          <w:color w:val="auto"/>
          <w:highlight w:val="none"/>
          <w:lang w:val="en-US" w:eastAsia="zh-CN"/>
        </w:rPr>
        <w:t>评估原则</w:t>
      </w:r>
    </w:p>
    <w:p>
      <w:pPr>
        <w:pStyle w:val="73"/>
        <w:bidi w:val="0"/>
        <w:rPr>
          <w:rFonts w:hint="eastAsia"/>
          <w:color w:val="auto"/>
          <w:highlight w:val="none"/>
          <w:lang w:val="en-US" w:eastAsia="zh-CN"/>
        </w:rPr>
      </w:pPr>
      <w:r>
        <w:rPr>
          <w:rFonts w:hint="eastAsia"/>
          <w:color w:val="auto"/>
          <w:highlight w:val="none"/>
          <w:lang w:val="en-US" w:eastAsia="zh-CN"/>
        </w:rPr>
        <w:t>合法公正</w:t>
      </w:r>
    </w:p>
    <w:p>
      <w:pPr>
        <w:pStyle w:val="25"/>
        <w:bidi w:val="0"/>
        <w:rPr>
          <w:rFonts w:hint="eastAsia"/>
          <w:color w:val="auto"/>
          <w:highlight w:val="none"/>
          <w:lang w:val="en-US" w:eastAsia="zh-CN"/>
        </w:rPr>
      </w:pPr>
      <w:r>
        <w:rPr>
          <w:rFonts w:hint="eastAsia"/>
          <w:color w:val="auto"/>
          <w:highlight w:val="none"/>
          <w:lang w:val="en-US" w:eastAsia="zh-CN"/>
        </w:rPr>
        <w:t>运用法治思维和法治方式推进政务公开评估工作，重视调查研究，以事实为依据，客观、公正地实施评估。</w:t>
      </w:r>
    </w:p>
    <w:p>
      <w:pPr>
        <w:pStyle w:val="73"/>
        <w:bidi w:val="0"/>
        <w:rPr>
          <w:rFonts w:hint="eastAsia"/>
          <w:color w:val="auto"/>
          <w:highlight w:val="none"/>
          <w:lang w:val="en-US" w:eastAsia="zh-CN"/>
        </w:rPr>
      </w:pPr>
      <w:r>
        <w:rPr>
          <w:rFonts w:hint="eastAsia"/>
          <w:color w:val="auto"/>
          <w:highlight w:val="none"/>
          <w:lang w:val="en-US" w:eastAsia="zh-CN"/>
        </w:rPr>
        <w:t>公开透明</w:t>
      </w:r>
    </w:p>
    <w:p>
      <w:pPr>
        <w:pStyle w:val="25"/>
        <w:bidi w:val="0"/>
        <w:rPr>
          <w:rFonts w:hint="eastAsia"/>
          <w:color w:val="auto"/>
          <w:highlight w:val="none"/>
          <w:lang w:val="en-US" w:eastAsia="zh-CN"/>
        </w:rPr>
      </w:pPr>
      <w:r>
        <w:rPr>
          <w:rFonts w:hint="eastAsia"/>
          <w:color w:val="auto"/>
          <w:highlight w:val="none"/>
          <w:lang w:val="en-US" w:eastAsia="zh-CN"/>
        </w:rPr>
        <w:t>“以公开为常态，不公开为例外”，除依法不得公开的信息外，将政务公开的评估情况、评估过程、评估结果等向社会公开。</w:t>
      </w:r>
    </w:p>
    <w:p>
      <w:pPr>
        <w:pStyle w:val="73"/>
        <w:bidi w:val="0"/>
        <w:rPr>
          <w:rFonts w:hint="eastAsia"/>
          <w:color w:val="auto"/>
          <w:highlight w:val="none"/>
          <w:lang w:val="en-US" w:eastAsia="zh-CN"/>
        </w:rPr>
      </w:pPr>
      <w:r>
        <w:rPr>
          <w:rFonts w:hint="eastAsia"/>
          <w:color w:val="auto"/>
          <w:highlight w:val="none"/>
          <w:lang w:val="en-US" w:eastAsia="zh-CN"/>
        </w:rPr>
        <w:t>迭代更新</w:t>
      </w:r>
    </w:p>
    <w:p>
      <w:pPr>
        <w:pStyle w:val="25"/>
        <w:bidi w:val="0"/>
        <w:rPr>
          <w:rFonts w:hint="default"/>
          <w:strike/>
          <w:dstrike w:val="0"/>
          <w:color w:val="auto"/>
          <w:highlight w:val="none"/>
          <w:lang w:val="en-US" w:eastAsia="zh-CN"/>
        </w:rPr>
      </w:pPr>
      <w:r>
        <w:rPr>
          <w:rFonts w:hint="eastAsia"/>
          <w:strike w:val="0"/>
          <w:dstrike w:val="0"/>
          <w:color w:val="auto"/>
          <w:highlight w:val="none"/>
          <w:lang w:val="en-US" w:eastAsia="zh-CN"/>
        </w:rPr>
        <w:t>结合年度政务公开要点、工作重点和发展要求，适时更新评估要点和评估方式。</w:t>
      </w:r>
    </w:p>
    <w:p>
      <w:pPr>
        <w:pStyle w:val="72"/>
        <w:bidi w:val="0"/>
        <w:rPr>
          <w:rFonts w:hint="eastAsia"/>
          <w:color w:val="auto"/>
          <w:highlight w:val="none"/>
          <w:lang w:val="en-US" w:eastAsia="zh-CN"/>
        </w:rPr>
      </w:pPr>
      <w:r>
        <w:rPr>
          <w:rFonts w:hint="eastAsia"/>
          <w:color w:val="auto"/>
          <w:highlight w:val="none"/>
          <w:lang w:val="en-US" w:eastAsia="zh-CN"/>
        </w:rPr>
        <w:t>评估主体</w:t>
      </w:r>
    </w:p>
    <w:p>
      <w:pPr>
        <w:pStyle w:val="78"/>
        <w:bidi w:val="0"/>
        <w:rPr>
          <w:rFonts w:hint="eastAsia"/>
          <w:color w:val="auto"/>
          <w:highlight w:val="none"/>
          <w:lang w:val="en-US" w:eastAsia="zh-CN"/>
        </w:rPr>
      </w:pPr>
      <w:r>
        <w:rPr>
          <w:rFonts w:hint="eastAsia"/>
          <w:color w:val="auto"/>
          <w:highlight w:val="none"/>
          <w:lang w:val="en-US" w:eastAsia="zh-CN"/>
        </w:rPr>
        <w:t>政务公开主管部门自行组建评估小组或委托第三方评估机构开展评估工作。</w:t>
      </w:r>
    </w:p>
    <w:p>
      <w:pPr>
        <w:pStyle w:val="78"/>
        <w:bidi w:val="0"/>
        <w:rPr>
          <w:rFonts w:hint="eastAsia"/>
          <w:color w:val="auto"/>
          <w:highlight w:val="none"/>
          <w:lang w:val="en-US" w:eastAsia="zh-CN"/>
        </w:rPr>
      </w:pPr>
      <w:r>
        <w:rPr>
          <w:rFonts w:hint="eastAsia"/>
          <w:color w:val="auto"/>
          <w:highlight w:val="none"/>
          <w:lang w:val="en-US" w:eastAsia="zh-CN"/>
        </w:rPr>
        <w:t>自行组建评估小组的，小组应由5-8名专家组成，评估专家宜由政务公开、政务服务等</w:t>
      </w:r>
      <w:r>
        <w:rPr>
          <w:rFonts w:hint="eastAsia"/>
          <w:strike w:val="0"/>
          <w:dstrike w:val="0"/>
          <w:color w:val="auto"/>
          <w:highlight w:val="none"/>
          <w:lang w:val="en-US" w:eastAsia="zh-CN"/>
        </w:rPr>
        <w:t>相关专家构成</w:t>
      </w:r>
      <w:r>
        <w:rPr>
          <w:rFonts w:hint="eastAsia"/>
          <w:color w:val="auto"/>
          <w:highlight w:val="none"/>
          <w:lang w:val="en-US" w:eastAsia="zh-CN"/>
        </w:rPr>
        <w:t>。专家应符合以下要求：</w:t>
      </w:r>
    </w:p>
    <w:p>
      <w:pPr>
        <w:pStyle w:val="62"/>
        <w:bidi w:val="0"/>
        <w:rPr>
          <w:rFonts w:hint="eastAsia"/>
          <w:color w:val="auto"/>
          <w:highlight w:val="none"/>
          <w:lang w:val="en-US" w:eastAsia="zh-CN"/>
        </w:rPr>
      </w:pPr>
      <w:r>
        <w:rPr>
          <w:rFonts w:hint="eastAsia"/>
          <w:color w:val="auto"/>
          <w:highlight w:val="none"/>
          <w:lang w:val="en-US" w:eastAsia="zh-CN"/>
        </w:rPr>
        <w:t>熟悉本领域有关法律法规、政策，熟悉业务；</w:t>
      </w:r>
    </w:p>
    <w:p>
      <w:pPr>
        <w:pStyle w:val="62"/>
        <w:bidi w:val="0"/>
        <w:rPr>
          <w:rFonts w:hint="eastAsia"/>
          <w:color w:val="auto"/>
          <w:highlight w:val="none"/>
          <w:lang w:val="en-US" w:eastAsia="zh-CN"/>
        </w:rPr>
      </w:pPr>
      <w:r>
        <w:rPr>
          <w:rFonts w:hint="eastAsia"/>
          <w:color w:val="auto"/>
          <w:highlight w:val="none"/>
          <w:lang w:val="en-US" w:eastAsia="zh-CN"/>
        </w:rPr>
        <w:t>具有客观、公平、公正的职业道德和操守，能保守被评估对象的秘密；</w:t>
      </w:r>
    </w:p>
    <w:p>
      <w:pPr>
        <w:pStyle w:val="62"/>
        <w:bidi w:val="0"/>
        <w:rPr>
          <w:rFonts w:hint="default"/>
          <w:color w:val="auto"/>
          <w:highlight w:val="none"/>
          <w:shd w:val="clear" w:color="auto" w:fill="auto"/>
          <w:lang w:val="en-US" w:eastAsia="zh-CN"/>
        </w:rPr>
      </w:pPr>
      <w:r>
        <w:rPr>
          <w:rFonts w:hint="eastAsia"/>
          <w:color w:val="auto"/>
          <w:highlight w:val="none"/>
          <w:shd w:val="clear" w:color="auto" w:fill="auto"/>
          <w:lang w:val="en-US" w:eastAsia="zh-CN"/>
        </w:rPr>
        <w:t>与被评估对象无利益关系，独立于被评估机构。</w:t>
      </w:r>
    </w:p>
    <w:p>
      <w:pPr>
        <w:pStyle w:val="78"/>
        <w:bidi w:val="0"/>
        <w:rPr>
          <w:rFonts w:hint="eastAsia"/>
          <w:color w:val="auto"/>
          <w:highlight w:val="none"/>
          <w:lang w:val="en-US" w:eastAsia="zh-CN"/>
        </w:rPr>
      </w:pPr>
      <w:r>
        <w:rPr>
          <w:rFonts w:hint="eastAsia"/>
          <w:color w:val="auto"/>
          <w:highlight w:val="none"/>
          <w:lang w:val="en-US" w:eastAsia="zh-CN"/>
        </w:rPr>
        <w:t>委托的第三方评估机构应符合以下要求：</w:t>
      </w:r>
    </w:p>
    <w:p>
      <w:pPr>
        <w:pStyle w:val="62"/>
        <w:bidi w:val="0"/>
        <w:rPr>
          <w:rFonts w:hint="default"/>
          <w:color w:val="auto"/>
          <w:highlight w:val="none"/>
          <w:lang w:val="en-US" w:eastAsia="zh-CN"/>
        </w:rPr>
      </w:pPr>
      <w:r>
        <w:rPr>
          <w:rFonts w:hint="eastAsia"/>
          <w:color w:val="auto"/>
          <w:highlight w:val="none"/>
          <w:lang w:val="en-US" w:eastAsia="zh-CN"/>
        </w:rPr>
        <w:t>具有独立的法人资格；</w:t>
      </w:r>
    </w:p>
    <w:p>
      <w:pPr>
        <w:pStyle w:val="62"/>
        <w:bidi w:val="0"/>
        <w:rPr>
          <w:rFonts w:hint="default"/>
          <w:color w:val="auto"/>
          <w:highlight w:val="none"/>
          <w:lang w:val="en-US" w:eastAsia="zh-CN"/>
        </w:rPr>
      </w:pPr>
      <w:r>
        <w:rPr>
          <w:rFonts w:hint="eastAsia"/>
          <w:color w:val="auto"/>
          <w:highlight w:val="none"/>
          <w:lang w:val="en-US" w:eastAsia="zh-CN"/>
        </w:rPr>
        <w:t>成立至少三年，且三年内无失信行为或行政处罚信息；</w:t>
      </w:r>
    </w:p>
    <w:p>
      <w:pPr>
        <w:pStyle w:val="62"/>
        <w:bidi w:val="0"/>
        <w:rPr>
          <w:rFonts w:hint="default"/>
          <w:color w:val="auto"/>
          <w:highlight w:val="none"/>
          <w:lang w:val="en-US" w:eastAsia="zh-CN"/>
        </w:rPr>
      </w:pPr>
      <w:r>
        <w:rPr>
          <w:rFonts w:hint="eastAsia"/>
          <w:color w:val="auto"/>
          <w:highlight w:val="none"/>
          <w:lang w:val="en-US" w:eastAsia="zh-CN"/>
        </w:rPr>
        <w:t>具有政务公开、政务服务相关业务经验；</w:t>
      </w:r>
    </w:p>
    <w:p>
      <w:pPr>
        <w:pStyle w:val="62"/>
        <w:bidi w:val="0"/>
        <w:rPr>
          <w:rFonts w:hint="default"/>
          <w:color w:val="auto"/>
          <w:highlight w:val="none"/>
          <w:lang w:val="en-US" w:eastAsia="zh-CN"/>
        </w:rPr>
      </w:pPr>
      <w:r>
        <w:rPr>
          <w:rFonts w:hint="eastAsia"/>
          <w:color w:val="auto"/>
          <w:highlight w:val="none"/>
          <w:lang w:val="en-US" w:eastAsia="zh-CN"/>
        </w:rPr>
        <w:t>与被评估对象无利益关系，独立于被评估机构。</w:t>
      </w:r>
    </w:p>
    <w:p>
      <w:pPr>
        <w:pStyle w:val="72"/>
        <w:bidi w:val="0"/>
        <w:rPr>
          <w:rFonts w:hint="eastAsia"/>
          <w:color w:val="auto"/>
          <w:highlight w:val="none"/>
          <w:lang w:val="en-US" w:eastAsia="zh-CN"/>
        </w:rPr>
      </w:pPr>
      <w:r>
        <w:rPr>
          <w:rFonts w:hint="eastAsia"/>
          <w:color w:val="auto"/>
          <w:highlight w:val="none"/>
          <w:lang w:val="en-US" w:eastAsia="zh-CN"/>
        </w:rPr>
        <w:t>评估内容和方式</w:t>
      </w:r>
    </w:p>
    <w:p>
      <w:pPr>
        <w:pStyle w:val="78"/>
        <w:bidi w:val="0"/>
        <w:rPr>
          <w:rFonts w:hint="eastAsia"/>
          <w:lang w:val="en-US" w:eastAsia="zh-CN"/>
        </w:rPr>
      </w:pPr>
      <w:r>
        <w:rPr>
          <w:rFonts w:hint="eastAsia"/>
          <w:lang w:val="en-US" w:eastAsia="zh-CN"/>
        </w:rPr>
        <w:t>评估内容包含但不限于政务公开组织和管理、公开渠道、主动公开、依申请公开、解读回应、监督保障等情况，评估指标及内容详见附录A。</w:t>
      </w:r>
    </w:p>
    <w:p>
      <w:pPr>
        <w:pStyle w:val="78"/>
        <w:bidi w:val="0"/>
        <w:rPr>
          <w:rFonts w:hint="eastAsia"/>
          <w:lang w:val="en-US" w:eastAsia="zh-CN"/>
        </w:rPr>
      </w:pPr>
      <w:r>
        <w:rPr>
          <w:rFonts w:hint="eastAsia"/>
          <w:lang w:val="en-US" w:eastAsia="zh-CN"/>
        </w:rPr>
        <w:t>评估方式包含但不限于现场评估、线上评估、模拟验证、材料评估等。</w:t>
      </w:r>
    </w:p>
    <w:p>
      <w:pPr>
        <w:pStyle w:val="78"/>
        <w:bidi w:val="0"/>
        <w:rPr>
          <w:rFonts w:hint="default"/>
          <w:lang w:val="en-US" w:eastAsia="zh-CN"/>
        </w:rPr>
      </w:pPr>
      <w:r>
        <w:rPr>
          <w:rFonts w:hint="eastAsia"/>
          <w:lang w:val="en-US" w:eastAsia="zh-CN"/>
        </w:rPr>
        <w:t>对线下公开渠道建设、线上线下信息公开一致性等情况，可通过实地走访、现场踏勘询问等方式查看与验证。</w:t>
      </w:r>
    </w:p>
    <w:p>
      <w:pPr>
        <w:pStyle w:val="78"/>
        <w:bidi w:val="0"/>
        <w:rPr>
          <w:rFonts w:hint="default"/>
          <w:lang w:val="en-US" w:eastAsia="zh-CN"/>
        </w:rPr>
      </w:pPr>
      <w:r>
        <w:rPr>
          <w:rFonts w:hint="eastAsia"/>
          <w:lang w:val="en-US" w:eastAsia="zh-CN"/>
        </w:rPr>
        <w:t>对基础信息、重点领域信息、解读回应信息等内容，可通过网站浏览查阅、网站内容检索等方式查看与验证。</w:t>
      </w:r>
    </w:p>
    <w:p>
      <w:pPr>
        <w:pStyle w:val="78"/>
        <w:bidi w:val="0"/>
        <w:rPr>
          <w:rFonts w:hint="default"/>
          <w:lang w:val="en-US" w:eastAsia="zh-CN"/>
        </w:rPr>
      </w:pPr>
      <w:r>
        <w:rPr>
          <w:rFonts w:hint="eastAsia"/>
          <w:lang w:val="en-US" w:eastAsia="zh-CN"/>
        </w:rPr>
        <w:t>对依申请公开和政务咨询答复等情况，可通过线上申请、电话测评（咨询/回访）、现场申请等方式查看与验证。</w:t>
      </w:r>
    </w:p>
    <w:p>
      <w:pPr>
        <w:pStyle w:val="78"/>
        <w:bidi w:val="0"/>
        <w:rPr>
          <w:rFonts w:hint="default"/>
          <w:lang w:val="en-US" w:eastAsia="zh-CN"/>
        </w:rPr>
      </w:pPr>
      <w:r>
        <w:rPr>
          <w:rFonts w:hint="eastAsia"/>
          <w:lang w:val="en-US" w:eastAsia="zh-CN"/>
        </w:rPr>
        <w:t>对公开管理机制建设情况等公开要求、公开流程方面的信息，未对外公开的管理文件，可要求被评估对象报送相关印证材料，开展评估。</w:t>
      </w:r>
    </w:p>
    <w:p>
      <w:pPr>
        <w:pStyle w:val="107"/>
        <w:bidi w:val="0"/>
        <w:rPr>
          <w:rFonts w:hint="default"/>
          <w:color w:val="auto"/>
          <w:lang w:val="en-US" w:eastAsia="zh-CN"/>
        </w:rPr>
      </w:pPr>
      <w:r>
        <w:rPr>
          <w:rFonts w:hint="eastAsia"/>
          <w:color w:val="auto"/>
          <w:lang w:val="en-US" w:eastAsia="zh-CN"/>
        </w:rPr>
        <w:t>对通过单一的评估方式无法全面评估的内容，可采取两种或两种以上的评估方式组合进行评估。</w:t>
      </w:r>
    </w:p>
    <w:p>
      <w:pPr>
        <w:pStyle w:val="72"/>
        <w:bidi w:val="0"/>
        <w:rPr>
          <w:rFonts w:hint="eastAsia"/>
          <w:color w:val="auto"/>
          <w:highlight w:val="none"/>
          <w:lang w:val="en-US" w:eastAsia="zh-CN"/>
        </w:rPr>
      </w:pPr>
      <w:r>
        <w:rPr>
          <w:rFonts w:hint="eastAsia"/>
          <w:color w:val="auto"/>
          <w:highlight w:val="none"/>
          <w:lang w:val="en-US" w:eastAsia="zh-CN"/>
        </w:rPr>
        <w:t>评估要求</w:t>
      </w:r>
    </w:p>
    <w:p>
      <w:pPr>
        <w:pStyle w:val="78"/>
        <w:bidi w:val="0"/>
        <w:rPr>
          <w:rFonts w:hint="eastAsia"/>
          <w:color w:val="auto"/>
          <w:highlight w:val="none"/>
        </w:rPr>
      </w:pPr>
      <w:r>
        <w:rPr>
          <w:rFonts w:hint="eastAsia"/>
          <w:color w:val="auto"/>
          <w:highlight w:val="none"/>
          <w:lang w:val="en-US" w:eastAsia="zh-CN"/>
        </w:rPr>
        <w:t>政务公开评估应实行分级负责制，政务公开主管部门负责对本级政府组成部门和下一级政府及其派出机构政务公开工作进行评估。</w:t>
      </w:r>
    </w:p>
    <w:p>
      <w:pPr>
        <w:pStyle w:val="78"/>
        <w:bidi w:val="0"/>
        <w:rPr>
          <w:rFonts w:hint="eastAsia"/>
          <w:color w:val="auto"/>
          <w:highlight w:val="none"/>
        </w:rPr>
      </w:pPr>
      <w:r>
        <w:rPr>
          <w:rFonts w:hint="eastAsia"/>
          <w:color w:val="auto"/>
          <w:highlight w:val="none"/>
          <w:lang w:val="en-US" w:eastAsia="zh-CN"/>
        </w:rPr>
        <w:t>评估本级政府部门时，应对涉及的业务领域全部进行评估；评估下一级政府及其派出机构时，可选取9-12个业务领域进行评估。</w:t>
      </w:r>
    </w:p>
    <w:p>
      <w:pPr>
        <w:pStyle w:val="78"/>
        <w:bidi w:val="0"/>
        <w:rPr>
          <w:rFonts w:hint="eastAsia"/>
          <w:color w:val="auto"/>
          <w:highlight w:val="none"/>
          <w:lang w:val="en-US" w:eastAsia="zh-CN"/>
        </w:rPr>
      </w:pPr>
      <w:r>
        <w:rPr>
          <w:rFonts w:hint="eastAsia"/>
          <w:color w:val="auto"/>
          <w:highlight w:val="none"/>
          <w:lang w:val="en-US" w:eastAsia="zh-CN"/>
        </w:rPr>
        <w:t>省级政务公开主管部门开展政务公开评估时，除对省政府组成部门和各地市级政府评估外，每个地市宜抽查评估至少一个县市区；市级政务公开主管部开展本区域内政务公开评估，除对市政府组成部门和各县市区级政府评估外，每个县市区宜抽查评估至少一个乡街。</w:t>
      </w:r>
    </w:p>
    <w:p>
      <w:pPr>
        <w:pStyle w:val="78"/>
        <w:bidi w:val="0"/>
        <w:rPr>
          <w:rFonts w:hint="eastAsia"/>
          <w:color w:val="auto"/>
          <w:highlight w:val="none"/>
          <w:lang w:val="en-US" w:eastAsia="zh-CN"/>
        </w:rPr>
      </w:pPr>
      <w:r>
        <w:rPr>
          <w:rFonts w:hint="eastAsia"/>
          <w:color w:val="auto"/>
          <w:highlight w:val="none"/>
          <w:lang w:val="en-US" w:eastAsia="zh-CN"/>
        </w:rPr>
        <w:t>若评估项目中某些得分指标被评估单位不涉及，则按比例换算百分制分数，计算最终得分值。</w:t>
      </w:r>
    </w:p>
    <w:p>
      <w:pPr>
        <w:pStyle w:val="105"/>
        <w:bidi w:val="0"/>
        <w:rPr>
          <w:rFonts w:hint="eastAsia"/>
          <w:color w:val="auto"/>
          <w:highlight w:val="none"/>
          <w:lang w:val="en-US" w:eastAsia="zh-CN"/>
        </w:rPr>
      </w:pPr>
      <w:r>
        <w:rPr>
          <w:rFonts w:hint="default" w:hAnsi="Times New Roman" w:cs="Times New Roman"/>
          <w:color w:val="auto"/>
          <w:highlight w:val="none"/>
          <w:lang w:val="en-US" w:eastAsia="zh-CN"/>
        </w:rPr>
        <w:t>地市级组织开展对</w:t>
      </w:r>
      <w:r>
        <w:rPr>
          <w:rFonts w:hint="eastAsia" w:hAnsi="Times New Roman" w:cs="Times New Roman"/>
          <w:color w:val="auto"/>
          <w:highlight w:val="none"/>
          <w:lang w:val="en-US" w:eastAsia="zh-CN"/>
        </w:rPr>
        <w:t>市直部门和各县市区</w:t>
      </w:r>
      <w:r>
        <w:rPr>
          <w:rFonts w:hint="default" w:hAnsi="Times New Roman" w:cs="Times New Roman"/>
          <w:color w:val="auto"/>
          <w:highlight w:val="none"/>
          <w:lang w:val="en-US" w:eastAsia="zh-CN"/>
        </w:rPr>
        <w:t>政府</w:t>
      </w:r>
      <w:r>
        <w:rPr>
          <w:rFonts w:hint="eastAsia" w:hAnsi="Times New Roman" w:cs="Times New Roman"/>
          <w:color w:val="auto"/>
          <w:highlight w:val="none"/>
          <w:lang w:val="en-US" w:eastAsia="zh-CN"/>
        </w:rPr>
        <w:t>的</w:t>
      </w:r>
      <w:r>
        <w:rPr>
          <w:rFonts w:hint="default" w:hAnsi="Times New Roman" w:cs="Times New Roman"/>
          <w:color w:val="auto"/>
          <w:highlight w:val="none"/>
          <w:lang w:val="en-US" w:eastAsia="zh-CN"/>
        </w:rPr>
        <w:t>评估，</w:t>
      </w:r>
      <w:r>
        <w:rPr>
          <w:rFonts w:hint="eastAsia" w:hAnsi="Times New Roman" w:cs="Times New Roman"/>
          <w:color w:val="auto"/>
          <w:highlight w:val="none"/>
          <w:lang w:val="en-US" w:eastAsia="zh-CN"/>
        </w:rPr>
        <w:t>某市直部门公开指标中仅无线下公开渠道，</w:t>
      </w:r>
      <w:r>
        <w:rPr>
          <w:rFonts w:hint="default" w:hAnsi="Times New Roman" w:cs="Times New Roman"/>
          <w:color w:val="auto"/>
          <w:highlight w:val="none"/>
          <w:lang w:val="en-US" w:eastAsia="zh-CN"/>
        </w:rPr>
        <w:t>若</w:t>
      </w:r>
      <w:r>
        <w:rPr>
          <w:rFonts w:hint="eastAsia" w:hAnsi="Times New Roman" w:cs="Times New Roman"/>
          <w:color w:val="auto"/>
          <w:highlight w:val="none"/>
          <w:lang w:val="en-US" w:eastAsia="zh-CN"/>
        </w:rPr>
        <w:t>线下公开渠道相关</w:t>
      </w:r>
      <w:r>
        <w:rPr>
          <w:rFonts w:hint="default" w:hAnsi="Times New Roman" w:cs="Times New Roman"/>
          <w:color w:val="auto"/>
          <w:highlight w:val="none"/>
          <w:lang w:val="en-US" w:eastAsia="zh-CN"/>
        </w:rPr>
        <w:t>指标共计X分，则</w:t>
      </w:r>
      <w:r>
        <w:rPr>
          <w:rFonts w:hint="eastAsia" w:hAnsi="Times New Roman" w:cs="Times New Roman"/>
          <w:color w:val="auto"/>
          <w:highlight w:val="none"/>
          <w:lang w:val="en-US" w:eastAsia="zh-CN"/>
        </w:rPr>
        <w:t>市直部门</w:t>
      </w:r>
      <w:r>
        <w:rPr>
          <w:rFonts w:hint="default" w:hAnsi="Times New Roman" w:cs="Times New Roman"/>
          <w:color w:val="auto"/>
          <w:highlight w:val="none"/>
          <w:lang w:val="en-US" w:eastAsia="zh-CN"/>
        </w:rPr>
        <w:t>实际得分=（评估得分*100）/（100-X）</w:t>
      </w:r>
      <w:r>
        <w:rPr>
          <w:rFonts w:hint="eastAsia" w:hAnsi="Times New Roman" w:cs="Times New Roman"/>
          <w:color w:val="auto"/>
          <w:highlight w:val="none"/>
          <w:lang w:val="en-US" w:eastAsia="zh-CN"/>
        </w:rPr>
        <w:t>。</w:t>
      </w:r>
    </w:p>
    <w:p>
      <w:pPr>
        <w:pStyle w:val="78"/>
        <w:bidi w:val="0"/>
        <w:rPr>
          <w:rFonts w:hint="eastAsia"/>
          <w:strike w:val="0"/>
          <w:dstrike w:val="0"/>
          <w:color w:val="auto"/>
          <w:highlight w:val="none"/>
        </w:rPr>
      </w:pPr>
      <w:bookmarkStart w:id="12" w:name="_Toc248224763"/>
      <w:bookmarkStart w:id="13" w:name="_Toc248719598"/>
      <w:bookmarkStart w:id="14" w:name="_Toc248724191"/>
      <w:r>
        <w:rPr>
          <w:rFonts w:hint="eastAsia"/>
          <w:strike w:val="0"/>
          <w:dstrike w:val="0"/>
          <w:color w:val="auto"/>
          <w:highlight w:val="none"/>
          <w:lang w:val="en-US" w:eastAsia="zh-CN"/>
        </w:rPr>
        <w:t>各级政府政务公开主管部门每年宜至少开展一次评估</w:t>
      </w:r>
      <w:bookmarkEnd w:id="12"/>
      <w:bookmarkEnd w:id="13"/>
      <w:bookmarkEnd w:id="14"/>
      <w:r>
        <w:rPr>
          <w:rFonts w:hint="eastAsia"/>
          <w:strike w:val="0"/>
          <w:dstrike w:val="0"/>
          <w:color w:val="auto"/>
          <w:highlight w:val="none"/>
          <w:lang w:val="en-US" w:eastAsia="zh-CN"/>
        </w:rPr>
        <w:t>，评估于当年年底或次年年初进行</w:t>
      </w:r>
      <w:r>
        <w:rPr>
          <w:rFonts w:hint="eastAsia"/>
          <w:strike w:val="0"/>
          <w:dstrike w:val="0"/>
          <w:color w:val="auto"/>
          <w:lang w:eastAsia="zh-CN"/>
        </w:rPr>
        <w:t>。</w:t>
      </w:r>
    </w:p>
    <w:p>
      <w:pPr>
        <w:pStyle w:val="72"/>
        <w:bidi w:val="0"/>
        <w:rPr>
          <w:rFonts w:hint="eastAsia"/>
          <w:color w:val="auto"/>
          <w:highlight w:val="none"/>
          <w:lang w:val="en-US" w:eastAsia="zh-CN"/>
        </w:rPr>
      </w:pPr>
      <w:r>
        <w:rPr>
          <w:rFonts w:hint="eastAsia"/>
          <w:color w:val="auto"/>
          <w:highlight w:val="none"/>
          <w:lang w:val="en-US" w:eastAsia="zh-CN"/>
        </w:rPr>
        <w:t xml:space="preserve"> 评估流程</w:t>
      </w:r>
    </w:p>
    <w:p>
      <w:pPr>
        <w:pStyle w:val="25"/>
        <w:bidi w:val="0"/>
        <w:rPr>
          <w:rFonts w:hint="eastAsia"/>
          <w:color w:val="auto"/>
          <w:highlight w:val="none"/>
          <w:lang w:val="en-US" w:eastAsia="zh-CN"/>
        </w:rPr>
      </w:pPr>
      <w:r>
        <w:rPr>
          <w:rFonts w:hint="eastAsia"/>
          <w:color w:val="auto"/>
          <w:highlight w:val="none"/>
          <w:lang w:val="en-US" w:eastAsia="zh-CN"/>
        </w:rPr>
        <w:t>一般评估流程宜参照附录B进行。</w:t>
      </w:r>
    </w:p>
    <w:p>
      <w:pPr>
        <w:pStyle w:val="72"/>
        <w:bidi w:val="0"/>
        <w:rPr>
          <w:rFonts w:hint="default"/>
          <w:strike w:val="0"/>
          <w:dstrike w:val="0"/>
          <w:color w:val="auto"/>
          <w:highlight w:val="none"/>
          <w:lang w:val="en-US" w:eastAsia="zh-CN"/>
        </w:rPr>
      </w:pPr>
      <w:r>
        <w:rPr>
          <w:rFonts w:hint="eastAsia"/>
          <w:strike w:val="0"/>
          <w:dstrike w:val="0"/>
          <w:color w:val="auto"/>
          <w:highlight w:val="none"/>
          <w:lang w:val="en-US" w:eastAsia="zh-CN"/>
        </w:rPr>
        <w:t>评估结果及应用</w:t>
      </w:r>
    </w:p>
    <w:p>
      <w:pPr>
        <w:pStyle w:val="73"/>
        <w:bidi w:val="0"/>
        <w:rPr>
          <w:rFonts w:hint="eastAsia"/>
          <w:color w:val="auto"/>
          <w:highlight w:val="none"/>
          <w:lang w:val="en-US" w:eastAsia="zh-CN"/>
        </w:rPr>
      </w:pPr>
      <w:r>
        <w:rPr>
          <w:rFonts w:hint="eastAsia"/>
          <w:color w:val="auto"/>
          <w:highlight w:val="none"/>
          <w:lang w:val="en-US" w:eastAsia="zh-CN"/>
        </w:rPr>
        <w:t>结果统计</w:t>
      </w:r>
    </w:p>
    <w:p>
      <w:pPr>
        <w:pStyle w:val="25"/>
        <w:bidi w:val="0"/>
        <w:rPr>
          <w:rFonts w:hint="eastAsia"/>
          <w:color w:val="auto"/>
          <w:highlight w:val="none"/>
          <w:lang w:val="en-US" w:eastAsia="zh-CN"/>
        </w:rPr>
      </w:pPr>
      <w:r>
        <w:rPr>
          <w:rFonts w:hint="eastAsia"/>
          <w:color w:val="auto"/>
          <w:highlight w:val="none"/>
          <w:lang w:val="en-US" w:eastAsia="zh-CN"/>
        </w:rPr>
        <w:t>政务公开评估总分为100分，根据得分结果从高到低依次为优秀（&gt;90分）、良好（&gt;80分）、合格（&gt;60分）、不合格（&lt;60分）4个等次。</w:t>
      </w:r>
    </w:p>
    <w:p>
      <w:pPr>
        <w:pStyle w:val="73"/>
        <w:bidi w:val="0"/>
        <w:rPr>
          <w:rFonts w:hint="default"/>
          <w:color w:val="auto"/>
          <w:highlight w:val="none"/>
          <w:lang w:val="en-US" w:eastAsia="zh-CN"/>
        </w:rPr>
      </w:pPr>
      <w:r>
        <w:rPr>
          <w:rFonts w:hint="eastAsia"/>
          <w:color w:val="auto"/>
          <w:highlight w:val="none"/>
          <w:lang w:val="en-US" w:eastAsia="zh-CN"/>
        </w:rPr>
        <w:t>结果应用</w:t>
      </w:r>
    </w:p>
    <w:p>
      <w:pPr>
        <w:pStyle w:val="79"/>
        <w:bidi w:val="0"/>
        <w:rPr>
          <w:rFonts w:hint="eastAsia"/>
          <w:lang w:val="en-US" w:eastAsia="zh-CN"/>
        </w:rPr>
      </w:pPr>
      <w:r>
        <w:rPr>
          <w:rFonts w:hint="eastAsia"/>
          <w:lang w:val="en-US" w:eastAsia="zh-CN"/>
        </w:rPr>
        <w:t>政务公开评估结果宜纳入本级政府年度绩效考核，可作为改进工作、业务培训、年度工作安排的重要依据。</w:t>
      </w:r>
    </w:p>
    <w:p>
      <w:pPr>
        <w:pStyle w:val="79"/>
        <w:bidi w:val="0"/>
        <w:rPr>
          <w:rFonts w:hint="eastAsia"/>
          <w:lang w:val="en-US" w:eastAsia="zh-CN"/>
        </w:rPr>
      </w:pPr>
      <w:r>
        <w:rPr>
          <w:rFonts w:hint="eastAsia"/>
          <w:lang w:val="en-US" w:eastAsia="zh-CN"/>
        </w:rPr>
        <w:t>政务公开评估结果宜纳入部门行政效能考核体系：</w:t>
      </w:r>
    </w:p>
    <w:p>
      <w:pPr>
        <w:pStyle w:val="62"/>
        <w:bidi w:val="0"/>
        <w:rPr>
          <w:rFonts w:hint="eastAsia"/>
          <w:color w:val="auto"/>
          <w:highlight w:val="none"/>
          <w:lang w:val="en-US" w:eastAsia="zh-CN"/>
        </w:rPr>
      </w:pPr>
      <w:r>
        <w:rPr>
          <w:rFonts w:hint="eastAsia"/>
          <w:color w:val="auto"/>
          <w:highlight w:val="none"/>
          <w:lang w:val="en-US" w:eastAsia="zh-CN"/>
        </w:rPr>
        <w:t>对评估优秀的，予以通报表扬；</w:t>
      </w:r>
    </w:p>
    <w:p>
      <w:pPr>
        <w:pStyle w:val="62"/>
        <w:bidi w:val="0"/>
        <w:rPr>
          <w:rFonts w:hint="eastAsia"/>
          <w:color w:val="auto"/>
          <w:highlight w:val="none"/>
          <w:lang w:val="en-US" w:eastAsia="zh-CN"/>
        </w:rPr>
      </w:pPr>
      <w:r>
        <w:rPr>
          <w:rFonts w:hint="eastAsia"/>
          <w:color w:val="auto"/>
          <w:highlight w:val="none"/>
          <w:lang w:val="en-US" w:eastAsia="zh-CN"/>
        </w:rPr>
        <w:t xml:space="preserve">对评估不合格的，提出整改要求，责令限期整改； </w:t>
      </w:r>
    </w:p>
    <w:p>
      <w:pPr>
        <w:pStyle w:val="62"/>
        <w:bidi w:val="0"/>
        <w:rPr>
          <w:rFonts w:hint="eastAsia"/>
          <w:color w:val="auto"/>
          <w:highlight w:val="none"/>
          <w:lang w:val="en-US" w:eastAsia="zh-CN"/>
        </w:rPr>
      </w:pPr>
      <w:r>
        <w:rPr>
          <w:rFonts w:hint="eastAsia"/>
          <w:color w:val="auto"/>
          <w:highlight w:val="none"/>
          <w:lang w:val="en-US" w:eastAsia="zh-CN"/>
        </w:rPr>
        <w:t>对整改后仍达不到要求的，可给予通报批评，并将其列为重点监督对象。</w:t>
      </w:r>
    </w:p>
    <w:p>
      <w:pPr>
        <w:pStyle w:val="25"/>
        <w:bidi w:val="0"/>
        <w:rPr>
          <w:rFonts w:hint="default"/>
          <w:strike/>
          <w:dstrike w:val="0"/>
          <w:color w:val="auto"/>
          <w:highlight w:val="none"/>
          <w:lang w:val="en-US" w:eastAsia="zh-CN"/>
        </w:rPr>
        <w:sectPr>
          <w:pgSz w:w="11906" w:h="16838"/>
          <w:pgMar w:top="1871" w:right="1134" w:bottom="1134" w:left="1134" w:header="1418" w:footer="1134" w:gutter="284"/>
          <w:pgBorders>
            <w:top w:val="none" w:sz="0" w:space="0"/>
            <w:left w:val="none" w:sz="0" w:space="0"/>
            <w:bottom w:val="none" w:sz="0" w:space="0"/>
            <w:right w:val="none" w:sz="0" w:space="0"/>
          </w:pgBorders>
          <w:lnNumType w:countBy="0" w:restart="continuous"/>
          <w:pgNumType w:fmt="decimal" w:start="1"/>
          <w:cols w:space="425" w:num="1"/>
          <w:formProt w:val="0"/>
          <w:docGrid w:type="lines" w:linePitch="312" w:charSpace="0"/>
        </w:sectPr>
      </w:pPr>
    </w:p>
    <w:p>
      <w:pPr>
        <w:pStyle w:val="99"/>
        <w:bidi w:val="0"/>
        <w:rPr>
          <w:rFonts w:hint="default"/>
          <w:color w:val="auto"/>
          <w:highlight w:val="none"/>
          <w:lang w:val="en-US" w:eastAsia="zh-CN"/>
        </w:rPr>
      </w:pPr>
      <w:bookmarkStart w:id="15" w:name="BKFL"/>
    </w:p>
    <w:p>
      <w:pPr>
        <w:pStyle w:val="101"/>
        <w:bidi w:val="0"/>
        <w:rPr>
          <w:rFonts w:hint="default"/>
          <w:color w:val="auto"/>
          <w:highlight w:val="none"/>
          <w:lang w:val="en-US" w:eastAsia="zh-CN"/>
        </w:rPr>
      </w:pPr>
    </w:p>
    <w:p>
      <w:pPr>
        <w:pStyle w:val="103"/>
        <w:bidi w:val="0"/>
        <w:rPr>
          <w:rFonts w:hint="default"/>
          <w:color w:val="auto"/>
          <w:highlight w:val="none"/>
          <w:lang w:val="en-US" w:eastAsia="zh-CN"/>
        </w:rPr>
      </w:pPr>
    </w:p>
    <w:p>
      <w:pPr>
        <w:pStyle w:val="88"/>
        <w:bidi w:val="0"/>
        <w:rPr>
          <w:rFonts w:hint="default"/>
          <w:color w:val="auto"/>
          <w:highlight w:val="none"/>
          <w:lang w:val="en-US" w:eastAsia="zh-CN"/>
        </w:rPr>
      </w:pPr>
      <w:r>
        <w:rPr>
          <w:rFonts w:hint="default"/>
          <w:color w:val="auto"/>
          <w:highlight w:val="none"/>
          <w:lang w:val="en-US" w:eastAsia="zh-CN"/>
        </w:rPr>
        <w:br w:type="textWrapping"/>
      </w:r>
      <w:r>
        <w:rPr>
          <w:rFonts w:hint="eastAsia"/>
          <w:color w:val="auto"/>
          <w:highlight w:val="none"/>
          <w:lang w:val="en-US" w:eastAsia="zh-CN"/>
        </w:rPr>
        <w:t>（资料性）</w:t>
      </w:r>
      <w:r>
        <w:rPr>
          <w:rFonts w:hint="eastAsia"/>
          <w:color w:val="auto"/>
          <w:highlight w:val="none"/>
          <w:lang w:val="en-US" w:eastAsia="zh-CN"/>
        </w:rPr>
        <w:br w:type="textWrapping"/>
      </w:r>
      <w:r>
        <w:rPr>
          <w:rFonts w:hint="eastAsia"/>
          <w:color w:val="auto"/>
          <w:highlight w:val="none"/>
          <w:lang w:val="en-US" w:eastAsia="zh-CN"/>
        </w:rPr>
        <w:t>政务公开评估指标及内容</w:t>
      </w:r>
    </w:p>
    <w:p>
      <w:pPr>
        <w:pStyle w:val="89"/>
        <w:bidi w:val="0"/>
        <w:rPr>
          <w:rFonts w:hint="default"/>
          <w:color w:val="auto"/>
          <w:highlight w:val="none"/>
          <w:lang w:val="en-US" w:eastAsia="zh-CN"/>
        </w:rPr>
      </w:pPr>
      <w:r>
        <w:rPr>
          <w:rFonts w:hint="default"/>
          <w:color w:val="auto"/>
          <w:highlight w:val="none"/>
          <w:lang w:val="en-US" w:eastAsia="zh-CN"/>
        </w:rPr>
        <w:t>政务公开评估指标及内容</w:t>
      </w:r>
    </w:p>
    <w:p>
      <w:pPr>
        <w:pStyle w:val="102"/>
        <w:bidi w:val="0"/>
        <w:rPr>
          <w:rFonts w:hint="default"/>
          <w:color w:val="auto"/>
          <w:highlight w:val="none"/>
          <w:lang w:val="en-US" w:eastAsia="zh-CN"/>
        </w:rPr>
      </w:pPr>
      <w:r>
        <w:rPr>
          <w:rFonts w:hint="default"/>
          <w:color w:val="auto"/>
          <w:highlight w:val="none"/>
          <w:lang w:val="en-US" w:eastAsia="zh-CN"/>
        </w:rPr>
        <w:t>政务公开评估指标及内容</w:t>
      </w:r>
    </w:p>
    <w:tbl>
      <w:tblPr>
        <w:tblStyle w:val="20"/>
        <w:tblW w:w="13182" w:type="dxa"/>
        <w:jc w:val="center"/>
        <w:shd w:val="clear" w:color="auto" w:fill="auto"/>
        <w:tblLayout w:type="autofit"/>
        <w:tblCellMar>
          <w:top w:w="0" w:type="dxa"/>
          <w:left w:w="108" w:type="dxa"/>
          <w:bottom w:w="0" w:type="dxa"/>
          <w:right w:w="108" w:type="dxa"/>
        </w:tblCellMar>
      </w:tblPr>
      <w:tblGrid>
        <w:gridCol w:w="756"/>
        <w:gridCol w:w="904"/>
        <w:gridCol w:w="1390"/>
        <w:gridCol w:w="1132"/>
        <w:gridCol w:w="3078"/>
        <w:gridCol w:w="4387"/>
        <w:gridCol w:w="1535"/>
      </w:tblGrid>
      <w:tr>
        <w:tblPrEx>
          <w:tblCellMar>
            <w:top w:w="0" w:type="dxa"/>
            <w:left w:w="108" w:type="dxa"/>
            <w:bottom w:w="0" w:type="dxa"/>
            <w:right w:w="108" w:type="dxa"/>
          </w:tblCellMar>
        </w:tblPrEx>
        <w:trPr>
          <w:trHeight w:val="6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宋体" w:hAnsi="宋体" w:eastAsia="宋体" w:cs="宋体"/>
                <w:i w:val="0"/>
                <w:iCs w:val="0"/>
                <w:color w:val="auto"/>
                <w:sz w:val="18"/>
                <w:szCs w:val="18"/>
                <w:highlight w:val="none"/>
                <w:u w:val="none"/>
                <w:lang w:val="en-US"/>
              </w:rPr>
            </w:pPr>
            <w:r>
              <w:rPr>
                <w:rFonts w:hint="eastAsia" w:hAnsi="宋体" w:cs="宋体"/>
                <w:i w:val="0"/>
                <w:iCs w:val="0"/>
                <w:color w:val="auto"/>
                <w:kern w:val="0"/>
                <w:sz w:val="18"/>
                <w:szCs w:val="18"/>
                <w:highlight w:val="none"/>
                <w:u w:val="none"/>
                <w:lang w:val="en-US" w:eastAsia="zh-CN" w:bidi="ar"/>
              </w:rPr>
              <w:t>(分值)</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sz w:val="18"/>
                <w:szCs w:val="18"/>
                <w:highlight w:val="none"/>
                <w:u w:val="none"/>
              </w:rPr>
            </w:pPr>
            <w:r>
              <w:rPr>
                <w:rFonts w:hint="eastAsia" w:hAnsi="宋体" w:cs="宋体"/>
                <w:i w:val="0"/>
                <w:iCs w:val="0"/>
                <w:color w:val="auto"/>
                <w:kern w:val="0"/>
                <w:sz w:val="18"/>
                <w:szCs w:val="18"/>
                <w:highlight w:val="none"/>
                <w:u w:val="none"/>
                <w:lang w:val="en-US" w:eastAsia="zh-CN" w:bidi="ar"/>
              </w:rPr>
              <w:t>(分值)</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sz w:val="18"/>
                <w:szCs w:val="18"/>
                <w:highlight w:val="none"/>
                <w:u w:val="none"/>
              </w:rPr>
            </w:pPr>
            <w:r>
              <w:rPr>
                <w:rFonts w:hint="eastAsia" w:hAnsi="宋体" w:cs="宋体"/>
                <w:i w:val="0"/>
                <w:iCs w:val="0"/>
                <w:color w:val="auto"/>
                <w:kern w:val="0"/>
                <w:sz w:val="18"/>
                <w:szCs w:val="18"/>
                <w:highlight w:val="none"/>
                <w:u w:val="none"/>
                <w:lang w:val="en-US" w:eastAsia="zh-CN" w:bidi="ar"/>
              </w:rPr>
              <w:t>(分值)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390"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组织和管理</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（5）</w:t>
            </w:r>
          </w:p>
        </w:tc>
        <w:tc>
          <w:tcPr>
            <w:tcW w:w="22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组织机构情况</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（3）</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材料评估</w:t>
            </w:r>
          </w:p>
        </w:tc>
        <w:tc>
          <w:tcPr>
            <w:tcW w:w="3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评估设置并公开信息公开组织机构的情况，包括分管负责人工作分工、主要负责人每年听取一次政务公开工作汇报的有关情况等。</w:t>
            </w:r>
          </w:p>
        </w:tc>
        <w:tc>
          <w:tcPr>
            <w:tcW w:w="4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1.《2020年度政务公开工作要点》（国办发〔2020〕17号）“六、强化做好政务公开工作的各项保障措施”</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2.国务院办公厅印发《关于全面推进政务公开工作的意见》实施细则（国办发〔2016〕80号），“六、加强组织领导，（一）强化地方政府责任。”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0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0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3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0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公开管理机制建设情况</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材料评估</w:t>
            </w:r>
          </w:p>
        </w:tc>
        <w:tc>
          <w:tcPr>
            <w:tcW w:w="3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评估主动公开、依申请公开、政策解读、舆情回应及公开渠道管理有关机制建设情况。</w:t>
            </w:r>
          </w:p>
        </w:tc>
        <w:tc>
          <w:tcPr>
            <w:tcW w:w="4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 第四条、第十八条、第四十六条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2.《国务院办公厅关于全面推进基层政务公开标准化规范化工作的指导意见》（国办发〔2019〕54号），二、主要任务，“（六）规范政务公开工作流程。”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tblCellMar>
            <w:top w:w="0" w:type="dxa"/>
            <w:left w:w="108" w:type="dxa"/>
            <w:bottom w:w="0" w:type="dxa"/>
            <w:right w:w="108" w:type="dxa"/>
          </w:tblCellMar>
        </w:tblPrEx>
        <w:trPr>
          <w:trHeight w:val="438"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3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tblCellMar>
            <w:top w:w="0" w:type="dxa"/>
            <w:left w:w="108" w:type="dxa"/>
            <w:bottom w:w="0" w:type="dxa"/>
            <w:right w:w="108" w:type="dxa"/>
          </w:tblCellMar>
        </w:tblPrEx>
        <w:trPr>
          <w:trHeight w:val="41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85"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公开</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渠道</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（11）</w:t>
            </w:r>
          </w:p>
        </w:tc>
        <w:tc>
          <w:tcPr>
            <w:tcW w:w="22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渠道覆盖</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（3）</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现场评估</w:t>
            </w:r>
          </w:p>
        </w:tc>
        <w:tc>
          <w:tcPr>
            <w:tcW w:w="3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评估线上、线下主动公开渠道的开通履盖情况和渠道入口信息公开情况。</w:t>
            </w:r>
          </w:p>
        </w:tc>
        <w:tc>
          <w:tcPr>
            <w:tcW w:w="4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 第二十四条，“各级人民政府应当加强依托政府门户网站公开政府信息的工作，”； 第二十五条，“各级人民政府应当在国家档案馆、公共图书馆、政务服务场所设置政府信息查阅场所......行政机关可以根据需要设立公共查阅室、资料索取点、信息公告栏、电子信息屏等场所、设施，公开政府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56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57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558"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2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pStyle w:val="102"/>
        <w:numPr>
          <w:ilvl w:val="1"/>
          <w:numId w:val="0"/>
        </w:numPr>
        <w:bidi w:val="0"/>
        <w:ind w:leftChars="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表A.1　政务公开评估指标及内容（续）</w:t>
      </w:r>
    </w:p>
    <w:tbl>
      <w:tblPr>
        <w:tblStyle w:val="20"/>
        <w:tblW w:w="13219" w:type="dxa"/>
        <w:jc w:val="center"/>
        <w:shd w:val="clear" w:color="auto" w:fill="auto"/>
        <w:tblLayout w:type="autofit"/>
        <w:tblCellMar>
          <w:top w:w="0" w:type="dxa"/>
          <w:left w:w="108" w:type="dxa"/>
          <w:bottom w:w="0" w:type="dxa"/>
          <w:right w:w="108" w:type="dxa"/>
        </w:tblCellMar>
      </w:tblPr>
      <w:tblGrid>
        <w:gridCol w:w="800"/>
        <w:gridCol w:w="895"/>
        <w:gridCol w:w="1387"/>
        <w:gridCol w:w="1130"/>
        <w:gridCol w:w="3070"/>
        <w:gridCol w:w="4373"/>
        <w:gridCol w:w="1564"/>
      </w:tblGrid>
      <w:tr>
        <w:tblPrEx>
          <w:shd w:val="clear" w:color="auto" w:fill="auto"/>
          <w:tblCellMar>
            <w:top w:w="0" w:type="dxa"/>
            <w:left w:w="108" w:type="dxa"/>
            <w:bottom w:w="0" w:type="dxa"/>
            <w:right w:w="108" w:type="dxa"/>
          </w:tblCellMar>
        </w:tblPrEx>
        <w:trPr>
          <w:trHeight w:val="34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r>
              <w:rPr>
                <w:rFonts w:hint="eastAsia" w:hAnsi="宋体" w:cs="宋体"/>
                <w:i w:val="0"/>
                <w:iCs w:val="0"/>
                <w:color w:val="auto"/>
                <w:kern w:val="0"/>
                <w:sz w:val="18"/>
                <w:szCs w:val="18"/>
                <w:highlight w:val="none"/>
                <w:u w:val="none"/>
                <w:lang w:val="en-US" w:eastAsia="zh-CN" w:bidi="ar"/>
              </w:rPr>
              <w:t>(分值)</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hAnsi="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公开</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hAnsi="宋体" w:cs="宋体"/>
                <w:i w:val="0"/>
                <w:iCs w:val="0"/>
                <w:color w:val="auto"/>
                <w:kern w:val="0"/>
                <w:sz w:val="18"/>
                <w:szCs w:val="18"/>
                <w:highlight w:val="none"/>
                <w:u w:val="none"/>
                <w:lang w:val="en-US" w:eastAsia="zh-CN" w:bidi="ar"/>
              </w:rPr>
              <w:t>渠道</w:t>
            </w:r>
          </w:p>
          <w:p>
            <w:pPr>
              <w:keepNext w:val="0"/>
              <w:keepLines w:val="0"/>
              <w:widowControl/>
              <w:suppressLineNumbers w:val="0"/>
              <w:jc w:val="center"/>
              <w:textAlignment w:val="center"/>
              <w:rPr>
                <w:rFonts w:hint="default" w:hAnsi="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(11)</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hAnsi="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渠道</w:t>
            </w:r>
            <w:r>
              <w:rPr>
                <w:rFonts w:hint="eastAsia" w:hAnsi="宋体" w:cs="宋体"/>
                <w:i w:val="0"/>
                <w:iCs w:val="0"/>
                <w:color w:val="auto"/>
                <w:kern w:val="0"/>
                <w:sz w:val="18"/>
                <w:szCs w:val="18"/>
                <w:highlight w:val="none"/>
                <w:u w:val="none"/>
                <w:lang w:val="en-US" w:eastAsia="zh-CN" w:bidi="ar"/>
              </w:rPr>
              <w:t>功能</w:t>
            </w:r>
          </w:p>
          <w:p>
            <w:pPr>
              <w:keepNext w:val="0"/>
              <w:keepLines w:val="0"/>
              <w:widowControl/>
              <w:suppressLineNumbers w:val="0"/>
              <w:jc w:val="center"/>
              <w:textAlignment w:val="center"/>
              <w:rPr>
                <w:rFonts w:hint="default" w:hAnsi="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(8)</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lang w:val="en-US"/>
              </w:rPr>
            </w:pPr>
            <w:r>
              <w:rPr>
                <w:rFonts w:hint="eastAsia" w:ascii="宋体" w:hAnsi="宋体" w:eastAsia="宋体" w:cs="宋体"/>
                <w:i w:val="0"/>
                <w:iCs w:val="0"/>
                <w:color w:val="auto"/>
                <w:kern w:val="0"/>
                <w:sz w:val="18"/>
                <w:szCs w:val="18"/>
                <w:highlight w:val="none"/>
                <w:u w:val="none"/>
                <w:lang w:val="en-US" w:eastAsia="zh-CN" w:bidi="ar"/>
              </w:rPr>
              <w:t>线上渠道</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hAnsi="宋体" w:cs="宋体"/>
                <w:i w:val="0"/>
                <w:iCs w:val="0"/>
                <w:color w:val="auto"/>
                <w:kern w:val="0"/>
                <w:sz w:val="18"/>
                <w:szCs w:val="18"/>
                <w:highlight w:val="none"/>
                <w:u w:val="none"/>
                <w:lang w:val="en-US" w:eastAsia="zh-CN" w:bidi="ar"/>
              </w:rPr>
              <w:t>（4）</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评估线上主动公开渠道的检索、公报、互动咨询等功能可用性、实用性情况。</w:t>
            </w:r>
          </w:p>
        </w:tc>
        <w:tc>
          <w:tcPr>
            <w:tcW w:w="4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 第二十四条，“各级人民政府应当加强依托政府门户网站公开政府信息的工作，”</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580"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lang w:val="en-US"/>
              </w:rPr>
            </w:pPr>
            <w:r>
              <w:rPr>
                <w:rFonts w:hint="eastAsia" w:ascii="宋体" w:hAnsi="宋体" w:eastAsia="宋体" w:cs="宋体"/>
                <w:i w:val="0"/>
                <w:iCs w:val="0"/>
                <w:color w:val="auto"/>
                <w:kern w:val="0"/>
                <w:sz w:val="18"/>
                <w:szCs w:val="18"/>
                <w:highlight w:val="none"/>
                <w:u w:val="none"/>
                <w:lang w:val="en-US" w:eastAsia="zh-CN" w:bidi="ar"/>
              </w:rPr>
              <w:t>线下渠道</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hAnsi="宋体" w:cs="宋体"/>
                <w:i w:val="0"/>
                <w:iCs w:val="0"/>
                <w:color w:val="auto"/>
                <w:kern w:val="0"/>
                <w:sz w:val="18"/>
                <w:szCs w:val="18"/>
                <w:highlight w:val="none"/>
                <w:u w:val="none"/>
                <w:lang w:val="en-US" w:eastAsia="zh-CN" w:bidi="ar"/>
              </w:rPr>
              <w:t>（4）</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现场评估</w:t>
            </w:r>
          </w:p>
        </w:tc>
        <w:tc>
          <w:tcPr>
            <w:tcW w:w="3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评估政务公开窗口提供政策咨询查阅、办事服务指引、指导申请公开等服务功能情况；政务公开窗口“四有”“三会”配置情况。</w:t>
            </w:r>
          </w:p>
        </w:tc>
        <w:tc>
          <w:tcPr>
            <w:tcW w:w="4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  第二十五条，“各级人民政府应当在国家档案馆、公共图书馆、政务服务场所设置政府信息查阅场所......行政机关可以根据需要设立公共查阅室、资料索取点、信息公告栏、电子信息屏等场所、设施，公开政府信息。”</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2.《湖南省政务管理服务局关于&lt;加强政务公开窗口建设&gt;的通知》(湘政务函〔2021〕18号)“全文”</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580"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580"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580"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tblCellMar>
            <w:top w:w="0" w:type="dxa"/>
            <w:left w:w="108" w:type="dxa"/>
            <w:bottom w:w="0" w:type="dxa"/>
            <w:right w:w="108" w:type="dxa"/>
          </w:tblCellMar>
        </w:tblPrEx>
        <w:trPr>
          <w:trHeight w:val="397"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主动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公开</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(40)</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基础信息公开</w:t>
            </w:r>
          </w:p>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lang w:val="en-US"/>
              </w:rPr>
            </w:pPr>
            <w:r>
              <w:rPr>
                <w:rFonts w:hint="eastAsia" w:hAnsi="宋体" w:cs="宋体"/>
                <w:i w:val="0"/>
                <w:iCs w:val="0"/>
                <w:color w:val="auto"/>
                <w:kern w:val="0"/>
                <w:sz w:val="18"/>
                <w:szCs w:val="18"/>
                <w:highlight w:val="none"/>
                <w:u w:val="none"/>
                <w:lang w:val="en-US" w:eastAsia="zh-CN" w:bidi="ar"/>
              </w:rPr>
              <w:t>(22)</w:t>
            </w:r>
            <w:r>
              <w:rPr>
                <w:rFonts w:hint="eastAsia" w:ascii="宋体" w:hAnsi="宋体" w:eastAsia="宋体" w:cs="宋体"/>
                <w:i w:val="0"/>
                <w:iCs w:val="0"/>
                <w:color w:val="auto"/>
                <w:kern w:val="0"/>
                <w:sz w:val="18"/>
                <w:szCs w:val="18"/>
                <w:highlight w:val="none"/>
                <w:u w:val="none"/>
                <w:lang w:val="en-US" w:eastAsia="zh-CN" w:bidi="ar"/>
              </w:rPr>
              <w:br w:type="textWrapping"/>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政策文件</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(2)</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评估对行政规章、规范性文件等履职依据及其有效性的公开情况。</w:t>
            </w:r>
          </w:p>
        </w:tc>
        <w:tc>
          <w:tcPr>
            <w:tcW w:w="4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《中华人民共和国政府信息公开条例》，第二十条，“(一)行政法规、规章和规范性文件；”</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机构职能</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模拟验证</w:t>
            </w:r>
          </w:p>
        </w:tc>
        <w:tc>
          <w:tcPr>
            <w:tcW w:w="3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评估对机关职能、机构设置、办公地址、办公时间、联系方式、负责人姓名等机构信息的公开情况。</w:t>
            </w:r>
          </w:p>
        </w:tc>
        <w:tc>
          <w:tcPr>
            <w:tcW w:w="4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《中华人民共和国政府信息公开条例》，第二十条，“(二)机关职能、机构设置、办公地址、办公时间、联系方式、负责人姓名；”</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97"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pStyle w:val="102"/>
        <w:numPr>
          <w:ilvl w:val="1"/>
          <w:numId w:val="0"/>
        </w:numPr>
        <w:bidi w:val="0"/>
        <w:ind w:leftChars="0"/>
        <w:jc w:val="center"/>
        <w:rPr>
          <w:rFonts w:hint="default"/>
          <w:color w:val="auto"/>
          <w:highlight w:val="none"/>
          <w:lang w:val="en-US" w:eastAsia="zh-CN"/>
        </w:rPr>
      </w:pPr>
      <w:r>
        <w:rPr>
          <w:rFonts w:hint="eastAsia"/>
          <w:color w:val="auto"/>
          <w:highlight w:val="none"/>
          <w:lang w:val="en-US" w:eastAsia="zh-CN"/>
        </w:rPr>
        <w:t>表A.1　政务公开评估指标及内容</w:t>
      </w:r>
      <w:r>
        <w:rPr>
          <w:rFonts w:hint="eastAsia" w:ascii="宋体" w:hAnsi="宋体" w:eastAsia="宋体" w:cs="宋体"/>
          <w:color w:val="auto"/>
          <w:highlight w:val="none"/>
          <w:lang w:val="en-US" w:eastAsia="zh-CN"/>
        </w:rPr>
        <w:t>（续）</w:t>
      </w:r>
    </w:p>
    <w:tbl>
      <w:tblPr>
        <w:tblStyle w:val="20"/>
        <w:tblW w:w="13164" w:type="dxa"/>
        <w:jc w:val="center"/>
        <w:shd w:val="clear" w:color="auto" w:fill="auto"/>
        <w:tblLayout w:type="autofit"/>
        <w:tblCellMar>
          <w:top w:w="0" w:type="dxa"/>
          <w:left w:w="108" w:type="dxa"/>
          <w:bottom w:w="0" w:type="dxa"/>
          <w:right w:w="108" w:type="dxa"/>
        </w:tblCellMar>
      </w:tblPr>
      <w:tblGrid>
        <w:gridCol w:w="756"/>
        <w:gridCol w:w="934"/>
        <w:gridCol w:w="1379"/>
        <w:gridCol w:w="1132"/>
        <w:gridCol w:w="3050"/>
        <w:gridCol w:w="4349"/>
        <w:gridCol w:w="1564"/>
      </w:tblGrid>
      <w:tr>
        <w:tblPrEx>
          <w:shd w:val="clear" w:color="auto" w:fill="auto"/>
          <w:tblCellMar>
            <w:top w:w="0" w:type="dxa"/>
            <w:left w:w="108" w:type="dxa"/>
            <w:bottom w:w="0" w:type="dxa"/>
            <w:right w:w="108" w:type="dxa"/>
          </w:tblCellMar>
        </w:tblPrEx>
        <w:trPr>
          <w:trHeight w:val="38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r>
              <w:rPr>
                <w:rFonts w:hint="eastAsia" w:hAnsi="宋体" w:cs="宋体"/>
                <w:i w:val="0"/>
                <w:iCs w:val="0"/>
                <w:color w:val="auto"/>
                <w:kern w:val="0"/>
                <w:sz w:val="18"/>
                <w:szCs w:val="18"/>
                <w:highlight w:val="none"/>
                <w:u w:val="none"/>
                <w:lang w:val="en-US" w:eastAsia="zh-CN" w:bidi="ar"/>
              </w:rPr>
              <w:t>(分值)</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主动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公开</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(40)</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基础信息公开</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(22)</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权责清单</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评估全面、规范公开权责清单，以及清单动态调整情况。</w:t>
            </w:r>
          </w:p>
        </w:tc>
        <w:tc>
          <w:tcPr>
            <w:tcW w:w="4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《2020年政务公开工作要点》(国办发〔2020〕17号)，“一、围绕贯彻落实党的十九届四中全会精神加强用权公开”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34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行政许可和其他管理服务信息</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 现场评估</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评估通过线上、线下渠道分别公开的行政许可和其他管理服务的依据、条件、程序和办理结果等信息的一致性情况。</w:t>
            </w:r>
          </w:p>
        </w:tc>
        <w:tc>
          <w:tcPr>
            <w:tcW w:w="4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《中华人民共和国政府信息公开条例》，第二十条,“(五)办理行政许可和其他对外管理服务事项的依据、条件、程序以及办理结果；”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4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4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40"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1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处罚强制</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信息</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评估对行政处罚、行政强制的依据、条件及重大行政处罚决定的公开情况。</w:t>
            </w:r>
          </w:p>
        </w:tc>
        <w:tc>
          <w:tcPr>
            <w:tcW w:w="4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 第二十条，“(六)实施行政处罚、行政强制的依据、条件、程序以及本行政机关认为具有一定社会影响的行政处罚决定；”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1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1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 xml:space="preserve">财政预决算 </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评估及时公开本级政府及下辖部门财政预算、财政决算的情况。</w:t>
            </w:r>
          </w:p>
        </w:tc>
        <w:tc>
          <w:tcPr>
            <w:tcW w:w="4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 第二十条，“(七)财政预算、决算信息；”</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2.《财政部办公厅关于印发&lt;财政预决算领域基层政务公开标准指引&gt;的通知》(财办发〔2019〕77号)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行政事业性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收费</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评估全面、规范公开行政事业性收费项目的情况。</w:t>
            </w:r>
          </w:p>
        </w:tc>
        <w:tc>
          <w:tcPr>
            <w:tcW w:w="4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《中华人民共和国政府信息公开条例》，第二十条，“(八)行政事业性收费项目及其依据、标准；”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pStyle w:val="102"/>
        <w:numPr>
          <w:ilvl w:val="1"/>
          <w:numId w:val="0"/>
        </w:numPr>
        <w:bidi w:val="0"/>
        <w:ind w:leftChars="0"/>
        <w:jc w:val="center"/>
        <w:rPr>
          <w:rFonts w:hint="default"/>
          <w:color w:val="auto"/>
          <w:highlight w:val="none"/>
          <w:lang w:val="en-US" w:eastAsia="zh-CN"/>
        </w:rPr>
      </w:pPr>
      <w:r>
        <w:rPr>
          <w:rFonts w:hint="eastAsia"/>
          <w:color w:val="auto"/>
          <w:highlight w:val="none"/>
          <w:lang w:val="en-US" w:eastAsia="zh-CN"/>
        </w:rPr>
        <w:t>表A.1　政务公开评估指标及内容</w:t>
      </w:r>
      <w:r>
        <w:rPr>
          <w:rFonts w:hint="eastAsia" w:ascii="宋体" w:hAnsi="宋体" w:eastAsia="宋体" w:cs="宋体"/>
          <w:color w:val="auto"/>
          <w:highlight w:val="none"/>
          <w:lang w:val="en-US" w:eastAsia="zh-CN"/>
        </w:rPr>
        <w:t>（续）</w:t>
      </w:r>
    </w:p>
    <w:tbl>
      <w:tblPr>
        <w:tblStyle w:val="20"/>
        <w:tblW w:w="13164" w:type="dxa"/>
        <w:jc w:val="center"/>
        <w:shd w:val="clear" w:color="auto" w:fill="auto"/>
        <w:tblLayout w:type="autofit"/>
        <w:tblCellMar>
          <w:top w:w="0" w:type="dxa"/>
          <w:left w:w="108" w:type="dxa"/>
          <w:bottom w:w="0" w:type="dxa"/>
          <w:right w:w="108" w:type="dxa"/>
        </w:tblCellMar>
      </w:tblPr>
      <w:tblGrid>
        <w:gridCol w:w="756"/>
        <w:gridCol w:w="937"/>
        <w:gridCol w:w="1381"/>
        <w:gridCol w:w="1132"/>
        <w:gridCol w:w="3047"/>
        <w:gridCol w:w="4347"/>
        <w:gridCol w:w="1564"/>
      </w:tblGrid>
      <w:tr>
        <w:tblPrEx>
          <w:shd w:val="clear" w:color="auto" w:fill="auto"/>
          <w:tblCellMar>
            <w:top w:w="0" w:type="dxa"/>
            <w:left w:w="108" w:type="dxa"/>
            <w:bottom w:w="0" w:type="dxa"/>
            <w:right w:w="108" w:type="dxa"/>
          </w:tblCellMar>
        </w:tblPrEx>
        <w:trPr>
          <w:trHeight w:val="36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r>
              <w:rPr>
                <w:rFonts w:hint="eastAsia" w:hAnsi="宋体" w:cs="宋体"/>
                <w:i w:val="0"/>
                <w:iCs w:val="0"/>
                <w:color w:val="auto"/>
                <w:kern w:val="0"/>
                <w:sz w:val="18"/>
                <w:szCs w:val="18"/>
                <w:highlight w:val="none"/>
                <w:u w:val="none"/>
                <w:lang w:val="en-US" w:eastAsia="zh-CN" w:bidi="ar"/>
              </w:rPr>
              <w:t>(分值)</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主动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公开</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hAnsi="宋体" w:cs="宋体"/>
                <w:i w:val="0"/>
                <w:iCs w:val="0"/>
                <w:color w:val="auto"/>
                <w:kern w:val="0"/>
                <w:sz w:val="18"/>
                <w:szCs w:val="18"/>
                <w:highlight w:val="none"/>
                <w:u w:val="none"/>
                <w:lang w:val="en-US" w:eastAsia="zh-CN" w:bidi="ar"/>
              </w:rPr>
              <w:t>（40）</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基础信息公开</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hAnsi="宋体" w:cs="宋体"/>
                <w:i w:val="0"/>
                <w:iCs w:val="0"/>
                <w:color w:val="auto"/>
                <w:kern w:val="0"/>
                <w:sz w:val="18"/>
                <w:szCs w:val="18"/>
                <w:highlight w:val="none"/>
                <w:u w:val="none"/>
                <w:lang w:val="en-US" w:eastAsia="zh-CN" w:bidi="ar"/>
              </w:rPr>
              <w:t>（22）</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政府釆购</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评估全面、规范公开政府集中釆购项目相关信息的情况。</w:t>
            </w:r>
          </w:p>
        </w:tc>
        <w:tc>
          <w:tcPr>
            <w:tcW w:w="4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《中华人民共和国政府信息公开条例》，第二十条，“(九)政府集中采购项目的目录、标准及实施情况；”</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6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公务员招考</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评估全面公开公务员招考相关信息的情况。</w:t>
            </w:r>
          </w:p>
        </w:tc>
        <w:tc>
          <w:tcPr>
            <w:tcW w:w="4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《中华人民共和国政府信息公开条例》，第二十条，“(十四)公务员招考的职位、名额、报考条件等事项以及录用结果；”</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2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重大会议信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息公开</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评估公开本级政府全体会议、常务会议召开及会议内容的情况。</w:t>
            </w:r>
          </w:p>
        </w:tc>
        <w:tc>
          <w:tcPr>
            <w:tcW w:w="4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《2018年政务公开工作要点》（国办发〔2018〕23号），“坚持以公开为常态、不公开为例外，政府全体会议和常务会议讨论决定的事项、政府及其部门制定的政策，除依法需要保密的外应及时公开，”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2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2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hAnsi="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重大决策预</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公开 </w:t>
            </w:r>
            <w:r>
              <w:rPr>
                <w:rFonts w:hint="eastAsia" w:hAnsi="宋体" w:cs="宋体"/>
                <w:i w:val="0"/>
                <w:iCs w:val="0"/>
                <w:color w:val="auto"/>
                <w:kern w:val="0"/>
                <w:sz w:val="18"/>
                <w:szCs w:val="18"/>
                <w:highlight w:val="none"/>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default" w:hAnsi="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评估围绕重大决策开展草案公开、解读和意见征集的情况。</w:t>
            </w:r>
          </w:p>
        </w:tc>
        <w:tc>
          <w:tcPr>
            <w:tcW w:w="4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《中共中央办公厅 国务院办公厅印发〈关于全面推进政务公开工作的意见》的通知》 （中办发〔2016〕8号）,“（十二）扩大公众参与。”</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tblCellMar>
            <w:top w:w="0" w:type="dxa"/>
            <w:left w:w="108" w:type="dxa"/>
            <w:bottom w:w="0" w:type="dxa"/>
            <w:right w:w="108" w:type="dxa"/>
          </w:tblCellMar>
        </w:tblPrEx>
        <w:trPr>
          <w:trHeight w:val="39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5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3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重点</w:t>
            </w:r>
            <w:r>
              <w:rPr>
                <w:rFonts w:hint="eastAsia" w:ascii="宋体" w:hAnsi="宋体" w:eastAsia="宋体" w:cs="宋体"/>
                <w:i w:val="0"/>
                <w:iCs w:val="0"/>
                <w:color w:val="auto"/>
                <w:kern w:val="0"/>
                <w:sz w:val="18"/>
                <w:szCs w:val="18"/>
                <w:highlight w:val="none"/>
                <w:u w:val="none"/>
                <w:lang w:val="en-US" w:eastAsia="zh-CN" w:bidi="ar"/>
              </w:rPr>
              <w:t>领域信息公开</w:t>
            </w:r>
          </w:p>
          <w:p>
            <w:pPr>
              <w:jc w:val="center"/>
              <w:rPr>
                <w:rFonts w:hint="eastAsia" w:ascii="宋体" w:hAnsi="宋体" w:eastAsia="宋体" w:cs="宋体"/>
                <w:i w:val="0"/>
                <w:iCs w:val="0"/>
                <w:color w:val="auto"/>
                <w:sz w:val="18"/>
                <w:szCs w:val="18"/>
                <w:highlight w:val="none"/>
                <w:u w:val="none"/>
              </w:rPr>
            </w:pPr>
            <w:r>
              <w:rPr>
                <w:rFonts w:hint="eastAsia" w:hAnsi="宋体" w:cs="宋体"/>
                <w:i w:val="0"/>
                <w:iCs w:val="0"/>
                <w:color w:val="auto"/>
                <w:kern w:val="0"/>
                <w:sz w:val="18"/>
                <w:szCs w:val="18"/>
                <w:highlight w:val="none"/>
                <w:u w:val="none"/>
                <w:lang w:val="en-US" w:eastAsia="zh-CN" w:bidi="ar"/>
              </w:rPr>
              <w:t>（18）</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yellow"/>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yellow"/>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w:t>
            </w:r>
            <w:r>
              <w:rPr>
                <w:rFonts w:hint="eastAsia" w:hAnsi="宋体" w:cs="宋体"/>
                <w:i w:val="0"/>
                <w:iCs w:val="0"/>
                <w:color w:val="auto"/>
                <w:kern w:val="0"/>
                <w:sz w:val="18"/>
                <w:szCs w:val="18"/>
                <w:highlight w:val="none"/>
                <w:u w:val="none"/>
                <w:lang w:val="en-US" w:eastAsia="zh-CN" w:bidi="ar"/>
              </w:rPr>
              <w:t>在</w:t>
            </w:r>
            <w:r>
              <w:rPr>
                <w:rFonts w:hint="eastAsia" w:ascii="宋体" w:hAnsi="宋体" w:eastAsia="宋体" w:cs="宋体"/>
                <w:i w:val="0"/>
                <w:iCs w:val="0"/>
                <w:color w:val="auto"/>
                <w:kern w:val="0"/>
                <w:sz w:val="18"/>
                <w:szCs w:val="18"/>
                <w:highlight w:val="none"/>
                <w:u w:val="none"/>
                <w:lang w:val="en-US" w:eastAsia="zh-CN" w:bidi="ar"/>
              </w:rPr>
              <w:t>“政府信息公开专栏”中重点领域、重点信息等的公开情况，是否及时、准确、全面。</w:t>
            </w:r>
          </w:p>
        </w:tc>
        <w:tc>
          <w:tcPr>
            <w:tcW w:w="4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 第二十条，（三）（四）（十）（十一）（十一）（十二）（十三）（十五）</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yellow"/>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2.《国务院办公厅关于全面推进基层政务公开标准化规范化工作的指导意见》国办发〔2019〕54号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9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318" w:type="dxa"/>
            <w:gridSpan w:val="2"/>
            <w:vMerge w:val="continue"/>
            <w:tcBorders>
              <w:left w:val="single" w:color="000000" w:sz="4" w:space="0"/>
              <w:right w:val="single" w:color="000000" w:sz="4" w:space="0"/>
            </w:tcBorders>
            <w:shd w:val="clear" w:color="auto" w:fill="auto"/>
            <w:vAlign w:val="center"/>
          </w:tcPr>
          <w:p>
            <w:pPr>
              <w:jc w:val="center"/>
              <w:rPr>
                <w:rFonts w:hint="eastAsia" w:hAnsi="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yellow"/>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yellow"/>
                <w:u w:val="none"/>
                <w:lang w:val="en-US" w:eastAsia="zh-CN" w:bidi="ar"/>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yellow"/>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511"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318" w:type="dxa"/>
            <w:gridSpan w:val="2"/>
            <w:vMerge w:val="continue"/>
            <w:tcBorders>
              <w:left w:val="single" w:color="000000" w:sz="4" w:space="0"/>
              <w:right w:val="single" w:color="000000" w:sz="4" w:space="0"/>
            </w:tcBorders>
            <w:shd w:val="clear" w:color="auto" w:fill="auto"/>
            <w:vAlign w:val="center"/>
          </w:tcPr>
          <w:p>
            <w:pPr>
              <w:jc w:val="center"/>
              <w:rPr>
                <w:rFonts w:hint="eastAsia" w:hAnsi="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yellow"/>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yellow"/>
                <w:u w:val="none"/>
                <w:lang w:val="en-US" w:eastAsia="zh-CN" w:bidi="ar"/>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yellow"/>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8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23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yellow"/>
                <w:u w:val="none"/>
              </w:rPr>
            </w:pPr>
          </w:p>
        </w:tc>
        <w:tc>
          <w:tcPr>
            <w:tcW w:w="3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yellow"/>
                <w:u w:val="none"/>
              </w:rPr>
            </w:pPr>
          </w:p>
        </w:tc>
        <w:tc>
          <w:tcPr>
            <w:tcW w:w="4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yellow"/>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rPr>
          <w:rFonts w:hint="default"/>
          <w:color w:val="auto"/>
          <w:highlight w:val="none"/>
          <w:lang w:val="en-US" w:eastAsia="zh-CN"/>
        </w:rPr>
      </w:pPr>
      <w:r>
        <w:rPr>
          <w:rFonts w:hint="default"/>
          <w:color w:val="auto"/>
          <w:highlight w:val="none"/>
          <w:lang w:val="en-US" w:eastAsia="zh-CN"/>
        </w:rPr>
        <w:br w:type="page"/>
      </w:r>
    </w:p>
    <w:p>
      <w:pPr>
        <w:pStyle w:val="102"/>
        <w:numPr>
          <w:ilvl w:val="1"/>
          <w:numId w:val="0"/>
        </w:numPr>
        <w:bidi w:val="0"/>
        <w:ind w:leftChars="0"/>
        <w:jc w:val="center"/>
        <w:rPr>
          <w:rFonts w:hint="default"/>
          <w:color w:val="auto"/>
          <w:highlight w:val="none"/>
          <w:lang w:val="en-US" w:eastAsia="zh-CN"/>
        </w:rPr>
      </w:pPr>
      <w:r>
        <w:rPr>
          <w:rFonts w:hint="eastAsia"/>
          <w:color w:val="auto"/>
          <w:highlight w:val="none"/>
          <w:lang w:val="en-US" w:eastAsia="zh-CN"/>
        </w:rPr>
        <w:t>表A.1　政务公开评估指标及内容</w:t>
      </w:r>
      <w:r>
        <w:rPr>
          <w:rFonts w:hint="eastAsia" w:ascii="宋体" w:hAnsi="宋体" w:eastAsia="宋体" w:cs="宋体"/>
          <w:color w:val="auto"/>
          <w:highlight w:val="none"/>
          <w:lang w:val="en-US" w:eastAsia="zh-CN"/>
        </w:rPr>
        <w:t>（续）</w:t>
      </w:r>
    </w:p>
    <w:tbl>
      <w:tblPr>
        <w:tblStyle w:val="20"/>
        <w:tblW w:w="13164" w:type="dxa"/>
        <w:jc w:val="center"/>
        <w:shd w:val="clear" w:color="auto" w:fill="auto"/>
        <w:tblLayout w:type="autofit"/>
        <w:tblCellMar>
          <w:top w:w="0" w:type="dxa"/>
          <w:left w:w="108" w:type="dxa"/>
          <w:bottom w:w="0" w:type="dxa"/>
          <w:right w:w="108" w:type="dxa"/>
        </w:tblCellMar>
      </w:tblPr>
      <w:tblGrid>
        <w:gridCol w:w="756"/>
        <w:gridCol w:w="934"/>
        <w:gridCol w:w="1379"/>
        <w:gridCol w:w="1132"/>
        <w:gridCol w:w="3050"/>
        <w:gridCol w:w="4349"/>
        <w:gridCol w:w="1564"/>
      </w:tblGrid>
      <w:tr>
        <w:tblPrEx>
          <w:tblCellMar>
            <w:top w:w="0" w:type="dxa"/>
            <w:left w:w="108" w:type="dxa"/>
            <w:bottom w:w="0" w:type="dxa"/>
            <w:right w:w="108" w:type="dxa"/>
          </w:tblCellMar>
        </w:tblPrEx>
        <w:trPr>
          <w:trHeight w:val="36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r>
              <w:rPr>
                <w:rFonts w:hint="eastAsia" w:hAnsi="宋体" w:cs="宋体"/>
                <w:i w:val="0"/>
                <w:iCs w:val="0"/>
                <w:color w:val="auto"/>
                <w:kern w:val="0"/>
                <w:sz w:val="18"/>
                <w:szCs w:val="18"/>
                <w:highlight w:val="none"/>
                <w:u w:val="none"/>
                <w:lang w:val="en-US" w:eastAsia="zh-CN" w:bidi="ar"/>
              </w:rPr>
              <w:t>(分值)</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1147" w:hRule="atLeast"/>
          <w:jc w:val="center"/>
        </w:trPr>
        <w:tc>
          <w:tcPr>
            <w:tcW w:w="7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主动</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公开</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（40）</w:t>
            </w:r>
          </w:p>
        </w:tc>
        <w:tc>
          <w:tcPr>
            <w:tcW w:w="231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重点</w:t>
            </w:r>
            <w:r>
              <w:rPr>
                <w:rFonts w:hint="eastAsia" w:ascii="宋体" w:hAnsi="宋体" w:eastAsia="宋体" w:cs="宋体"/>
                <w:i w:val="0"/>
                <w:iCs w:val="0"/>
                <w:color w:val="auto"/>
                <w:kern w:val="0"/>
                <w:sz w:val="18"/>
                <w:szCs w:val="18"/>
                <w:highlight w:val="none"/>
                <w:u w:val="none"/>
                <w:lang w:val="en-US" w:eastAsia="zh-CN" w:bidi="ar"/>
              </w:rPr>
              <w:t>领域信息公开</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（18）</w:t>
            </w:r>
          </w:p>
        </w:tc>
        <w:tc>
          <w:tcPr>
            <w:tcW w:w="1132"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50"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评估在“政府信息公开专栏”中公开涉及市政建设、公共服务、公益事业、土地征收、房屋征收、治安管理、社会救助等方面的政府信息情况，是否全面、规范、及时、准确。</w:t>
            </w:r>
          </w:p>
        </w:tc>
        <w:tc>
          <w:tcPr>
            <w:tcW w:w="4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 第二十一，“ 除本条例第二十条规定的政府信息外，设区的市级、县级人民政府及其部门还应当根据本地方的具体情况，主动公开涉及市政建设、公共服务、公益事业、土地征收、房屋征收、治安管理、社会救助等方面的政府信息；”</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1073" w:hRule="atLeast"/>
          <w:jc w:val="center"/>
        </w:trPr>
        <w:tc>
          <w:tcPr>
            <w:tcW w:w="7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hAnsi="宋体" w:cs="宋体"/>
                <w:i w:val="0"/>
                <w:iCs w:val="0"/>
                <w:color w:val="auto"/>
                <w:kern w:val="0"/>
                <w:sz w:val="18"/>
                <w:szCs w:val="18"/>
                <w:highlight w:val="none"/>
                <w:u w:val="none"/>
                <w:lang w:val="en-US" w:eastAsia="zh-CN" w:bidi="ar"/>
              </w:rPr>
            </w:pPr>
          </w:p>
        </w:tc>
        <w:tc>
          <w:tcPr>
            <w:tcW w:w="2313"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hAnsi="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hAnsi="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2407" w:hRule="atLeast"/>
          <w:jc w:val="center"/>
        </w:trPr>
        <w:tc>
          <w:tcPr>
            <w:tcW w:w="7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2313"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在“政府信息公开专栏”中公开贯彻落实农业农村政策、农田水利工程建设运营、农村土地承包经营权流转、宅基地使用情况审核、土地征收、房屋征收、筹资筹劳、社会救助等方面的政府信息，是否全面、规范、及时、准确。</w:t>
            </w:r>
          </w:p>
        </w:tc>
        <w:tc>
          <w:tcPr>
            <w:tcW w:w="4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 第二十一，“ 除本条例第二十条规定的政府信息外，...乡（镇）人民政府还应当根据本地方的具体情况，主动公开贯彻落实农业农村政策、农田水利工程建设运营、农村土地承包经营权流转、宅基地使用情况审核、土地征收、房屋征收、筹资筹劳、社会救助等方面的政府信息。”</w:t>
            </w:r>
          </w:p>
        </w:tc>
        <w:tc>
          <w:tcPr>
            <w:tcW w:w="156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559"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依申请公开</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（12）</w:t>
            </w:r>
          </w:p>
        </w:tc>
        <w:tc>
          <w:tcPr>
            <w:tcW w:w="231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申请接收渠道指引</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规范性</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（3）</w:t>
            </w:r>
          </w:p>
        </w:tc>
        <w:tc>
          <w:tcPr>
            <w:tcW w:w="113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5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评估规范、准确公开申请接收渠道信息的情况。</w:t>
            </w:r>
          </w:p>
        </w:tc>
        <w:tc>
          <w:tcPr>
            <w:tcW w:w="4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国务院办公厅政府信息与政务公开办公室关于政府信息公开申请接收渠道问题的解释》（国办公开办函〔2017〕19号），“行政机关应当将本单位所开通的申请接收渠道及具体的使用注意事项，在政府信息公开指南中专门说明并向社会公告，”</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54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3"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54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3"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51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pStyle w:val="102"/>
        <w:numPr>
          <w:ilvl w:val="1"/>
          <w:numId w:val="0"/>
        </w:numPr>
        <w:bidi w:val="0"/>
        <w:ind w:leftChars="0"/>
        <w:jc w:val="center"/>
        <w:rPr>
          <w:rFonts w:hint="default"/>
          <w:color w:val="auto"/>
          <w:highlight w:val="none"/>
          <w:lang w:val="en-US" w:eastAsia="zh-CN"/>
        </w:rPr>
      </w:pPr>
      <w:r>
        <w:rPr>
          <w:rFonts w:hint="eastAsia"/>
          <w:color w:val="auto"/>
          <w:highlight w:val="none"/>
          <w:lang w:val="en-US" w:eastAsia="zh-CN"/>
        </w:rPr>
        <w:br w:type="page"/>
      </w:r>
      <w:r>
        <w:rPr>
          <w:rFonts w:hint="eastAsia"/>
          <w:color w:val="auto"/>
          <w:highlight w:val="none"/>
          <w:lang w:val="en-US" w:eastAsia="zh-CN"/>
        </w:rPr>
        <w:t>表A.1　政务公开评估指标及内容</w:t>
      </w:r>
      <w:r>
        <w:rPr>
          <w:rFonts w:hint="eastAsia" w:ascii="宋体" w:hAnsi="宋体" w:eastAsia="宋体" w:cs="宋体"/>
          <w:color w:val="auto"/>
          <w:highlight w:val="none"/>
          <w:lang w:val="en-US" w:eastAsia="zh-CN"/>
        </w:rPr>
        <w:t>（续）</w:t>
      </w:r>
    </w:p>
    <w:tbl>
      <w:tblPr>
        <w:tblStyle w:val="20"/>
        <w:tblW w:w="13164" w:type="dxa"/>
        <w:jc w:val="center"/>
        <w:shd w:val="clear" w:color="auto" w:fill="auto"/>
        <w:tblLayout w:type="autofit"/>
        <w:tblCellMar>
          <w:top w:w="0" w:type="dxa"/>
          <w:left w:w="108" w:type="dxa"/>
          <w:bottom w:w="0" w:type="dxa"/>
          <w:right w:w="108" w:type="dxa"/>
        </w:tblCellMar>
      </w:tblPr>
      <w:tblGrid>
        <w:gridCol w:w="756"/>
        <w:gridCol w:w="933"/>
        <w:gridCol w:w="1379"/>
        <w:gridCol w:w="1132"/>
        <w:gridCol w:w="3050"/>
        <w:gridCol w:w="4350"/>
        <w:gridCol w:w="1564"/>
      </w:tblGrid>
      <w:tr>
        <w:tblPrEx>
          <w:shd w:val="clear" w:color="auto" w:fill="auto"/>
          <w:tblCellMar>
            <w:top w:w="0" w:type="dxa"/>
            <w:left w:w="108" w:type="dxa"/>
            <w:bottom w:w="0" w:type="dxa"/>
            <w:right w:w="108" w:type="dxa"/>
          </w:tblCellMar>
        </w:tblPrEx>
        <w:trPr>
          <w:trHeight w:val="36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r>
              <w:rPr>
                <w:rFonts w:hint="eastAsia" w:hAnsi="宋体" w:cs="宋体"/>
                <w:i w:val="0"/>
                <w:iCs w:val="0"/>
                <w:color w:val="auto"/>
                <w:kern w:val="0"/>
                <w:sz w:val="18"/>
                <w:szCs w:val="18"/>
                <w:highlight w:val="none"/>
                <w:u w:val="none"/>
                <w:lang w:val="en-US" w:eastAsia="zh-CN" w:bidi="ar"/>
              </w:rPr>
              <w:t>(分值)</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727" w:hRule="atLeast"/>
          <w:jc w:val="center"/>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依申请公开</w:t>
            </w:r>
            <w:r>
              <w:rPr>
                <w:rFonts w:hint="eastAsia" w:hAnsi="宋体" w:cs="宋体"/>
                <w:i w:val="0"/>
                <w:iCs w:val="0"/>
                <w:color w:val="auto"/>
                <w:kern w:val="0"/>
                <w:sz w:val="18"/>
                <w:szCs w:val="18"/>
                <w:highlight w:val="none"/>
                <w:u w:val="none"/>
                <w:lang w:val="en-US" w:eastAsia="zh-CN" w:bidi="ar"/>
              </w:rPr>
              <w:t>（12）</w:t>
            </w:r>
          </w:p>
        </w:tc>
        <w:tc>
          <w:tcPr>
            <w:tcW w:w="23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申请渠道畅通性</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(3)</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模拟验证</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评估网上申请、传真申请、电子邮件申请、信函申请、现场申请等渠道的畅通性。</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1.《中华人民共和国政府信息公开条例》，第二十八条、第二十九条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国务院办公厅政府信息与政务公开办公室关于政府信息公开申请接收渠道问题的解释》（国办公开办函〔2017〕19号）“一、“当面提交”和“邮政寄送”是政府信息公开申请的基本渠道”“二、为进一步便利申请人、提高工作效率，鼓励行政机关结合自身实际开通传真、在线申请、电子邮箱等多样化申请接收渠道。”</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65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791"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25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8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申请回复及时性</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(3)</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模拟验证</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评估按法定程序在法定时间回复信息公开申请的情况。</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《中华人民共和国政府信息公开条例》，第三十三条</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98"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7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7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2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申请回复规范性</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(3)</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模拟验证/</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材料评估</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评估对信息公开申请处置的合理性、答复的规范性及措辞的得当性。</w:t>
            </w:r>
          </w:p>
        </w:tc>
        <w:tc>
          <w:tcPr>
            <w:tcW w:w="43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1.《中华人民共和国政府信息公开条例》第三十六条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2.《2021年度政务公开工作要点》（国办发〔2021〕12号）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3.《湖南省2021年政务公开工作要点》（湘政办发〔2021〕14号）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31"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9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9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23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5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rPr>
          <w:rFonts w:hint="eastAsia"/>
          <w:color w:val="auto"/>
          <w:highlight w:val="none"/>
          <w:lang w:val="en-US" w:eastAsia="zh-CN"/>
        </w:rPr>
      </w:pPr>
    </w:p>
    <w:p>
      <w:pPr>
        <w:pStyle w:val="102"/>
        <w:numPr>
          <w:ilvl w:val="1"/>
          <w:numId w:val="0"/>
        </w:numPr>
        <w:bidi w:val="0"/>
        <w:ind w:leftChars="0"/>
        <w:jc w:val="center"/>
        <w:rPr>
          <w:rFonts w:hint="default"/>
          <w:color w:val="auto"/>
          <w:highlight w:val="none"/>
          <w:lang w:val="en-US" w:eastAsia="zh-CN"/>
        </w:rPr>
      </w:pPr>
      <w:r>
        <w:rPr>
          <w:rFonts w:hint="eastAsia"/>
          <w:color w:val="auto"/>
          <w:highlight w:val="none"/>
          <w:lang w:val="en-US" w:eastAsia="zh-CN"/>
        </w:rPr>
        <w:t>表A.1　政务公开评估指标及内容</w:t>
      </w:r>
      <w:r>
        <w:rPr>
          <w:rFonts w:hint="eastAsia" w:ascii="宋体" w:hAnsi="宋体" w:eastAsia="宋体" w:cs="宋体"/>
          <w:color w:val="auto"/>
          <w:highlight w:val="none"/>
          <w:lang w:val="en-US" w:eastAsia="zh-CN"/>
        </w:rPr>
        <w:t>（续）</w:t>
      </w:r>
    </w:p>
    <w:tbl>
      <w:tblPr>
        <w:tblStyle w:val="20"/>
        <w:tblW w:w="13164" w:type="dxa"/>
        <w:jc w:val="center"/>
        <w:shd w:val="clear" w:color="auto" w:fill="auto"/>
        <w:tblLayout w:type="autofit"/>
        <w:tblCellMar>
          <w:top w:w="0" w:type="dxa"/>
          <w:left w:w="108" w:type="dxa"/>
          <w:bottom w:w="0" w:type="dxa"/>
          <w:right w:w="108" w:type="dxa"/>
        </w:tblCellMar>
      </w:tblPr>
      <w:tblGrid>
        <w:gridCol w:w="770"/>
        <w:gridCol w:w="851"/>
        <w:gridCol w:w="1389"/>
        <w:gridCol w:w="1132"/>
        <w:gridCol w:w="3075"/>
        <w:gridCol w:w="4383"/>
        <w:gridCol w:w="1564"/>
      </w:tblGrid>
      <w:tr>
        <w:tblPrEx>
          <w:shd w:val="clear" w:color="auto" w:fill="auto"/>
          <w:tblCellMar>
            <w:top w:w="0" w:type="dxa"/>
            <w:left w:w="108" w:type="dxa"/>
            <w:bottom w:w="0" w:type="dxa"/>
            <w:right w:w="108" w:type="dxa"/>
          </w:tblCellMar>
        </w:tblPrEx>
        <w:trPr>
          <w:trHeight w:val="36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r>
              <w:rPr>
                <w:rFonts w:hint="eastAsia" w:hAnsi="宋体" w:cs="宋体"/>
                <w:i w:val="0"/>
                <w:iCs w:val="0"/>
                <w:color w:val="auto"/>
                <w:kern w:val="0"/>
                <w:sz w:val="18"/>
                <w:szCs w:val="18"/>
                <w:highlight w:val="none"/>
                <w:u w:val="none"/>
                <w:lang w:val="en-US" w:eastAsia="zh-CN" w:bidi="ar"/>
              </w:rPr>
              <w:t>(分值)</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556"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解读</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回应</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(26)</w:t>
            </w:r>
            <w:r>
              <w:rPr>
                <w:rFonts w:hint="eastAsia" w:ascii="宋体" w:hAnsi="宋体" w:eastAsia="宋体" w:cs="宋体"/>
                <w:i w:val="0"/>
                <w:iCs w:val="0"/>
                <w:color w:val="auto"/>
                <w:kern w:val="0"/>
                <w:sz w:val="18"/>
                <w:szCs w:val="18"/>
                <w:highlight w:val="none"/>
                <w:u w:val="none"/>
                <w:lang w:val="en-US" w:eastAsia="zh-CN" w:bidi="ar"/>
              </w:rPr>
              <w:t xml:space="preserve">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政策解读</w:t>
            </w:r>
            <w:r>
              <w:rPr>
                <w:rFonts w:hint="eastAsia" w:hAnsi="宋体" w:cs="宋体"/>
                <w:i w:val="0"/>
                <w:iCs w:val="0"/>
                <w:color w:val="auto"/>
                <w:kern w:val="0"/>
                <w:sz w:val="18"/>
                <w:szCs w:val="18"/>
                <w:highlight w:val="none"/>
                <w:u w:val="none"/>
                <w:lang w:val="en-US" w:eastAsia="zh-CN" w:bidi="ar"/>
              </w:rPr>
              <w:t>(13)</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解读方式</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w:t>
            </w:r>
            <w:r>
              <w:rPr>
                <w:rFonts w:hint="eastAsia" w:hAnsi="宋体" w:cs="宋体"/>
                <w:i w:val="0"/>
                <w:iCs w:val="0"/>
                <w:color w:val="auto"/>
                <w:kern w:val="0"/>
                <w:sz w:val="18"/>
                <w:szCs w:val="18"/>
                <w:highlight w:val="none"/>
                <w:u w:val="none"/>
                <w:lang w:val="en-US" w:eastAsia="zh-CN" w:bidi="ar"/>
              </w:rPr>
              <w:t>4</w:t>
            </w:r>
            <w:r>
              <w:rPr>
                <w:rFonts w:hint="eastAsia" w:ascii="宋体" w:hAnsi="宋体" w:eastAsia="宋体" w:cs="宋体"/>
                <w:i w:val="0"/>
                <w:iCs w:val="0"/>
                <w:color w:val="auto"/>
                <w:kern w:val="0"/>
                <w:sz w:val="18"/>
                <w:szCs w:val="18"/>
                <w:highlight w:val="none"/>
                <w:u w:val="none"/>
                <w:lang w:val="en-US" w:eastAsia="zh-CN" w:bidi="ar"/>
              </w:rPr>
              <w:t>)</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线上评估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线下评估</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评估</w:t>
            </w:r>
            <w:r>
              <w:rPr>
                <w:rFonts w:hint="eastAsia" w:ascii="宋体" w:hAnsi="宋体" w:eastAsia="宋体" w:cs="宋体"/>
                <w:i w:val="0"/>
                <w:iCs w:val="0"/>
                <w:color w:val="auto"/>
                <w:kern w:val="0"/>
                <w:sz w:val="18"/>
                <w:szCs w:val="18"/>
                <w:highlight w:val="none"/>
                <w:u w:val="none"/>
                <w:lang w:val="en-US" w:eastAsia="zh-CN" w:bidi="ar"/>
              </w:rPr>
              <w:t>政府网站发布政策解读内容与原文关联性情况，在非政府网站渠道发布的政策解读量是否占政策解读总量的一定比例。</w:t>
            </w:r>
          </w:p>
        </w:tc>
        <w:tc>
          <w:tcPr>
            <w:tcW w:w="4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1.《中共中央办公厅 国务院办公厅印发&lt;关于全面推进政务公开工作的意见&gt;的通知》（中办发〔2016〕8号）“（十一）加强政策解读。”</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2.《2021年度政务公开工作要点》（国办发〔2021〕12号）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3.《湖南省2021年政务公开工作要点》（湘政办发〔2021〕14号）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556"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556"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区县政府</w:t>
            </w:r>
          </w:p>
        </w:tc>
      </w:tr>
      <w:tr>
        <w:tblPrEx>
          <w:shd w:val="clear" w:color="auto" w:fill="auto"/>
          <w:tblCellMar>
            <w:top w:w="0" w:type="dxa"/>
            <w:left w:w="108" w:type="dxa"/>
            <w:bottom w:w="0" w:type="dxa"/>
            <w:right w:w="108" w:type="dxa"/>
          </w:tblCellMar>
        </w:tblPrEx>
        <w:trPr>
          <w:trHeight w:val="303"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68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解读内容</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（4）</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评估在落实国家、湖南省关于“放管服”改革、优化营商环境</w:t>
            </w:r>
            <w:r>
              <w:rPr>
                <w:rFonts w:hint="eastAsia" w:hAnsi="宋体" w:cs="宋体"/>
                <w:i w:val="0"/>
                <w:iCs w:val="0"/>
                <w:color w:val="auto"/>
                <w:kern w:val="0"/>
                <w:sz w:val="18"/>
                <w:szCs w:val="18"/>
                <w:highlight w:val="none"/>
                <w:u w:val="none"/>
                <w:lang w:val="en-US" w:eastAsia="zh-CN" w:bidi="ar"/>
              </w:rPr>
              <w:t>、突发公共事件</w:t>
            </w:r>
            <w:r>
              <w:rPr>
                <w:rFonts w:hint="eastAsia" w:ascii="宋体" w:hAnsi="宋体" w:eastAsia="宋体" w:cs="宋体"/>
                <w:i w:val="0"/>
                <w:iCs w:val="0"/>
                <w:color w:val="auto"/>
                <w:kern w:val="0"/>
                <w:sz w:val="18"/>
                <w:szCs w:val="18"/>
                <w:highlight w:val="none"/>
                <w:u w:val="none"/>
                <w:lang w:val="en-US" w:eastAsia="zh-CN" w:bidi="ar"/>
              </w:rPr>
              <w:t>等重点工作部署安排、重大改革、重大政策等方面，开展本地区政策背景、出台目的、重要举措、落实办法等方面的实质性解读，将“政策语言”转换为“群众语言”。</w:t>
            </w:r>
          </w:p>
        </w:tc>
        <w:tc>
          <w:tcPr>
            <w:tcW w:w="4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1.《2020年度政务公开工作要点》（国办发〔2020〕17号）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2.《2021年度政务公开工作要点》（国办发〔2021〕12号）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3.《湖南省2021年政务公开工作要点》（湘政办发〔2021〕14号）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9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54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9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46"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解读质量</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（5）</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评估政策解读质量，如是否全面深入、生动活泼、通俗易懂、精准传达。</w:t>
            </w:r>
          </w:p>
        </w:tc>
        <w:tc>
          <w:tcPr>
            <w:tcW w:w="4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1.《2019年政务公开工作要点》（国办发〔2019〕14号），“多用客观数据、生动案例，进行立体式、多方位解读，真正让群众看得到、能理解。”</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2.《2021年度政务公开工作要点》（国办发〔2021〕12号）</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3.《湖南省2021年政务公开工作要点》（湘政办发〔2021〕14号）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52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98"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3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kern w:val="0"/>
                <w:sz w:val="18"/>
                <w:szCs w:val="18"/>
                <w:highlight w:val="none"/>
                <w:u w:val="none"/>
                <w:lang w:val="en-US" w:eastAsia="zh-CN" w:bidi="ar"/>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rPr>
          <w:rFonts w:hint="default"/>
          <w:color w:val="auto"/>
          <w:highlight w:val="none"/>
          <w:lang w:val="en-US" w:eastAsia="zh-CN"/>
        </w:rPr>
      </w:pPr>
    </w:p>
    <w:p>
      <w:pPr>
        <w:rPr>
          <w:rFonts w:hint="default"/>
          <w:color w:val="auto"/>
          <w:highlight w:val="none"/>
          <w:lang w:val="en-US" w:eastAsia="zh-CN"/>
        </w:rPr>
      </w:pPr>
    </w:p>
    <w:p>
      <w:pPr>
        <w:pStyle w:val="102"/>
        <w:numPr>
          <w:ilvl w:val="1"/>
          <w:numId w:val="0"/>
        </w:numPr>
        <w:bidi w:val="0"/>
        <w:ind w:leftChars="0"/>
        <w:jc w:val="center"/>
        <w:rPr>
          <w:rFonts w:hint="default"/>
          <w:color w:val="auto"/>
          <w:highlight w:val="none"/>
          <w:lang w:val="en-US" w:eastAsia="zh-CN"/>
        </w:rPr>
      </w:pPr>
      <w:r>
        <w:rPr>
          <w:rFonts w:hint="eastAsia"/>
          <w:color w:val="auto"/>
          <w:highlight w:val="none"/>
          <w:lang w:val="en-US" w:eastAsia="zh-CN"/>
        </w:rPr>
        <w:t>表A.1　政务公开评估指标及内容</w:t>
      </w:r>
      <w:r>
        <w:rPr>
          <w:rFonts w:hint="eastAsia" w:ascii="宋体" w:hAnsi="宋体" w:eastAsia="宋体" w:cs="宋体"/>
          <w:color w:val="auto"/>
          <w:highlight w:val="none"/>
          <w:lang w:val="en-US" w:eastAsia="zh-CN"/>
        </w:rPr>
        <w:t>（续）</w:t>
      </w:r>
    </w:p>
    <w:tbl>
      <w:tblPr>
        <w:tblStyle w:val="20"/>
        <w:tblW w:w="13164" w:type="dxa"/>
        <w:jc w:val="center"/>
        <w:shd w:val="clear" w:color="auto" w:fill="auto"/>
        <w:tblLayout w:type="autofit"/>
        <w:tblCellMar>
          <w:top w:w="0" w:type="dxa"/>
          <w:left w:w="108" w:type="dxa"/>
          <w:bottom w:w="0" w:type="dxa"/>
          <w:right w:w="108" w:type="dxa"/>
        </w:tblCellMar>
      </w:tblPr>
      <w:tblGrid>
        <w:gridCol w:w="756"/>
        <w:gridCol w:w="940"/>
        <w:gridCol w:w="1379"/>
        <w:gridCol w:w="1132"/>
        <w:gridCol w:w="3049"/>
        <w:gridCol w:w="4344"/>
        <w:gridCol w:w="1564"/>
      </w:tblGrid>
      <w:tr>
        <w:tblPrEx>
          <w:shd w:val="clear" w:color="auto" w:fill="auto"/>
          <w:tblCellMar>
            <w:top w:w="0" w:type="dxa"/>
            <w:left w:w="108" w:type="dxa"/>
            <w:bottom w:w="0" w:type="dxa"/>
            <w:right w:w="108" w:type="dxa"/>
          </w:tblCellMar>
        </w:tblPrEx>
        <w:trPr>
          <w:trHeight w:val="520" w:hRule="atLeast"/>
          <w:jc w:val="cent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r>
              <w:rPr>
                <w:rFonts w:hint="eastAsia" w:hAnsi="宋体" w:cs="宋体"/>
                <w:i w:val="0"/>
                <w:iCs w:val="0"/>
                <w:color w:val="auto"/>
                <w:kern w:val="0"/>
                <w:sz w:val="18"/>
                <w:szCs w:val="18"/>
                <w:highlight w:val="none"/>
                <w:u w:val="none"/>
                <w:lang w:val="en-US" w:eastAsia="zh-CN" w:bidi="ar"/>
              </w:rPr>
              <w:t>(分值)</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514" w:hRule="atLeast"/>
          <w:jc w:val="center"/>
        </w:trPr>
        <w:tc>
          <w:tcPr>
            <w:tcW w:w="75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解读回应</w:t>
            </w:r>
          </w:p>
          <w:p>
            <w:pPr>
              <w:jc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（26）</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舆情回应</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（13）</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回应内容</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shd w:val="clear" w:color="auto" w:fill="auto"/>
                <w:lang w:val="en-US" w:eastAsia="zh-CN" w:bidi="ar"/>
              </w:rPr>
            </w:pPr>
            <w:r>
              <w:rPr>
                <w:rFonts w:hint="eastAsia" w:hAnsi="宋体" w:cs="宋体"/>
                <w:i w:val="0"/>
                <w:iCs w:val="0"/>
                <w:color w:val="auto"/>
                <w:kern w:val="0"/>
                <w:sz w:val="18"/>
                <w:szCs w:val="18"/>
                <w:highlight w:val="none"/>
                <w:u w:val="none"/>
                <w:shd w:val="clear" w:color="auto" w:fill="auto"/>
                <w:lang w:val="en-US" w:eastAsia="zh-CN" w:bidi="ar"/>
              </w:rPr>
              <w:t>（4)</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线上评估</w:t>
            </w:r>
          </w:p>
        </w:tc>
        <w:tc>
          <w:tcPr>
            <w:tcW w:w="3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评估在重要政务舆情、媒体关切、突发事件等热点问题及上级政府要求下级政府主动回应的政务舆情等方面，围绕舆论关注的焦点、热点和关键问题回应情况。</w:t>
            </w:r>
          </w:p>
        </w:tc>
        <w:tc>
          <w:tcPr>
            <w:tcW w:w="4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《国务院办公厅关于在政务公开工作中进一步做好政务舆情回应的通知</w:t>
            </w:r>
            <w:bookmarkStart w:id="18" w:name="_GoBack"/>
            <w:bookmarkEnd w:id="18"/>
            <w:r>
              <w:rPr>
                <w:rFonts w:hint="eastAsia" w:ascii="宋体" w:hAnsi="宋体" w:eastAsia="宋体" w:cs="宋体"/>
                <w:i w:val="0"/>
                <w:iCs w:val="0"/>
                <w:color w:val="auto"/>
                <w:kern w:val="0"/>
                <w:sz w:val="18"/>
                <w:szCs w:val="18"/>
                <w:highlight w:val="none"/>
                <w:u w:val="none"/>
                <w:shd w:val="clear" w:color="auto" w:fill="auto"/>
                <w:lang w:val="en-US" w:eastAsia="zh-CN" w:bidi="ar"/>
              </w:rPr>
              <w:t>》（国办发〔2016〕61号）“二、把握需重点回应的政务舆情标准”</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省级政府</w:t>
            </w:r>
          </w:p>
        </w:tc>
      </w:tr>
      <w:tr>
        <w:tblPrEx>
          <w:shd w:val="clear" w:color="auto" w:fill="auto"/>
          <w:tblCellMar>
            <w:top w:w="0" w:type="dxa"/>
            <w:left w:w="108" w:type="dxa"/>
            <w:bottom w:w="0" w:type="dxa"/>
            <w:right w:w="108" w:type="dxa"/>
          </w:tblCellMar>
        </w:tblPrEx>
        <w:trPr>
          <w:trHeight w:val="537"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shd w:val="clear" w:color="auto" w:fill="auto"/>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shd w:val="clear" w:color="auto" w:fill="auto"/>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地市级政府</w:t>
            </w:r>
          </w:p>
        </w:tc>
      </w:tr>
      <w:tr>
        <w:tblPrEx>
          <w:shd w:val="clear" w:color="auto" w:fill="auto"/>
          <w:tblCellMar>
            <w:top w:w="0" w:type="dxa"/>
            <w:left w:w="108" w:type="dxa"/>
            <w:bottom w:w="0" w:type="dxa"/>
            <w:right w:w="108" w:type="dxa"/>
          </w:tblCellMar>
        </w:tblPrEx>
        <w:trPr>
          <w:trHeight w:val="494"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shd w:val="clear" w:color="auto" w:fill="auto"/>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shd w:val="clear" w:color="auto" w:fill="auto"/>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区县级政府</w:t>
            </w:r>
          </w:p>
        </w:tc>
      </w:tr>
      <w:tr>
        <w:tblPrEx>
          <w:shd w:val="clear" w:color="auto" w:fill="auto"/>
          <w:tblCellMar>
            <w:top w:w="0" w:type="dxa"/>
            <w:left w:w="108" w:type="dxa"/>
            <w:bottom w:w="0" w:type="dxa"/>
            <w:right w:w="108" w:type="dxa"/>
          </w:tblCellMar>
        </w:tblPrEx>
        <w:trPr>
          <w:trHeight w:val="566"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shd w:val="clear" w:color="auto" w:fill="auto"/>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shd w:val="clear" w:color="auto" w:fill="auto"/>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乡街级政府</w:t>
            </w:r>
          </w:p>
        </w:tc>
      </w:tr>
      <w:tr>
        <w:tblPrEx>
          <w:shd w:val="clear" w:color="auto" w:fill="auto"/>
          <w:tblCellMar>
            <w:top w:w="0" w:type="dxa"/>
            <w:left w:w="108" w:type="dxa"/>
            <w:bottom w:w="0" w:type="dxa"/>
            <w:right w:w="108" w:type="dxa"/>
          </w:tblCellMar>
        </w:tblPrEx>
        <w:trPr>
          <w:trHeight w:val="633"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回应时效</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评估对各类舆情回应时效情况（1.快速反应、及时发声（最迟要在5小时内发布权威信息）；2.最迟应在24小时内举行新闻发布会；3.对其他政务舆情应在48小时内予以回应；4.持续发布权威信息；5. 主要负责人带头主动发声）</w:t>
            </w:r>
          </w:p>
        </w:tc>
        <w:tc>
          <w:tcPr>
            <w:tcW w:w="4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《国务院办公厅关于在政务公开工作中进一步做好政务舆情回应的通知》（国办发〔2016〕61号）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66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649"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53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9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回应质量</w:t>
            </w:r>
          </w:p>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lang w:val="en-US"/>
              </w:rPr>
            </w:pPr>
            <w:r>
              <w:rPr>
                <w:rFonts w:hint="eastAsia" w:hAnsi="宋体" w:cs="宋体"/>
                <w:i w:val="0"/>
                <w:iCs w:val="0"/>
                <w:color w:val="auto"/>
                <w:kern w:val="0"/>
                <w:sz w:val="18"/>
                <w:szCs w:val="18"/>
                <w:highlight w:val="none"/>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评估的舆情回应质量，如是否实事求是，无自说自话情况，讲清楚真相、措施及结果，表达准确、亲切、自然。</w:t>
            </w:r>
          </w:p>
        </w:tc>
        <w:tc>
          <w:tcPr>
            <w:tcW w:w="4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《国务院办公厅关于在政务公开工作中进一步做好政务舆情回应的通知》（国办发〔2016〕61号）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8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515"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502" w:hRule="atLeast"/>
          <w:jc w:val="center"/>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rPr>
          <w:rFonts w:hint="eastAsia"/>
          <w:color w:val="auto"/>
          <w:highlight w:val="none"/>
          <w:lang w:val="en-US" w:eastAsia="zh-CN"/>
        </w:rPr>
      </w:pPr>
      <w:r>
        <w:rPr>
          <w:rFonts w:hint="eastAsia"/>
          <w:color w:val="auto"/>
          <w:highlight w:val="none"/>
          <w:lang w:val="en-US" w:eastAsia="zh-CN"/>
        </w:rPr>
        <w:br w:type="page"/>
      </w:r>
    </w:p>
    <w:p>
      <w:pPr>
        <w:pStyle w:val="102"/>
        <w:numPr>
          <w:ilvl w:val="1"/>
          <w:numId w:val="0"/>
        </w:numPr>
        <w:bidi w:val="0"/>
        <w:ind w:leftChars="0"/>
        <w:jc w:val="center"/>
        <w:rPr>
          <w:rFonts w:hint="default"/>
          <w:color w:val="auto"/>
          <w:highlight w:val="none"/>
          <w:lang w:val="en-US" w:eastAsia="zh-CN"/>
        </w:rPr>
      </w:pPr>
      <w:r>
        <w:rPr>
          <w:rFonts w:hint="eastAsia"/>
          <w:color w:val="auto"/>
          <w:highlight w:val="none"/>
          <w:lang w:val="en-US" w:eastAsia="zh-CN"/>
        </w:rPr>
        <w:t>表A.1　政务公开评估指标及内容</w:t>
      </w:r>
      <w:r>
        <w:rPr>
          <w:rFonts w:hint="eastAsia" w:ascii="宋体" w:hAnsi="宋体" w:eastAsia="宋体" w:cs="宋体"/>
          <w:color w:val="auto"/>
          <w:highlight w:val="none"/>
          <w:lang w:val="en-US" w:eastAsia="zh-CN"/>
        </w:rPr>
        <w:t>（续）</w:t>
      </w:r>
    </w:p>
    <w:tbl>
      <w:tblPr>
        <w:tblStyle w:val="20"/>
        <w:tblW w:w="13219" w:type="dxa"/>
        <w:jc w:val="center"/>
        <w:shd w:val="clear" w:color="auto" w:fill="auto"/>
        <w:tblLayout w:type="autofit"/>
        <w:tblCellMar>
          <w:top w:w="0" w:type="dxa"/>
          <w:left w:w="108" w:type="dxa"/>
          <w:bottom w:w="0" w:type="dxa"/>
          <w:right w:w="108" w:type="dxa"/>
        </w:tblCellMar>
      </w:tblPr>
      <w:tblGrid>
        <w:gridCol w:w="800"/>
        <w:gridCol w:w="950"/>
        <w:gridCol w:w="1315"/>
        <w:gridCol w:w="1132"/>
        <w:gridCol w:w="3075"/>
        <w:gridCol w:w="4383"/>
        <w:gridCol w:w="1564"/>
      </w:tblGrid>
      <w:tr>
        <w:tblPrEx>
          <w:tblCellMar>
            <w:top w:w="0" w:type="dxa"/>
            <w:left w:w="108" w:type="dxa"/>
            <w:bottom w:w="0" w:type="dxa"/>
            <w:right w:w="108" w:type="dxa"/>
          </w:tblCellMar>
        </w:tblPrEx>
        <w:trPr>
          <w:trHeight w:val="40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r>
              <w:rPr>
                <w:rFonts w:hint="eastAsia" w:hAnsi="宋体" w:cs="宋体"/>
                <w:i w:val="0"/>
                <w:iCs w:val="0"/>
                <w:color w:val="auto"/>
                <w:kern w:val="0"/>
                <w:sz w:val="18"/>
                <w:szCs w:val="18"/>
                <w:highlight w:val="none"/>
                <w:u w:val="none"/>
                <w:lang w:val="en-US" w:eastAsia="zh-CN" w:bidi="ar"/>
              </w:rPr>
              <w:t>(分值)</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二级</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三级指标</w:t>
            </w:r>
          </w:p>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(分值)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评估方式</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评估要点</w:t>
            </w:r>
          </w:p>
        </w:tc>
        <w:tc>
          <w:tcPr>
            <w:tcW w:w="4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指标依据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评估指标</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适应层级</w:t>
            </w:r>
          </w:p>
        </w:tc>
      </w:tr>
      <w:tr>
        <w:tblPrEx>
          <w:shd w:val="clear" w:color="auto" w:fill="auto"/>
          <w:tblCellMar>
            <w:top w:w="0" w:type="dxa"/>
            <w:left w:w="108" w:type="dxa"/>
            <w:bottom w:w="0" w:type="dxa"/>
            <w:right w:w="108" w:type="dxa"/>
          </w:tblCellMar>
        </w:tblPrEx>
        <w:trPr>
          <w:trHeight w:val="395" w:hRule="atLeast"/>
          <w:jc w:val="center"/>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监督</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保障</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 xml:space="preserve">信息公开 </w:t>
            </w:r>
          </w:p>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工作年报</w:t>
            </w:r>
            <w:r>
              <w:rPr>
                <w:rFonts w:hint="eastAsia" w:hAnsi="宋体" w:cs="宋体"/>
                <w:i w:val="0"/>
                <w:iCs w:val="0"/>
                <w:color w:val="auto"/>
                <w:kern w:val="0"/>
                <w:sz w:val="18"/>
                <w:szCs w:val="18"/>
                <w:highlight w:val="none"/>
                <w:u w:val="none"/>
                <w:lang w:val="en-US" w:eastAsia="zh-CN" w:bidi="ar"/>
              </w:rPr>
              <w:t>（6）</w:t>
            </w: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年报格式</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(1)</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评估信息公开工作年报的格式规范性情况。</w:t>
            </w:r>
          </w:p>
        </w:tc>
        <w:tc>
          <w:tcPr>
            <w:tcW w:w="4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 第五十条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2.《国务院办公厅政府信息与政务公开办公室关于政府信息公开工作年度报告有关事项的通知》（国办公开办函〔2019〕60号）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年报发布时间</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(1)</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评估信息公开工作年报是否符合《条例》对应要求时间按时发布。</w:t>
            </w:r>
          </w:p>
        </w:tc>
        <w:tc>
          <w:tcPr>
            <w:tcW w:w="4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 第四十九条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2.《国务院办公厅政府信息与政务公开办公室关于政府信息公开工作年度报告有关事项的通知》（国办公开办函〔2019〕60号）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年报质量</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评估信息公开工作年报的质量情况，包括内容是否全面、数据是否准确等。</w:t>
            </w:r>
          </w:p>
        </w:tc>
        <w:tc>
          <w:tcPr>
            <w:tcW w:w="4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1.《中华人民共和国政府信息公开条例》， 第五十条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2.《国务院办公厅政府信息与政务公开办公室关于政府信息公开工作年度报告有关事项的通知》（国办公开办函〔2019〕60号）</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工作创新</w:t>
            </w:r>
          </w:p>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hAnsi="宋体" w:cs="宋体"/>
                <w:i w:val="0"/>
                <w:iCs w:val="0"/>
                <w:color w:val="auto"/>
                <w:kern w:val="0"/>
                <w:sz w:val="18"/>
                <w:szCs w:val="18"/>
                <w:highlight w:val="none"/>
                <w:u w:val="none"/>
                <w:lang w:val="en-US" w:eastAsia="zh-CN" w:bidi="ar"/>
              </w:rPr>
              <w:t>（2）</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线上评估</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评估信息公开工作年报发布的创新情况，包括开展年报解读或多渠道发布年报等。</w:t>
            </w:r>
          </w:p>
        </w:tc>
        <w:tc>
          <w:tcPr>
            <w:tcW w:w="4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lang w:val="en-US" w:eastAsia="zh-CN"/>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省级政府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地市级政府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区县级政府</w:t>
            </w:r>
          </w:p>
        </w:tc>
      </w:tr>
      <w:tr>
        <w:tblPrEx>
          <w:shd w:val="clear" w:color="auto" w:fill="auto"/>
          <w:tblCellMar>
            <w:top w:w="0" w:type="dxa"/>
            <w:left w:w="108" w:type="dxa"/>
            <w:bottom w:w="0" w:type="dxa"/>
            <w:right w:w="108" w:type="dxa"/>
          </w:tblCellMar>
        </w:tblPrEx>
        <w:trPr>
          <w:trHeight w:val="425" w:hRule="atLeast"/>
          <w:jc w:val="center"/>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highlight w:val="none"/>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4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8"/>
                <w:szCs w:val="18"/>
                <w:highlight w:val="none"/>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乡街级政府</w:t>
            </w:r>
          </w:p>
        </w:tc>
      </w:tr>
    </w:tbl>
    <w:p>
      <w:pPr>
        <w:rPr>
          <w:rFonts w:hint="default"/>
          <w:color w:val="auto"/>
          <w:highlight w:val="none"/>
          <w:lang w:val="en-US" w:eastAsia="zh-CN"/>
        </w:rPr>
      </w:pPr>
    </w:p>
    <w:p>
      <w:pPr>
        <w:pStyle w:val="99"/>
        <w:bidi w:val="0"/>
        <w:rPr>
          <w:rFonts w:hint="default"/>
          <w:color w:val="auto"/>
          <w:highlight w:val="none"/>
          <w:lang w:val="en-US" w:eastAsia="zh-CN"/>
        </w:rPr>
      </w:pPr>
    </w:p>
    <w:p>
      <w:pPr>
        <w:pStyle w:val="101"/>
        <w:bidi w:val="0"/>
        <w:rPr>
          <w:rFonts w:hint="default"/>
          <w:color w:val="auto"/>
          <w:highlight w:val="none"/>
          <w:lang w:val="en-US" w:eastAsia="zh-CN"/>
        </w:rPr>
      </w:pPr>
    </w:p>
    <w:p>
      <w:pPr>
        <w:rPr>
          <w:rFonts w:hint="default"/>
          <w:color w:val="auto"/>
          <w:highlight w:val="none"/>
          <w:lang w:val="en-US" w:eastAsia="zh-CN"/>
        </w:rPr>
        <w:sectPr>
          <w:pgSz w:w="16838" w:h="11906" w:orient="landscape"/>
          <w:pgMar w:top="1134" w:right="1871" w:bottom="1134" w:left="1134" w:header="1418" w:footer="1134" w:gutter="283"/>
          <w:pgBorders>
            <w:top w:val="none" w:sz="0" w:space="0"/>
            <w:left w:val="none" w:sz="0" w:space="0"/>
            <w:bottom w:val="none" w:sz="0" w:space="0"/>
            <w:right w:val="none" w:sz="0" w:space="0"/>
          </w:pgBorders>
          <w:lnNumType w:countBy="0" w:restart="continuous"/>
          <w:pgNumType w:fmt="decimal"/>
          <w:cols w:space="0" w:num="1"/>
          <w:formProt w:val="0"/>
          <w:rtlGutter w:val="0"/>
          <w:docGrid w:type="lines" w:linePitch="321" w:charSpace="0"/>
        </w:sectPr>
      </w:pPr>
    </w:p>
    <w:p>
      <w:pPr>
        <w:pStyle w:val="25"/>
        <w:rPr>
          <w:rFonts w:hint="default"/>
          <w:color w:val="auto"/>
          <w:highlight w:val="none"/>
          <w:lang w:val="en-US" w:eastAsia="zh-CN"/>
        </w:rPr>
      </w:pPr>
    </w:p>
    <w:p>
      <w:pPr>
        <w:pStyle w:val="88"/>
        <w:bidi w:val="0"/>
        <w:rPr>
          <w:rFonts w:hint="default"/>
          <w:color w:val="auto"/>
          <w:highlight w:val="none"/>
          <w:lang w:val="en-US" w:eastAsia="zh-CN"/>
        </w:rPr>
      </w:pPr>
      <w:r>
        <w:rPr>
          <w:rFonts w:hint="default"/>
          <w:color w:val="auto"/>
          <w:highlight w:val="none"/>
          <w:lang w:val="en-US" w:eastAsia="zh-CN"/>
        </w:rPr>
        <w:br w:type="textWrapping"/>
      </w:r>
      <w:r>
        <w:rPr>
          <w:rFonts w:hint="eastAsia"/>
          <w:color w:val="auto"/>
          <w:highlight w:val="none"/>
          <w:lang w:val="en-US" w:eastAsia="zh-CN"/>
        </w:rPr>
        <w:t>（资料性）</w:t>
      </w:r>
      <w:r>
        <w:rPr>
          <w:rFonts w:hint="eastAsia"/>
          <w:color w:val="auto"/>
          <w:highlight w:val="none"/>
          <w:lang w:val="en-US" w:eastAsia="zh-CN"/>
        </w:rPr>
        <w:br w:type="textWrapping"/>
      </w:r>
      <w:r>
        <w:rPr>
          <w:rFonts w:hint="eastAsia"/>
          <w:color w:val="auto"/>
          <w:highlight w:val="none"/>
          <w:lang w:val="en-US" w:eastAsia="zh-CN"/>
        </w:rPr>
        <w:t>政务公开评估流程</w:t>
      </w:r>
    </w:p>
    <w:p>
      <w:pPr>
        <w:pStyle w:val="89"/>
        <w:bidi w:val="0"/>
        <w:rPr>
          <w:rFonts w:hint="default"/>
          <w:color w:val="auto"/>
          <w:highlight w:val="none"/>
          <w:lang w:val="en-US" w:eastAsia="zh-CN"/>
        </w:rPr>
      </w:pPr>
      <w:r>
        <w:rPr>
          <w:rFonts w:hint="eastAsia"/>
          <w:color w:val="auto"/>
          <w:highlight w:val="none"/>
          <w:lang w:val="en-US" w:eastAsia="zh-CN"/>
        </w:rPr>
        <w:t>政务公开评估流程</w:t>
      </w:r>
    </w:p>
    <w:p>
      <w:pPr>
        <w:pStyle w:val="90"/>
        <w:bidi w:val="0"/>
        <w:rPr>
          <w:rFonts w:hint="default"/>
          <w:color w:val="auto"/>
          <w:highlight w:val="none"/>
          <w:lang w:val="en-US" w:eastAsia="zh-CN"/>
        </w:rPr>
      </w:pPr>
      <w:r>
        <w:rPr>
          <w:rFonts w:hint="eastAsia"/>
          <w:color w:val="auto"/>
          <w:highlight w:val="none"/>
          <w:lang w:val="en-US" w:eastAsia="zh-CN"/>
        </w:rPr>
        <w:t>明确评估主体</w:t>
      </w:r>
    </w:p>
    <w:p>
      <w:pPr>
        <w:pStyle w:val="25"/>
        <w:bidi w:val="0"/>
        <w:rPr>
          <w:rFonts w:hint="default"/>
          <w:color w:val="auto"/>
          <w:highlight w:val="none"/>
          <w:lang w:val="en-US" w:eastAsia="zh-CN"/>
        </w:rPr>
      </w:pPr>
      <w:r>
        <w:rPr>
          <w:rFonts w:hint="eastAsia"/>
          <w:color w:val="auto"/>
          <w:highlight w:val="none"/>
          <w:lang w:val="en-US" w:eastAsia="zh-CN"/>
        </w:rPr>
        <w:t>按照</w:t>
      </w:r>
      <w:r>
        <w:rPr>
          <w:rFonts w:hint="eastAsia" w:ascii="宋体" w:hAnsi="Times New Roman" w:eastAsia="宋体" w:cs="宋体"/>
          <w:color w:val="auto"/>
          <w:highlight w:val="none"/>
          <w:lang w:val="en-US" w:eastAsia="zh-CN"/>
        </w:rPr>
        <w:t>第5章要</w:t>
      </w:r>
      <w:r>
        <w:rPr>
          <w:rFonts w:hint="eastAsia"/>
          <w:color w:val="auto"/>
          <w:highlight w:val="none"/>
          <w:lang w:val="en-US" w:eastAsia="zh-CN"/>
        </w:rPr>
        <w:t>求组织</w:t>
      </w:r>
      <w:r>
        <w:rPr>
          <w:rFonts w:hint="default"/>
          <w:color w:val="auto"/>
          <w:highlight w:val="none"/>
          <w:lang w:val="en-US" w:eastAsia="zh-CN"/>
        </w:rPr>
        <w:t>成立政务公开评估小组</w:t>
      </w:r>
      <w:r>
        <w:rPr>
          <w:rFonts w:hint="eastAsia"/>
          <w:color w:val="auto"/>
          <w:highlight w:val="none"/>
          <w:lang w:val="en-US" w:eastAsia="zh-CN"/>
        </w:rPr>
        <w:t>或确定第三方评估机构</w:t>
      </w:r>
      <w:r>
        <w:rPr>
          <w:rFonts w:hint="default"/>
          <w:color w:val="auto"/>
          <w:highlight w:val="none"/>
          <w:lang w:val="en-US" w:eastAsia="zh-CN"/>
        </w:rPr>
        <w:t>。</w:t>
      </w:r>
    </w:p>
    <w:p>
      <w:pPr>
        <w:pStyle w:val="90"/>
        <w:bidi w:val="0"/>
        <w:rPr>
          <w:rFonts w:hint="eastAsia"/>
          <w:color w:val="auto"/>
          <w:highlight w:val="none"/>
          <w:lang w:val="en-US" w:eastAsia="zh-CN"/>
        </w:rPr>
      </w:pPr>
      <w:r>
        <w:rPr>
          <w:rFonts w:hint="eastAsia"/>
          <w:color w:val="auto"/>
          <w:highlight w:val="none"/>
          <w:lang w:val="en-US" w:eastAsia="zh-CN"/>
        </w:rPr>
        <w:t>制定评估方案</w:t>
      </w:r>
    </w:p>
    <w:p>
      <w:pPr>
        <w:pStyle w:val="121"/>
        <w:rPr>
          <w:rFonts w:hint="default"/>
          <w:color w:val="auto"/>
          <w:highlight w:val="none"/>
          <w:lang w:val="en-US" w:eastAsia="zh-CN"/>
        </w:rPr>
      </w:pPr>
      <w:r>
        <w:rPr>
          <w:rFonts w:hint="default"/>
          <w:color w:val="auto"/>
          <w:highlight w:val="none"/>
          <w:lang w:val="en-US" w:eastAsia="zh-CN"/>
        </w:rPr>
        <w:t>根据相关要求制订</w:t>
      </w:r>
      <w:r>
        <w:rPr>
          <w:rFonts w:hint="eastAsia"/>
          <w:color w:val="auto"/>
          <w:highlight w:val="none"/>
          <w:lang w:val="en-US" w:eastAsia="zh-CN"/>
        </w:rPr>
        <w:t>评估</w:t>
      </w:r>
      <w:r>
        <w:rPr>
          <w:rFonts w:hint="default"/>
          <w:color w:val="auto"/>
          <w:highlight w:val="none"/>
          <w:lang w:val="en-US" w:eastAsia="zh-CN"/>
        </w:rPr>
        <w:t>方案，</w:t>
      </w:r>
      <w:r>
        <w:rPr>
          <w:rFonts w:hint="eastAsia"/>
          <w:color w:val="auto"/>
          <w:highlight w:val="none"/>
          <w:lang w:val="en-US" w:eastAsia="zh-CN"/>
        </w:rPr>
        <w:t>方案包含但不限于评估目的、评估依据、评估对象、评估指标及内容、评估方法、评估时间等</w:t>
      </w:r>
      <w:r>
        <w:rPr>
          <w:rFonts w:hint="default"/>
          <w:color w:val="auto"/>
          <w:highlight w:val="none"/>
          <w:lang w:val="en-US" w:eastAsia="zh-CN"/>
        </w:rPr>
        <w:t>。</w:t>
      </w:r>
    </w:p>
    <w:p>
      <w:pPr>
        <w:pStyle w:val="90"/>
        <w:bidi w:val="0"/>
        <w:rPr>
          <w:rFonts w:hint="eastAsia"/>
          <w:color w:val="auto"/>
          <w:highlight w:val="none"/>
          <w:lang w:val="en-US" w:eastAsia="zh-CN"/>
        </w:rPr>
      </w:pPr>
      <w:r>
        <w:rPr>
          <w:rFonts w:hint="eastAsia"/>
          <w:color w:val="auto"/>
          <w:highlight w:val="none"/>
          <w:lang w:val="en-US" w:eastAsia="zh-CN"/>
        </w:rPr>
        <w:t>实施评估</w:t>
      </w:r>
    </w:p>
    <w:p>
      <w:pPr>
        <w:pStyle w:val="121"/>
        <w:ind w:left="0" w:leftChars="0" w:firstLine="0" w:firstLineChars="0"/>
        <w:rPr>
          <w:rFonts w:hint="default"/>
          <w:color w:val="auto"/>
          <w:highlight w:val="none"/>
          <w:lang w:val="en-US" w:eastAsia="zh-CN"/>
        </w:rPr>
      </w:pPr>
      <w:r>
        <w:rPr>
          <w:rFonts w:hint="eastAsia" w:ascii="黑体" w:hAnsi="黑体" w:eastAsia="黑体" w:cs="黑体"/>
          <w:color w:val="auto"/>
          <w:highlight w:val="none"/>
          <w:lang w:val="en-US" w:eastAsia="zh-CN"/>
        </w:rPr>
        <w:t xml:space="preserve">B.1.3.1  </w:t>
      </w:r>
      <w:r>
        <w:rPr>
          <w:rFonts w:hint="default"/>
          <w:color w:val="auto"/>
          <w:highlight w:val="none"/>
          <w:lang w:val="en-US" w:eastAsia="zh-CN"/>
        </w:rPr>
        <w:t>评估小组依据</w:t>
      </w:r>
      <w:r>
        <w:rPr>
          <w:rFonts w:hint="eastAsia"/>
          <w:color w:val="auto"/>
          <w:highlight w:val="none"/>
          <w:lang w:val="en-US" w:eastAsia="zh-CN"/>
        </w:rPr>
        <w:t>评估方案采集评估数据信息，并做好数据采集过程及评估数据的记录，确保评估结果可追溯。</w:t>
      </w:r>
    </w:p>
    <w:p>
      <w:pPr>
        <w:pStyle w:val="121"/>
        <w:ind w:left="0" w:leftChars="0" w:firstLine="0" w:firstLineChars="0"/>
        <w:rPr>
          <w:rFonts w:hint="eastAsia"/>
          <w:color w:val="auto"/>
          <w:highlight w:val="none"/>
          <w:lang w:val="en-US" w:eastAsia="zh-CN"/>
        </w:rPr>
      </w:pPr>
      <w:r>
        <w:rPr>
          <w:rFonts w:hint="eastAsia" w:ascii="黑体" w:hAnsi="黑体" w:eastAsia="黑体" w:cs="黑体"/>
          <w:color w:val="auto"/>
          <w:highlight w:val="none"/>
          <w:lang w:val="en-US" w:eastAsia="zh-CN"/>
        </w:rPr>
        <w:t xml:space="preserve">B.1.3.2  </w:t>
      </w:r>
      <w:r>
        <w:rPr>
          <w:rFonts w:hint="eastAsia"/>
          <w:color w:val="auto"/>
          <w:highlight w:val="none"/>
          <w:lang w:val="en-US" w:eastAsia="zh-CN"/>
        </w:rPr>
        <w:t>对采集的评估数据进行分析，剔除问题数据，确保评估数据的合理准确。</w:t>
      </w:r>
    </w:p>
    <w:p>
      <w:pPr>
        <w:pStyle w:val="90"/>
        <w:bidi w:val="0"/>
        <w:rPr>
          <w:rFonts w:hint="eastAsia"/>
          <w:color w:val="auto"/>
          <w:highlight w:val="none"/>
          <w:lang w:val="en-US" w:eastAsia="zh-CN"/>
        </w:rPr>
      </w:pPr>
      <w:r>
        <w:rPr>
          <w:rFonts w:hint="eastAsia"/>
          <w:color w:val="auto"/>
          <w:highlight w:val="none"/>
          <w:lang w:val="en-US" w:eastAsia="zh-CN"/>
        </w:rPr>
        <w:t>撰写报告</w:t>
      </w:r>
    </w:p>
    <w:p>
      <w:pPr>
        <w:pStyle w:val="121"/>
        <w:rPr>
          <w:rFonts w:hint="eastAsia"/>
          <w:color w:val="auto"/>
          <w:highlight w:val="none"/>
          <w:lang w:val="en-US" w:eastAsia="zh-CN"/>
        </w:rPr>
      </w:pPr>
      <w:r>
        <w:rPr>
          <w:rFonts w:hint="eastAsia"/>
          <w:color w:val="auto"/>
          <w:highlight w:val="none"/>
          <w:lang w:val="en-US" w:eastAsia="zh-CN"/>
        </w:rPr>
        <w:t>按照第9章的方法计算最终得分，并分别</w:t>
      </w:r>
      <w:r>
        <w:rPr>
          <w:rFonts w:hint="default"/>
          <w:color w:val="auto"/>
          <w:highlight w:val="none"/>
          <w:lang w:val="en-US" w:eastAsia="zh-CN"/>
        </w:rPr>
        <w:t>确定评估等次</w:t>
      </w:r>
      <w:r>
        <w:rPr>
          <w:rFonts w:hint="eastAsia"/>
          <w:color w:val="auto"/>
          <w:highlight w:val="none"/>
          <w:lang w:val="en-US" w:eastAsia="zh-CN"/>
        </w:rPr>
        <w:t>。对各级评估指标的得分进行汇总分析，撰写政务公开评估报告。评估报告包含但不限于以下部分：</w:t>
      </w:r>
    </w:p>
    <w:p>
      <w:pPr>
        <w:pStyle w:val="66"/>
        <w:bidi w:val="0"/>
        <w:ind w:left="839" w:leftChars="0" w:hanging="419" w:firstLineChars="0"/>
        <w:rPr>
          <w:rFonts w:hint="eastAsia"/>
          <w:color w:val="auto"/>
          <w:highlight w:val="none"/>
          <w:lang w:val="en-US" w:eastAsia="zh-CN"/>
        </w:rPr>
      </w:pPr>
      <w:r>
        <w:rPr>
          <w:rFonts w:hint="eastAsia"/>
          <w:color w:val="auto"/>
          <w:highlight w:val="none"/>
          <w:lang w:val="en-US" w:eastAsia="zh-CN"/>
        </w:rPr>
        <w:t>不同维度的评估结论，如公开渠道、公开内容等的分析结果；</w:t>
      </w:r>
    </w:p>
    <w:p>
      <w:pPr>
        <w:pStyle w:val="66"/>
        <w:bidi w:val="0"/>
        <w:ind w:left="839" w:leftChars="0" w:hanging="419" w:firstLineChars="0"/>
        <w:rPr>
          <w:rFonts w:hint="eastAsia"/>
          <w:color w:val="auto"/>
          <w:highlight w:val="none"/>
          <w:lang w:val="en-US" w:eastAsia="zh-CN"/>
        </w:rPr>
      </w:pPr>
      <w:r>
        <w:rPr>
          <w:rFonts w:hint="eastAsia"/>
          <w:color w:val="auto"/>
          <w:highlight w:val="none"/>
          <w:lang w:val="en-US" w:eastAsia="zh-CN"/>
        </w:rPr>
        <w:t>整体评估结论；</w:t>
      </w:r>
    </w:p>
    <w:p>
      <w:pPr>
        <w:pStyle w:val="66"/>
        <w:bidi w:val="0"/>
        <w:ind w:left="839" w:leftChars="0" w:hanging="419" w:firstLineChars="0"/>
        <w:rPr>
          <w:rFonts w:hint="eastAsia"/>
          <w:color w:val="auto"/>
          <w:highlight w:val="none"/>
          <w:lang w:val="en-US" w:eastAsia="zh-CN"/>
        </w:rPr>
      </w:pPr>
      <w:r>
        <w:rPr>
          <w:rFonts w:hint="eastAsia"/>
          <w:color w:val="auto"/>
          <w:highlight w:val="none"/>
          <w:lang w:val="en-US" w:eastAsia="zh-CN"/>
        </w:rPr>
        <w:t>问题与优势分析；</w:t>
      </w:r>
    </w:p>
    <w:p>
      <w:pPr>
        <w:pStyle w:val="66"/>
        <w:bidi w:val="0"/>
        <w:ind w:left="839" w:leftChars="0" w:hanging="419" w:firstLineChars="0"/>
        <w:rPr>
          <w:rFonts w:hint="default"/>
          <w:color w:val="auto"/>
          <w:highlight w:val="none"/>
          <w:lang w:val="en-US" w:eastAsia="zh-CN"/>
        </w:rPr>
      </w:pPr>
      <w:r>
        <w:rPr>
          <w:rFonts w:hint="eastAsia"/>
          <w:color w:val="auto"/>
          <w:highlight w:val="none"/>
          <w:lang w:val="en-US" w:eastAsia="zh-CN"/>
        </w:rPr>
        <w:t>整改建议等。</w:t>
      </w:r>
    </w:p>
    <w:p>
      <w:pPr>
        <w:pStyle w:val="90"/>
        <w:bidi w:val="0"/>
        <w:rPr>
          <w:rFonts w:hint="default"/>
          <w:color w:val="auto"/>
          <w:highlight w:val="none"/>
          <w:lang w:val="en-US" w:eastAsia="zh-CN"/>
        </w:rPr>
      </w:pPr>
      <w:r>
        <w:rPr>
          <w:rFonts w:hint="eastAsia"/>
          <w:color w:val="auto"/>
          <w:highlight w:val="none"/>
          <w:lang w:val="en-US" w:eastAsia="zh-CN"/>
        </w:rPr>
        <w:t>结果公示</w:t>
      </w:r>
    </w:p>
    <w:p>
      <w:pPr>
        <w:pStyle w:val="121"/>
        <w:rPr>
          <w:rFonts w:hint="eastAsia" w:hAnsi="Times New Roman" w:cs="Times New Roman"/>
          <w:color w:val="auto"/>
          <w:highlight w:val="none"/>
          <w:lang w:val="en-US" w:eastAsia="zh-CN"/>
        </w:rPr>
      </w:pPr>
      <w:r>
        <w:rPr>
          <w:rFonts w:hint="eastAsia" w:hAnsi="Times New Roman" w:cs="Times New Roman"/>
          <w:color w:val="auto"/>
          <w:highlight w:val="none"/>
          <w:lang w:val="en-US" w:eastAsia="zh-CN"/>
        </w:rPr>
        <w:t>评估结果</w:t>
      </w:r>
      <w:r>
        <w:rPr>
          <w:rFonts w:hint="eastAsia" w:cs="Times New Roman"/>
          <w:color w:val="auto"/>
          <w:highlight w:val="none"/>
          <w:lang w:val="en-US" w:eastAsia="zh-CN"/>
        </w:rPr>
        <w:t>经政务公开主管部门审核</w:t>
      </w:r>
      <w:r>
        <w:rPr>
          <w:rFonts w:hint="eastAsia" w:hAnsi="Times New Roman" w:cs="Times New Roman"/>
          <w:color w:val="auto"/>
          <w:highlight w:val="none"/>
          <w:lang w:val="en-US" w:eastAsia="zh-CN"/>
        </w:rPr>
        <w:t>通过后，在本级政府网站上进行公示。</w:t>
      </w:r>
    </w:p>
    <w:p>
      <w:pPr>
        <w:pStyle w:val="90"/>
        <w:bidi w:val="0"/>
        <w:rPr>
          <w:rFonts w:hint="default"/>
          <w:color w:val="auto"/>
          <w:highlight w:val="none"/>
          <w:lang w:val="en-US" w:eastAsia="zh-CN"/>
        </w:rPr>
      </w:pPr>
      <w:r>
        <w:rPr>
          <w:rFonts w:hint="eastAsia"/>
          <w:color w:val="auto"/>
          <w:highlight w:val="none"/>
          <w:lang w:val="en-US" w:eastAsia="zh-CN"/>
        </w:rPr>
        <w:t>复核处理</w:t>
      </w:r>
    </w:p>
    <w:p>
      <w:pPr>
        <w:pStyle w:val="121"/>
        <w:rPr>
          <w:rFonts w:hint="default" w:hAnsi="Times New Roman" w:cs="Times New Roman"/>
          <w:color w:val="auto"/>
          <w:highlight w:val="none"/>
          <w:lang w:val="en-US" w:eastAsia="zh-CN"/>
        </w:rPr>
      </w:pPr>
      <w:r>
        <w:rPr>
          <w:rFonts w:hint="default" w:hAnsi="Times New Roman" w:cs="Times New Roman"/>
          <w:color w:val="auto"/>
          <w:highlight w:val="none"/>
          <w:lang w:val="en-US" w:eastAsia="zh-CN"/>
        </w:rPr>
        <w:t>被评估对象若对评估结果存在异议，应在评估结果公示期间向</w:t>
      </w:r>
      <w:r>
        <w:rPr>
          <w:rFonts w:hint="eastAsia" w:cs="Times New Roman"/>
          <w:color w:val="auto"/>
          <w:highlight w:val="none"/>
          <w:lang w:val="en-US" w:eastAsia="zh-CN"/>
        </w:rPr>
        <w:t>政务公开主管部门</w:t>
      </w:r>
      <w:r>
        <w:rPr>
          <w:rFonts w:hint="default" w:hAnsi="Times New Roman" w:cs="Times New Roman"/>
          <w:color w:val="auto"/>
          <w:highlight w:val="none"/>
          <w:lang w:val="en-US" w:eastAsia="zh-CN"/>
        </w:rPr>
        <w:t>提出书面复核申请，</w:t>
      </w:r>
      <w:r>
        <w:rPr>
          <w:rFonts w:hint="eastAsia" w:cs="Times New Roman"/>
          <w:color w:val="auto"/>
          <w:highlight w:val="none"/>
          <w:lang w:val="en-US" w:eastAsia="zh-CN"/>
        </w:rPr>
        <w:t>政务公开主管部门</w:t>
      </w:r>
      <w:r>
        <w:rPr>
          <w:rFonts w:hint="default" w:hAnsi="Times New Roman" w:cs="Times New Roman"/>
          <w:color w:val="auto"/>
          <w:highlight w:val="none"/>
          <w:lang w:val="en-US" w:eastAsia="zh-CN"/>
        </w:rPr>
        <w:t>审核通过后，进入复核流程，实施复核并及时公布复核结果。</w:t>
      </w:r>
    </w:p>
    <w:p>
      <w:pPr>
        <w:pStyle w:val="121"/>
        <w:rPr>
          <w:rFonts w:hint="eastAsia" w:hAnsi="Times New Roman" w:cs="Times New Roman"/>
          <w:color w:val="auto"/>
          <w:highlight w:val="none"/>
          <w:lang w:val="en-US" w:eastAsia="zh-CN"/>
        </w:rPr>
      </w:pPr>
    </w:p>
    <w:p>
      <w:pPr>
        <w:pStyle w:val="121"/>
        <w:rPr>
          <w:rFonts w:hint="default" w:hAnsi="Times New Roman" w:cs="Times New Roman"/>
          <w:color w:val="auto"/>
          <w:highlight w:val="none"/>
          <w:lang w:val="en-US" w:eastAsia="zh-CN"/>
        </w:rPr>
      </w:pPr>
    </w:p>
    <w:p>
      <w:pPr>
        <w:pStyle w:val="73"/>
        <w:numPr>
          <w:ilvl w:val="1"/>
          <w:numId w:val="0"/>
        </w:numPr>
        <w:bidi w:val="0"/>
        <w:ind w:leftChars="0"/>
        <w:rPr>
          <w:rFonts w:hint="default"/>
          <w:color w:val="auto"/>
          <w:highlight w:val="none"/>
          <w:lang w:val="en-US" w:eastAsia="zh-CN"/>
        </w:rPr>
      </w:pPr>
    </w:p>
    <w:p>
      <w:pPr>
        <w:rPr>
          <w:color w:val="auto"/>
          <w:highlight w:val="none"/>
        </w:rPr>
      </w:pPr>
      <w:bookmarkStart w:id="16" w:name="EndLine"/>
      <w:r>
        <w:rPr>
          <w:color w:val="auto"/>
          <w:highlight w:val="none"/>
        </w:rPr>
        <w:br w:type="page"/>
      </w:r>
      <w:bookmarkEnd w:id="15"/>
    </w:p>
    <w:p>
      <w:pPr>
        <w:pStyle w:val="34"/>
        <w:bidi w:val="0"/>
        <w:rPr>
          <w:rFonts w:hint="eastAsia"/>
          <w:color w:val="auto"/>
          <w:highlight w:val="none"/>
          <w:lang w:eastAsia="zh-CN"/>
        </w:rPr>
      </w:pPr>
      <w:r>
        <w:rPr>
          <w:rFonts w:hint="eastAsia"/>
          <w:color w:val="auto"/>
          <w:highlight w:val="none"/>
          <w:lang w:eastAsia="zh-CN"/>
        </w:rPr>
        <w:t>参</w:t>
      </w:r>
      <w:bookmarkStart w:id="17" w:name="BKCKWX"/>
      <w:r>
        <w:rPr>
          <w:rFonts w:hint="eastAsia"/>
          <w:color w:val="auto"/>
          <w:highlight w:val="none"/>
          <w:lang w:eastAsia="zh-CN"/>
        </w:rPr>
        <w:t>考文献</w:t>
      </w:r>
    </w:p>
    <w:p>
      <w:pPr>
        <w:pStyle w:val="25"/>
        <w:bidi w:val="0"/>
        <w:rPr>
          <w:rFonts w:hint="eastAsia"/>
          <w:color w:val="auto"/>
          <w:highlight w:val="none"/>
          <w:lang w:val="en-US" w:eastAsia="zh-CN"/>
        </w:rPr>
      </w:pPr>
      <w:r>
        <w:rPr>
          <w:rFonts w:hint="eastAsia"/>
          <w:color w:val="auto"/>
          <w:highlight w:val="none"/>
          <w:lang w:val="en-US" w:eastAsia="zh-CN"/>
        </w:rPr>
        <w:t>[1] 国务院办公厅印发《关于全面推进政务公开工作的意见》实施细则的通知（国办发〔2016〕80号）</w:t>
      </w:r>
    </w:p>
    <w:p>
      <w:pPr>
        <w:pStyle w:val="25"/>
        <w:bidi w:val="0"/>
        <w:rPr>
          <w:rFonts w:hint="default"/>
          <w:color w:val="auto"/>
          <w:highlight w:val="none"/>
          <w:lang w:val="en-US" w:eastAsia="zh-CN"/>
        </w:rPr>
      </w:pPr>
    </w:p>
    <w:p>
      <w:pPr>
        <w:pStyle w:val="25"/>
        <w:bidi w:val="0"/>
        <w:rPr>
          <w:rFonts w:hint="eastAsia"/>
          <w:color w:val="auto"/>
          <w:highlight w:val="none"/>
          <w:lang w:eastAsia="zh-CN"/>
        </w:rPr>
      </w:pPr>
    </w:p>
    <w:bookmarkEnd w:id="17"/>
    <w:p>
      <w:pPr>
        <w:pStyle w:val="25"/>
        <w:bidi w:val="0"/>
        <w:rPr>
          <w:rFonts w:hint="eastAsia"/>
          <w:color w:val="auto"/>
          <w:highlight w:val="none"/>
          <w:lang w:eastAsia="zh-CN"/>
        </w:rPr>
      </w:pPr>
    </w:p>
    <w:p>
      <w:pPr>
        <w:pStyle w:val="25"/>
        <w:bidi w:val="0"/>
        <w:rPr>
          <w:rFonts w:hint="eastAsia"/>
          <w:color w:val="auto"/>
          <w:highlight w:val="none"/>
          <w:lang w:eastAsia="zh-CN"/>
        </w:rPr>
      </w:pPr>
    </w:p>
    <w:p>
      <w:pPr>
        <w:pStyle w:val="113"/>
        <w:bidi w:val="0"/>
        <w:rPr>
          <w:rFonts w:hint="default"/>
          <w:color w:val="auto"/>
          <w:highlight w:val="none"/>
          <w:lang w:val="en-US" w:eastAsia="zh-CN"/>
        </w:rPr>
      </w:pPr>
      <w:r>
        <w:rPr>
          <w:rFonts w:hint="default"/>
          <w:color w:val="auto"/>
          <w:highlight w:val="none"/>
          <w:lang w:val="en-US" w:eastAsia="zh-CN"/>
        </w:rPr>
        <w:drawing>
          <wp:inline distT="0" distB="0" distL="114300" distR="114300">
            <wp:extent cx="1485900" cy="317500"/>
            <wp:effectExtent l="0" t="0" r="0" b="0"/>
            <wp:docPr id="2" name="图片 2" descr="EndLine"/>
            <wp:cNvGraphicFramePr/>
            <a:graphic xmlns:a="http://schemas.openxmlformats.org/drawingml/2006/main">
              <a:graphicData uri="http://schemas.openxmlformats.org/drawingml/2006/picture">
                <pic:pic xmlns:pic="http://schemas.openxmlformats.org/drawingml/2006/picture">
                  <pic:nvPicPr>
                    <pic:cNvPr id="2" name="图片 2" descr="EndLine"/>
                    <pic:cNvPicPr/>
                  </pic:nvPicPr>
                  <pic:blipFill>
                    <a:blip r:embed="rId10"/>
                    <a:stretch>
                      <a:fillRect/>
                    </a:stretch>
                  </pic:blipFill>
                  <pic:spPr>
                    <a:xfrm>
                      <a:off x="0" y="0"/>
                      <a:ext cx="1485900" cy="317500"/>
                    </a:xfrm>
                    <a:prstGeom prst="rect">
                      <a:avLst/>
                    </a:prstGeom>
                  </pic:spPr>
                </pic:pic>
              </a:graphicData>
            </a:graphic>
          </wp:inline>
        </w:drawing>
      </w:r>
      <w:bookmarkEnd w:id="16"/>
    </w:p>
    <w:sectPr>
      <w:pgSz w:w="11906" w:h="16838"/>
      <w:pgMar w:top="1871" w:right="1134" w:bottom="1134" w:left="1134" w:header="1418" w:footer="1134" w:gutter="283"/>
      <w:pgBorders>
        <w:top w:val="none" w:sz="0" w:space="0"/>
        <w:left w:val="none" w:sz="0" w:space="0"/>
        <w:bottom w:val="none" w:sz="0" w:space="0"/>
        <w:right w:val="none" w:sz="0" w:space="0"/>
      </w:pgBorders>
      <w:lnNumType w:countBy="0" w:restart="continuous"/>
      <w:pgNumType w:fmt="decimal"/>
      <w:cols w:space="0" w:num="1"/>
      <w:formProt w:val="0"/>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pP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宋体"/>
        <w:lang w:eastAsia="zh-CN"/>
      </w:rPr>
    </w:pPr>
    <w:r>
      <w:rPr>
        <w:rStyle w:val="23"/>
        <w:rFonts w:hint="eastAsia" w:eastAsia="宋体"/>
        <w:lang w:eastAsia="zh-CN"/>
      </w:rPr>
      <w:fldChar w:fldCharType="begin"/>
    </w:r>
    <w:r>
      <w:rPr>
        <w:rStyle w:val="23"/>
        <w:rFonts w:hint="eastAsia" w:eastAsia="宋体"/>
        <w:lang w:eastAsia="zh-CN"/>
      </w:rPr>
      <w:instrText xml:space="preserve"> PAGE  </w:instrText>
    </w:r>
    <w:r>
      <w:rPr>
        <w:rStyle w:val="23"/>
        <w:rFonts w:hint="eastAsia" w:eastAsia="宋体"/>
        <w:lang w:eastAsia="zh-CN"/>
      </w:rPr>
      <w:fldChar w:fldCharType="separate"/>
    </w:r>
    <w:r>
      <w:rPr>
        <w:rStyle w:val="23"/>
        <w:rFonts w:hint="eastAsia" w:eastAsia="宋体"/>
        <w:lang w:eastAsia="zh-CN"/>
      </w:rPr>
      <w:t>1</w:t>
    </w:r>
    <w:r>
      <w:rPr>
        <w:rStyle w:val="23"/>
        <w:rFonts w:hint="eastAsia" w:eastAsia="宋体"/>
        <w:lang w:eastAsia="zh-CN"/>
      </w:rPr>
      <w:fldChar w:fldCharType="end"/>
    </w:r>
  </w:p>
  <w:p>
    <w:pPr>
      <w:pStyle w:val="31"/>
      <w:bidi w:val="0"/>
      <w:rPr>
        <w:rFonts w:hint="eastAsia"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ind w:left="227"/>
    </w:pP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p>
  <w:p>
    <w:pPr>
      <w:pStyle w:val="13"/>
      <w:ind w:left="2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bidi w:val="0"/>
      <w:rPr>
        <w:rFonts w:hint="eastAsia"/>
        <w:lang w:eastAsia="zh-CN"/>
      </w:rPr>
    </w:pPr>
    <w:r>
      <w:rPr>
        <w:rFonts w:hint="eastAsia"/>
        <w:lang w:eastAsia="zh-CN"/>
      </w:rPr>
      <w:fldChar w:fldCharType="begin"/>
    </w:r>
    <w:r>
      <w:rPr>
        <w:rFonts w:hint="eastAsia"/>
        <w:lang w:eastAsia="zh-CN"/>
      </w:rPr>
      <w:instrText xml:space="preserve">  \* MERGEFORMAT </w:instrText>
    </w:r>
    <w:r>
      <w:rPr>
        <w:rFonts w:hint="eastAsia"/>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bidi w:val="0"/>
      <w:rPr>
        <w:rFonts w:hint="eastAsia"/>
        <w:lang w:eastAsia="zh-CN"/>
      </w:rPr>
    </w:pPr>
    <w:r>
      <w:rPr>
        <w:rFonts w:hint="eastAsia"/>
        <w:lang w:eastAsia="zh-CN"/>
      </w:rPr>
      <w:t xml:space="preserve">DB43/T XXX—2021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bidi w:val="0"/>
      <w:rPr>
        <w:rFonts w:hint="default" w:eastAsia="黑体"/>
        <w:lang w:val="en-US" w:eastAsia="zh-CN"/>
      </w:rPr>
    </w:pPr>
    <w:r>
      <w:rPr>
        <w:rFonts w:hint="eastAsia"/>
        <w:lang w:eastAsia="zh-CN"/>
      </w:rPr>
      <w:t>DB</w:t>
    </w:r>
    <w:r>
      <w:rPr>
        <w:rFonts w:hint="eastAsia"/>
        <w:lang w:val="en-US" w:eastAsia="zh-CN"/>
      </w:rPr>
      <w:t>43/T</w:t>
    </w:r>
    <w:r>
      <w:rPr>
        <w:rFonts w:hint="eastAsia"/>
        <w:lang w:eastAsia="zh-CN"/>
      </w:rPr>
      <w:t xml:space="preserve"> XXX—</w:t>
    </w:r>
    <w:r>
      <w:rPr>
        <w:rFonts w:hint="eastAsia"/>
        <w:lang w:val="en-US" w:eastAsia="zh-CN"/>
      </w:rPr>
      <w:t xml:space="preserve">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81841"/>
    <w:multiLevelType w:val="multilevel"/>
    <w:tmpl w:val="84881841"/>
    <w:lvl w:ilvl="0" w:tentative="0">
      <w:start w:val="1"/>
      <w:numFmt w:val="decimal"/>
      <w:pStyle w:val="115"/>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8D1464A5"/>
    <w:multiLevelType w:val="multilevel"/>
    <w:tmpl w:val="8D1464A5"/>
    <w:lvl w:ilvl="0" w:tentative="0">
      <w:start w:val="1"/>
      <w:numFmt w:val="decimal"/>
      <w:pStyle w:val="114"/>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95C103C3"/>
    <w:multiLevelType w:val="multilevel"/>
    <w:tmpl w:val="95C103C3"/>
    <w:lvl w:ilvl="0" w:tentative="0">
      <w:start w:val="1"/>
      <w:numFmt w:val="decimal"/>
      <w:pStyle w:val="17"/>
      <w:lvlText w:val="%1)"/>
      <w:lvlJc w:val="left"/>
      <w:pPr>
        <w:tabs>
          <w:tab w:val="left" w:pos="0"/>
        </w:tabs>
        <w:ind w:left="720" w:leftChars="0" w:hanging="357" w:firstLineChars="0"/>
      </w:pPr>
      <w:rPr>
        <w:rFonts w:hint="eastAsia" w:ascii="宋体" w:hAnsi="宋体" w:eastAsia="宋体" w:cs="宋体"/>
        <w:sz w:val="15"/>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AF609EF0"/>
    <w:multiLevelType w:val="multilevel"/>
    <w:tmpl w:val="AF609EF0"/>
    <w:lvl w:ilvl="0" w:tentative="0">
      <w:start w:val="1"/>
      <w:numFmt w:val="decimal"/>
      <w:pStyle w:val="106"/>
      <w:suff w:val="nothing"/>
      <w:lvlText w:val="示例%1："/>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B087613C"/>
    <w:multiLevelType w:val="multilevel"/>
    <w:tmpl w:val="B087613C"/>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
    <w:nsid w:val="BDC27719"/>
    <w:multiLevelType w:val="multilevel"/>
    <w:tmpl w:val="BDC27719"/>
    <w:lvl w:ilvl="0" w:tentative="0">
      <w:start w:val="1"/>
      <w:numFmt w:val="lowerLetter"/>
      <w:pStyle w:val="109"/>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D02443B0"/>
    <w:multiLevelType w:val="multilevel"/>
    <w:tmpl w:val="D02443B0"/>
    <w:lvl w:ilvl="0" w:tentative="0">
      <w:start w:val="1"/>
      <w:numFmt w:val="upperLetter"/>
      <w:pStyle w:val="99"/>
      <w:lvlText w:val="%1"/>
      <w:lvlJc w:val="left"/>
      <w:pPr>
        <w:tabs>
          <w:tab w:val="left" w:pos="0"/>
        </w:tabs>
        <w:ind w:left="0" w:leftChars="0" w:firstLine="0" w:firstLineChars="0"/>
      </w:pPr>
      <w:rPr>
        <w:rFonts w:hint="default"/>
      </w:rPr>
    </w:lvl>
    <w:lvl w:ilvl="1" w:tentative="0">
      <w:start w:val="1"/>
      <w:numFmt w:val="decimal"/>
      <w:suff w:val="nothing"/>
      <w:lvlText w:val="图%1.%2　"/>
      <w:lvlJc w:val="left"/>
      <w:pPr>
        <w:ind w:left="0" w:leftChars="0" w:firstLine="0" w:firstLineChars="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7">
    <w:nsid w:val="EE78B8F6"/>
    <w:multiLevelType w:val="multilevel"/>
    <w:tmpl w:val="EE78B8F6"/>
    <w:lvl w:ilvl="0" w:tentative="0">
      <w:start w:val="1"/>
      <w:numFmt w:val="upperLetter"/>
      <w:pStyle w:val="103"/>
      <w:lvlText w:val="%1"/>
      <w:lvlJc w:val="left"/>
      <w:pPr>
        <w:tabs>
          <w:tab w:val="left" w:pos="0"/>
        </w:tabs>
        <w:ind w:left="0" w:leftChars="0" w:firstLine="0" w:firstLineChars="0"/>
      </w:pPr>
      <w:rPr>
        <w:rFonts w:hint="default"/>
      </w:rPr>
    </w:lvl>
    <w:lvl w:ilvl="1" w:tentative="0">
      <w:start w:val="1"/>
      <w:numFmt w:val="decimal"/>
      <w:pStyle w:val="100"/>
      <w:suff w:val="nothing"/>
      <w:lvlText w:val="图%1.%2　"/>
      <w:lvlJc w:val="left"/>
      <w:pPr>
        <w:ind w:left="0" w:leftChars="0" w:firstLine="0" w:firstLineChars="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8">
    <w:nsid w:val="F09582E6"/>
    <w:multiLevelType w:val="multilevel"/>
    <w:tmpl w:val="F09582E6"/>
    <w:lvl w:ilvl="0" w:tentative="0">
      <w:start w:val="1"/>
      <w:numFmt w:val="upperLetter"/>
      <w:pStyle w:val="88"/>
      <w:suff w:val="nothing"/>
      <w:lvlText w:val="附录%1"/>
      <w:lvlJc w:val="left"/>
      <w:pPr>
        <w:ind w:left="0" w:leftChars="0" w:firstLine="0" w:firstLineChars="0"/>
      </w:pPr>
      <w:rPr>
        <w:rFonts w:hint="default"/>
        <w:spacing w:val="102"/>
      </w:rPr>
    </w:lvl>
    <w:lvl w:ilvl="1" w:tentative="0">
      <w:start w:val="1"/>
      <w:numFmt w:val="decimal"/>
      <w:pStyle w:val="89"/>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90"/>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91"/>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92"/>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93"/>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0B8BB661"/>
    <w:multiLevelType w:val="multilevel"/>
    <w:tmpl w:val="0B8BB661"/>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bullet"/>
      <w:pStyle w:val="65"/>
      <w:lvlText w:val=""/>
      <w:lvlJc w:val="left"/>
      <w:pPr>
        <w:tabs>
          <w:tab w:val="left" w:pos="760"/>
        </w:tabs>
        <w:ind w:left="1264" w:leftChars="0" w:hanging="414" w:firstLineChars="0"/>
      </w:pPr>
      <w:rPr>
        <w:rFonts w:hint="default" w:ascii="Symbol" w:hAnsi="Symbol" w:cs="Symbol"/>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1A305917"/>
    <w:multiLevelType w:val="multilevel"/>
    <w:tmpl w:val="1A305917"/>
    <w:lvl w:ilvl="0" w:tentative="0">
      <w:start w:val="1"/>
      <w:numFmt w:val="lowerLetter"/>
      <w:pStyle w:val="66"/>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pStyle w:val="63"/>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pStyle w:val="64"/>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1">
    <w:nsid w:val="1FC91163"/>
    <w:multiLevelType w:val="multilevel"/>
    <w:tmpl w:val="1FC91163"/>
    <w:lvl w:ilvl="0" w:tentative="0">
      <w:start w:val="1"/>
      <w:numFmt w:val="decimal"/>
      <w:pStyle w:val="12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2827D5B"/>
    <w:multiLevelType w:val="multilevel"/>
    <w:tmpl w:val="22827D5B"/>
    <w:lvl w:ilvl="0" w:tentative="0">
      <w:start w:val="1"/>
      <w:numFmt w:val="none"/>
      <w:pStyle w:val="12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2C5917C3"/>
    <w:multiLevelType w:val="multilevel"/>
    <w:tmpl w:val="2C5917C3"/>
    <w:lvl w:ilvl="0" w:tentative="0">
      <w:start w:val="1"/>
      <w:numFmt w:val="none"/>
      <w:pStyle w:val="125"/>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2CDBBC4B"/>
    <w:multiLevelType w:val="multilevel"/>
    <w:tmpl w:val="2CDBBC4B"/>
    <w:lvl w:ilvl="0" w:tentative="0">
      <w:start w:val="1"/>
      <w:numFmt w:val="upperLetter"/>
      <w:pStyle w:val="101"/>
      <w:lvlText w:val="%1"/>
      <w:lvlJc w:val="left"/>
      <w:pPr>
        <w:tabs>
          <w:tab w:val="left" w:pos="0"/>
        </w:tabs>
        <w:ind w:left="0" w:leftChars="0" w:firstLine="0" w:firstLineChars="0"/>
      </w:pPr>
      <w:rPr>
        <w:rFonts w:hint="default"/>
      </w:rPr>
    </w:lvl>
    <w:lvl w:ilvl="1" w:tentative="0">
      <w:start w:val="1"/>
      <w:numFmt w:val="decimal"/>
      <w:pStyle w:val="102"/>
      <w:suff w:val="nothing"/>
      <w:lvlText w:val="表%1.%2　"/>
      <w:lvlJc w:val="left"/>
      <w:pPr>
        <w:ind w:left="0" w:leftChars="0" w:firstLine="0" w:firstLineChars="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5">
    <w:nsid w:val="32A2C402"/>
    <w:multiLevelType w:val="multilevel"/>
    <w:tmpl w:val="32A2C402"/>
    <w:lvl w:ilvl="0" w:tentative="0">
      <w:start w:val="1"/>
      <w:numFmt w:val="decimal"/>
      <w:pStyle w:val="72"/>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73"/>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74"/>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75"/>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6"/>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77"/>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6">
    <w:nsid w:val="35D8DAD7"/>
    <w:multiLevelType w:val="multilevel"/>
    <w:tmpl w:val="35D8DAD7"/>
    <w:lvl w:ilvl="0" w:tentative="0">
      <w:start w:val="1"/>
      <w:numFmt w:val="decimal"/>
      <w:pStyle w:val="108"/>
      <w:suff w:val="nothing"/>
      <w:lvlText w:val="注%1："/>
      <w:lvlJc w:val="left"/>
      <w:pPr>
        <w:ind w:left="811" w:leftChars="0" w:hanging="448"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7">
    <w:nsid w:val="636D471A"/>
    <w:multiLevelType w:val="multilevel"/>
    <w:tmpl w:val="636D471A"/>
    <w:lvl w:ilvl="0" w:tentative="0">
      <w:start w:val="1"/>
      <w:numFmt w:val="none"/>
      <w:pStyle w:val="55"/>
      <w:lvlText w:val="%1"/>
      <w:lvlJc w:val="left"/>
      <w:pPr>
        <w:ind w:left="425" w:leftChars="0" w:hanging="425" w:firstLineChars="0"/>
      </w:pPr>
      <w:rPr>
        <w:rFonts w:hint="default"/>
      </w:rPr>
    </w:lvl>
    <w:lvl w:ilvl="1" w:tentative="0">
      <w:start w:val="1"/>
      <w:numFmt w:val="decimal"/>
      <w:pStyle w:val="56"/>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57"/>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58"/>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59"/>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60"/>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8">
    <w:nsid w:val="697F8CC5"/>
    <w:multiLevelType w:val="multilevel"/>
    <w:tmpl w:val="697F8CC5"/>
    <w:lvl w:ilvl="0" w:tentative="0">
      <w:start w:val="1"/>
      <w:numFmt w:val="none"/>
      <w:pStyle w:val="62"/>
      <w:lvlText w:val="%1——"/>
      <w:lvlJc w:val="left"/>
      <w:pPr>
        <w:ind w:left="845" w:leftChars="0" w:hanging="425" w:firstLineChars="0"/>
      </w:pPr>
      <w:rPr>
        <w:rFonts w:hint="default" w:ascii="Times New Roman" w:hAnsi="Times New Roman" w:cs="Times New Roman"/>
        <w:sz w:val="20"/>
      </w:rPr>
    </w:lvl>
    <w:lvl w:ilvl="1" w:tentative="0">
      <w:start w:val="1"/>
      <w:numFmt w:val="bullet"/>
      <w:lvlText w:val=""/>
      <w:lvlJc w:val="left"/>
      <w:pPr>
        <w:tabs>
          <w:tab w:val="left" w:pos="760"/>
        </w:tabs>
        <w:ind w:left="1264" w:leftChars="0" w:hanging="414" w:firstLineChars="0"/>
      </w:pPr>
      <w:rPr>
        <w:rFonts w:hint="default" w:ascii="Symbol" w:hAnsi="Symbol" w:cs="Symbol"/>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9">
    <w:nsid w:val="6DBF04F4"/>
    <w:multiLevelType w:val="multilevel"/>
    <w:tmpl w:val="6DBF04F4"/>
    <w:lvl w:ilvl="0" w:tentative="0">
      <w:start w:val="1"/>
      <w:numFmt w:val="none"/>
      <w:pStyle w:val="12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0">
    <w:nsid w:val="73EC4A5A"/>
    <w:multiLevelType w:val="multilevel"/>
    <w:tmpl w:val="73EC4A5A"/>
    <w:lvl w:ilvl="0" w:tentative="0">
      <w:start w:val="1"/>
      <w:numFmt w:val="none"/>
      <w:pStyle w:val="105"/>
      <w:suff w:val="nothing"/>
      <w:lvlText w:val="%1示例："/>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1">
    <w:nsid w:val="778AB3D1"/>
    <w:multiLevelType w:val="multilevel"/>
    <w:tmpl w:val="778AB3D1"/>
    <w:lvl w:ilvl="0" w:tentative="0">
      <w:start w:val="1"/>
      <w:numFmt w:val="none"/>
      <w:pStyle w:val="107"/>
      <w:suff w:val="nothing"/>
      <w:lvlText w:val="%1注："/>
      <w:lvlJc w:val="left"/>
      <w:pPr>
        <w:ind w:left="737" w:leftChars="0" w:hanging="374"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4"/>
  </w:num>
  <w:num w:numId="2">
    <w:abstractNumId w:val="7"/>
  </w:num>
  <w:num w:numId="3">
    <w:abstractNumId w:val="2"/>
  </w:num>
  <w:num w:numId="4">
    <w:abstractNumId w:val="17"/>
  </w:num>
  <w:num w:numId="5">
    <w:abstractNumId w:val="18"/>
  </w:num>
  <w:num w:numId="6">
    <w:abstractNumId w:val="10"/>
  </w:num>
  <w:num w:numId="7">
    <w:abstractNumId w:val="9"/>
  </w:num>
  <w:num w:numId="8">
    <w:abstractNumId w:val="15"/>
  </w:num>
  <w:num w:numId="9">
    <w:abstractNumId w:val="8"/>
  </w:num>
  <w:num w:numId="10">
    <w:abstractNumId w:val="6"/>
  </w:num>
  <w:num w:numId="11">
    <w:abstractNumId w:val="14"/>
  </w:num>
  <w:num w:numId="12">
    <w:abstractNumId w:val="20"/>
  </w:num>
  <w:num w:numId="13">
    <w:abstractNumId w:val="3"/>
  </w:num>
  <w:num w:numId="14">
    <w:abstractNumId w:val="21"/>
  </w:num>
  <w:num w:numId="15">
    <w:abstractNumId w:val="16"/>
  </w:num>
  <w:num w:numId="16">
    <w:abstractNumId w:val="5"/>
  </w:num>
  <w:num w:numId="17">
    <w:abstractNumId w:val="1"/>
  </w:num>
  <w:num w:numId="18">
    <w:abstractNumId w:val="0"/>
  </w:num>
  <w:num w:numId="19">
    <w:abstractNumId w:val="11"/>
  </w:num>
  <w:num w:numId="20">
    <w:abstractNumId w:val="13"/>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280"/>
  <w:evenAndOddHeaders w:val="1"/>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08ED"/>
    <w:rsid w:val="00CB4235"/>
    <w:rsid w:val="01475053"/>
    <w:rsid w:val="01932DDE"/>
    <w:rsid w:val="021D1D39"/>
    <w:rsid w:val="02830756"/>
    <w:rsid w:val="03180812"/>
    <w:rsid w:val="031D2DA4"/>
    <w:rsid w:val="03961922"/>
    <w:rsid w:val="039A79F8"/>
    <w:rsid w:val="03E519E1"/>
    <w:rsid w:val="03E76C9A"/>
    <w:rsid w:val="040604D7"/>
    <w:rsid w:val="04490D6C"/>
    <w:rsid w:val="04541033"/>
    <w:rsid w:val="04FF329E"/>
    <w:rsid w:val="05011A98"/>
    <w:rsid w:val="0515147B"/>
    <w:rsid w:val="05374C34"/>
    <w:rsid w:val="05385988"/>
    <w:rsid w:val="05BB6008"/>
    <w:rsid w:val="05BB7584"/>
    <w:rsid w:val="05BF4772"/>
    <w:rsid w:val="067657E9"/>
    <w:rsid w:val="071A2058"/>
    <w:rsid w:val="075946B6"/>
    <w:rsid w:val="076E6B91"/>
    <w:rsid w:val="081D7342"/>
    <w:rsid w:val="0865516D"/>
    <w:rsid w:val="088F48EC"/>
    <w:rsid w:val="089B2E11"/>
    <w:rsid w:val="09041DB5"/>
    <w:rsid w:val="091E195D"/>
    <w:rsid w:val="095E42C4"/>
    <w:rsid w:val="09BB5C6A"/>
    <w:rsid w:val="09E14A9E"/>
    <w:rsid w:val="0A4A17A1"/>
    <w:rsid w:val="0AC27639"/>
    <w:rsid w:val="0AD34C09"/>
    <w:rsid w:val="0B7242D7"/>
    <w:rsid w:val="0B7F10D7"/>
    <w:rsid w:val="0C9A3485"/>
    <w:rsid w:val="0CB32C89"/>
    <w:rsid w:val="0CCD33FE"/>
    <w:rsid w:val="0CDB07A6"/>
    <w:rsid w:val="0DCB600F"/>
    <w:rsid w:val="0ECE47CC"/>
    <w:rsid w:val="0EEC3EEF"/>
    <w:rsid w:val="0F327EEA"/>
    <w:rsid w:val="0FA95923"/>
    <w:rsid w:val="0FF92406"/>
    <w:rsid w:val="10045E1E"/>
    <w:rsid w:val="10117F1C"/>
    <w:rsid w:val="10A161C9"/>
    <w:rsid w:val="10BC5DEF"/>
    <w:rsid w:val="11165165"/>
    <w:rsid w:val="111E5229"/>
    <w:rsid w:val="11872EC6"/>
    <w:rsid w:val="1192719A"/>
    <w:rsid w:val="126C60DB"/>
    <w:rsid w:val="12CE391B"/>
    <w:rsid w:val="13D714DF"/>
    <w:rsid w:val="14694076"/>
    <w:rsid w:val="14741518"/>
    <w:rsid w:val="148359FA"/>
    <w:rsid w:val="153860BB"/>
    <w:rsid w:val="15434C10"/>
    <w:rsid w:val="158344C3"/>
    <w:rsid w:val="16272FEB"/>
    <w:rsid w:val="164316EB"/>
    <w:rsid w:val="167E33DC"/>
    <w:rsid w:val="16B06A15"/>
    <w:rsid w:val="16E97F6D"/>
    <w:rsid w:val="17575FE4"/>
    <w:rsid w:val="17723677"/>
    <w:rsid w:val="178C647C"/>
    <w:rsid w:val="17934730"/>
    <w:rsid w:val="17EB51D9"/>
    <w:rsid w:val="18126461"/>
    <w:rsid w:val="183C5D5F"/>
    <w:rsid w:val="185E7C94"/>
    <w:rsid w:val="18DD36CB"/>
    <w:rsid w:val="1933482F"/>
    <w:rsid w:val="19F8037F"/>
    <w:rsid w:val="1A13159B"/>
    <w:rsid w:val="1ABD7443"/>
    <w:rsid w:val="1ACC1CE0"/>
    <w:rsid w:val="1B1F3720"/>
    <w:rsid w:val="1BED7D73"/>
    <w:rsid w:val="1CC47012"/>
    <w:rsid w:val="1CD67E0D"/>
    <w:rsid w:val="1CED3FE6"/>
    <w:rsid w:val="1CF7662E"/>
    <w:rsid w:val="1D09109B"/>
    <w:rsid w:val="1D2910E5"/>
    <w:rsid w:val="1D4D3EA8"/>
    <w:rsid w:val="1D4D4A75"/>
    <w:rsid w:val="1D906AA8"/>
    <w:rsid w:val="1D9F6882"/>
    <w:rsid w:val="1E83375C"/>
    <w:rsid w:val="1FA74407"/>
    <w:rsid w:val="1FC12341"/>
    <w:rsid w:val="1FE87553"/>
    <w:rsid w:val="204905BE"/>
    <w:rsid w:val="205E7539"/>
    <w:rsid w:val="206E0A99"/>
    <w:rsid w:val="207B2149"/>
    <w:rsid w:val="20AC5E9B"/>
    <w:rsid w:val="20EB1A8B"/>
    <w:rsid w:val="235926B1"/>
    <w:rsid w:val="237F6547"/>
    <w:rsid w:val="23954CBB"/>
    <w:rsid w:val="23C621D7"/>
    <w:rsid w:val="24495120"/>
    <w:rsid w:val="248B188A"/>
    <w:rsid w:val="24C123BB"/>
    <w:rsid w:val="250E1D65"/>
    <w:rsid w:val="25716275"/>
    <w:rsid w:val="25CE1B12"/>
    <w:rsid w:val="262F1D90"/>
    <w:rsid w:val="273E1B0C"/>
    <w:rsid w:val="273E2DFF"/>
    <w:rsid w:val="27493725"/>
    <w:rsid w:val="27E34E1A"/>
    <w:rsid w:val="28166E5D"/>
    <w:rsid w:val="28486FF5"/>
    <w:rsid w:val="287662BF"/>
    <w:rsid w:val="28C56065"/>
    <w:rsid w:val="29790D77"/>
    <w:rsid w:val="298B096C"/>
    <w:rsid w:val="2A3272F0"/>
    <w:rsid w:val="2B1B08E6"/>
    <w:rsid w:val="2BD07BFA"/>
    <w:rsid w:val="2BE0782A"/>
    <w:rsid w:val="2C95016F"/>
    <w:rsid w:val="2D1404A9"/>
    <w:rsid w:val="2D301A53"/>
    <w:rsid w:val="2D3C2E26"/>
    <w:rsid w:val="2D436356"/>
    <w:rsid w:val="2D637BEF"/>
    <w:rsid w:val="2DC04241"/>
    <w:rsid w:val="2DC066FA"/>
    <w:rsid w:val="2DE9492F"/>
    <w:rsid w:val="2E327866"/>
    <w:rsid w:val="2E653DFD"/>
    <w:rsid w:val="2E78163A"/>
    <w:rsid w:val="2E865780"/>
    <w:rsid w:val="2EE11EC5"/>
    <w:rsid w:val="2EF26FA9"/>
    <w:rsid w:val="2F015E5C"/>
    <w:rsid w:val="2F845C68"/>
    <w:rsid w:val="2FBC18A5"/>
    <w:rsid w:val="2FBF7A86"/>
    <w:rsid w:val="2FCD043B"/>
    <w:rsid w:val="2FD64351"/>
    <w:rsid w:val="30B43E5F"/>
    <w:rsid w:val="30E713C4"/>
    <w:rsid w:val="32784141"/>
    <w:rsid w:val="32E2563D"/>
    <w:rsid w:val="32E61BCE"/>
    <w:rsid w:val="32EF6AF9"/>
    <w:rsid w:val="333D6FD0"/>
    <w:rsid w:val="33A71E83"/>
    <w:rsid w:val="33AC3021"/>
    <w:rsid w:val="340313AE"/>
    <w:rsid w:val="342750A9"/>
    <w:rsid w:val="34535B83"/>
    <w:rsid w:val="349756C8"/>
    <w:rsid w:val="34AB6BC1"/>
    <w:rsid w:val="34E63577"/>
    <w:rsid w:val="350701B5"/>
    <w:rsid w:val="35F95FCF"/>
    <w:rsid w:val="367B1FA1"/>
    <w:rsid w:val="3682192F"/>
    <w:rsid w:val="374A2DC3"/>
    <w:rsid w:val="37C50129"/>
    <w:rsid w:val="3879326A"/>
    <w:rsid w:val="38BA5FE0"/>
    <w:rsid w:val="38D81E93"/>
    <w:rsid w:val="3977689C"/>
    <w:rsid w:val="39AA0595"/>
    <w:rsid w:val="3A5B57FC"/>
    <w:rsid w:val="3ADC5F1B"/>
    <w:rsid w:val="3B7C71BD"/>
    <w:rsid w:val="3C233E45"/>
    <w:rsid w:val="3CC75C30"/>
    <w:rsid w:val="3CDA4056"/>
    <w:rsid w:val="3DC13AC6"/>
    <w:rsid w:val="3DDF62A8"/>
    <w:rsid w:val="3E1132C1"/>
    <w:rsid w:val="3E4961CE"/>
    <w:rsid w:val="3E8907EF"/>
    <w:rsid w:val="3F2E6F3E"/>
    <w:rsid w:val="3F3B1445"/>
    <w:rsid w:val="3F7026B8"/>
    <w:rsid w:val="3F7B7BF9"/>
    <w:rsid w:val="4056261A"/>
    <w:rsid w:val="40713877"/>
    <w:rsid w:val="40FC524B"/>
    <w:rsid w:val="4157275B"/>
    <w:rsid w:val="4166575F"/>
    <w:rsid w:val="417451FA"/>
    <w:rsid w:val="418B1EE6"/>
    <w:rsid w:val="435E68D8"/>
    <w:rsid w:val="43AD0115"/>
    <w:rsid w:val="44171915"/>
    <w:rsid w:val="44954D45"/>
    <w:rsid w:val="4506159D"/>
    <w:rsid w:val="4527755C"/>
    <w:rsid w:val="454D6988"/>
    <w:rsid w:val="45F63135"/>
    <w:rsid w:val="465364B1"/>
    <w:rsid w:val="465C0192"/>
    <w:rsid w:val="46741EA4"/>
    <w:rsid w:val="468171E3"/>
    <w:rsid w:val="47281780"/>
    <w:rsid w:val="47AD1043"/>
    <w:rsid w:val="47C07BE9"/>
    <w:rsid w:val="48B14EE9"/>
    <w:rsid w:val="48EC206D"/>
    <w:rsid w:val="49314C6A"/>
    <w:rsid w:val="49F44823"/>
    <w:rsid w:val="4A530017"/>
    <w:rsid w:val="4A5919BC"/>
    <w:rsid w:val="4A7632DD"/>
    <w:rsid w:val="4B046A87"/>
    <w:rsid w:val="4B4C5B84"/>
    <w:rsid w:val="4B71368A"/>
    <w:rsid w:val="4BE97047"/>
    <w:rsid w:val="4BF646F7"/>
    <w:rsid w:val="4CE53C56"/>
    <w:rsid w:val="4CE64279"/>
    <w:rsid w:val="4DD64AE0"/>
    <w:rsid w:val="4DF01CF3"/>
    <w:rsid w:val="4E222A23"/>
    <w:rsid w:val="4E9225AC"/>
    <w:rsid w:val="4EA35A17"/>
    <w:rsid w:val="4F2B2C41"/>
    <w:rsid w:val="4FBC3337"/>
    <w:rsid w:val="501D0EC0"/>
    <w:rsid w:val="50400CB7"/>
    <w:rsid w:val="50D149A0"/>
    <w:rsid w:val="51093D86"/>
    <w:rsid w:val="5122045C"/>
    <w:rsid w:val="51704913"/>
    <w:rsid w:val="51950FC6"/>
    <w:rsid w:val="51F91312"/>
    <w:rsid w:val="51FA1F00"/>
    <w:rsid w:val="52233CE9"/>
    <w:rsid w:val="52FD323C"/>
    <w:rsid w:val="53FA712C"/>
    <w:rsid w:val="541E4DAD"/>
    <w:rsid w:val="54291F0E"/>
    <w:rsid w:val="5439364B"/>
    <w:rsid w:val="547350CC"/>
    <w:rsid w:val="55422A88"/>
    <w:rsid w:val="55467D7D"/>
    <w:rsid w:val="57274470"/>
    <w:rsid w:val="573F5BC3"/>
    <w:rsid w:val="57846015"/>
    <w:rsid w:val="57B65DEB"/>
    <w:rsid w:val="580F367C"/>
    <w:rsid w:val="586F79F8"/>
    <w:rsid w:val="58FE7369"/>
    <w:rsid w:val="595A1983"/>
    <w:rsid w:val="59957F6B"/>
    <w:rsid w:val="59D84BF0"/>
    <w:rsid w:val="5AB27158"/>
    <w:rsid w:val="5ABB7D6F"/>
    <w:rsid w:val="5B45013C"/>
    <w:rsid w:val="5B6E6A44"/>
    <w:rsid w:val="5BCB6414"/>
    <w:rsid w:val="5CB1614F"/>
    <w:rsid w:val="5D026792"/>
    <w:rsid w:val="5D12190E"/>
    <w:rsid w:val="5D785838"/>
    <w:rsid w:val="5E025F18"/>
    <w:rsid w:val="5E163483"/>
    <w:rsid w:val="5E351A69"/>
    <w:rsid w:val="5E735B34"/>
    <w:rsid w:val="5F0028C0"/>
    <w:rsid w:val="5F085DE6"/>
    <w:rsid w:val="5F9627BE"/>
    <w:rsid w:val="5FD05630"/>
    <w:rsid w:val="5FD60674"/>
    <w:rsid w:val="5FE33D5F"/>
    <w:rsid w:val="603D0CE3"/>
    <w:rsid w:val="60DD277B"/>
    <w:rsid w:val="616D65A1"/>
    <w:rsid w:val="61A25BA6"/>
    <w:rsid w:val="61A67A52"/>
    <w:rsid w:val="61A8223F"/>
    <w:rsid w:val="61D17AE6"/>
    <w:rsid w:val="6273260A"/>
    <w:rsid w:val="62776486"/>
    <w:rsid w:val="634C66CE"/>
    <w:rsid w:val="635F37CB"/>
    <w:rsid w:val="64272E45"/>
    <w:rsid w:val="64530672"/>
    <w:rsid w:val="64F22A28"/>
    <w:rsid w:val="655273F0"/>
    <w:rsid w:val="659308DA"/>
    <w:rsid w:val="664E13E6"/>
    <w:rsid w:val="66691065"/>
    <w:rsid w:val="668C05B5"/>
    <w:rsid w:val="66C710A6"/>
    <w:rsid w:val="66DE27A1"/>
    <w:rsid w:val="67026D02"/>
    <w:rsid w:val="672A40F9"/>
    <w:rsid w:val="673A559E"/>
    <w:rsid w:val="67CB78EF"/>
    <w:rsid w:val="67F91F01"/>
    <w:rsid w:val="683B2BD6"/>
    <w:rsid w:val="69151C8F"/>
    <w:rsid w:val="69DE74D9"/>
    <w:rsid w:val="6A236199"/>
    <w:rsid w:val="6A570DAB"/>
    <w:rsid w:val="6A851C2E"/>
    <w:rsid w:val="6A8810E3"/>
    <w:rsid w:val="6AB564FB"/>
    <w:rsid w:val="6ADE1D33"/>
    <w:rsid w:val="6B3B2ECA"/>
    <w:rsid w:val="6B642EDB"/>
    <w:rsid w:val="6B6E0B87"/>
    <w:rsid w:val="6BA46975"/>
    <w:rsid w:val="6C3C4F7D"/>
    <w:rsid w:val="6C4A5FD6"/>
    <w:rsid w:val="6C943137"/>
    <w:rsid w:val="6D0F4958"/>
    <w:rsid w:val="6D1A0403"/>
    <w:rsid w:val="6D464392"/>
    <w:rsid w:val="6D89615C"/>
    <w:rsid w:val="6E071B1E"/>
    <w:rsid w:val="6EE867C9"/>
    <w:rsid w:val="6F603262"/>
    <w:rsid w:val="6FAB5C2A"/>
    <w:rsid w:val="70603154"/>
    <w:rsid w:val="70AF42C2"/>
    <w:rsid w:val="717B28A5"/>
    <w:rsid w:val="71E046DF"/>
    <w:rsid w:val="71FB2A86"/>
    <w:rsid w:val="72362B37"/>
    <w:rsid w:val="723712D1"/>
    <w:rsid w:val="72E66F0A"/>
    <w:rsid w:val="73707380"/>
    <w:rsid w:val="73BA7892"/>
    <w:rsid w:val="74C17E44"/>
    <w:rsid w:val="74E64E03"/>
    <w:rsid w:val="750561DF"/>
    <w:rsid w:val="757C01F6"/>
    <w:rsid w:val="75A961DB"/>
    <w:rsid w:val="75B85947"/>
    <w:rsid w:val="76366DB1"/>
    <w:rsid w:val="765472DA"/>
    <w:rsid w:val="76984720"/>
    <w:rsid w:val="769E61DE"/>
    <w:rsid w:val="76D444D7"/>
    <w:rsid w:val="77095001"/>
    <w:rsid w:val="77646CF8"/>
    <w:rsid w:val="77735BCE"/>
    <w:rsid w:val="77BB570D"/>
    <w:rsid w:val="77F9585A"/>
    <w:rsid w:val="79750B3B"/>
    <w:rsid w:val="79AA320C"/>
    <w:rsid w:val="7A0B1F91"/>
    <w:rsid w:val="7A177D3C"/>
    <w:rsid w:val="7A6C2A72"/>
    <w:rsid w:val="7A844B0F"/>
    <w:rsid w:val="7AEA2581"/>
    <w:rsid w:val="7B33194F"/>
    <w:rsid w:val="7B8E4609"/>
    <w:rsid w:val="7BFB517C"/>
    <w:rsid w:val="7C52126A"/>
    <w:rsid w:val="7C8B779D"/>
    <w:rsid w:val="7CDA7B88"/>
    <w:rsid w:val="7D300463"/>
    <w:rsid w:val="7DA25F7D"/>
    <w:rsid w:val="7DA71304"/>
    <w:rsid w:val="7E581DC2"/>
    <w:rsid w:val="7E5F427E"/>
    <w:rsid w:val="7F590868"/>
    <w:rsid w:val="7F6017CD"/>
    <w:rsid w:val="7FD17609"/>
    <w:rsid w:val="7FD413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4">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6">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2">
    <w:name w:val="Default Paragraph Font"/>
    <w:semiHidden/>
    <w:qFormat/>
    <w:uiPriority w:val="0"/>
    <w:rPr>
      <w:rFonts w:hint="eastAsia" w:ascii="黑体" w:hAnsi="黑体" w:eastAsia="黑体" w:cs="黑体"/>
      <w:sz w:val="21"/>
    </w:rPr>
  </w:style>
  <w:style w:type="table" w:default="1" w:styleId="20">
    <w:name w:val="Normal Table"/>
    <w:semiHidden/>
    <w:qFormat/>
    <w:uiPriority w:val="0"/>
    <w:tblPr>
      <w:tblCellMar>
        <w:top w:w="0" w:type="dxa"/>
        <w:left w:w="108" w:type="dxa"/>
        <w:bottom w:w="0" w:type="dxa"/>
        <w:right w:w="108" w:type="dxa"/>
      </w:tblCellMar>
    </w:tblPr>
  </w:style>
  <w:style w:type="paragraph" w:styleId="10">
    <w:name w:val="annotation text"/>
    <w:basedOn w:val="1"/>
    <w:qFormat/>
    <w:uiPriority w:val="0"/>
    <w:pPr>
      <w:jc w:val="left"/>
    </w:pPr>
  </w:style>
  <w:style w:type="paragraph" w:styleId="11">
    <w:name w:val="toc 5"/>
    <w:basedOn w:val="1"/>
    <w:next w:val="1"/>
    <w:qFormat/>
    <w:uiPriority w:val="0"/>
    <w:pPr>
      <w:spacing w:line="300" w:lineRule="exact"/>
      <w:ind w:left="1680" w:leftChars="800"/>
    </w:pPr>
    <w:rPr>
      <w:rFonts w:hAnsi="宋体"/>
    </w:rPr>
  </w:style>
  <w:style w:type="paragraph" w:styleId="12">
    <w:name w:val="toc 3"/>
    <w:basedOn w:val="1"/>
    <w:next w:val="1"/>
    <w:qFormat/>
    <w:uiPriority w:val="0"/>
    <w:pPr>
      <w:spacing w:line="300" w:lineRule="exact"/>
      <w:ind w:left="840" w:leftChars="400"/>
    </w:pPr>
    <w:rPr>
      <w:rFonts w:hAnsi="宋体"/>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pPr>
      <w:spacing w:line="400" w:lineRule="exact"/>
    </w:pPr>
    <w:rPr>
      <w:rFonts w:hAnsi="宋体"/>
    </w:rPr>
  </w:style>
  <w:style w:type="paragraph" w:styleId="16">
    <w:name w:val="toc 4"/>
    <w:basedOn w:val="1"/>
    <w:next w:val="1"/>
    <w:qFormat/>
    <w:uiPriority w:val="0"/>
    <w:pPr>
      <w:spacing w:line="300" w:lineRule="exact"/>
      <w:ind w:left="1260" w:leftChars="600"/>
    </w:pPr>
    <w:rPr>
      <w:rFonts w:hAnsi="宋体"/>
    </w:rPr>
  </w:style>
  <w:style w:type="paragraph" w:styleId="17">
    <w:name w:val="footnote text"/>
    <w:basedOn w:val="1"/>
    <w:qFormat/>
    <w:uiPriority w:val="0"/>
    <w:pPr>
      <w:widowControl/>
      <w:numPr>
        <w:ilvl w:val="0"/>
        <w:numId w:val="3"/>
      </w:numPr>
      <w:autoSpaceDE w:val="0"/>
      <w:autoSpaceDN w:val="0"/>
      <w:snapToGrid/>
      <w:spacing w:beforeLines="0" w:afterLines="0"/>
      <w:ind w:left="1380" w:leftChars="200" w:hanging="960" w:hangingChars="200"/>
      <w:jc w:val="both"/>
    </w:pPr>
    <w:rPr>
      <w:rFonts w:hAnsi="宋体"/>
      <w:sz w:val="15"/>
    </w:rPr>
  </w:style>
  <w:style w:type="paragraph" w:styleId="18">
    <w:name w:val="toc 6"/>
    <w:basedOn w:val="1"/>
    <w:next w:val="1"/>
    <w:qFormat/>
    <w:uiPriority w:val="0"/>
    <w:pPr>
      <w:spacing w:line="300" w:lineRule="exact"/>
      <w:ind w:left="2100" w:leftChars="1000"/>
    </w:pPr>
    <w:rPr>
      <w:rFonts w:hAnsi="宋体"/>
    </w:rPr>
  </w:style>
  <w:style w:type="paragraph" w:styleId="19">
    <w:name w:val="toc 2"/>
    <w:basedOn w:val="1"/>
    <w:next w:val="1"/>
    <w:qFormat/>
    <w:uiPriority w:val="0"/>
    <w:pPr>
      <w:spacing w:line="300" w:lineRule="exact"/>
      <w:ind w:left="420" w:leftChars="200"/>
    </w:pPr>
    <w:rPr>
      <w:rFonts w:hAnsi="宋体"/>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footnote reference"/>
    <w:basedOn w:val="22"/>
    <w:qFormat/>
    <w:uiPriority w:val="0"/>
    <w:rPr>
      <w:rFonts w:ascii="宋体" w:hAnsi="宋体" w:eastAsia="宋体" w:cs="宋体"/>
      <w:sz w:val="18"/>
      <w:vertAlign w:val="superscript"/>
    </w:rPr>
  </w:style>
  <w:style w:type="paragraph" w:customStyle="1" w:styleId="25">
    <w:name w:val="标准文件_段"/>
    <w:qFormat/>
    <w:uiPriority w:val="0"/>
    <w:pPr>
      <w:spacing w:beforeLines="0" w:afterLines="0"/>
      <w:ind w:firstLine="960" w:firstLineChars="200"/>
      <w:jc w:val="both"/>
    </w:pPr>
    <w:rPr>
      <w:rFonts w:hint="eastAsia" w:ascii="宋体" w:hAnsi="Times New Roman" w:eastAsia="宋体" w:cs="宋体"/>
      <w:sz w:val="21"/>
    </w:rPr>
  </w:style>
  <w:style w:type="paragraph" w:customStyle="1" w:styleId="26">
    <w:name w:val="标准标志"/>
    <w:next w:val="1"/>
    <w:qFormat/>
    <w:uiPriority w:val="0"/>
    <w:pPr>
      <w:framePr w:w="2546" w:h="1134" w:hRule="exact" w:hSpace="181" w:wrap="around" w:vAnchor="margin" w:hAnchor="margin" w:x="6521" w:y="421" w:anchorLock="1"/>
      <w:shd w:val="clear" w:fill="FFFFFF"/>
      <w:spacing w:line="0" w:lineRule="atLeast"/>
      <w:jc w:val="right"/>
    </w:pPr>
    <w:rPr>
      <w:rFonts w:hint="eastAsia" w:ascii="Times New Roman" w:hAnsi="Times New Roman" w:eastAsia="宋体" w:cs="Times New Roman"/>
      <w:b/>
      <w:w w:val="170"/>
      <w:sz w:val="96"/>
    </w:rPr>
  </w:style>
  <w:style w:type="paragraph" w:customStyle="1" w:styleId="27">
    <w:name w:val="标准标志2"/>
    <w:next w:val="1"/>
    <w:qFormat/>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rPr>
  </w:style>
  <w:style w:type="paragraph" w:customStyle="1" w:styleId="28">
    <w:name w:val="标准称谓"/>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rPr>
  </w:style>
  <w:style w:type="paragraph" w:customStyle="1" w:styleId="29">
    <w:name w:val="标准称谓2"/>
    <w:next w:val="1"/>
    <w:qFormat/>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rPr>
  </w:style>
  <w:style w:type="paragraph" w:customStyle="1" w:styleId="30">
    <w:name w:val="标准称谓3"/>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rPr>
  </w:style>
  <w:style w:type="paragraph" w:customStyle="1" w:styleId="31">
    <w:name w:val="标准书脚_奇数页"/>
    <w:qFormat/>
    <w:uiPriority w:val="0"/>
    <w:pPr>
      <w:ind w:right="227"/>
      <w:jc w:val="right"/>
    </w:pPr>
    <w:rPr>
      <w:rFonts w:hint="eastAsia" w:ascii="宋体" w:hAnsi="Times New Roman" w:eastAsia="宋体" w:cs="宋体"/>
      <w:sz w:val="18"/>
    </w:rPr>
  </w:style>
  <w:style w:type="paragraph" w:customStyle="1" w:styleId="32">
    <w:name w:val="标准书眉_奇数页"/>
    <w:next w:val="1"/>
    <w:qFormat/>
    <w:uiPriority w:val="0"/>
    <w:pPr>
      <w:tabs>
        <w:tab w:val="center" w:pos="4153"/>
        <w:tab w:val="right" w:pos="8306"/>
      </w:tabs>
      <w:spacing w:after="120"/>
      <w:jc w:val="right"/>
    </w:pPr>
    <w:rPr>
      <w:rFonts w:hint="eastAsia" w:ascii="黑体" w:hAnsi="Times New Roman" w:eastAsia="黑体" w:cs="黑体"/>
      <w:sz w:val="21"/>
    </w:rPr>
  </w:style>
  <w:style w:type="paragraph" w:customStyle="1" w:styleId="33">
    <w:name w:val="标准书眉_偶数页"/>
    <w:next w:val="1"/>
    <w:qFormat/>
    <w:uiPriority w:val="0"/>
    <w:pPr>
      <w:spacing w:after="120"/>
    </w:pPr>
    <w:rPr>
      <w:rFonts w:hint="eastAsia" w:ascii="黑体" w:hAnsi="Times New Roman" w:eastAsia="黑体" w:cs="黑体"/>
      <w:sz w:val="21"/>
    </w:rPr>
  </w:style>
  <w:style w:type="paragraph" w:customStyle="1" w:styleId="34">
    <w:name w:val="标准文件_参考文献标题"/>
    <w:basedOn w:val="1"/>
    <w:next w:val="1"/>
    <w:qFormat/>
    <w:uiPriority w:val="0"/>
    <w:pPr>
      <w:keepNext/>
      <w:pageBreakBefore/>
      <w:widowControl/>
      <w:spacing w:before="126" w:beforeLines="40" w:after="157" w:afterLines="50"/>
      <w:jc w:val="center"/>
      <w:outlineLvl w:val="0"/>
    </w:pPr>
    <w:rPr>
      <w:rFonts w:ascii="黑体" w:hAnsi="Times New Roman" w:eastAsia="黑体" w:cs="黑体"/>
      <w:spacing w:val="108"/>
      <w:kern w:val="0"/>
    </w:rPr>
  </w:style>
  <w:style w:type="paragraph" w:customStyle="1" w:styleId="35">
    <w:name w:val="封面标准顶部线"/>
    <w:qFormat/>
    <w:uiPriority w:val="0"/>
    <w:pPr>
      <w:framePr w:w="9673" w:hSpace="181" w:wrap="around" w:vAnchor="page" w:hAnchor="page" w:x="1390" w:y="4242"/>
      <w:spacing w:line="0" w:lineRule="atLeast"/>
    </w:pPr>
    <w:rPr>
      <w:rFonts w:hint="eastAsia" w:ascii="宋体" w:hAnsi="Times New Roman" w:eastAsia="宋体" w:cs="Times New Roman"/>
      <w:sz w:val="21"/>
    </w:rPr>
  </w:style>
  <w:style w:type="paragraph" w:customStyle="1" w:styleId="36">
    <w:name w:val="发布部门"/>
    <w:next w:val="25"/>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rPr>
  </w:style>
  <w:style w:type="paragraph" w:customStyle="1" w:styleId="37">
    <w:name w:val="发布日期"/>
    <w:qFormat/>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rPr>
  </w:style>
  <w:style w:type="paragraph" w:customStyle="1" w:styleId="38">
    <w:name w:val="实施日期"/>
    <w:basedOn w:val="37"/>
    <w:qFormat/>
    <w:uiPriority w:val="0"/>
    <w:pPr>
      <w:framePr w:hSpace="0" w:vAnchor="page" w:hAnchor="page" w:x="7089" w:y="14176"/>
      <w:jc w:val="right"/>
    </w:pPr>
  </w:style>
  <w:style w:type="paragraph" w:customStyle="1" w:styleId="39">
    <w:name w:val="封面日期"/>
    <w:qFormat/>
    <w:uiPriority w:val="0"/>
    <w:pPr>
      <w:framePr w:w="9673" w:vSpace="181" w:wrap="around" w:vAnchor="page" w:hAnchor="page" w:x="1419" w:y="14176" w:anchorLock="1"/>
      <w:spacing w:line="360" w:lineRule="exact"/>
    </w:pPr>
    <w:rPr>
      <w:rFonts w:hint="eastAsia" w:ascii="黑体" w:hAnsi="Times New Roman" w:eastAsia="黑体" w:cs="Times New Roman"/>
      <w:sz w:val="28"/>
    </w:rPr>
  </w:style>
  <w:style w:type="paragraph" w:customStyle="1" w:styleId="40">
    <w:name w:val="封面标准代替信息"/>
    <w:qFormat/>
    <w:uiPriority w:val="0"/>
    <w:pPr>
      <w:framePr w:w="9355" w:h="624" w:hRule="exact" w:hSpace="181" w:vSpace="181" w:wrap="around" w:vAnchor="page" w:hAnchor="page" w:x="1419" w:y="3284"/>
      <w:spacing w:before="57" w:line="280" w:lineRule="exact"/>
      <w:jc w:val="right"/>
    </w:pPr>
    <w:rPr>
      <w:rFonts w:hint="eastAsia" w:ascii="宋体" w:hAnsi="Times New Roman" w:eastAsia="宋体" w:cs="Times New Roman"/>
      <w:sz w:val="21"/>
    </w:rPr>
  </w:style>
  <w:style w:type="paragraph" w:customStyle="1" w:styleId="41">
    <w:name w:val="封面标准号2"/>
    <w:qFormat/>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rPr>
  </w:style>
  <w:style w:type="paragraph" w:customStyle="1" w:styleId="42">
    <w:name w:val="封面标准名称"/>
    <w:qFormat/>
    <w:uiPriority w:val="0"/>
    <w:pPr>
      <w:framePr w:w="9639" w:h="6974" w:hRule="exact" w:wrap="around" w:vAnchor="page" w:hAnchor="page" w:x="1419" w:y="6408"/>
      <w:spacing w:line="700" w:lineRule="exact"/>
      <w:jc w:val="center"/>
    </w:pPr>
    <w:rPr>
      <w:rFonts w:hint="eastAsia" w:ascii="黑体" w:hAnsi="Times New Roman" w:eastAsia="黑体" w:cs="Times New Roman"/>
      <w:sz w:val="52"/>
    </w:rPr>
  </w:style>
  <w:style w:type="paragraph" w:customStyle="1" w:styleId="43">
    <w:name w:val="封面标准英文名称"/>
    <w:basedOn w:val="42"/>
    <w:qFormat/>
    <w:uiPriority w:val="0"/>
    <w:pPr>
      <w:widowControl w:val="0"/>
      <w:spacing w:before="410" w:line="360" w:lineRule="exact"/>
      <w:textAlignment w:val="bottom"/>
    </w:pPr>
    <w:rPr>
      <w:rFonts w:ascii="Times New Roman" w:hAnsi="Times New Roman" w:cs="Times New Roman"/>
      <w:sz w:val="28"/>
    </w:rPr>
  </w:style>
  <w:style w:type="paragraph" w:customStyle="1" w:styleId="44">
    <w:name w:val="封面一致性程度标识"/>
    <w:basedOn w:val="43"/>
    <w:qFormat/>
    <w:uiPriority w:val="0"/>
    <w:pPr>
      <w:spacing w:before="760"/>
    </w:pPr>
  </w:style>
  <w:style w:type="paragraph" w:customStyle="1" w:styleId="45">
    <w:name w:val="封面标准文稿类别"/>
    <w:basedOn w:val="44"/>
    <w:qFormat/>
    <w:uiPriority w:val="0"/>
    <w:pPr>
      <w:spacing w:before="440" w:after="160"/>
    </w:pPr>
    <w:rPr>
      <w:rFonts w:ascii="宋体" w:hAnsi="宋体" w:eastAsia="宋体" w:cs="宋体"/>
      <w:sz w:val="24"/>
    </w:rPr>
  </w:style>
  <w:style w:type="paragraph" w:customStyle="1" w:styleId="46">
    <w:name w:val="封面标准文稿编辑信息"/>
    <w:basedOn w:val="45"/>
    <w:qFormat/>
    <w:uiPriority w:val="0"/>
    <w:pPr>
      <w:spacing w:before="180" w:after="0" w:line="240" w:lineRule="atLeast"/>
    </w:pPr>
    <w:rPr>
      <w:sz w:val="21"/>
    </w:rPr>
  </w:style>
  <w:style w:type="paragraph" w:customStyle="1" w:styleId="47">
    <w:name w:val="封面标准文稿附件"/>
    <w:basedOn w:val="45"/>
    <w:qFormat/>
    <w:uiPriority w:val="0"/>
    <w:pPr>
      <w:spacing w:before="937" w:beforeLines="300" w:afterLines="30" w:line="240" w:lineRule="auto"/>
    </w:pPr>
    <w:rPr>
      <w:rFonts w:ascii="Times New Roman" w:hAnsi="Times New Roman" w:cs="Times New Roman"/>
      <w:b/>
      <w:sz w:val="21"/>
    </w:rPr>
  </w:style>
  <w:style w:type="paragraph" w:customStyle="1" w:styleId="48">
    <w:name w:val="其他发布部门"/>
    <w:basedOn w:val="36"/>
    <w:qFormat/>
    <w:uiPriority w:val="0"/>
    <w:pPr>
      <w:framePr w:y="15310"/>
      <w:spacing w:line="0" w:lineRule="atLeast"/>
    </w:pPr>
    <w:rPr>
      <w:rFonts w:ascii="黑体" w:hAnsi="黑体" w:eastAsia="黑体" w:cs="黑体"/>
    </w:rPr>
  </w:style>
  <w:style w:type="paragraph" w:customStyle="1" w:styleId="49">
    <w:name w:val="其他发布部门2"/>
    <w:basedOn w:val="36"/>
    <w:qFormat/>
    <w:uiPriority w:val="0"/>
    <w:pPr>
      <w:framePr w:w="7433" w:h="584" w:hRule="exact" w:hSpace="181" w:vAnchor="margin" w:hAnchor="margin" w:xAlign="center" w:y="15027"/>
      <w:spacing w:before="0" w:line="0" w:lineRule="atLeast"/>
    </w:pPr>
    <w:rPr>
      <w:rFonts w:ascii="黑体" w:hAnsi="黑体" w:eastAsia="黑体" w:cs="Times New Roman"/>
      <w:spacing w:val="0"/>
      <w:w w:val="100"/>
    </w:rPr>
  </w:style>
  <w:style w:type="paragraph" w:customStyle="1" w:styleId="50">
    <w:name w:val="其他发布部门3"/>
    <w:qFormat/>
    <w:uiPriority w:val="0"/>
    <w:pPr>
      <w:framePr w:w="9248" w:h="1259" w:hRule="exact" w:hSpace="181" w:vSpace="181" w:wrap="around" w:vAnchor="margin" w:hAnchor="margin" w:xAlign="center" w:y="14545"/>
      <w:spacing w:line="0" w:lineRule="atLeast"/>
      <w:jc w:val="center"/>
    </w:pPr>
    <w:rPr>
      <w:rFonts w:hint="eastAsia" w:ascii="黑体" w:hAnsi="Times New Roman" w:eastAsia="黑体" w:cs="Times New Roman"/>
      <w:sz w:val="28"/>
    </w:rPr>
  </w:style>
  <w:style w:type="paragraph" w:customStyle="1" w:styleId="51">
    <w:name w:val="其他发布日期"/>
    <w:basedOn w:val="37"/>
    <w:qFormat/>
    <w:uiPriority w:val="0"/>
    <w:pPr>
      <w:framePr w:hSpace="0" w:vAnchor="page" w:hAnchor="page" w:x="1419" w:y="14176"/>
    </w:pPr>
  </w:style>
  <w:style w:type="paragraph" w:customStyle="1" w:styleId="52">
    <w:name w:val="其他实施日期"/>
    <w:basedOn w:val="38"/>
    <w:qFormat/>
    <w:uiPriority w:val="0"/>
  </w:style>
  <w:style w:type="paragraph" w:customStyle="1" w:styleId="53">
    <w:name w:val="文献分类号"/>
    <w:qFormat/>
    <w:uiPriority w:val="0"/>
    <w:pPr>
      <w:framePr w:wrap="around" w:vAnchor="page" w:hAnchor="page" w:x="1373" w:y="568"/>
      <w:widowControl w:val="0"/>
      <w:textAlignment w:val="center"/>
    </w:pPr>
    <w:rPr>
      <w:rFonts w:hint="eastAsia" w:ascii="Times New Roman" w:hAnsi="Times New Roman" w:eastAsia="黑体" w:cs="Times New Roman"/>
      <w:kern w:val="21"/>
      <w:sz w:val="21"/>
    </w:rPr>
  </w:style>
  <w:style w:type="paragraph" w:customStyle="1" w:styleId="54">
    <w:name w:val="标准文件_目录标题"/>
    <w:basedOn w:val="1"/>
    <w:qFormat/>
    <w:uiPriority w:val="0"/>
    <w:pPr>
      <w:shd w:val="clear" w:fill="FFFFFF"/>
      <w:spacing w:beforeLines="0" w:after="469" w:afterLines="150"/>
      <w:jc w:val="center"/>
    </w:pPr>
    <w:rPr>
      <w:rFonts w:ascii="黑体" w:hAnsi="Times New Roman" w:eastAsia="黑体" w:cs="黑体"/>
      <w:kern w:val="0"/>
      <w:sz w:val="32"/>
    </w:rPr>
  </w:style>
  <w:style w:type="paragraph" w:customStyle="1" w:styleId="55">
    <w:name w:val="标准文件_前言、引言标题"/>
    <w:next w:val="1"/>
    <w:qFormat/>
    <w:uiPriority w:val="0"/>
    <w:pPr>
      <w:numPr>
        <w:ilvl w:val="0"/>
        <w:numId w:val="4"/>
      </w:numPr>
      <w:suppressAutoHyphens w:val="0"/>
      <w:spacing w:beforeLines="0" w:after="469" w:afterLines="150"/>
      <w:ind w:left="425" w:hanging="425"/>
      <w:jc w:val="center"/>
      <w:outlineLvl w:val="0"/>
    </w:pPr>
    <w:rPr>
      <w:rFonts w:hint="eastAsia" w:ascii="黑体" w:hAnsi="Times New Roman" w:eastAsia="黑体" w:cs="黑体"/>
      <w:sz w:val="32"/>
    </w:rPr>
  </w:style>
  <w:style w:type="paragraph" w:customStyle="1" w:styleId="56">
    <w:name w:val="标准文件_引言一级条标题"/>
    <w:basedOn w:val="25"/>
    <w:next w:val="25"/>
    <w:qFormat/>
    <w:uiPriority w:val="0"/>
    <w:pPr>
      <w:numPr>
        <w:ilvl w:val="1"/>
        <w:numId w:val="4"/>
      </w:numPr>
      <w:spacing w:before="157" w:beforeLines="50" w:after="157" w:afterLines="50"/>
    </w:pPr>
    <w:rPr>
      <w:rFonts w:ascii="黑体" w:hAnsi="黑体" w:eastAsia="黑体" w:cs="黑体"/>
    </w:rPr>
  </w:style>
  <w:style w:type="paragraph" w:customStyle="1" w:styleId="57">
    <w:name w:val="标准文件_引言二级条标题"/>
    <w:basedOn w:val="25"/>
    <w:next w:val="25"/>
    <w:qFormat/>
    <w:uiPriority w:val="0"/>
    <w:pPr>
      <w:numPr>
        <w:ilvl w:val="2"/>
        <w:numId w:val="4"/>
      </w:numPr>
      <w:spacing w:before="157" w:beforeLines="50" w:after="157" w:afterLines="50"/>
    </w:pPr>
    <w:rPr>
      <w:rFonts w:ascii="黑体" w:hAnsi="黑体" w:eastAsia="黑体" w:cs="黑体"/>
    </w:rPr>
  </w:style>
  <w:style w:type="paragraph" w:customStyle="1" w:styleId="58">
    <w:name w:val="标准文件_引言三级条标题"/>
    <w:basedOn w:val="25"/>
    <w:next w:val="25"/>
    <w:qFormat/>
    <w:uiPriority w:val="0"/>
    <w:pPr>
      <w:numPr>
        <w:ilvl w:val="3"/>
        <w:numId w:val="4"/>
      </w:numPr>
      <w:spacing w:before="157" w:beforeLines="50" w:after="157" w:afterLines="50"/>
    </w:pPr>
    <w:rPr>
      <w:rFonts w:ascii="黑体" w:hAnsi="黑体" w:eastAsia="黑体" w:cs="黑体"/>
    </w:rPr>
  </w:style>
  <w:style w:type="paragraph" w:customStyle="1" w:styleId="59">
    <w:name w:val="标准文件_引言四级条标题"/>
    <w:basedOn w:val="25"/>
    <w:next w:val="25"/>
    <w:qFormat/>
    <w:uiPriority w:val="0"/>
    <w:pPr>
      <w:numPr>
        <w:ilvl w:val="4"/>
        <w:numId w:val="4"/>
      </w:numPr>
      <w:spacing w:before="157" w:beforeLines="50" w:after="157" w:afterLines="50"/>
    </w:pPr>
    <w:rPr>
      <w:rFonts w:ascii="黑体" w:hAnsi="黑体" w:eastAsia="黑体" w:cs="黑体"/>
    </w:rPr>
  </w:style>
  <w:style w:type="paragraph" w:customStyle="1" w:styleId="60">
    <w:name w:val="标准文件_引言五级条标题"/>
    <w:basedOn w:val="25"/>
    <w:next w:val="25"/>
    <w:qFormat/>
    <w:uiPriority w:val="0"/>
    <w:pPr>
      <w:numPr>
        <w:ilvl w:val="5"/>
        <w:numId w:val="4"/>
      </w:numPr>
      <w:spacing w:before="157" w:beforeLines="50" w:after="157" w:afterLines="50"/>
    </w:pPr>
    <w:rPr>
      <w:rFonts w:ascii="黑体" w:hAnsi="黑体" w:eastAsia="黑体" w:cs="黑体"/>
    </w:rPr>
  </w:style>
  <w:style w:type="paragraph" w:customStyle="1" w:styleId="61">
    <w:name w:val="标准文件_正文标准名称"/>
    <w:basedOn w:val="1"/>
    <w:link w:val="120"/>
    <w:qFormat/>
    <w:uiPriority w:val="0"/>
    <w:pPr>
      <w:widowControl/>
      <w:suppressAutoHyphens w:val="0"/>
      <w:spacing w:before="569" w:beforeLines="182" w:after="687" w:afterLines="220" w:line="400" w:lineRule="exact"/>
      <w:jc w:val="center"/>
    </w:pPr>
    <w:rPr>
      <w:rFonts w:ascii="黑体" w:hAnsi="黑体" w:eastAsia="黑体" w:cs="黑体"/>
      <w:sz w:val="32"/>
    </w:rPr>
  </w:style>
  <w:style w:type="paragraph" w:customStyle="1" w:styleId="62">
    <w:name w:val="标准文件_一级项"/>
    <w:next w:val="25"/>
    <w:qFormat/>
    <w:uiPriority w:val="0"/>
    <w:pPr>
      <w:numPr>
        <w:ilvl w:val="0"/>
        <w:numId w:val="5"/>
      </w:numPr>
      <w:tabs>
        <w:tab w:val="left" w:pos="839"/>
      </w:tabs>
      <w:suppressAutoHyphens w:val="0"/>
      <w:spacing w:beforeLines="0" w:afterLines="0"/>
      <w:ind w:left="845" w:hanging="425"/>
    </w:pPr>
    <w:rPr>
      <w:rFonts w:hint="eastAsia" w:ascii="宋体" w:hAnsi="Times New Roman" w:eastAsia="宋体" w:cs="宋体"/>
      <w:sz w:val="21"/>
    </w:rPr>
  </w:style>
  <w:style w:type="paragraph" w:customStyle="1" w:styleId="63">
    <w:name w:val="标准文件_数字编号列项（二级）"/>
    <w:next w:val="25"/>
    <w:qFormat/>
    <w:uiPriority w:val="0"/>
    <w:pPr>
      <w:numPr>
        <w:ilvl w:val="1"/>
        <w:numId w:val="6"/>
      </w:numPr>
      <w:ind w:left="1259" w:hanging="419"/>
      <w:jc w:val="both"/>
    </w:pPr>
    <w:rPr>
      <w:rFonts w:hint="eastAsia" w:ascii="宋体" w:hAnsi="Times New Roman" w:eastAsia="宋体" w:cs="Times New Roman"/>
      <w:sz w:val="21"/>
    </w:rPr>
  </w:style>
  <w:style w:type="paragraph" w:customStyle="1" w:styleId="64">
    <w:name w:val="标准文件_三级项"/>
    <w:basedOn w:val="1"/>
    <w:next w:val="25"/>
    <w:qFormat/>
    <w:uiPriority w:val="0"/>
    <w:pPr>
      <w:numPr>
        <w:ilvl w:val="2"/>
        <w:numId w:val="6"/>
      </w:numPr>
      <w:suppressAutoHyphens w:val="0"/>
      <w:spacing w:beforeLines="0" w:afterLines="0" w:line="300" w:lineRule="exact"/>
      <w:ind w:left="1678" w:hanging="414"/>
    </w:pPr>
    <w:rPr>
      <w:rFonts w:hAnsi="+西文正文"/>
    </w:rPr>
  </w:style>
  <w:style w:type="paragraph" w:customStyle="1" w:styleId="65">
    <w:name w:val="标准文件_二级项2"/>
    <w:basedOn w:val="25"/>
    <w:next w:val="25"/>
    <w:qFormat/>
    <w:uiPriority w:val="0"/>
    <w:pPr>
      <w:numPr>
        <w:ilvl w:val="1"/>
        <w:numId w:val="7"/>
      </w:numPr>
      <w:tabs>
        <w:tab w:val="left" w:pos="839"/>
      </w:tabs>
      <w:suppressAutoHyphens w:val="0"/>
      <w:ind w:left="1264" w:hanging="414" w:firstLineChars="0"/>
    </w:pPr>
    <w:rPr>
      <w:rFonts w:hAnsi="Times New Roman"/>
    </w:rPr>
  </w:style>
  <w:style w:type="paragraph" w:customStyle="1" w:styleId="66">
    <w:name w:val="标准文件_字母编号列项（一级）"/>
    <w:next w:val="25"/>
    <w:qFormat/>
    <w:uiPriority w:val="0"/>
    <w:pPr>
      <w:numPr>
        <w:ilvl w:val="0"/>
        <w:numId w:val="6"/>
      </w:numPr>
      <w:ind w:left="839" w:hanging="419"/>
      <w:jc w:val="both"/>
    </w:pPr>
    <w:rPr>
      <w:rFonts w:hint="eastAsia" w:ascii="宋体" w:hAnsi="Times New Roman" w:eastAsia="宋体" w:cs="宋体"/>
      <w:sz w:val="21"/>
    </w:rPr>
  </w:style>
  <w:style w:type="paragraph" w:customStyle="1" w:styleId="67">
    <w:name w:val="标准文件_引言一级无标题"/>
    <w:basedOn w:val="56"/>
    <w:next w:val="25"/>
    <w:qFormat/>
    <w:uiPriority w:val="0"/>
    <w:pPr>
      <w:spacing w:before="4" w:beforeLines="1" w:after="4" w:afterLines="1" w:line="276" w:lineRule="auto"/>
    </w:pPr>
    <w:rPr>
      <w:rFonts w:ascii="宋体" w:hAnsi="宋体" w:eastAsia="宋体" w:cs="宋体"/>
    </w:rPr>
  </w:style>
  <w:style w:type="paragraph" w:customStyle="1" w:styleId="68">
    <w:name w:val="标准文件_引言二级无标题"/>
    <w:basedOn w:val="57"/>
    <w:next w:val="25"/>
    <w:qFormat/>
    <w:uiPriority w:val="0"/>
    <w:pPr>
      <w:spacing w:before="4" w:beforeLines="1" w:after="4" w:afterLines="1" w:line="276" w:lineRule="auto"/>
    </w:pPr>
    <w:rPr>
      <w:rFonts w:ascii="宋体" w:hAnsi="宋体" w:eastAsia="宋体" w:cs="宋体"/>
    </w:rPr>
  </w:style>
  <w:style w:type="paragraph" w:customStyle="1" w:styleId="69">
    <w:name w:val="标准文件_引言三级无标题"/>
    <w:basedOn w:val="58"/>
    <w:next w:val="25"/>
    <w:qFormat/>
    <w:uiPriority w:val="0"/>
    <w:pPr>
      <w:spacing w:before="4" w:beforeLines="1" w:after="4" w:afterLines="1" w:line="276" w:lineRule="auto"/>
    </w:pPr>
    <w:rPr>
      <w:rFonts w:ascii="宋体" w:hAnsi="宋体" w:eastAsia="宋体" w:cs="宋体"/>
    </w:rPr>
  </w:style>
  <w:style w:type="paragraph" w:customStyle="1" w:styleId="70">
    <w:name w:val="标准文件_引言四级无标题"/>
    <w:basedOn w:val="59"/>
    <w:next w:val="25"/>
    <w:qFormat/>
    <w:uiPriority w:val="0"/>
    <w:pPr>
      <w:spacing w:before="4" w:beforeLines="1" w:after="4" w:afterLines="1" w:line="276" w:lineRule="auto"/>
    </w:pPr>
    <w:rPr>
      <w:rFonts w:ascii="宋体" w:hAnsi="宋体" w:eastAsia="宋体" w:cs="宋体"/>
    </w:rPr>
  </w:style>
  <w:style w:type="paragraph" w:customStyle="1" w:styleId="71">
    <w:name w:val="标准文件_引言五级无标题"/>
    <w:basedOn w:val="60"/>
    <w:next w:val="25"/>
    <w:qFormat/>
    <w:uiPriority w:val="0"/>
    <w:pPr>
      <w:spacing w:before="4" w:beforeLines="1" w:after="4" w:afterLines="1" w:line="276" w:lineRule="auto"/>
    </w:pPr>
    <w:rPr>
      <w:rFonts w:ascii="宋体" w:hAnsi="宋体" w:eastAsia="宋体" w:cs="宋体"/>
    </w:rPr>
  </w:style>
  <w:style w:type="paragraph" w:customStyle="1" w:styleId="72">
    <w:name w:val="标准文件_章标题"/>
    <w:next w:val="25"/>
    <w:qFormat/>
    <w:uiPriority w:val="0"/>
    <w:pPr>
      <w:numPr>
        <w:ilvl w:val="0"/>
        <w:numId w:val="8"/>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73">
    <w:name w:val="标准文件_一级条标题"/>
    <w:basedOn w:val="72"/>
    <w:next w:val="25"/>
    <w:qFormat/>
    <w:uiPriority w:val="0"/>
    <w:pPr>
      <w:numPr>
        <w:ilvl w:val="1"/>
      </w:numPr>
      <w:spacing w:before="157" w:beforeLines="50" w:after="157" w:afterLines="50"/>
      <w:ind w:firstLine="0"/>
      <w:outlineLvl w:val="1"/>
    </w:pPr>
    <w:rPr>
      <w:rFonts w:hAnsi="Times New Roman"/>
    </w:rPr>
  </w:style>
  <w:style w:type="paragraph" w:customStyle="1" w:styleId="74">
    <w:name w:val="标准文件_二级条标题"/>
    <w:next w:val="25"/>
    <w:qFormat/>
    <w:uiPriority w:val="0"/>
    <w:pPr>
      <w:numPr>
        <w:ilvl w:val="2"/>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75">
    <w:name w:val="标准文件_三级条标题"/>
    <w:basedOn w:val="74"/>
    <w:next w:val="25"/>
    <w:qFormat/>
    <w:uiPriority w:val="0"/>
    <w:pPr>
      <w:numPr>
        <w:ilvl w:val="3"/>
      </w:numPr>
      <w:spacing w:before="157" w:after="157"/>
      <w:ind w:firstLine="0"/>
      <w:outlineLvl w:val="3"/>
    </w:pPr>
  </w:style>
  <w:style w:type="paragraph" w:customStyle="1" w:styleId="76">
    <w:name w:val="标准文件_四级条标题"/>
    <w:next w:val="25"/>
    <w:qFormat/>
    <w:uiPriority w:val="0"/>
    <w:pPr>
      <w:numPr>
        <w:ilvl w:val="4"/>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7">
    <w:name w:val="标准文件_五级条标题"/>
    <w:next w:val="25"/>
    <w:qFormat/>
    <w:uiPriority w:val="0"/>
    <w:pPr>
      <w:numPr>
        <w:ilvl w:val="5"/>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8">
    <w:name w:val="标准文件_一级无标题"/>
    <w:basedOn w:val="73"/>
    <w:qFormat/>
    <w:uiPriority w:val="0"/>
    <w:pPr>
      <w:spacing w:before="4" w:beforeLines="1" w:after="4" w:afterLines="1"/>
      <w:outlineLvl w:val="9"/>
    </w:pPr>
    <w:rPr>
      <w:rFonts w:ascii="宋体" w:hAnsi="宋体" w:eastAsia="宋体" w:cs="宋体"/>
    </w:rPr>
  </w:style>
  <w:style w:type="paragraph" w:customStyle="1" w:styleId="79">
    <w:name w:val="标准文件_二级无标题"/>
    <w:basedOn w:val="74"/>
    <w:qFormat/>
    <w:uiPriority w:val="0"/>
    <w:pPr>
      <w:spacing w:before="4" w:beforeLines="1" w:after="4" w:afterLines="1"/>
      <w:outlineLvl w:val="9"/>
    </w:pPr>
    <w:rPr>
      <w:rFonts w:ascii="宋体" w:hAnsi="宋体" w:eastAsia="宋体" w:cs="宋体"/>
    </w:rPr>
  </w:style>
  <w:style w:type="paragraph" w:customStyle="1" w:styleId="80">
    <w:name w:val="标准文件_三级无标题"/>
    <w:basedOn w:val="75"/>
    <w:qFormat/>
    <w:uiPriority w:val="0"/>
    <w:pPr>
      <w:spacing w:before="4" w:beforeLines="1" w:after="4" w:afterLines="1"/>
    </w:pPr>
    <w:rPr>
      <w:rFonts w:ascii="宋体" w:hAnsi="宋体" w:eastAsia="宋体" w:cs="宋体"/>
    </w:rPr>
  </w:style>
  <w:style w:type="paragraph" w:customStyle="1" w:styleId="81">
    <w:name w:val="标准文件_四级无标题"/>
    <w:basedOn w:val="76"/>
    <w:qFormat/>
    <w:uiPriority w:val="0"/>
    <w:pPr>
      <w:spacing w:before="4" w:beforeLines="1" w:after="4" w:afterLines="1"/>
      <w:outlineLvl w:val="9"/>
    </w:pPr>
    <w:rPr>
      <w:rFonts w:ascii="宋体" w:hAnsi="宋体" w:eastAsia="宋体" w:cs="宋体"/>
    </w:rPr>
  </w:style>
  <w:style w:type="paragraph" w:customStyle="1" w:styleId="82">
    <w:name w:val="标准文件_五级无标题"/>
    <w:basedOn w:val="77"/>
    <w:qFormat/>
    <w:uiPriority w:val="0"/>
    <w:pPr>
      <w:spacing w:before="4" w:beforeLines="1" w:after="4" w:afterLines="1"/>
      <w:outlineLvl w:val="9"/>
    </w:pPr>
    <w:rPr>
      <w:rFonts w:ascii="宋体" w:hAnsi="宋体" w:eastAsia="宋体" w:cs="宋体"/>
    </w:rPr>
  </w:style>
  <w:style w:type="paragraph" w:customStyle="1" w:styleId="83">
    <w:name w:val="标准文件_术语条一"/>
    <w:basedOn w:val="78"/>
    <w:next w:val="25"/>
    <w:qFormat/>
    <w:uiPriority w:val="0"/>
    <w:pPr>
      <w:ind w:left="960" w:hanging="960" w:hangingChars="200"/>
    </w:pPr>
    <w:rPr>
      <w:rFonts w:ascii="黑体" w:hAnsi="黑体" w:eastAsia="黑体" w:cs="黑体"/>
    </w:rPr>
  </w:style>
  <w:style w:type="paragraph" w:customStyle="1" w:styleId="84">
    <w:name w:val="标准文件_术语条二"/>
    <w:basedOn w:val="79"/>
    <w:next w:val="25"/>
    <w:qFormat/>
    <w:uiPriority w:val="0"/>
    <w:pPr>
      <w:ind w:left="960" w:hanging="960" w:hangingChars="200"/>
    </w:pPr>
    <w:rPr>
      <w:rFonts w:ascii="黑体" w:hAnsi="黑体" w:eastAsia="黑体" w:cs="黑体"/>
    </w:rPr>
  </w:style>
  <w:style w:type="paragraph" w:customStyle="1" w:styleId="85">
    <w:name w:val="标准文件_术语条三"/>
    <w:basedOn w:val="80"/>
    <w:next w:val="25"/>
    <w:qFormat/>
    <w:uiPriority w:val="0"/>
    <w:pPr>
      <w:ind w:left="960" w:hanging="960" w:hangingChars="200"/>
    </w:pPr>
    <w:rPr>
      <w:rFonts w:ascii="黑体" w:hAnsi="黑体" w:eastAsia="黑体" w:cs="黑体"/>
    </w:rPr>
  </w:style>
  <w:style w:type="paragraph" w:customStyle="1" w:styleId="86">
    <w:name w:val="标准文件_术语条四"/>
    <w:basedOn w:val="81"/>
    <w:next w:val="25"/>
    <w:qFormat/>
    <w:uiPriority w:val="0"/>
    <w:pPr>
      <w:ind w:left="960" w:hanging="960" w:hangingChars="200"/>
    </w:pPr>
    <w:rPr>
      <w:rFonts w:ascii="黑体" w:hAnsi="黑体" w:eastAsia="黑体" w:cs="黑体"/>
    </w:rPr>
  </w:style>
  <w:style w:type="paragraph" w:customStyle="1" w:styleId="87">
    <w:name w:val="标准文件_术语条五"/>
    <w:basedOn w:val="82"/>
    <w:next w:val="25"/>
    <w:qFormat/>
    <w:uiPriority w:val="0"/>
    <w:pPr>
      <w:ind w:left="960" w:hanging="960" w:hangingChars="200"/>
    </w:pPr>
    <w:rPr>
      <w:rFonts w:ascii="黑体" w:hAnsi="黑体" w:eastAsia="黑体" w:cs="黑体"/>
    </w:rPr>
  </w:style>
  <w:style w:type="paragraph" w:customStyle="1" w:styleId="88">
    <w:name w:val="标准文件_附录标识"/>
    <w:basedOn w:val="1"/>
    <w:next w:val="25"/>
    <w:qFormat/>
    <w:uiPriority w:val="0"/>
    <w:pPr>
      <w:widowControl/>
      <w:numPr>
        <w:ilvl w:val="0"/>
        <w:numId w:val="9"/>
      </w:numPr>
      <w:suppressAutoHyphens w:val="0"/>
      <w:spacing w:before="79" w:beforeLines="25" w:after="157" w:afterLines="50"/>
      <w:jc w:val="center"/>
      <w:outlineLvl w:val="0"/>
    </w:pPr>
    <w:rPr>
      <w:rFonts w:ascii="黑体" w:hAnsi="黑体" w:eastAsia="黑体" w:cs="黑体"/>
    </w:rPr>
  </w:style>
  <w:style w:type="paragraph" w:customStyle="1" w:styleId="89">
    <w:name w:val="标准文件_附录一级条标题"/>
    <w:next w:val="25"/>
    <w:qFormat/>
    <w:uiPriority w:val="0"/>
    <w:pPr>
      <w:numPr>
        <w:ilvl w:val="1"/>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0">
    <w:name w:val="标准文件_附录二级条标题"/>
    <w:next w:val="25"/>
    <w:qFormat/>
    <w:uiPriority w:val="0"/>
    <w:pPr>
      <w:numPr>
        <w:ilvl w:val="2"/>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1">
    <w:name w:val="标准文件_附录三级条标题"/>
    <w:next w:val="25"/>
    <w:qFormat/>
    <w:uiPriority w:val="0"/>
    <w:pPr>
      <w:numPr>
        <w:ilvl w:val="3"/>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2">
    <w:name w:val="标准文件_附录四级条标题"/>
    <w:next w:val="25"/>
    <w:qFormat/>
    <w:uiPriority w:val="0"/>
    <w:pPr>
      <w:numPr>
        <w:ilvl w:val="4"/>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3">
    <w:name w:val="标准文件_附录五级条标题"/>
    <w:next w:val="25"/>
    <w:qFormat/>
    <w:uiPriority w:val="0"/>
    <w:pPr>
      <w:numPr>
        <w:ilvl w:val="5"/>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4">
    <w:name w:val="标准文件_附录一级无标题"/>
    <w:basedOn w:val="89"/>
    <w:qFormat/>
    <w:uiPriority w:val="0"/>
    <w:pPr>
      <w:spacing w:before="4" w:beforeLines="1" w:after="4" w:afterLines="1" w:line="276" w:lineRule="auto"/>
    </w:pPr>
    <w:rPr>
      <w:rFonts w:ascii="宋体" w:hAnsi="宋体" w:eastAsia="宋体" w:cs="宋体"/>
    </w:rPr>
  </w:style>
  <w:style w:type="paragraph" w:customStyle="1" w:styleId="95">
    <w:name w:val="标准文件_附录二级无标题"/>
    <w:basedOn w:val="90"/>
    <w:qFormat/>
    <w:uiPriority w:val="0"/>
    <w:pPr>
      <w:spacing w:before="4" w:beforeLines="1" w:after="4" w:afterLines="1" w:line="276" w:lineRule="auto"/>
    </w:pPr>
    <w:rPr>
      <w:rFonts w:ascii="宋体" w:hAnsi="宋体" w:eastAsia="宋体" w:cs="宋体"/>
    </w:rPr>
  </w:style>
  <w:style w:type="paragraph" w:customStyle="1" w:styleId="96">
    <w:name w:val="标准文件_附录三级无标题"/>
    <w:basedOn w:val="91"/>
    <w:qFormat/>
    <w:uiPriority w:val="0"/>
    <w:pPr>
      <w:spacing w:before="4" w:beforeLines="1" w:after="4" w:afterLines="1" w:line="276" w:lineRule="auto"/>
    </w:pPr>
    <w:rPr>
      <w:rFonts w:ascii="宋体" w:hAnsi="宋体" w:eastAsia="宋体" w:cs="宋体"/>
    </w:rPr>
  </w:style>
  <w:style w:type="paragraph" w:customStyle="1" w:styleId="97">
    <w:name w:val="标准文件_附录四级无标题"/>
    <w:basedOn w:val="92"/>
    <w:qFormat/>
    <w:uiPriority w:val="0"/>
    <w:pPr>
      <w:spacing w:before="4" w:beforeLines="1" w:after="4" w:afterLines="1" w:line="276" w:lineRule="auto"/>
    </w:pPr>
    <w:rPr>
      <w:rFonts w:ascii="宋体" w:hAnsi="宋体" w:eastAsia="宋体" w:cs="宋体"/>
    </w:rPr>
  </w:style>
  <w:style w:type="paragraph" w:customStyle="1" w:styleId="98">
    <w:name w:val="标准文件_附录五级无标题"/>
    <w:basedOn w:val="93"/>
    <w:qFormat/>
    <w:uiPriority w:val="0"/>
    <w:pPr>
      <w:spacing w:before="4" w:beforeLines="1" w:after="4" w:afterLines="1" w:line="276" w:lineRule="auto"/>
    </w:pPr>
    <w:rPr>
      <w:rFonts w:ascii="宋体" w:hAnsi="宋体" w:eastAsia="宋体" w:cs="宋体"/>
    </w:rPr>
  </w:style>
  <w:style w:type="paragraph" w:customStyle="1" w:styleId="99">
    <w:name w:val="附录图标号"/>
    <w:basedOn w:val="25"/>
    <w:next w:val="25"/>
    <w:qFormat/>
    <w:uiPriority w:val="0"/>
    <w:pPr>
      <w:numPr>
        <w:ilvl w:val="0"/>
        <w:numId w:val="10"/>
      </w:numPr>
      <w:spacing w:line="14" w:lineRule="exact"/>
      <w:ind w:left="0"/>
      <w:jc w:val="center"/>
    </w:pPr>
    <w:rPr>
      <w:sz w:val="2"/>
    </w:rPr>
  </w:style>
  <w:style w:type="paragraph" w:customStyle="1" w:styleId="100">
    <w:name w:val="附录图标题"/>
    <w:next w:val="25"/>
    <w:qFormat/>
    <w:uiPriority w:val="0"/>
    <w:pPr>
      <w:numPr>
        <w:ilvl w:val="1"/>
        <w:numId w:val="2"/>
      </w:numPr>
      <w:spacing w:before="157" w:beforeLines="50" w:after="157" w:afterLines="50"/>
      <w:jc w:val="center"/>
    </w:pPr>
    <w:rPr>
      <w:rFonts w:hint="eastAsia" w:ascii="黑体" w:hAnsi="黑体" w:eastAsia="黑体" w:cs="黑体"/>
      <w:sz w:val="21"/>
    </w:rPr>
  </w:style>
  <w:style w:type="paragraph" w:customStyle="1" w:styleId="101">
    <w:name w:val="附录表标号"/>
    <w:basedOn w:val="25"/>
    <w:next w:val="25"/>
    <w:qFormat/>
    <w:uiPriority w:val="0"/>
    <w:pPr>
      <w:numPr>
        <w:ilvl w:val="0"/>
        <w:numId w:val="11"/>
      </w:numPr>
      <w:spacing w:line="14" w:lineRule="exact"/>
      <w:ind w:left="0"/>
      <w:jc w:val="center"/>
    </w:pPr>
    <w:rPr>
      <w:sz w:val="2"/>
    </w:rPr>
  </w:style>
  <w:style w:type="paragraph" w:customStyle="1" w:styleId="102">
    <w:name w:val="附录表标题"/>
    <w:next w:val="25"/>
    <w:qFormat/>
    <w:uiPriority w:val="0"/>
    <w:pPr>
      <w:numPr>
        <w:ilvl w:val="1"/>
        <w:numId w:val="11"/>
      </w:numPr>
      <w:spacing w:before="157" w:beforeLines="50" w:after="157" w:afterLines="50"/>
      <w:jc w:val="center"/>
    </w:pPr>
    <w:rPr>
      <w:rFonts w:hint="eastAsia" w:ascii="黑体" w:hAnsi="黑体" w:eastAsia="黑体" w:cs="黑体"/>
      <w:sz w:val="21"/>
    </w:rPr>
  </w:style>
  <w:style w:type="paragraph" w:customStyle="1" w:styleId="103">
    <w:name w:val="附录公式标号"/>
    <w:basedOn w:val="25"/>
    <w:next w:val="25"/>
    <w:qFormat/>
    <w:uiPriority w:val="0"/>
    <w:pPr>
      <w:numPr>
        <w:ilvl w:val="0"/>
        <w:numId w:val="2"/>
      </w:numPr>
      <w:spacing w:line="14" w:lineRule="exact"/>
      <w:ind w:left="425"/>
      <w:jc w:val="center"/>
    </w:pPr>
    <w:rPr>
      <w:sz w:val="2"/>
    </w:rPr>
  </w:style>
  <w:style w:type="paragraph" w:customStyle="1" w:styleId="104">
    <w:name w:val="标准文件_示例内容"/>
    <w:basedOn w:val="25"/>
    <w:qFormat/>
    <w:uiPriority w:val="0"/>
    <w:pPr>
      <w:suppressAutoHyphens w:val="0"/>
    </w:pPr>
    <w:rPr>
      <w:rFonts w:hAnsi="宋体"/>
      <w:sz w:val="18"/>
    </w:rPr>
  </w:style>
  <w:style w:type="paragraph" w:customStyle="1" w:styleId="105">
    <w:name w:val="标准文件_示例"/>
    <w:next w:val="104"/>
    <w:qFormat/>
    <w:uiPriority w:val="0"/>
    <w:pPr>
      <w:numPr>
        <w:ilvl w:val="0"/>
        <w:numId w:val="12"/>
      </w:numPr>
      <w:tabs>
        <w:tab w:val="left" w:pos="539"/>
      </w:tabs>
      <w:suppressAutoHyphens w:val="0"/>
      <w:spacing w:beforeLines="0" w:afterLines="0"/>
      <w:jc w:val="both"/>
    </w:pPr>
    <w:rPr>
      <w:rFonts w:hint="eastAsia" w:ascii="宋体" w:hAnsi="宋体" w:eastAsia="宋体" w:cs="宋体"/>
      <w:sz w:val="18"/>
    </w:rPr>
  </w:style>
  <w:style w:type="paragraph" w:customStyle="1" w:styleId="106">
    <w:name w:val="标准文件_示例×"/>
    <w:basedOn w:val="1"/>
    <w:next w:val="104"/>
    <w:qFormat/>
    <w:uiPriority w:val="0"/>
    <w:pPr>
      <w:widowControl/>
      <w:numPr>
        <w:ilvl w:val="0"/>
        <w:numId w:val="13"/>
      </w:numPr>
      <w:tabs>
        <w:tab w:val="left" w:pos="539"/>
      </w:tabs>
      <w:suppressAutoHyphens w:val="0"/>
      <w:spacing w:beforeLines="0" w:afterLines="0"/>
      <w:ind w:firstLine="363"/>
    </w:pPr>
    <w:rPr>
      <w:rFonts w:hAnsi="宋体"/>
      <w:sz w:val="18"/>
    </w:rPr>
  </w:style>
  <w:style w:type="paragraph" w:customStyle="1" w:styleId="107">
    <w:name w:val="标准文件_注"/>
    <w:next w:val="25"/>
    <w:qFormat/>
    <w:uiPriority w:val="0"/>
    <w:pPr>
      <w:numPr>
        <w:ilvl w:val="0"/>
        <w:numId w:val="14"/>
      </w:numPr>
      <w:tabs>
        <w:tab w:val="left" w:pos="539"/>
      </w:tabs>
      <w:autoSpaceDE w:val="0"/>
      <w:autoSpaceDN w:val="0"/>
      <w:spacing w:beforeLines="0" w:afterLines="0"/>
      <w:jc w:val="both"/>
    </w:pPr>
    <w:rPr>
      <w:rFonts w:hint="eastAsia" w:ascii="宋体" w:hAnsi="宋体" w:eastAsia="宋体" w:cs="宋体"/>
      <w:sz w:val="18"/>
    </w:rPr>
  </w:style>
  <w:style w:type="paragraph" w:customStyle="1" w:styleId="108">
    <w:name w:val="标准文件_注×"/>
    <w:next w:val="25"/>
    <w:qFormat/>
    <w:uiPriority w:val="0"/>
    <w:pPr>
      <w:numPr>
        <w:ilvl w:val="0"/>
        <w:numId w:val="15"/>
      </w:numPr>
      <w:tabs>
        <w:tab w:val="left" w:pos="539"/>
      </w:tabs>
      <w:spacing w:beforeLines="0" w:afterLines="0"/>
      <w:jc w:val="both"/>
    </w:pPr>
    <w:rPr>
      <w:rFonts w:hint="eastAsia" w:ascii="宋体" w:hAnsi="宋体" w:eastAsia="宋体" w:cs="宋体"/>
      <w:sz w:val="18"/>
    </w:rPr>
  </w:style>
  <w:style w:type="paragraph" w:customStyle="1" w:styleId="109">
    <w:name w:val="标准文件_图表脚注"/>
    <w:basedOn w:val="1"/>
    <w:next w:val="25"/>
    <w:qFormat/>
    <w:uiPriority w:val="0"/>
    <w:pPr>
      <w:numPr>
        <w:ilvl w:val="0"/>
        <w:numId w:val="16"/>
      </w:numPr>
      <w:suppressAutoHyphens w:val="0"/>
      <w:adjustRightInd w:val="0"/>
      <w:spacing w:beforeLines="0" w:afterLines="0"/>
      <w:jc w:val="left"/>
    </w:pPr>
    <w:rPr>
      <w:rFonts w:hAnsi="宋体"/>
      <w:sz w:val="18"/>
    </w:rPr>
  </w:style>
  <w:style w:type="paragraph" w:customStyle="1" w:styleId="110">
    <w:name w:val="标准文件_标准正文"/>
    <w:basedOn w:val="1"/>
    <w:next w:val="25"/>
    <w:qFormat/>
    <w:uiPriority w:val="0"/>
    <w:pPr>
      <w:ind w:firstLine="960" w:firstLineChars="200"/>
    </w:pPr>
  </w:style>
  <w:style w:type="paragraph" w:customStyle="1" w:styleId="111">
    <w:name w:val="标准文件_正文公式"/>
    <w:basedOn w:val="1"/>
    <w:next w:val="110"/>
    <w:qFormat/>
    <w:uiPriority w:val="0"/>
    <w:pPr>
      <w:tabs>
        <w:tab w:val="center" w:pos="4678"/>
        <w:tab w:val="right" w:leader="middleDot" w:pos="9355"/>
      </w:tabs>
    </w:pPr>
  </w:style>
  <w:style w:type="paragraph" w:customStyle="1" w:styleId="112">
    <w:name w:val="标准文件_表格"/>
    <w:basedOn w:val="25"/>
    <w:qFormat/>
    <w:uiPriority w:val="0"/>
    <w:pPr>
      <w:jc w:val="center"/>
    </w:pPr>
    <w:rPr>
      <w:sz w:val="18"/>
    </w:rPr>
  </w:style>
  <w:style w:type="paragraph" w:customStyle="1" w:styleId="113">
    <w:name w:val="终结线"/>
    <w:basedOn w:val="1"/>
    <w:qFormat/>
    <w:uiPriority w:val="0"/>
    <w:pPr>
      <w:framePr w:hSpace="181" w:vSpace="181" w:wrap="around" w:vAnchor="text" w:hAnchor="margin" w:xAlign="center" w:y="285"/>
    </w:pPr>
    <w:rPr>
      <w:rFonts w:ascii="Times New Roman" w:hAnsi="Times New Roman" w:cs="Times New Roman"/>
      <w:b/>
      <w:sz w:val="34"/>
    </w:rPr>
  </w:style>
  <w:style w:type="paragraph" w:customStyle="1" w:styleId="114">
    <w:name w:val="标准文件_正文表标题"/>
    <w:next w:val="25"/>
    <w:qFormat/>
    <w:uiPriority w:val="0"/>
    <w:pPr>
      <w:numPr>
        <w:ilvl w:val="0"/>
        <w:numId w:val="17"/>
      </w:numPr>
      <w:spacing w:before="157" w:beforeLines="50" w:after="157" w:afterLines="50"/>
      <w:jc w:val="center"/>
    </w:pPr>
    <w:rPr>
      <w:rFonts w:hint="eastAsia" w:ascii="黑体" w:hAnsi="黑体" w:eastAsia="黑体" w:cs="黑体"/>
      <w:sz w:val="21"/>
    </w:rPr>
  </w:style>
  <w:style w:type="paragraph" w:customStyle="1" w:styleId="115">
    <w:name w:val="标准文件_正文图标题"/>
    <w:next w:val="25"/>
    <w:qFormat/>
    <w:uiPriority w:val="0"/>
    <w:pPr>
      <w:numPr>
        <w:ilvl w:val="0"/>
        <w:numId w:val="18"/>
      </w:numPr>
      <w:spacing w:before="157" w:beforeLines="50" w:after="157" w:afterLines="50"/>
      <w:jc w:val="center"/>
    </w:pPr>
    <w:rPr>
      <w:rFonts w:hint="eastAsia" w:ascii="黑体" w:hAnsi="黑体" w:eastAsia="黑体" w:cs="黑体"/>
      <w:sz w:val="21"/>
    </w:rPr>
  </w:style>
  <w:style w:type="paragraph" w:customStyle="1" w:styleId="116">
    <w:name w:val="标准文件_索引标题"/>
    <w:basedOn w:val="34"/>
    <w:next w:val="25"/>
    <w:qFormat/>
    <w:uiPriority w:val="0"/>
    <w:rPr>
      <w:rFonts w:hAnsi="黑体"/>
    </w:rPr>
  </w:style>
  <w:style w:type="paragraph" w:customStyle="1" w:styleId="117">
    <w:name w:val="标准文件_索引项"/>
    <w:basedOn w:val="25"/>
    <w:next w:val="25"/>
    <w:qFormat/>
    <w:uiPriority w:val="0"/>
    <w:pPr>
      <w:tabs>
        <w:tab w:val="right" w:leader="dot" w:pos="9355"/>
      </w:tabs>
      <w:autoSpaceDE w:val="0"/>
      <w:autoSpaceDN w:val="0"/>
      <w:ind w:left="177" w:hanging="177" w:hangingChars="37"/>
      <w:jc w:val="left"/>
    </w:pPr>
  </w:style>
  <w:style w:type="paragraph" w:customStyle="1" w:styleId="118">
    <w:name w:val="标准文件_索引字母"/>
    <w:next w:val="25"/>
    <w:qFormat/>
    <w:uiPriority w:val="0"/>
    <w:pPr>
      <w:spacing w:beforeLines="0" w:afterLines="0"/>
      <w:jc w:val="center"/>
    </w:pPr>
    <w:rPr>
      <w:rFonts w:hint="eastAsia" w:ascii="宋体" w:hAnsi="宋体" w:eastAsia="宋体" w:cs="宋体"/>
      <w:b/>
      <w:kern w:val="2"/>
      <w:sz w:val="21"/>
    </w:rPr>
  </w:style>
  <w:style w:type="paragraph" w:customStyle="1" w:styleId="119">
    <w:name w:val="标准文件_提示"/>
    <w:basedOn w:val="1"/>
    <w:qFormat/>
    <w:uiPriority w:val="0"/>
    <w:pPr>
      <w:ind w:firstLine="960" w:firstLineChars="200"/>
    </w:pPr>
    <w:rPr>
      <w:rFonts w:ascii="黑体" w:hAnsi="黑体" w:eastAsia="黑体" w:cs="黑体"/>
    </w:rPr>
  </w:style>
  <w:style w:type="character" w:customStyle="1" w:styleId="120">
    <w:name w:val="标准文件_正文标准名称 Char"/>
    <w:link w:val="61"/>
    <w:qFormat/>
    <w:uiPriority w:val="0"/>
    <w:rPr>
      <w:rFonts w:ascii="黑体" w:hAnsi="黑体" w:eastAsia="黑体" w:cs="黑体"/>
      <w:sz w:val="32"/>
    </w:rPr>
  </w:style>
  <w:style w:type="paragraph" w:customStyle="1" w:styleId="1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2">
    <w:name w:val="章标题"/>
    <w:next w:val="121"/>
    <w:qFormat/>
    <w:uiPriority w:val="0"/>
    <w:pPr>
      <w:numPr>
        <w:ilvl w:val="0"/>
        <w:numId w:val="19"/>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3">
    <w:name w:val="一级无"/>
    <w:basedOn w:val="124"/>
    <w:qFormat/>
    <w:uiPriority w:val="0"/>
    <w:pPr>
      <w:spacing w:before="0" w:beforeLines="0" w:after="0" w:afterLines="0"/>
    </w:pPr>
    <w:rPr>
      <w:rFonts w:ascii="宋体" w:eastAsia="宋体"/>
    </w:rPr>
  </w:style>
  <w:style w:type="paragraph" w:customStyle="1" w:styleId="124">
    <w:name w:val="一级条标题"/>
    <w:next w:val="121"/>
    <w:qFormat/>
    <w:uiPriority w:val="0"/>
    <w:pPr>
      <w:numPr>
        <w:ilvl w:val="1"/>
        <w:numId w:val="19"/>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25">
    <w:name w:val="列项——（一级）"/>
    <w:qFormat/>
    <w:uiPriority w:val="0"/>
    <w:pPr>
      <w:widowControl w:val="0"/>
      <w:numPr>
        <w:ilvl w:val="0"/>
        <w:numId w:val="20"/>
      </w:numPr>
      <w:jc w:val="both"/>
    </w:pPr>
    <w:rPr>
      <w:rFonts w:ascii="宋体" w:hAnsi="Times New Roman" w:eastAsia="宋体" w:cs="Times New Roman"/>
      <w:sz w:val="21"/>
      <w:lang w:val="en-US" w:eastAsia="zh-CN" w:bidi="ar-SA"/>
    </w:rPr>
  </w:style>
  <w:style w:type="paragraph" w:customStyle="1" w:styleId="126">
    <w:name w:val="注：（正文）"/>
    <w:basedOn w:val="127"/>
    <w:next w:val="121"/>
    <w:qFormat/>
    <w:uiPriority w:val="0"/>
    <w:pPr>
      <w:numPr>
        <w:ilvl w:val="0"/>
        <w:numId w:val="21"/>
      </w:numPr>
    </w:pPr>
  </w:style>
  <w:style w:type="paragraph" w:customStyle="1" w:styleId="127">
    <w:name w:val="注："/>
    <w:next w:val="121"/>
    <w:qFormat/>
    <w:uiPriority w:val="0"/>
    <w:pPr>
      <w:widowControl w:val="0"/>
      <w:numPr>
        <w:ilvl w:val="0"/>
        <w:numId w:val="22"/>
      </w:numPr>
      <w:autoSpaceDE w:val="0"/>
      <w:autoSpaceDN w:val="0"/>
      <w:jc w:val="both"/>
    </w:pPr>
    <w:rPr>
      <w:rFonts w:ascii="宋体" w:hAnsiTheme="minorHAnsi" w:eastAsiaTheme="minorEastAsia" w:cstheme="minorBidi"/>
      <w:sz w:val="18"/>
      <w:szCs w:val="18"/>
      <w:lang w:val="en-US" w:eastAsia="zh-CN" w:bidi="ar-SA"/>
    </w:rPr>
  </w:style>
  <w:style w:type="character" w:customStyle="1" w:styleId="128">
    <w:name w:val="font61"/>
    <w:basedOn w:val="22"/>
    <w:qFormat/>
    <w:uiPriority w:val="0"/>
    <w:rPr>
      <w:rFonts w:hint="eastAsia" w:ascii="仿宋_GB2312" w:eastAsia="仿宋_GB2312" w:cs="仿宋_GB2312"/>
      <w:color w:val="000000"/>
      <w:sz w:val="20"/>
      <w:szCs w:val="20"/>
      <w:u w:val="none"/>
    </w:rPr>
  </w:style>
  <w:style w:type="character" w:customStyle="1" w:styleId="129">
    <w:name w:val="font01"/>
    <w:basedOn w:val="22"/>
    <w:qFormat/>
    <w:uiPriority w:val="0"/>
    <w:rPr>
      <w:rFonts w:hint="eastAsia" w:ascii="宋体" w:hAnsi="宋体" w:eastAsia="宋体" w:cs="宋体"/>
      <w:color w:val="000000"/>
      <w:sz w:val="20"/>
      <w:szCs w:val="20"/>
      <w:u w:val="none"/>
    </w:rPr>
  </w:style>
  <w:style w:type="character" w:customStyle="1" w:styleId="130">
    <w:name w:val="font51"/>
    <w:basedOn w:val="22"/>
    <w:qFormat/>
    <w:uiPriority w:val="0"/>
    <w:rPr>
      <w:rFonts w:hint="eastAsia" w:ascii="仿宋_GB2312" w:eastAsia="仿宋_GB2312" w:cs="仿宋_GB2312"/>
      <w:color w:val="FF0000"/>
      <w:sz w:val="20"/>
      <w:szCs w:val="20"/>
      <w:u w:val="single"/>
    </w:rPr>
  </w:style>
  <w:style w:type="character" w:customStyle="1" w:styleId="131">
    <w:name w:val="font21"/>
    <w:basedOn w:val="22"/>
    <w:qFormat/>
    <w:uiPriority w:val="0"/>
    <w:rPr>
      <w:rFonts w:hint="eastAsia" w:ascii="仿宋_GB2312" w:eastAsia="仿宋_GB2312" w:cs="仿宋_GB2312"/>
      <w:color w:val="FF0000"/>
      <w:sz w:val="20"/>
      <w:szCs w:val="20"/>
      <w:u w:val="none"/>
    </w:rPr>
  </w:style>
  <w:style w:type="character" w:customStyle="1" w:styleId="132">
    <w:name w:val="font31"/>
    <w:basedOn w:val="22"/>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04c8c4a-e1cc-4016-b3d7-6036cef710a5}"/>
        <w:style w:val=""/>
        <w:category>
          <w:name w:val="常规"/>
          <w:gallery w:val="placeholder"/>
        </w:category>
        <w:types>
          <w:type w:val="bbPlcHdr"/>
        </w:types>
        <w:behaviors>
          <w:behavior w:val="content"/>
        </w:behaviors>
        <w:description w:val=""/>
        <w:guid w:val="{704c8c4a-e1cc-4016-b3d7-6036cef710a5}"/>
      </w:docPartPr>
      <w:docPartBody>
        <w:p>
          <w:r>
            <w:rPr>
              <w:color w:val="808080"/>
            </w:rPr>
            <w:t>单击此处输入文字。</w:t>
          </w:r>
        </w:p>
      </w:docPartBody>
    </w:docPart>
    <w:docPart>
      <w:docPartPr>
        <w:name w:val="{24cf9b37-d24b-409c-b665-ab6bb7984216}"/>
        <w:style w:val=""/>
        <w:category>
          <w:name w:val="常规"/>
          <w:gallery w:val="placeholder"/>
        </w:category>
        <w:types>
          <w:type w:val="bbPlcHdr"/>
        </w:types>
        <w:behaviors>
          <w:behavior w:val="content"/>
        </w:behaviors>
        <w:description w:val=""/>
        <w:guid w:val="{24cf9b37-d24b-409c-b665-ab6bb7984216}"/>
      </w:docPartPr>
      <w:docPartBody>
        <w:p>
          <w:r>
            <w:rPr>
              <w:color w:val="808080"/>
            </w:rPr>
            <w:t>选择一项。</w:t>
          </w:r>
        </w:p>
      </w:docPartBody>
    </w:docPart>
    <w:docPart>
      <w:docPartPr>
        <w:name w:val="{a343206d-5b2b-45c9-baf1-49e78a393844}"/>
        <w:style w:val=""/>
        <w:category>
          <w:name w:val="常规"/>
          <w:gallery w:val="placeholder"/>
        </w:category>
        <w:types>
          <w:type w:val="bbPlcHdr"/>
        </w:types>
        <w:behaviors>
          <w:behavior w:val="content"/>
        </w:behaviors>
        <w:description w:val=""/>
        <w:guid w:val="{a343206d-5b2b-45c9-baf1-49e78a393844}"/>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8167</Words>
  <Characters>8554</Characters>
  <Lines>0</Lines>
  <Paragraphs>0</Paragraphs>
  <TotalTime>9</TotalTime>
  <ScaleCrop>false</ScaleCrop>
  <LinksUpToDate>false</LinksUpToDate>
  <CharactersWithSpaces>8619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曹丽冰</cp:lastModifiedBy>
  <dcterms:modified xsi:type="dcterms:W3CDTF">2021-09-30T03:29:26Z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DE83C49D3DC24D7F85FFE0448EB2AAD2</vt:lpwstr>
  </property>
</Properties>
</file>