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港口设施防雷装置检测技术规范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Specifications for inspection of Lightning Protection system</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（本草案完成时间：2021年9月）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ADB81068A406491686F63BCD09B6ED59"/>
        </w:placeholder>
      </w:sdtPr>
      <w:sdtContent>
        <w:p>
          <w:pPr>
            <w:pStyle w:val="177"/>
            <w:spacing w:before="312" w:beforeLines="100" w:after="686" w:afterLines="220"/>
          </w:pPr>
          <w:bookmarkStart w:id="22" w:name="NEW_STAND_NAME"/>
          <w:r>
            <w:rPr>
              <w:rFonts w:hint="eastAsia"/>
            </w:rPr>
            <w:t>港口设施防雷装置检测技术规范</w:t>
          </w:r>
        </w:p>
      </w:sdtContent>
    </w:sdt>
    <w:bookmarkEnd w:id="22"/>
    <w:p>
      <w:pPr>
        <w:pStyle w:val="104"/>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pPr>
        <w:pStyle w:val="56"/>
        <w:ind w:firstLine="420"/>
        <w:rPr>
          <w:rFonts w:hint="eastAsia"/>
        </w:rPr>
      </w:pPr>
      <w:bookmarkStart w:id="31" w:name="_Toc17233326"/>
      <w:bookmarkStart w:id="32" w:name="_Toc17233334"/>
      <w:bookmarkStart w:id="33" w:name="_Toc24884212"/>
      <w:bookmarkStart w:id="34" w:name="_Toc24884219"/>
      <w:bookmarkStart w:id="35" w:name="_Toc26648466"/>
      <w:r>
        <w:rPr>
          <w:rFonts w:hint="eastAsia"/>
        </w:rPr>
        <w:t>本标准规定了港口设施防雷装置的措施、检测作业、管理与维护的基本要求。</w:t>
      </w:r>
    </w:p>
    <w:p>
      <w:pPr>
        <w:pStyle w:val="56"/>
        <w:ind w:firstLine="420"/>
      </w:pPr>
      <w:r>
        <w:rPr>
          <w:rFonts w:hint="eastAsia"/>
        </w:rPr>
        <w:t>本标准适用于沿海、内河港口防雷装置的设计、检测和管理。</w:t>
      </w:r>
    </w:p>
    <w:p>
      <w:pPr>
        <w:pStyle w:val="104"/>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C1BB553282E6423EAB7AE6E995BAC4B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GB50016-2014  建筑设计防火规范</w:t>
      </w:r>
    </w:p>
    <w:p>
      <w:pPr>
        <w:pStyle w:val="56"/>
        <w:ind w:firstLine="420"/>
        <w:rPr>
          <w:rFonts w:hint="eastAsia"/>
        </w:rPr>
      </w:pPr>
      <w:r>
        <w:rPr>
          <w:rFonts w:hint="eastAsia"/>
        </w:rPr>
        <w:t>GB50057-2010  建筑物防雷设计规范</w:t>
      </w:r>
    </w:p>
    <w:p>
      <w:pPr>
        <w:pStyle w:val="56"/>
        <w:ind w:firstLine="420"/>
        <w:rPr>
          <w:rFonts w:hint="eastAsia"/>
        </w:rPr>
      </w:pPr>
      <w:r>
        <w:rPr>
          <w:rFonts w:hint="eastAsia"/>
        </w:rPr>
        <w:t>GB/T21431-2015  建筑物防雷装置检测技术规范</w:t>
      </w:r>
    </w:p>
    <w:p>
      <w:pPr>
        <w:pStyle w:val="56"/>
        <w:ind w:firstLine="420"/>
        <w:rPr>
          <w:rFonts w:hint="eastAsia"/>
        </w:rPr>
      </w:pPr>
      <w:r>
        <w:rPr>
          <w:rFonts w:hint="eastAsia"/>
        </w:rPr>
        <w:t>GB50058-2014  爆炸和火灾危险环境电力装置设计规范</w:t>
      </w:r>
    </w:p>
    <w:p>
      <w:pPr>
        <w:pStyle w:val="56"/>
        <w:ind w:firstLine="420"/>
        <w:rPr>
          <w:rFonts w:hint="eastAsia"/>
        </w:rPr>
      </w:pPr>
      <w:r>
        <w:rPr>
          <w:rFonts w:hint="eastAsia"/>
        </w:rPr>
        <w:t>GB17379-1998  散装石油、液体化工产品港口储存通则</w:t>
      </w:r>
    </w:p>
    <w:p>
      <w:pPr>
        <w:pStyle w:val="56"/>
        <w:ind w:firstLine="420"/>
        <w:rPr>
          <w:rFonts w:hint="eastAsia"/>
        </w:rPr>
      </w:pPr>
      <w:r>
        <w:rPr>
          <w:rFonts w:hint="eastAsia"/>
        </w:rPr>
        <w:t>GB/T50186-2013  港口工程基本术语标准</w:t>
      </w:r>
    </w:p>
    <w:p>
      <w:pPr>
        <w:pStyle w:val="56"/>
        <w:ind w:firstLine="420"/>
        <w:rPr>
          <w:rFonts w:hint="eastAsia"/>
        </w:rPr>
      </w:pPr>
      <w:r>
        <w:rPr>
          <w:rFonts w:hint="eastAsia"/>
        </w:rPr>
        <w:t>GB/T36029-2018  港口危险货物集装箱堆场安全作业规程</w:t>
      </w:r>
    </w:p>
    <w:p>
      <w:pPr>
        <w:pStyle w:val="56"/>
        <w:ind w:firstLine="420"/>
        <w:rPr>
          <w:rFonts w:hint="eastAsia"/>
        </w:rPr>
      </w:pPr>
      <w:r>
        <w:rPr>
          <w:rFonts w:hint="eastAsia"/>
        </w:rPr>
        <w:t>GB17918-2008  港口散粮装卸系统粉尘防爆安全规程</w:t>
      </w:r>
    </w:p>
    <w:p>
      <w:pPr>
        <w:pStyle w:val="56"/>
        <w:ind w:firstLine="420"/>
        <w:rPr>
          <w:rFonts w:hint="eastAsia"/>
        </w:rPr>
      </w:pPr>
      <w:r>
        <w:rPr>
          <w:rFonts w:hint="eastAsia"/>
        </w:rPr>
        <w:t>GB/T15626-1995  散装液体化工产品港口装卸技术要求</w:t>
      </w:r>
    </w:p>
    <w:p>
      <w:pPr>
        <w:pStyle w:val="56"/>
        <w:ind w:firstLine="420"/>
      </w:pPr>
      <w:r>
        <w:rPr>
          <w:rFonts w:hint="eastAsia"/>
        </w:rPr>
        <w:t>GB6944-2012  危险货物分类和品名编号</w:t>
      </w:r>
    </w:p>
    <w:p>
      <w:pPr>
        <w:pStyle w:val="104"/>
        <w:spacing w:before="312" w:after="312"/>
      </w:pPr>
      <w:r>
        <w:rPr>
          <w:rFonts w:hint="eastAsia"/>
          <w:szCs w:val="21"/>
        </w:rPr>
        <w:t>术语和定义</w:t>
      </w:r>
    </w:p>
    <w:sdt>
      <w:sdtPr>
        <w:id w:val="-1909835108"/>
        <w:placeholder>
          <w:docPart w:val="A3453E0BF77840E585693230815E95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9" w:name="_Toc26986532"/>
          <w:bookmarkEnd w:id="39"/>
          <w:r>
            <w:t>下列术语和定义适用于本文件。</w:t>
          </w:r>
        </w:p>
      </w:sdtContent>
    </w:sdt>
    <w:p>
      <w:pPr>
        <w:pStyle w:val="56"/>
        <w:ind w:firstLine="420"/>
        <w:rPr>
          <w:rFonts w:hint="eastAsia"/>
        </w:rPr>
      </w:pPr>
      <w:r>
        <w:rPr>
          <w:rFonts w:hint="eastAsia"/>
        </w:rPr>
        <w:t>3.1 港口    port</w:t>
      </w:r>
    </w:p>
    <w:p>
      <w:pPr>
        <w:pStyle w:val="56"/>
        <w:ind w:firstLine="420"/>
        <w:rPr>
          <w:rFonts w:hint="eastAsia"/>
        </w:rPr>
      </w:pPr>
      <w:r>
        <w:rPr>
          <w:rFonts w:hint="eastAsia"/>
        </w:rPr>
        <w:t>位于江、河、湖、海或水库等地，具有一定设备和条件，供船舶安全进出和停泊，以进行客货运输和其他相关业务的区域。</w:t>
      </w:r>
    </w:p>
    <w:p>
      <w:pPr>
        <w:pStyle w:val="56"/>
        <w:ind w:firstLine="420"/>
        <w:rPr>
          <w:rFonts w:hint="eastAsia"/>
        </w:rPr>
      </w:pPr>
      <w:r>
        <w:rPr>
          <w:rFonts w:hint="eastAsia"/>
        </w:rPr>
        <w:t>3.2 码头    wharf；quay；pier；jetty；terminal</w:t>
      </w:r>
    </w:p>
    <w:p>
      <w:pPr>
        <w:pStyle w:val="56"/>
        <w:ind w:firstLine="420"/>
        <w:rPr>
          <w:rFonts w:hint="eastAsia"/>
        </w:rPr>
      </w:pPr>
      <w:r>
        <w:rPr>
          <w:rFonts w:hint="eastAsia"/>
        </w:rPr>
        <w:t>供船舶停靠、装卸货物或上下旅客的水工建筑物、设施和停泊水域，由一个或者多个泊位组成。</w:t>
      </w:r>
    </w:p>
    <w:p>
      <w:pPr>
        <w:pStyle w:val="56"/>
        <w:ind w:firstLine="420"/>
        <w:rPr>
          <w:rFonts w:hint="eastAsia"/>
        </w:rPr>
      </w:pPr>
      <w:r>
        <w:rPr>
          <w:rFonts w:hint="eastAsia"/>
        </w:rPr>
        <w:t>3.3 港口供电    port power supply</w:t>
      </w:r>
    </w:p>
    <w:p>
      <w:pPr>
        <w:pStyle w:val="56"/>
        <w:ind w:firstLine="420"/>
        <w:rPr>
          <w:rFonts w:hint="eastAsia"/>
        </w:rPr>
      </w:pPr>
      <w:r>
        <w:rPr>
          <w:rFonts w:hint="eastAsia"/>
        </w:rPr>
        <w:t>为满足港口生产、生活用电而设置的供电系统。</w:t>
      </w:r>
    </w:p>
    <w:p>
      <w:pPr>
        <w:pStyle w:val="56"/>
        <w:ind w:firstLine="420"/>
        <w:rPr>
          <w:rFonts w:hint="eastAsia"/>
        </w:rPr>
      </w:pPr>
      <w:r>
        <w:rPr>
          <w:rFonts w:hint="eastAsia"/>
        </w:rPr>
        <w:t>3.4 门机    portal crane</w:t>
      </w:r>
    </w:p>
    <w:p>
      <w:pPr>
        <w:pStyle w:val="56"/>
        <w:ind w:firstLine="420"/>
        <w:rPr>
          <w:rFonts w:hint="eastAsia"/>
        </w:rPr>
      </w:pPr>
      <w:r>
        <w:rPr>
          <w:rFonts w:hint="eastAsia"/>
        </w:rPr>
        <w:t>港口用门座式起重机的简称，即通过两侧支腿支承在地面轨道或地基上的桥架型起重机。</w:t>
      </w:r>
    </w:p>
    <w:p>
      <w:pPr>
        <w:pStyle w:val="56"/>
        <w:ind w:firstLine="420"/>
        <w:rPr>
          <w:rFonts w:hint="eastAsia"/>
        </w:rPr>
      </w:pPr>
      <w:r>
        <w:rPr>
          <w:rFonts w:hint="eastAsia"/>
        </w:rPr>
        <w:t>3.5 港口仓库    port warehouse</w:t>
      </w:r>
    </w:p>
    <w:p>
      <w:pPr>
        <w:pStyle w:val="56"/>
        <w:ind w:firstLine="420"/>
        <w:rPr>
          <w:rFonts w:hint="eastAsia"/>
        </w:rPr>
      </w:pPr>
      <w:r>
        <w:rPr>
          <w:rFonts w:hint="eastAsia"/>
        </w:rPr>
        <w:t>供港口货物存放保管的建筑物。</w:t>
      </w:r>
    </w:p>
    <w:p>
      <w:pPr>
        <w:pStyle w:val="56"/>
        <w:ind w:firstLine="420"/>
        <w:rPr>
          <w:rFonts w:hint="eastAsia"/>
        </w:rPr>
      </w:pPr>
      <w:r>
        <w:rPr>
          <w:rFonts w:hint="eastAsia"/>
        </w:rPr>
        <w:t>3.6 货棚    freight shed</w:t>
      </w:r>
    </w:p>
    <w:p>
      <w:pPr>
        <w:pStyle w:val="56"/>
        <w:ind w:firstLine="420"/>
        <w:rPr>
          <w:rFonts w:hint="eastAsia"/>
        </w:rPr>
      </w:pPr>
      <w:r>
        <w:rPr>
          <w:rFonts w:hint="eastAsia"/>
        </w:rPr>
        <w:t>设有顶盖和支柱，四周一般不建围墙的储货建筑物。</w:t>
      </w:r>
    </w:p>
    <w:p>
      <w:pPr>
        <w:pStyle w:val="56"/>
        <w:ind w:firstLine="420"/>
        <w:rPr>
          <w:rFonts w:hint="eastAsia"/>
        </w:rPr>
      </w:pPr>
      <w:r>
        <w:rPr>
          <w:rFonts w:hint="eastAsia"/>
        </w:rPr>
        <w:t>3.7 港口堆场    storage yard</w:t>
      </w:r>
    </w:p>
    <w:p>
      <w:pPr>
        <w:pStyle w:val="56"/>
        <w:ind w:firstLine="420"/>
        <w:rPr>
          <w:rFonts w:hint="eastAsia"/>
        </w:rPr>
      </w:pPr>
      <w:r>
        <w:rPr>
          <w:rFonts w:hint="eastAsia"/>
        </w:rPr>
        <w:t>在港区内堆存货物的露天堆场。</w:t>
      </w:r>
    </w:p>
    <w:p>
      <w:pPr>
        <w:pStyle w:val="56"/>
        <w:ind w:firstLine="420"/>
        <w:rPr>
          <w:rFonts w:hint="eastAsia"/>
        </w:rPr>
      </w:pPr>
      <w:r>
        <w:rPr>
          <w:rFonts w:hint="eastAsia"/>
        </w:rPr>
        <w:t>3.8 码头静电接地装置    static grounding device；earthing device</w:t>
      </w:r>
    </w:p>
    <w:p>
      <w:pPr>
        <w:pStyle w:val="56"/>
        <w:ind w:firstLine="420"/>
        <w:rPr>
          <w:rFonts w:hint="eastAsia"/>
        </w:rPr>
      </w:pPr>
      <w:r>
        <w:rPr>
          <w:rFonts w:hint="eastAsia"/>
        </w:rPr>
        <w:t>防止油轮在输油、装卸油的过程中产生静电而设置的安全导电接地装置。</w:t>
      </w:r>
    </w:p>
    <w:p>
      <w:pPr>
        <w:pStyle w:val="56"/>
        <w:ind w:firstLine="420"/>
        <w:rPr>
          <w:rFonts w:hint="eastAsia"/>
        </w:rPr>
      </w:pPr>
      <w:r>
        <w:rPr>
          <w:rFonts w:hint="eastAsia"/>
        </w:rPr>
        <w:t>3.9 牺牲阳极阴极保护    sacrificial anode cathodic protection</w:t>
      </w:r>
    </w:p>
    <w:p>
      <w:pPr>
        <w:pStyle w:val="56"/>
        <w:ind w:firstLine="420"/>
        <w:rPr>
          <w:rFonts w:hint="eastAsia"/>
        </w:rPr>
      </w:pPr>
      <w:r>
        <w:rPr>
          <w:rFonts w:hint="eastAsia"/>
        </w:rPr>
        <w:t>由与被保护体耦合的牺牲阳极提供保护电流的阴极保护。</w:t>
      </w:r>
    </w:p>
    <w:p>
      <w:pPr>
        <w:pStyle w:val="56"/>
        <w:ind w:firstLine="420"/>
        <w:rPr>
          <w:rFonts w:hint="eastAsia"/>
        </w:rPr>
      </w:pPr>
      <w:r>
        <w:rPr>
          <w:rFonts w:hint="eastAsia"/>
        </w:rPr>
        <w:t>3.10 外加电源阴极保护    impressed current cathodic protection</w:t>
      </w:r>
    </w:p>
    <w:p>
      <w:pPr>
        <w:pStyle w:val="56"/>
        <w:ind w:firstLine="420"/>
        <w:rPr>
          <w:rFonts w:hint="eastAsia"/>
        </w:rPr>
      </w:pPr>
      <w:r>
        <w:rPr>
          <w:rFonts w:hint="eastAsia"/>
        </w:rPr>
        <w:t>有外部电源提供保护电流的阴极保护。</w:t>
      </w:r>
    </w:p>
    <w:p>
      <w:pPr>
        <w:pStyle w:val="56"/>
        <w:ind w:firstLine="420"/>
        <w:rPr>
          <w:rFonts w:hint="eastAsia"/>
        </w:rPr>
      </w:pPr>
      <w:r>
        <w:rPr>
          <w:rFonts w:hint="eastAsia"/>
        </w:rPr>
        <w:t>3.11 危险货物    dangerous goods</w:t>
      </w:r>
    </w:p>
    <w:p>
      <w:pPr>
        <w:pStyle w:val="56"/>
        <w:ind w:firstLine="420"/>
        <w:rPr>
          <w:rFonts w:hint="eastAsia"/>
        </w:rPr>
      </w:pPr>
      <w:r>
        <w:rPr>
          <w:rFonts w:hint="eastAsia"/>
        </w:rPr>
        <w:t>列入《国际海运危险货物规则》、《危险货物品名表》等国际海事组织或国家相关标准规定的，具有爆炸、易燃、毒害、感染、腐蚀、放射性等特性，在水路运输、港口装卸和储存等过程中，容易造成人身伤亡、财产毁损或对环境造成危害而需要特别防护的货物。</w:t>
      </w:r>
    </w:p>
    <w:p>
      <w:pPr>
        <w:pStyle w:val="56"/>
        <w:ind w:firstLine="420"/>
        <w:rPr>
          <w:rFonts w:hint="eastAsia"/>
        </w:rPr>
      </w:pPr>
      <w:r>
        <w:rPr>
          <w:rFonts w:hint="eastAsia"/>
        </w:rPr>
        <w:t>3.12 危险货物集装箱    dangerous container</w:t>
      </w:r>
    </w:p>
    <w:p>
      <w:pPr>
        <w:pStyle w:val="56"/>
        <w:ind w:firstLine="420"/>
        <w:rPr>
          <w:rFonts w:hint="eastAsia"/>
        </w:rPr>
      </w:pPr>
      <w:r>
        <w:rPr>
          <w:rFonts w:hint="eastAsia"/>
        </w:rPr>
        <w:t>装有在国际海事组织《国际海运危险货物规则》、GB6944和GB12268中所列的危险货物的集装箱；从装入危险品起，至该箱经拆箱、清扫或清洗干净止，并带有危险品标志的集装箱。</w:t>
      </w:r>
    </w:p>
    <w:p>
      <w:pPr>
        <w:pStyle w:val="56"/>
        <w:ind w:firstLine="420"/>
        <w:rPr>
          <w:rFonts w:hint="eastAsia"/>
        </w:rPr>
      </w:pPr>
      <w:r>
        <w:rPr>
          <w:rFonts w:hint="eastAsia"/>
        </w:rPr>
        <w:t>3.13 危险品集装箱堆场    dangerous container yard</w:t>
      </w:r>
    </w:p>
    <w:p>
      <w:pPr>
        <w:pStyle w:val="56"/>
        <w:ind w:firstLine="420"/>
        <w:rPr>
          <w:rFonts w:hint="eastAsia"/>
        </w:rPr>
      </w:pPr>
      <w:r>
        <w:rPr>
          <w:rFonts w:hint="eastAsia"/>
        </w:rPr>
        <w:t>专供港口办理危险品集装箱装卸、转运、保管、交接的，并标有危险品标志的场所。包括在港区内设立的专业危险货物集装箱堆场、临时危险货物堆场和专为港口配套的港外危险货物集装箱堆场。</w:t>
      </w:r>
    </w:p>
    <w:p>
      <w:pPr>
        <w:pStyle w:val="56"/>
        <w:ind w:firstLine="420"/>
        <w:rPr>
          <w:rFonts w:hint="eastAsia"/>
        </w:rPr>
      </w:pPr>
      <w:r>
        <w:rPr>
          <w:rFonts w:hint="eastAsia"/>
        </w:rPr>
        <w:t>3.14 重大危险源    mahor hazard installation</w:t>
      </w:r>
    </w:p>
    <w:p>
      <w:pPr>
        <w:pStyle w:val="56"/>
        <w:ind w:firstLine="420"/>
        <w:rPr>
          <w:rFonts w:hint="eastAsia"/>
        </w:rPr>
      </w:pPr>
      <w:r>
        <w:rPr>
          <w:rFonts w:hint="eastAsia"/>
        </w:rPr>
        <w:t>长期地或者临时地生产、搬运、使用或者储存危险物品，且危险物品的数量等于或者超过临界量的场所和设施。</w:t>
      </w:r>
    </w:p>
    <w:p>
      <w:pPr>
        <w:pStyle w:val="56"/>
        <w:ind w:firstLine="420"/>
        <w:rPr>
          <w:rFonts w:hint="eastAsia"/>
        </w:rPr>
      </w:pPr>
      <w:r>
        <w:rPr>
          <w:rFonts w:hint="eastAsia"/>
        </w:rPr>
        <w:t>3.15 港口信息管理系统    port information system</w:t>
      </w:r>
    </w:p>
    <w:p>
      <w:pPr>
        <w:pStyle w:val="56"/>
        <w:ind w:firstLine="420"/>
        <w:rPr>
          <w:rFonts w:hint="eastAsia"/>
        </w:rPr>
      </w:pPr>
      <w:r>
        <w:rPr>
          <w:rFonts w:hint="eastAsia"/>
        </w:rPr>
        <w:t>利用计算机技术、网络通信技术进行港口相关信息的收集、存储、加工、传递和输出的系统。</w:t>
      </w:r>
    </w:p>
    <w:p>
      <w:pPr>
        <w:pStyle w:val="56"/>
        <w:ind w:firstLine="420"/>
        <w:rPr>
          <w:rFonts w:hint="eastAsia"/>
        </w:rPr>
      </w:pPr>
      <w:r>
        <w:rPr>
          <w:rFonts w:hint="eastAsia"/>
        </w:rPr>
        <w:t>3.16 电子信息系统机房    computer room of electronic information system</w:t>
      </w:r>
    </w:p>
    <w:p>
      <w:pPr>
        <w:pStyle w:val="56"/>
        <w:ind w:firstLine="420"/>
        <w:rPr>
          <w:rFonts w:hint="eastAsia"/>
        </w:rPr>
      </w:pPr>
      <w:r>
        <w:rPr>
          <w:rFonts w:hint="eastAsia"/>
        </w:rPr>
        <w:t>用于电子信息处理、存储、交换和传输设备的安装和运行的建筑空间。</w:t>
      </w:r>
    </w:p>
    <w:p>
      <w:pPr>
        <w:pStyle w:val="56"/>
        <w:ind w:firstLine="420"/>
        <w:rPr>
          <w:rFonts w:hint="eastAsia"/>
        </w:rPr>
      </w:pPr>
      <w:r>
        <w:rPr>
          <w:rFonts w:hint="eastAsia"/>
        </w:rPr>
        <w:t>3.17 港口视频监控系统    port video monitoring system</w:t>
      </w:r>
    </w:p>
    <w:p>
      <w:pPr>
        <w:pStyle w:val="56"/>
        <w:ind w:firstLine="420"/>
        <w:rPr>
          <w:rFonts w:hint="eastAsia"/>
        </w:rPr>
      </w:pPr>
      <w:r>
        <w:rPr>
          <w:rFonts w:hint="eastAsia"/>
        </w:rPr>
        <w:t>通过视频图像对所关注的对象进行监视的系统。由前端摄像部分、传输部分、控制部分、显示与记录四大部分组成。</w:t>
      </w:r>
    </w:p>
    <w:p>
      <w:pPr>
        <w:pStyle w:val="56"/>
        <w:ind w:firstLine="420"/>
        <w:rPr>
          <w:rFonts w:hint="eastAsia"/>
        </w:rPr>
      </w:pPr>
      <w:r>
        <w:rPr>
          <w:rFonts w:hint="eastAsia"/>
        </w:rPr>
        <w:t>3.18 港口综合布线系统    port general cabling system</w:t>
      </w:r>
    </w:p>
    <w:p>
      <w:pPr>
        <w:pStyle w:val="56"/>
        <w:ind w:firstLine="420"/>
        <w:rPr>
          <w:rFonts w:hint="eastAsia"/>
        </w:rPr>
      </w:pPr>
      <w:r>
        <w:rPr>
          <w:rFonts w:hint="eastAsia"/>
        </w:rPr>
        <w:t>通过港区综合布线系统可以将话音设备、数据设备、信息设备、图像设备、交换设备及各种控制设备规范化的连接起来。包括工作区子系统、水平子系统、垂直子系统、设备间子系统、管理子系统和建筑群子系统。</w:t>
      </w:r>
    </w:p>
    <w:p>
      <w:pPr>
        <w:pStyle w:val="56"/>
        <w:ind w:firstLine="420"/>
        <w:rPr>
          <w:rFonts w:hint="eastAsia"/>
        </w:rPr>
      </w:pPr>
      <w:r>
        <w:rPr>
          <w:rFonts w:hint="eastAsia"/>
        </w:rPr>
        <w:t>3.19 散装液体化工产品    liquid chemicals in bulk</w:t>
      </w:r>
    </w:p>
    <w:p>
      <w:pPr>
        <w:pStyle w:val="56"/>
        <w:ind w:firstLine="420"/>
        <w:rPr>
          <w:rFonts w:hint="eastAsia"/>
        </w:rPr>
      </w:pPr>
      <w:r>
        <w:rPr>
          <w:rFonts w:hint="eastAsia"/>
        </w:rPr>
        <w:t>能用储罐储存和化学品船运输的在温度为37.8℃时，蒸汽压力不超过3.8kPa/cm²的易燃液体、部分毒害品和感染性物品、腐蚀品。</w:t>
      </w:r>
    </w:p>
    <w:p>
      <w:pPr>
        <w:pStyle w:val="56"/>
        <w:ind w:firstLine="420"/>
        <w:rPr>
          <w:rFonts w:hint="eastAsia"/>
        </w:rPr>
      </w:pPr>
      <w:r>
        <w:rPr>
          <w:rFonts w:hint="eastAsia"/>
        </w:rPr>
        <w:t>3.20 散装石油    petroleum in bulk</w:t>
      </w:r>
    </w:p>
    <w:p>
      <w:pPr>
        <w:pStyle w:val="56"/>
        <w:ind w:firstLine="420"/>
        <w:rPr>
          <w:rFonts w:hint="eastAsia"/>
        </w:rPr>
      </w:pPr>
      <w:r>
        <w:rPr>
          <w:rFonts w:hint="eastAsia"/>
        </w:rPr>
        <w:t>能用储罐储存的原油和从原油炼成的、常温常压下为液体的各种液态烃产品的统称。例如：汽油、柴油、煤油等。</w:t>
      </w:r>
    </w:p>
    <w:p>
      <w:pPr>
        <w:pStyle w:val="56"/>
        <w:ind w:firstLine="420"/>
        <w:rPr>
          <w:rFonts w:hint="eastAsia"/>
        </w:rPr>
      </w:pPr>
      <w:r>
        <w:rPr>
          <w:rFonts w:hint="eastAsia"/>
        </w:rPr>
        <w:t>3.21 防雷装置    lightning protection system；LPS</w:t>
      </w:r>
    </w:p>
    <w:p>
      <w:pPr>
        <w:pStyle w:val="56"/>
        <w:ind w:firstLine="420"/>
        <w:rPr>
          <w:rFonts w:hint="eastAsia"/>
        </w:rPr>
      </w:pPr>
      <w:r>
        <w:rPr>
          <w:rFonts w:hint="eastAsia"/>
        </w:rPr>
        <w:t>用于减少闪击击于建（构）筑物上或建（构）筑物附近造成的物质性损害和人身伤亡，由外部防雷装置和内部防雷装置组成。</w:t>
      </w:r>
    </w:p>
    <w:p>
      <w:pPr>
        <w:pStyle w:val="56"/>
        <w:ind w:firstLine="420"/>
        <w:rPr>
          <w:rFonts w:hint="eastAsia"/>
        </w:rPr>
      </w:pPr>
      <w:r>
        <w:rPr>
          <w:rFonts w:hint="eastAsia"/>
        </w:rPr>
        <w:t>3.22 外部防雷装置    external lightning protection system</w:t>
      </w:r>
    </w:p>
    <w:p>
      <w:pPr>
        <w:pStyle w:val="56"/>
        <w:ind w:firstLine="420"/>
        <w:rPr>
          <w:rFonts w:hint="eastAsia"/>
        </w:rPr>
      </w:pPr>
      <w:r>
        <w:rPr>
          <w:rFonts w:hint="eastAsia"/>
        </w:rPr>
        <w:t>由接闪器、引下线和接地装置组成。</w:t>
      </w:r>
    </w:p>
    <w:p>
      <w:pPr>
        <w:pStyle w:val="56"/>
        <w:ind w:firstLine="420"/>
        <w:rPr>
          <w:rFonts w:hint="eastAsia"/>
        </w:rPr>
      </w:pPr>
      <w:r>
        <w:rPr>
          <w:rFonts w:hint="eastAsia"/>
        </w:rPr>
        <w:t>3.23 内部防雷装置    internal lightning protection system</w:t>
      </w:r>
    </w:p>
    <w:p>
      <w:pPr>
        <w:pStyle w:val="56"/>
        <w:ind w:firstLine="420"/>
        <w:rPr>
          <w:rFonts w:hint="eastAsia"/>
        </w:rPr>
      </w:pPr>
      <w:r>
        <w:rPr>
          <w:rFonts w:hint="eastAsia"/>
        </w:rPr>
        <w:t xml:space="preserve">由防雷等电位连接和与外部防雷装置的间隔距离组成。 </w:t>
      </w:r>
    </w:p>
    <w:p>
      <w:pPr>
        <w:pStyle w:val="56"/>
        <w:ind w:firstLine="420"/>
        <w:rPr>
          <w:rFonts w:hint="eastAsia"/>
        </w:rPr>
      </w:pPr>
      <w:r>
        <w:rPr>
          <w:rFonts w:hint="eastAsia"/>
        </w:rPr>
        <w:t>3.24 接闪器    air-termination system</w:t>
      </w:r>
    </w:p>
    <w:p>
      <w:pPr>
        <w:pStyle w:val="56"/>
        <w:ind w:firstLine="420"/>
        <w:rPr>
          <w:rFonts w:hint="eastAsia"/>
        </w:rPr>
      </w:pPr>
      <w:r>
        <w:rPr>
          <w:rFonts w:hint="eastAsia"/>
        </w:rPr>
        <w:t>由拦截闪击的接闪杆、接闪带、接闪线、接闪网以及金属屋面、金属构件等组成。</w:t>
      </w:r>
    </w:p>
    <w:p>
      <w:pPr>
        <w:pStyle w:val="56"/>
        <w:ind w:firstLine="420"/>
        <w:rPr>
          <w:rFonts w:hint="eastAsia"/>
        </w:rPr>
      </w:pPr>
      <w:r>
        <w:rPr>
          <w:rFonts w:hint="eastAsia"/>
        </w:rPr>
        <w:t>3.25 引下线    down-conductor system</w:t>
      </w:r>
    </w:p>
    <w:p>
      <w:pPr>
        <w:pStyle w:val="56"/>
        <w:ind w:firstLine="420"/>
        <w:rPr>
          <w:rFonts w:hint="eastAsia"/>
        </w:rPr>
      </w:pPr>
      <w:r>
        <w:rPr>
          <w:rFonts w:hint="eastAsia"/>
        </w:rPr>
        <w:t xml:space="preserve">用于将雷电流从接闪器传导至接地装置的导体。 </w:t>
      </w:r>
    </w:p>
    <w:p>
      <w:pPr>
        <w:pStyle w:val="56"/>
        <w:ind w:firstLine="420"/>
        <w:rPr>
          <w:rFonts w:hint="eastAsia"/>
        </w:rPr>
      </w:pPr>
      <w:r>
        <w:rPr>
          <w:rFonts w:hint="eastAsia"/>
        </w:rPr>
        <w:t>3.26 接地装置    earth-termination system</w:t>
      </w:r>
    </w:p>
    <w:p>
      <w:pPr>
        <w:pStyle w:val="56"/>
        <w:ind w:firstLine="420"/>
        <w:rPr>
          <w:rFonts w:hint="eastAsia"/>
        </w:rPr>
      </w:pPr>
      <w:r>
        <w:rPr>
          <w:rFonts w:hint="eastAsia"/>
        </w:rPr>
        <w:t xml:space="preserve">接地体和接地线的总合，用于传导雷电流并将其流散入大地。 </w:t>
      </w:r>
    </w:p>
    <w:p>
      <w:pPr>
        <w:pStyle w:val="56"/>
        <w:ind w:firstLine="420"/>
        <w:rPr>
          <w:rFonts w:hint="eastAsia"/>
        </w:rPr>
      </w:pPr>
      <w:r>
        <w:rPr>
          <w:rFonts w:hint="eastAsia"/>
        </w:rPr>
        <w:t>3.27 接地    earth；ground</w:t>
      </w:r>
    </w:p>
    <w:p>
      <w:pPr>
        <w:pStyle w:val="56"/>
        <w:ind w:firstLine="420"/>
        <w:rPr>
          <w:rFonts w:hint="eastAsia"/>
        </w:rPr>
      </w:pPr>
      <w:r>
        <w:rPr>
          <w:rFonts w:hint="eastAsia"/>
        </w:rPr>
        <w:t>一种有意或非有意的导电连接，由于这种连接，可使电路或电气设备连到大地或接到代替大地的某种较大的导电体。</w:t>
      </w:r>
    </w:p>
    <w:p>
      <w:pPr>
        <w:pStyle w:val="56"/>
        <w:ind w:firstLine="420"/>
        <w:rPr>
          <w:rFonts w:hint="eastAsia"/>
        </w:rPr>
      </w:pPr>
      <w:r>
        <w:rPr>
          <w:rFonts w:hint="eastAsia"/>
        </w:rPr>
        <w:t>注：接地的目的是：a）使连接到地的导体具有等于或近似于大地（或代替大地的导电体）的电位；b）引导入地电流流入和流出大地（或代替大地的导电体）。</w:t>
      </w:r>
    </w:p>
    <w:p>
      <w:pPr>
        <w:pStyle w:val="56"/>
        <w:ind w:firstLine="420"/>
        <w:rPr>
          <w:rFonts w:hint="eastAsia"/>
        </w:rPr>
      </w:pPr>
      <w:r>
        <w:rPr>
          <w:rFonts w:hint="eastAsia"/>
        </w:rPr>
        <w:t>3.28 工频接地电阻    power frequency ground resistance</w:t>
      </w:r>
    </w:p>
    <w:p>
      <w:pPr>
        <w:pStyle w:val="56"/>
        <w:ind w:firstLine="420"/>
        <w:rPr>
          <w:rFonts w:hint="eastAsia"/>
        </w:rPr>
      </w:pPr>
      <w:r>
        <w:rPr>
          <w:rFonts w:hint="eastAsia"/>
        </w:rPr>
        <w:t>工频电流流过接地装置时，接地极与远方大地之间的电阻。其数值等于接地装置相对远方大地的电压与通过接地极流入地中电流的比值。</w:t>
      </w:r>
    </w:p>
    <w:p>
      <w:pPr>
        <w:pStyle w:val="56"/>
        <w:ind w:firstLine="420"/>
        <w:rPr>
          <w:rFonts w:hint="eastAsia"/>
        </w:rPr>
      </w:pPr>
      <w:r>
        <w:rPr>
          <w:rFonts w:hint="eastAsia"/>
        </w:rPr>
        <w:t>3.29 共用接地系统</w:t>
      </w:r>
    </w:p>
    <w:p>
      <w:pPr>
        <w:pStyle w:val="56"/>
        <w:ind w:firstLine="420"/>
        <w:rPr>
          <w:rFonts w:hint="eastAsia"/>
        </w:rPr>
      </w:pPr>
      <w:r>
        <w:rPr>
          <w:rFonts w:hint="eastAsia"/>
        </w:rPr>
        <w:t>将各部分防雷装置、建筑物金属构件、低压配电保护线（PE）、设备保护地、屏蔽体接地、防静电接地和信息设备逻辑地等连接在一起的接地装置。</w:t>
      </w:r>
    </w:p>
    <w:p>
      <w:pPr>
        <w:pStyle w:val="56"/>
        <w:ind w:firstLine="420"/>
        <w:rPr>
          <w:rFonts w:hint="eastAsia"/>
        </w:rPr>
      </w:pPr>
      <w:r>
        <w:rPr>
          <w:rFonts w:hint="eastAsia"/>
        </w:rPr>
        <w:t>3.30 雷击电磁脉冲    lightning electromagnetic impulse；LEMP</w:t>
      </w:r>
    </w:p>
    <w:p>
      <w:pPr>
        <w:pStyle w:val="56"/>
        <w:ind w:firstLine="420"/>
        <w:rPr>
          <w:rFonts w:hint="eastAsia"/>
        </w:rPr>
      </w:pPr>
      <w:r>
        <w:rPr>
          <w:rFonts w:hint="eastAsia"/>
        </w:rPr>
        <w:t>雷电流经电阻、电感、电容耦合产生的电磁效应，包含闪电电涌和辐射电磁场。</w:t>
      </w:r>
    </w:p>
    <w:p>
      <w:pPr>
        <w:pStyle w:val="56"/>
        <w:ind w:firstLine="420"/>
        <w:rPr>
          <w:rFonts w:hint="eastAsia"/>
        </w:rPr>
      </w:pPr>
      <w:r>
        <w:rPr>
          <w:rFonts w:hint="eastAsia"/>
        </w:rPr>
        <w:t xml:space="preserve">3.31 防雷等电位连接    lightning equipotential bonding (LEB) </w:t>
      </w:r>
    </w:p>
    <w:p>
      <w:pPr>
        <w:pStyle w:val="56"/>
        <w:ind w:firstLine="420"/>
        <w:rPr>
          <w:rFonts w:hint="eastAsia"/>
        </w:rPr>
      </w:pPr>
      <w:r>
        <w:rPr>
          <w:rFonts w:hint="eastAsia"/>
        </w:rPr>
        <w:t xml:space="preserve">将分开的诸金属物体直接用连接导体或经电涌保护器连接到防雷装置上以减小雷电流引发的电位差。 </w:t>
      </w:r>
    </w:p>
    <w:p>
      <w:pPr>
        <w:pStyle w:val="56"/>
        <w:ind w:firstLine="420"/>
        <w:rPr>
          <w:rFonts w:hint="eastAsia"/>
        </w:rPr>
      </w:pPr>
      <w:r>
        <w:rPr>
          <w:rFonts w:hint="eastAsia"/>
        </w:rPr>
        <w:t>3.32 防雷区    lightning protection zone (LPZ)</w:t>
      </w:r>
    </w:p>
    <w:p>
      <w:pPr>
        <w:pStyle w:val="56"/>
        <w:ind w:firstLine="420"/>
        <w:rPr>
          <w:rFonts w:hint="eastAsia"/>
        </w:rPr>
      </w:pPr>
      <w:r>
        <w:rPr>
          <w:rFonts w:hint="eastAsia"/>
        </w:rPr>
        <w:t>划分雷击电磁环境的区，一个防雷区的区界面不一定要有实物界面，例如不一定要有墙壁、地板或天花板作为区界面。</w:t>
      </w:r>
    </w:p>
    <w:p>
      <w:pPr>
        <w:pStyle w:val="56"/>
        <w:ind w:firstLine="420"/>
        <w:rPr>
          <w:rFonts w:hint="eastAsia"/>
        </w:rPr>
      </w:pPr>
      <w:r>
        <w:rPr>
          <w:rFonts w:hint="eastAsia"/>
        </w:rPr>
        <w:t xml:space="preserve">3.33 电涌保护器    surge protective device (SPD) </w:t>
      </w:r>
    </w:p>
    <w:p>
      <w:pPr>
        <w:pStyle w:val="56"/>
        <w:ind w:firstLine="420"/>
        <w:rPr>
          <w:rFonts w:hint="eastAsia"/>
        </w:rPr>
      </w:pPr>
      <w:r>
        <w:rPr>
          <w:rFonts w:hint="eastAsia"/>
        </w:rPr>
        <w:t xml:space="preserve">用于限制瞬态过电压和分泄电涌电流的器件。它至少含有一个非线性元件。 </w:t>
      </w:r>
    </w:p>
    <w:p>
      <w:pPr>
        <w:pStyle w:val="56"/>
        <w:ind w:firstLine="420"/>
        <w:rPr>
          <w:rFonts w:hint="eastAsia"/>
        </w:rPr>
      </w:pPr>
      <w:r>
        <w:rPr>
          <w:rFonts w:hint="eastAsia"/>
        </w:rPr>
        <w:t>3.34 Ⅱ级试验    class Ⅱ test</w:t>
      </w:r>
    </w:p>
    <w:p>
      <w:pPr>
        <w:pStyle w:val="56"/>
        <w:ind w:firstLine="420"/>
        <w:rPr>
          <w:rFonts w:hint="eastAsia"/>
        </w:rPr>
      </w:pPr>
      <w:r>
        <w:rPr>
          <w:rFonts w:hint="eastAsia"/>
        </w:rPr>
        <w:t xml:space="preserve">电气系统中采用Ⅱ级试验的电涌保护器要用标称放电电流 In、 1.2/50μs冲击电压和 8/20μs电流波最大放电电流 Imax做试验。Ⅱ级试验也可用 T2外加方框表示，即 T2。 </w:t>
      </w:r>
    </w:p>
    <w:p>
      <w:pPr>
        <w:pStyle w:val="56"/>
        <w:ind w:firstLine="420"/>
        <w:rPr>
          <w:rFonts w:hint="eastAsia"/>
        </w:rPr>
      </w:pPr>
      <w:r>
        <w:rPr>
          <w:rFonts w:hint="eastAsia"/>
        </w:rPr>
        <w:t>3.35 Ⅲ级试验    class Ⅲ test</w:t>
      </w:r>
    </w:p>
    <w:p>
      <w:pPr>
        <w:pStyle w:val="56"/>
        <w:ind w:firstLine="420"/>
        <w:rPr>
          <w:rFonts w:hint="eastAsia"/>
        </w:rPr>
      </w:pPr>
      <w:r>
        <w:rPr>
          <w:rFonts w:hint="eastAsia"/>
        </w:rPr>
        <w:t xml:space="preserve">电气系统中采用Ⅲ级试验的电涌保护器要用组合波做试验。组合波定义为由 2Ω组合波发生器产生 1.2/50μs开路电压 Uoc和8/20μs短路电流 Isc。Ⅲ级试验也可用 T3外加方框表示，即 T3。 </w:t>
      </w:r>
    </w:p>
    <w:p>
      <w:pPr>
        <w:pStyle w:val="56"/>
        <w:ind w:firstLine="420"/>
        <w:rPr>
          <w:rFonts w:hint="eastAsia"/>
        </w:rPr>
      </w:pPr>
      <w:r>
        <w:rPr>
          <w:rFonts w:hint="eastAsia"/>
        </w:rPr>
        <w:t>3.36 SPD的直流参考电压   direct-current reference voltage of SPD</w:t>
      </w:r>
    </w:p>
    <w:p>
      <w:pPr>
        <w:pStyle w:val="56"/>
        <w:ind w:firstLine="420"/>
        <w:rPr>
          <w:rFonts w:hint="eastAsia"/>
        </w:rPr>
      </w:pPr>
      <w:r>
        <w:rPr>
          <w:rFonts w:hint="eastAsia"/>
        </w:rPr>
        <w:t>Ures（1mA）</w:t>
      </w:r>
    </w:p>
    <w:p>
      <w:pPr>
        <w:pStyle w:val="56"/>
        <w:ind w:firstLine="420"/>
        <w:rPr>
          <w:rFonts w:hint="eastAsia"/>
        </w:rPr>
      </w:pPr>
      <w:r>
        <w:rPr>
          <w:rFonts w:hint="eastAsia"/>
        </w:rPr>
        <w:t>当SPD上通过规定的直流参考电流时，从其两端测得的电压值。一般将通过1mA直流电流时的参考电压称为压敏电压  Ures（1mA）。</w:t>
      </w:r>
    </w:p>
    <w:p>
      <w:pPr>
        <w:pStyle w:val="56"/>
        <w:ind w:firstLine="420"/>
        <w:rPr>
          <w:rFonts w:hint="eastAsia"/>
        </w:rPr>
      </w:pPr>
      <w:r>
        <w:rPr>
          <w:rFonts w:hint="eastAsia"/>
        </w:rPr>
        <w:t>3.37 泄漏电流    leakage current</w:t>
      </w:r>
    </w:p>
    <w:p>
      <w:pPr>
        <w:pStyle w:val="56"/>
        <w:ind w:firstLine="420"/>
      </w:pPr>
      <w:r>
        <w:t>Iie</w:t>
      </w:r>
    </w:p>
    <w:p>
      <w:pPr>
        <w:pStyle w:val="56"/>
        <w:ind w:firstLine="420"/>
        <w:rPr>
          <w:rFonts w:hint="eastAsia"/>
        </w:rPr>
      </w:pPr>
      <w:r>
        <w:rPr>
          <w:rFonts w:hint="eastAsia"/>
        </w:rPr>
        <w:t>除放电间隙外，SPD在并联接入线路后所通过的微安级电流。在测试中常用0.75倍的直流参考电压进行。</w:t>
      </w:r>
    </w:p>
    <w:p>
      <w:pPr>
        <w:pStyle w:val="56"/>
        <w:ind w:firstLine="420"/>
        <w:rPr>
          <w:rFonts w:hint="eastAsia"/>
        </w:rPr>
      </w:pPr>
      <w:r>
        <w:rPr>
          <w:rFonts w:hint="eastAsia"/>
        </w:rPr>
        <w:t>注：泄漏电流值是限压型SPD劣化程度的重要参数指标。</w:t>
      </w:r>
    </w:p>
    <w:p>
      <w:pPr>
        <w:pStyle w:val="56"/>
        <w:ind w:firstLine="420"/>
        <w:rPr>
          <w:rFonts w:hint="eastAsia"/>
        </w:rPr>
      </w:pPr>
      <w:r>
        <w:rPr>
          <w:rFonts w:hint="eastAsia"/>
        </w:rPr>
        <w:t>3.38 防雷装置检测    lightning protection system check up and measure</w:t>
      </w:r>
    </w:p>
    <w:p>
      <w:pPr>
        <w:pStyle w:val="56"/>
        <w:ind w:firstLine="420"/>
      </w:pPr>
      <w:r>
        <w:rPr>
          <w:rFonts w:hint="eastAsia"/>
        </w:rPr>
        <w:t>按照建筑物防雷装置的设计标准确定防雷装置满足标准要求而进行的检测、测量及信息综合分析处理全过程。</w:t>
      </w:r>
    </w:p>
    <w:p>
      <w:pPr>
        <w:pStyle w:val="56"/>
        <w:ind w:firstLine="420"/>
        <w:rPr>
          <w:rFonts w:hint="eastAsia"/>
        </w:rPr>
      </w:pPr>
      <w:r>
        <w:rPr>
          <w:rFonts w:hint="eastAsia"/>
        </w:rPr>
        <w:t>4  检测分类及项目</w:t>
      </w:r>
    </w:p>
    <w:p>
      <w:pPr>
        <w:pStyle w:val="56"/>
        <w:ind w:firstLine="420"/>
        <w:rPr>
          <w:rFonts w:hint="eastAsia"/>
        </w:rPr>
      </w:pPr>
      <w:r>
        <w:rPr>
          <w:rFonts w:hint="eastAsia"/>
        </w:rPr>
        <w:t>4.1 检测分类</w:t>
      </w:r>
    </w:p>
    <w:p>
      <w:pPr>
        <w:pStyle w:val="56"/>
        <w:ind w:firstLine="420"/>
        <w:rPr>
          <w:rFonts w:hint="eastAsia"/>
        </w:rPr>
      </w:pPr>
      <w:r>
        <w:rPr>
          <w:rFonts w:hint="eastAsia"/>
        </w:rPr>
        <w:t>检测分为首次检测和定期检测。首次检测分为新建、改建、扩建建筑物防雷装置施工过程中的检测和投入使用后建筑物防雷装置的第一次检测。定期检测是按规定周期进行的检测。</w:t>
      </w:r>
    </w:p>
    <w:p>
      <w:pPr>
        <w:pStyle w:val="56"/>
        <w:ind w:firstLine="420"/>
        <w:rPr>
          <w:rFonts w:hint="eastAsia"/>
        </w:rPr>
      </w:pPr>
      <w:r>
        <w:rPr>
          <w:rFonts w:hint="eastAsia"/>
        </w:rPr>
        <w:t>新建、改建、扩建建筑物防雷装置施工过程中的检测，应对其结构、布置、形状规格、尺寸、连接方法和电气性能进行分阶段检测。投入使用后建筑物防雷装置的第一次检测按设计文件要求进行检测。</w:t>
      </w:r>
    </w:p>
    <w:p>
      <w:pPr>
        <w:pStyle w:val="56"/>
        <w:ind w:firstLine="420"/>
        <w:rPr>
          <w:rFonts w:hint="eastAsia"/>
        </w:rPr>
      </w:pPr>
      <w:r>
        <w:rPr>
          <w:rFonts w:hint="eastAsia"/>
        </w:rPr>
        <w:t>4.2</w:t>
      </w:r>
      <w:r>
        <w:rPr>
          <w:rFonts w:hint="eastAsia"/>
          <w:lang w:val="en-US" w:eastAsia="zh-CN"/>
        </w:rPr>
        <w:t xml:space="preserve"> </w:t>
      </w:r>
      <w:r>
        <w:rPr>
          <w:rFonts w:hint="eastAsia"/>
        </w:rPr>
        <w:t>检测项目</w:t>
      </w:r>
    </w:p>
    <w:p>
      <w:pPr>
        <w:pStyle w:val="56"/>
        <w:ind w:firstLine="420"/>
        <w:rPr>
          <w:rFonts w:hint="eastAsia"/>
        </w:rPr>
      </w:pPr>
      <w:r>
        <w:rPr>
          <w:rFonts w:hint="eastAsia"/>
        </w:rPr>
        <w:t>港口设施防雷装置检测应按照GB/T21431-2015的规定和要求对以下检测项目进行检测：</w:t>
      </w:r>
    </w:p>
    <w:p>
      <w:pPr>
        <w:pStyle w:val="56"/>
        <w:ind w:firstLine="420"/>
        <w:rPr>
          <w:rFonts w:hint="eastAsia"/>
        </w:rPr>
      </w:pPr>
      <w:r>
        <w:rPr>
          <w:rFonts w:hint="eastAsia"/>
        </w:rPr>
        <w:t>4.2.1 建筑物的防雷分类；</w:t>
      </w:r>
    </w:p>
    <w:p>
      <w:pPr>
        <w:pStyle w:val="56"/>
        <w:ind w:firstLine="420"/>
        <w:rPr>
          <w:rFonts w:hint="eastAsia"/>
        </w:rPr>
      </w:pPr>
      <w:r>
        <w:rPr>
          <w:rFonts w:hint="eastAsia"/>
        </w:rPr>
        <w:t>4.2.2 接闪器检测项目应包括以下内容：</w:t>
      </w:r>
    </w:p>
    <w:p>
      <w:pPr>
        <w:pStyle w:val="56"/>
        <w:ind w:firstLine="420"/>
        <w:rPr>
          <w:rFonts w:hint="eastAsia"/>
          <w:lang w:val="en-US" w:eastAsia="zh-CN"/>
        </w:rPr>
      </w:pPr>
      <w:r>
        <w:rPr>
          <w:rFonts w:hint="eastAsia"/>
        </w:rPr>
        <w:t>①接闪器的形式与保护范围</w:t>
      </w:r>
      <w:r>
        <w:rPr>
          <w:rFonts w:hint="eastAsia"/>
          <w:lang w:val="en-US" w:eastAsia="zh-CN"/>
        </w:rPr>
        <w:t>；</w:t>
      </w:r>
    </w:p>
    <w:p>
      <w:pPr>
        <w:pStyle w:val="56"/>
        <w:ind w:firstLine="420"/>
        <w:rPr>
          <w:rFonts w:hint="eastAsia" w:eastAsia="宋体"/>
          <w:lang w:eastAsia="zh-CN"/>
        </w:rPr>
      </w:pPr>
      <w:r>
        <w:rPr>
          <w:rFonts w:hint="eastAsia"/>
        </w:rPr>
        <w:t>②接闪器与引下线（钢筋）的连接</w:t>
      </w:r>
      <w:r>
        <w:rPr>
          <w:rFonts w:hint="eastAsia"/>
          <w:lang w:val="en-US" w:eastAsia="zh-CN"/>
        </w:rPr>
        <w:t>；</w:t>
      </w:r>
    </w:p>
    <w:p>
      <w:pPr>
        <w:pStyle w:val="56"/>
        <w:ind w:firstLine="420"/>
        <w:rPr>
          <w:rFonts w:hint="eastAsia" w:eastAsia="宋体"/>
          <w:lang w:eastAsia="zh-CN"/>
        </w:rPr>
      </w:pPr>
      <w:r>
        <w:rPr>
          <w:rFonts w:hint="eastAsia"/>
        </w:rPr>
        <w:t>③接闪器的材料规格及敷设方式</w:t>
      </w:r>
      <w:r>
        <w:rPr>
          <w:rFonts w:hint="eastAsia"/>
          <w:lang w:eastAsia="zh-CN"/>
        </w:rPr>
        <w:t>；</w:t>
      </w:r>
    </w:p>
    <w:p>
      <w:pPr>
        <w:pStyle w:val="56"/>
        <w:ind w:firstLine="420"/>
        <w:rPr>
          <w:rFonts w:hint="eastAsia" w:eastAsia="宋体"/>
          <w:lang w:eastAsia="zh-CN"/>
        </w:rPr>
      </w:pPr>
      <w:r>
        <w:rPr>
          <w:rFonts w:hint="eastAsia"/>
        </w:rPr>
        <w:t>④接闪带的安装位置、支持卡间距、高度、材料规格及闭合环路情况</w:t>
      </w:r>
      <w:r>
        <w:rPr>
          <w:rFonts w:hint="eastAsia"/>
          <w:lang w:eastAsia="zh-CN"/>
        </w:rPr>
        <w:t>；</w:t>
      </w:r>
    </w:p>
    <w:p>
      <w:pPr>
        <w:pStyle w:val="56"/>
        <w:ind w:firstLine="420"/>
        <w:rPr>
          <w:rFonts w:hint="eastAsia"/>
        </w:rPr>
      </w:pPr>
      <w:r>
        <w:rPr>
          <w:rFonts w:hint="eastAsia"/>
        </w:rPr>
        <w:t>⑤接闪杆的安装位置、高度及材料规格。</w:t>
      </w:r>
    </w:p>
    <w:p>
      <w:pPr>
        <w:pStyle w:val="56"/>
        <w:ind w:firstLine="420"/>
        <w:rPr>
          <w:rFonts w:hint="eastAsia"/>
        </w:rPr>
      </w:pPr>
      <w:r>
        <w:rPr>
          <w:rFonts w:hint="eastAsia"/>
        </w:rPr>
        <w:t>4.2.3 引下线检测项目应包括以下内容：</w:t>
      </w:r>
    </w:p>
    <w:p>
      <w:pPr>
        <w:pStyle w:val="56"/>
        <w:ind w:firstLine="420"/>
        <w:rPr>
          <w:rFonts w:hint="eastAsia" w:eastAsia="宋体"/>
          <w:lang w:eastAsia="zh-CN"/>
        </w:rPr>
      </w:pPr>
      <w:r>
        <w:rPr>
          <w:rFonts w:hint="eastAsia"/>
        </w:rPr>
        <w:t>①引下线的安装位置、材料规格和连接方法</w:t>
      </w:r>
      <w:r>
        <w:rPr>
          <w:rFonts w:hint="eastAsia"/>
          <w:lang w:eastAsia="zh-CN"/>
        </w:rPr>
        <w:t>；</w:t>
      </w:r>
    </w:p>
    <w:p>
      <w:pPr>
        <w:pStyle w:val="56"/>
        <w:ind w:firstLine="420"/>
        <w:rPr>
          <w:rFonts w:hint="eastAsia" w:eastAsia="宋体"/>
          <w:lang w:eastAsia="zh-CN"/>
        </w:rPr>
      </w:pPr>
      <w:r>
        <w:rPr>
          <w:rFonts w:hint="eastAsia"/>
        </w:rPr>
        <w:t>②引下线的数量和间距</w:t>
      </w:r>
      <w:r>
        <w:rPr>
          <w:rFonts w:hint="eastAsia"/>
          <w:lang w:eastAsia="zh-CN"/>
        </w:rPr>
        <w:t>；</w:t>
      </w:r>
    </w:p>
    <w:p>
      <w:pPr>
        <w:pStyle w:val="56"/>
        <w:ind w:firstLine="420"/>
        <w:rPr>
          <w:rFonts w:hint="eastAsia"/>
        </w:rPr>
      </w:pPr>
      <w:r>
        <w:rPr>
          <w:rFonts w:hint="eastAsia"/>
        </w:rPr>
        <w:t>③引下线的接地电阻检测。</w:t>
      </w:r>
    </w:p>
    <w:p>
      <w:pPr>
        <w:pStyle w:val="56"/>
        <w:ind w:firstLine="420"/>
        <w:rPr>
          <w:rFonts w:hint="eastAsia"/>
        </w:rPr>
      </w:pPr>
      <w:r>
        <w:rPr>
          <w:rFonts w:hint="eastAsia"/>
        </w:rPr>
        <w:t>4.2.4 接地装置检测项目应包括以下内容：</w:t>
      </w:r>
    </w:p>
    <w:p>
      <w:pPr>
        <w:pStyle w:val="56"/>
        <w:ind w:firstLine="420"/>
        <w:rPr>
          <w:rFonts w:hint="eastAsia" w:eastAsia="宋体"/>
          <w:lang w:eastAsia="zh-CN"/>
        </w:rPr>
      </w:pPr>
      <w:r>
        <w:rPr>
          <w:rFonts w:hint="eastAsia"/>
        </w:rPr>
        <w:t>①接地装置的敷设及安装位置</w:t>
      </w:r>
      <w:r>
        <w:rPr>
          <w:rFonts w:hint="eastAsia"/>
          <w:lang w:eastAsia="zh-CN"/>
        </w:rPr>
        <w:t>；</w:t>
      </w:r>
    </w:p>
    <w:p>
      <w:pPr>
        <w:pStyle w:val="56"/>
        <w:ind w:firstLine="420"/>
        <w:rPr>
          <w:rFonts w:hint="eastAsia" w:eastAsia="宋体"/>
          <w:lang w:eastAsia="zh-CN"/>
        </w:rPr>
      </w:pPr>
      <w:r>
        <w:rPr>
          <w:rFonts w:hint="eastAsia"/>
        </w:rPr>
        <w:t>②接地体的埋设间距、深度、安装方法</w:t>
      </w:r>
      <w:r>
        <w:rPr>
          <w:rFonts w:hint="eastAsia"/>
          <w:lang w:eastAsia="zh-CN"/>
        </w:rPr>
        <w:t>；</w:t>
      </w:r>
    </w:p>
    <w:p>
      <w:pPr>
        <w:pStyle w:val="56"/>
        <w:ind w:firstLine="420"/>
        <w:rPr>
          <w:rFonts w:hint="eastAsia" w:eastAsia="宋体"/>
          <w:lang w:eastAsia="zh-CN"/>
        </w:rPr>
      </w:pPr>
      <w:r>
        <w:rPr>
          <w:rFonts w:hint="eastAsia"/>
        </w:rPr>
        <w:t>③接地装置的接地电阻</w:t>
      </w:r>
      <w:r>
        <w:rPr>
          <w:rFonts w:hint="eastAsia"/>
          <w:lang w:eastAsia="zh-CN"/>
        </w:rPr>
        <w:t>；</w:t>
      </w:r>
    </w:p>
    <w:p>
      <w:pPr>
        <w:pStyle w:val="56"/>
        <w:ind w:firstLine="420"/>
        <w:rPr>
          <w:rFonts w:hint="eastAsia" w:eastAsia="宋体"/>
          <w:lang w:eastAsia="zh-CN"/>
        </w:rPr>
      </w:pPr>
      <w:r>
        <w:rPr>
          <w:rFonts w:hint="eastAsia"/>
        </w:rPr>
        <w:t>④接地装置的材质、连接方法、防腐措施</w:t>
      </w:r>
      <w:r>
        <w:rPr>
          <w:rFonts w:hint="eastAsia"/>
          <w:lang w:eastAsia="zh-CN"/>
        </w:rPr>
        <w:t>。</w:t>
      </w:r>
    </w:p>
    <w:p>
      <w:pPr>
        <w:pStyle w:val="56"/>
        <w:ind w:firstLine="420"/>
        <w:rPr>
          <w:rFonts w:hint="eastAsia"/>
        </w:rPr>
      </w:pPr>
      <w:r>
        <w:rPr>
          <w:rFonts w:hint="eastAsia"/>
        </w:rPr>
        <w:t>4.2.5 防雷区的划分；</w:t>
      </w:r>
    </w:p>
    <w:p>
      <w:pPr>
        <w:pStyle w:val="56"/>
        <w:ind w:firstLine="420"/>
        <w:rPr>
          <w:rFonts w:hint="eastAsia"/>
        </w:rPr>
      </w:pPr>
      <w:r>
        <w:rPr>
          <w:rFonts w:hint="eastAsia"/>
        </w:rPr>
        <w:t>4.2.6 电磁屏蔽；</w:t>
      </w:r>
    </w:p>
    <w:p>
      <w:pPr>
        <w:pStyle w:val="56"/>
        <w:ind w:firstLine="420"/>
        <w:rPr>
          <w:rFonts w:hint="eastAsia"/>
        </w:rPr>
      </w:pPr>
      <w:r>
        <w:rPr>
          <w:rFonts w:hint="eastAsia"/>
        </w:rPr>
        <w:t>4.2.7 等电位连接检测项目应包括以下内容：</w:t>
      </w:r>
    </w:p>
    <w:p>
      <w:pPr>
        <w:pStyle w:val="56"/>
        <w:ind w:firstLine="420"/>
        <w:rPr>
          <w:rFonts w:hint="eastAsia" w:eastAsia="宋体"/>
          <w:lang w:eastAsia="zh-CN"/>
        </w:rPr>
      </w:pPr>
      <w:r>
        <w:rPr>
          <w:rFonts w:hint="eastAsia"/>
        </w:rPr>
        <w:t>①等电位连接带的安装位置、材料规格和连接方法</w:t>
      </w:r>
      <w:r>
        <w:rPr>
          <w:rFonts w:hint="eastAsia"/>
          <w:lang w:eastAsia="zh-CN"/>
        </w:rPr>
        <w:t>；</w:t>
      </w:r>
    </w:p>
    <w:p>
      <w:pPr>
        <w:pStyle w:val="56"/>
        <w:ind w:firstLine="420"/>
        <w:rPr>
          <w:rFonts w:hint="eastAsia" w:eastAsia="宋体"/>
          <w:lang w:eastAsia="zh-CN"/>
        </w:rPr>
      </w:pPr>
      <w:r>
        <w:rPr>
          <w:rFonts w:hint="eastAsia"/>
        </w:rPr>
        <w:t>②等电位连接网络的安装位置、材料规格和连接方法</w:t>
      </w:r>
      <w:r>
        <w:rPr>
          <w:rFonts w:hint="eastAsia"/>
          <w:lang w:eastAsia="zh-CN"/>
        </w:rPr>
        <w:t>；</w:t>
      </w:r>
    </w:p>
    <w:p>
      <w:pPr>
        <w:pStyle w:val="56"/>
        <w:ind w:firstLine="420"/>
        <w:rPr>
          <w:rFonts w:hint="eastAsia" w:eastAsia="宋体"/>
          <w:lang w:eastAsia="zh-CN"/>
        </w:rPr>
      </w:pPr>
      <w:r>
        <w:rPr>
          <w:rFonts w:hint="eastAsia"/>
        </w:rPr>
        <w:t>③电子信息系统的导电物体、各种线路、金属管道以及信息设备的等电位连接</w:t>
      </w:r>
      <w:r>
        <w:rPr>
          <w:rFonts w:hint="eastAsia"/>
          <w:lang w:eastAsia="zh-CN"/>
        </w:rPr>
        <w:t>。</w:t>
      </w:r>
    </w:p>
    <w:p>
      <w:pPr>
        <w:pStyle w:val="56"/>
        <w:ind w:firstLine="420"/>
        <w:rPr>
          <w:rFonts w:hint="eastAsia"/>
        </w:rPr>
      </w:pPr>
      <w:r>
        <w:rPr>
          <w:rFonts w:hint="eastAsia"/>
        </w:rPr>
        <w:t>4.2.8 电涌保护器（SPD）检测项目应包括以下内容：</w:t>
      </w:r>
    </w:p>
    <w:p>
      <w:pPr>
        <w:pStyle w:val="56"/>
        <w:ind w:firstLine="420"/>
        <w:rPr>
          <w:rFonts w:hint="eastAsia" w:eastAsia="宋体"/>
          <w:lang w:eastAsia="zh-CN"/>
        </w:rPr>
      </w:pPr>
      <w:r>
        <w:rPr>
          <w:rFonts w:hint="eastAsia"/>
        </w:rPr>
        <w:t>①电涌保护器的安装位置、连接方法和连接导线规格</w:t>
      </w:r>
      <w:r>
        <w:rPr>
          <w:rFonts w:hint="eastAsia"/>
          <w:lang w:eastAsia="zh-CN"/>
        </w:rPr>
        <w:t>；</w:t>
      </w:r>
    </w:p>
    <w:p>
      <w:pPr>
        <w:pStyle w:val="56"/>
        <w:ind w:firstLine="420"/>
        <w:rPr>
          <w:rFonts w:hint="eastAsia" w:eastAsia="宋体"/>
          <w:lang w:eastAsia="zh-CN"/>
        </w:rPr>
      </w:pPr>
      <w:r>
        <w:rPr>
          <w:rFonts w:hint="eastAsia"/>
        </w:rPr>
        <w:t>②电涌保护器接地线的导线长度、截面</w:t>
      </w:r>
      <w:r>
        <w:rPr>
          <w:rFonts w:hint="eastAsia"/>
          <w:lang w:eastAsia="zh-CN"/>
        </w:rPr>
        <w:t>；</w:t>
      </w:r>
    </w:p>
    <w:p>
      <w:pPr>
        <w:pStyle w:val="56"/>
        <w:ind w:firstLine="420"/>
        <w:rPr>
          <w:rFonts w:hint="eastAsia"/>
        </w:rPr>
      </w:pPr>
      <w:r>
        <w:rPr>
          <w:rFonts w:hint="eastAsia"/>
        </w:rPr>
        <w:t>③电涌保护器的参数选择及能量配合。</w:t>
      </w:r>
    </w:p>
    <w:p>
      <w:pPr>
        <w:pStyle w:val="56"/>
        <w:ind w:firstLine="420"/>
        <w:rPr>
          <w:rFonts w:hint="eastAsia"/>
        </w:rPr>
      </w:pPr>
      <w:r>
        <w:rPr>
          <w:rFonts w:hint="eastAsia"/>
        </w:rPr>
        <w:t>5  港口的防雷分类</w:t>
      </w:r>
    </w:p>
    <w:p>
      <w:pPr>
        <w:pStyle w:val="56"/>
        <w:ind w:firstLine="420"/>
        <w:rPr>
          <w:rFonts w:hint="eastAsia"/>
        </w:rPr>
      </w:pPr>
      <w:r>
        <w:rPr>
          <w:rFonts w:hint="eastAsia"/>
        </w:rPr>
        <w:t>港口建（构）筑物应根据建筑物重要性、使用性质、发生雷电事故的可能性和后果，按防雷要求分为三类。分类方法按GB50057-2010中第3章、4.5.1、4.5.2的规定确定。</w:t>
      </w:r>
    </w:p>
    <w:p>
      <w:pPr>
        <w:pStyle w:val="56"/>
        <w:ind w:firstLine="420"/>
        <w:rPr>
          <w:rFonts w:hint="eastAsia"/>
        </w:rPr>
      </w:pPr>
      <w:r>
        <w:rPr>
          <w:rFonts w:hint="eastAsia"/>
        </w:rPr>
        <w:t>危险货物的储运及其储运设施的防雷分类按其储运物料的特征划分：</w:t>
      </w:r>
    </w:p>
    <w:p>
      <w:pPr>
        <w:pStyle w:val="56"/>
        <w:ind w:firstLine="420"/>
        <w:rPr>
          <w:rFonts w:hint="eastAsia"/>
        </w:rPr>
      </w:pPr>
      <w:r>
        <w:rPr>
          <w:rFonts w:hint="eastAsia"/>
        </w:rPr>
        <w:t>第一类防雷建筑物：</w:t>
      </w:r>
    </w:p>
    <w:p>
      <w:pPr>
        <w:pStyle w:val="56"/>
        <w:ind w:firstLine="420"/>
        <w:rPr>
          <w:rFonts w:hint="eastAsia"/>
        </w:rPr>
      </w:pPr>
      <w:r>
        <w:rPr>
          <w:rFonts w:hint="eastAsia"/>
        </w:rPr>
        <w:t>a）可燃气体和闪点为45℃以下易燃液体的开式储罐和建筑物；</w:t>
      </w:r>
    </w:p>
    <w:p>
      <w:pPr>
        <w:pStyle w:val="56"/>
        <w:ind w:firstLine="420"/>
        <w:rPr>
          <w:rFonts w:hint="eastAsia"/>
        </w:rPr>
      </w:pPr>
      <w:r>
        <w:rPr>
          <w:rFonts w:hint="eastAsia"/>
        </w:rPr>
        <w:t>b）贮存火炸药及其制品的危险建筑物，因电火花而引起爆炸、爆轰，会造成巨大破坏和人身伤亡。</w:t>
      </w:r>
    </w:p>
    <w:p>
      <w:pPr>
        <w:pStyle w:val="56"/>
        <w:ind w:firstLine="420"/>
        <w:rPr>
          <w:rFonts w:hint="eastAsia"/>
        </w:rPr>
      </w:pPr>
      <w:r>
        <w:rPr>
          <w:rFonts w:hint="eastAsia"/>
        </w:rPr>
        <w:t>第二类防雷建筑物：</w:t>
      </w:r>
    </w:p>
    <w:p>
      <w:pPr>
        <w:pStyle w:val="56"/>
        <w:ind w:firstLine="420"/>
        <w:rPr>
          <w:rFonts w:hint="eastAsia"/>
        </w:rPr>
      </w:pPr>
      <w:r>
        <w:rPr>
          <w:rFonts w:hint="eastAsia"/>
        </w:rPr>
        <w:t>a）闪点为45℃以下带有呼吸阀的可燃液体储罐和可燃气体密闭储罐；</w:t>
      </w:r>
    </w:p>
    <w:p>
      <w:pPr>
        <w:pStyle w:val="56"/>
        <w:ind w:firstLine="420"/>
        <w:rPr>
          <w:rFonts w:hint="eastAsia" w:eastAsia="宋体"/>
          <w:lang w:eastAsia="zh-CN"/>
        </w:rPr>
      </w:pPr>
      <w:r>
        <w:rPr>
          <w:rFonts w:hint="eastAsia"/>
        </w:rPr>
        <w:t>b）贮存火炸药及其制品的危险建筑物，且电火花不易引起爆炸或不致造成巨大破坏和人身伤亡</w:t>
      </w:r>
      <w:r>
        <w:rPr>
          <w:rFonts w:hint="eastAsia"/>
          <w:lang w:eastAsia="zh-CN"/>
        </w:rPr>
        <w:t>；</w:t>
      </w:r>
    </w:p>
    <w:p>
      <w:pPr>
        <w:pStyle w:val="56"/>
        <w:ind w:firstLine="420"/>
        <w:rPr>
          <w:rFonts w:hint="eastAsia"/>
        </w:rPr>
      </w:pPr>
      <w:r>
        <w:rPr>
          <w:rFonts w:hint="eastAsia"/>
        </w:rPr>
        <w:t>c）粮食储运设施；具有较大规模的设备控制中心和调度中心及中小型或中小型以上计算机机房等建筑物；</w:t>
      </w:r>
    </w:p>
    <w:p>
      <w:pPr>
        <w:pStyle w:val="56"/>
        <w:ind w:firstLine="420"/>
        <w:rPr>
          <w:rFonts w:hint="eastAsia" w:eastAsia="宋体"/>
          <w:lang w:eastAsia="zh-CN"/>
        </w:rPr>
      </w:pPr>
      <w:r>
        <w:rPr>
          <w:rFonts w:hint="eastAsia"/>
        </w:rPr>
        <w:t>d）预计雷击次数大于0.05次/a的人员密集的公共建筑物以及火灾危险场所</w:t>
      </w:r>
      <w:r>
        <w:rPr>
          <w:rFonts w:hint="eastAsia"/>
          <w:lang w:eastAsia="zh-CN"/>
        </w:rPr>
        <w:t>；</w:t>
      </w:r>
    </w:p>
    <w:p>
      <w:pPr>
        <w:pStyle w:val="56"/>
        <w:ind w:firstLine="420"/>
        <w:rPr>
          <w:rFonts w:hint="eastAsia" w:eastAsia="宋体"/>
          <w:lang w:eastAsia="zh-CN"/>
        </w:rPr>
      </w:pPr>
      <w:r>
        <w:rPr>
          <w:rFonts w:hint="eastAsia"/>
        </w:rPr>
        <w:t>e）预计雷击次数大于0.25次/a的办公楼等一般性民用建筑物或一般性工业建筑物</w:t>
      </w:r>
      <w:r>
        <w:rPr>
          <w:rFonts w:hint="eastAsia"/>
          <w:lang w:eastAsia="zh-CN"/>
        </w:rPr>
        <w:t>。</w:t>
      </w:r>
    </w:p>
    <w:p>
      <w:pPr>
        <w:pStyle w:val="56"/>
        <w:ind w:firstLine="420"/>
        <w:rPr>
          <w:rFonts w:hint="eastAsia"/>
        </w:rPr>
      </w:pPr>
      <w:r>
        <w:rPr>
          <w:rFonts w:hint="eastAsia"/>
        </w:rPr>
        <w:t>第三类防雷建筑物：</w:t>
      </w:r>
    </w:p>
    <w:p>
      <w:pPr>
        <w:pStyle w:val="56"/>
        <w:ind w:firstLine="420"/>
        <w:rPr>
          <w:rFonts w:hint="eastAsia"/>
        </w:rPr>
      </w:pPr>
      <w:r>
        <w:rPr>
          <w:rFonts w:hint="eastAsia"/>
        </w:rPr>
        <w:t>a）对于闪点大于45℃带有呼吸阀的可燃液体储罐属于第三类建筑物；</w:t>
      </w:r>
    </w:p>
    <w:p>
      <w:pPr>
        <w:pStyle w:val="56"/>
        <w:ind w:firstLine="420"/>
        <w:rPr>
          <w:rFonts w:hint="eastAsia" w:eastAsia="宋体"/>
          <w:lang w:eastAsia="zh-CN"/>
        </w:rPr>
      </w:pPr>
      <w:r>
        <w:rPr>
          <w:rFonts w:hint="eastAsia"/>
        </w:rPr>
        <w:t>b）预计雷击次数大于或等于0.01次/a，且小于或等于0.05次/a的人员密集的公共建筑物以及火灾危险场所</w:t>
      </w:r>
      <w:r>
        <w:rPr>
          <w:rFonts w:hint="eastAsia"/>
          <w:lang w:eastAsia="zh-CN"/>
        </w:rPr>
        <w:t>；</w:t>
      </w:r>
    </w:p>
    <w:p>
      <w:pPr>
        <w:pStyle w:val="56"/>
        <w:ind w:firstLine="420"/>
        <w:rPr>
          <w:rFonts w:hint="eastAsia"/>
        </w:rPr>
      </w:pPr>
      <w:r>
        <w:rPr>
          <w:rFonts w:hint="eastAsia"/>
        </w:rPr>
        <w:t>c）预计雷击次数大于或等于0.05次/a，且小于或等于0.25次/a的的办公楼等一般性民用建筑物或一般性工业建筑物。</w:t>
      </w:r>
    </w:p>
    <w:p>
      <w:pPr>
        <w:pStyle w:val="56"/>
        <w:ind w:firstLine="420"/>
        <w:rPr>
          <w:rFonts w:hint="eastAsia"/>
        </w:rPr>
      </w:pPr>
      <w:r>
        <w:rPr>
          <w:rFonts w:hint="eastAsia"/>
        </w:rPr>
        <w:t>预计雷击次数应按GB 50057-2010《建筑物防雷设计规范》附录A计算。</w:t>
      </w:r>
    </w:p>
    <w:p>
      <w:pPr>
        <w:pStyle w:val="56"/>
        <w:ind w:firstLine="420"/>
        <w:rPr>
          <w:rFonts w:hint="eastAsia"/>
        </w:rPr>
      </w:pPr>
      <w:r>
        <w:rPr>
          <w:rFonts w:hint="eastAsia"/>
        </w:rPr>
        <w:t>6 港口室外装卸设备</w:t>
      </w:r>
    </w:p>
    <w:p>
      <w:pPr>
        <w:pStyle w:val="56"/>
        <w:ind w:firstLine="420"/>
        <w:rPr>
          <w:rFonts w:hint="eastAsia"/>
        </w:rPr>
      </w:pPr>
      <w:r>
        <w:rPr>
          <w:rFonts w:hint="eastAsia"/>
        </w:rPr>
        <w:t xml:space="preserve">6.1 装卸现场的龙门起重机 、岸边集装箱起重机、散粮筒仓仓顶的金属结构和矿石、煤、油等专用码 头的大型装卸机械及其他金属构筑物等，如符合GB50057-2010第5.2.1条规定的要求，可以作为防直击雷的装置。 </w:t>
      </w:r>
    </w:p>
    <w:p>
      <w:pPr>
        <w:pStyle w:val="56"/>
        <w:ind w:firstLine="420"/>
        <w:rPr>
          <w:rFonts w:hint="eastAsia"/>
        </w:rPr>
      </w:pPr>
      <w:r>
        <w:rPr>
          <w:rFonts w:hint="eastAsia"/>
        </w:rPr>
        <w:t>6.2 龙门起重机等装卸机械设备的轨道必须接地，接地点不少于两处，沿轨道每隔30m一40m设一个接地点，并同时与并行的另一轨道相跨接。轨道的接地线与跨接线采用热镀锌圆钢或扁钢，圆钢直径不小于20mm，扁钢截面积不小于160mm</w:t>
      </w:r>
      <w:r>
        <w:rPr>
          <w:rFonts w:hint="eastAsia"/>
          <w:vertAlign w:val="superscript"/>
        </w:rPr>
        <w:t>2</w:t>
      </w:r>
      <w:r>
        <w:rPr>
          <w:rFonts w:hint="eastAsia"/>
        </w:rPr>
        <w:t>，厚度不小于4mm，每个接地点的接地电阻不应大于10Ω。</w:t>
      </w:r>
    </w:p>
    <w:p>
      <w:pPr>
        <w:pStyle w:val="56"/>
        <w:ind w:firstLine="420"/>
        <w:rPr>
          <w:rFonts w:hint="eastAsia"/>
        </w:rPr>
      </w:pPr>
      <w:r>
        <w:rPr>
          <w:rFonts w:hint="eastAsia"/>
        </w:rPr>
        <w:t xml:space="preserve">6.3 场地运行的轮胎式起重机械，如轮胎式集装箱龙门起重机、轮胎式正面吊等，这类机械设备不能作防直击雷设施使用，发生雷暴时应停放在有防直击雷设施的保护区内，并人机分离。 </w:t>
      </w:r>
    </w:p>
    <w:p>
      <w:pPr>
        <w:pStyle w:val="56"/>
        <w:ind w:firstLine="420"/>
        <w:rPr>
          <w:rFonts w:hint="eastAsia"/>
        </w:rPr>
      </w:pPr>
      <w:r>
        <w:rPr>
          <w:rFonts w:hint="eastAsia"/>
        </w:rPr>
        <w:t>6.4 装易燃易爆危险品的集装箱，应集中放置在有防直击雷避雷设施保护的专用场地。整个箱体应在LPZOB区内。</w:t>
      </w:r>
    </w:p>
    <w:p>
      <w:pPr>
        <w:pStyle w:val="56"/>
        <w:ind w:firstLine="420"/>
        <w:rPr>
          <w:rFonts w:hint="eastAsia"/>
        </w:rPr>
      </w:pPr>
      <w:r>
        <w:rPr>
          <w:rFonts w:hint="eastAsia"/>
        </w:rPr>
        <w:t xml:space="preserve">6.5 储存易燃易爆货物的仓库和堆场，包括码头和铁路、汽车等的运场应安装接闪杆或接闪线，或者两者兼备。 </w:t>
      </w:r>
    </w:p>
    <w:p>
      <w:pPr>
        <w:pStyle w:val="56"/>
        <w:ind w:firstLine="420"/>
        <w:rPr>
          <w:rFonts w:hint="eastAsia"/>
        </w:rPr>
      </w:pPr>
      <w:r>
        <w:rPr>
          <w:rFonts w:hint="eastAsia"/>
        </w:rPr>
        <w:t xml:space="preserve">6.6 独立接闪杆的杆塔、架空接闪线的端部和架空接闪网网的每根支柱处至少设一根引下线。对用金属制成或有焊接绑扎连接钢筋网的杆塔、支柱，宜利用金属杆塔或钢筋网作为引下线。 </w:t>
      </w:r>
    </w:p>
    <w:p>
      <w:pPr>
        <w:pStyle w:val="56"/>
        <w:ind w:firstLine="420"/>
        <w:rPr>
          <w:rFonts w:hint="eastAsia"/>
        </w:rPr>
      </w:pPr>
      <w:r>
        <w:rPr>
          <w:rFonts w:hint="eastAsia"/>
        </w:rPr>
        <w:t>6.7 独立接闪杆和架空接闪线或网的支柱及其接地装置至被保护建筑物及与其有联系的管道、电缆等金属物之间的距离，应符合GB50057-2010第4.2.1条第5款规定的要求。</w:t>
      </w:r>
    </w:p>
    <w:p>
      <w:pPr>
        <w:pStyle w:val="56"/>
        <w:ind w:firstLine="420"/>
        <w:rPr>
          <w:rFonts w:hint="eastAsia"/>
        </w:rPr>
      </w:pPr>
      <w:r>
        <w:rPr>
          <w:rFonts w:hint="eastAsia"/>
        </w:rPr>
        <w:t>6.8 独立接闪杆、架空接闪线或架空接闪网应有独立的接地装置，每一引下线的冲击接地电阻不宜大于10Ω。在土壤电阻率高的地区，可适当增大冲击接地电阻，但在3000Ωm以下的地区，冲击接地电阻不应大于30Ω。</w:t>
      </w:r>
    </w:p>
    <w:p>
      <w:pPr>
        <w:pStyle w:val="56"/>
        <w:ind w:firstLine="420"/>
        <w:rPr>
          <w:rFonts w:hint="eastAsia"/>
        </w:rPr>
      </w:pPr>
      <w:r>
        <w:rPr>
          <w:rFonts w:hint="eastAsia"/>
        </w:rPr>
        <w:t>7 等电位连接</w:t>
      </w:r>
    </w:p>
    <w:p>
      <w:pPr>
        <w:pStyle w:val="56"/>
        <w:ind w:firstLine="420"/>
        <w:rPr>
          <w:rFonts w:hint="eastAsia"/>
        </w:rPr>
      </w:pPr>
      <w:r>
        <w:rPr>
          <w:rFonts w:hint="eastAsia"/>
        </w:rPr>
        <w:t xml:space="preserve">7.1 建筑物内的等电位连接带除了混凝土中的钢筋外都应焊接或螺栓连接(包括高层竖井内金属管道及电梯滑道等金属构件)，与其他保护线共用一根导体接人地网。 </w:t>
      </w:r>
    </w:p>
    <w:p>
      <w:pPr>
        <w:pStyle w:val="56"/>
        <w:ind w:firstLine="420"/>
        <w:rPr>
          <w:rFonts w:hint="eastAsia"/>
        </w:rPr>
      </w:pPr>
      <w:r>
        <w:rPr>
          <w:rFonts w:hint="eastAsia"/>
        </w:rPr>
        <w:t xml:space="preserve">7.2 各接地体形成连网的等电位连接带，要求使用经热镀锌处理后的扁钢或圆钢，连接点应为焊接。 </w:t>
      </w:r>
    </w:p>
    <w:p>
      <w:pPr>
        <w:pStyle w:val="56"/>
        <w:ind w:firstLine="420"/>
        <w:rPr>
          <w:rFonts w:hint="eastAsia"/>
        </w:rPr>
      </w:pPr>
      <w:r>
        <w:rPr>
          <w:rFonts w:hint="eastAsia"/>
        </w:rPr>
        <w:t>7.3 防雷等电位连接各连接部件的最小截面积应符合GB50057-2010第5.1.2条规定的要求。</w:t>
      </w:r>
    </w:p>
    <w:p>
      <w:pPr>
        <w:pStyle w:val="56"/>
        <w:ind w:firstLine="420"/>
        <w:rPr>
          <w:rFonts w:hint="eastAsia"/>
        </w:rPr>
      </w:pPr>
      <w:r>
        <w:rPr>
          <w:rFonts w:hint="eastAsia"/>
        </w:rPr>
        <w:t xml:space="preserve">8 屏蔽 </w:t>
      </w:r>
    </w:p>
    <w:p>
      <w:pPr>
        <w:pStyle w:val="56"/>
        <w:ind w:firstLine="420"/>
        <w:rPr>
          <w:rFonts w:hint="eastAsia"/>
        </w:rPr>
      </w:pPr>
      <w:r>
        <w:rPr>
          <w:rFonts w:hint="eastAsia"/>
        </w:rPr>
        <w:t xml:space="preserve">8.1 屏蔽层的接地可通过建筑物内作引下线的钢筋与接地系统相连，也可独立地向下引线与接地体连接。 </w:t>
      </w:r>
    </w:p>
    <w:p>
      <w:pPr>
        <w:pStyle w:val="56"/>
        <w:ind w:firstLine="420"/>
        <w:rPr>
          <w:rFonts w:hint="eastAsia"/>
        </w:rPr>
      </w:pPr>
      <w:r>
        <w:rPr>
          <w:rFonts w:hint="eastAsia"/>
        </w:rPr>
        <w:t xml:space="preserve">8.2 屏蔽层可分为网型结构和板型结构。网型结构采用金属网或板拉网焊接形成金属屏蔽层，如建筑物内钢筋组成的法拉第笼或专门设置的网孔金属栅等；板型采用0.3mm—1.0mm厚金属板压制装配而成，门窗的屏蔽可采用带金属网的屏蔽玻璃。 </w:t>
      </w:r>
    </w:p>
    <w:p>
      <w:pPr>
        <w:pStyle w:val="56"/>
        <w:ind w:firstLine="420"/>
        <w:rPr>
          <w:rFonts w:hint="eastAsia"/>
        </w:rPr>
      </w:pPr>
      <w:r>
        <w:rPr>
          <w:rFonts w:hint="eastAsia"/>
        </w:rPr>
        <w:t>8.3 进出建筑物的电力线和通信线的金属外皮或穿管敷设的金属管道或金属线槽，其两端都应就近接地，穿管或金属线槽要形成电气通道。线路埋地敷设时，其长度为 ，但不应小于15m。</w:t>
      </w:r>
    </w:p>
    <w:p>
      <w:pPr>
        <w:pStyle w:val="56"/>
        <w:ind w:firstLine="420"/>
        <w:rPr>
          <w:rFonts w:hint="eastAsia"/>
        </w:rPr>
      </w:pPr>
      <w:r>
        <w:rPr>
          <w:rFonts w:hint="eastAsia"/>
        </w:rPr>
        <w:t xml:space="preserve">9 防雷电感应和雷电波的侵入 </w:t>
      </w:r>
    </w:p>
    <w:p>
      <w:pPr>
        <w:pStyle w:val="56"/>
        <w:ind w:firstLine="420"/>
        <w:rPr>
          <w:rFonts w:hint="eastAsia"/>
        </w:rPr>
      </w:pPr>
      <w:r>
        <w:rPr>
          <w:rFonts w:hint="eastAsia"/>
        </w:rPr>
        <w:t xml:space="preserve">9.1 库场内所有设备、管道、金属构架(包含房屋钢结构及钢窗框架等大金属物和突出地面或屋面的金属物)、电缆金属外皮或金属穿管均应就近接到防雷电感应的接地装置上，特别是金属管道和电缆线的金属外皮等长金属物进出库时，即LPZ0与LPZ1界面上应做好等电位连接并接地。 </w:t>
      </w:r>
    </w:p>
    <w:p>
      <w:pPr>
        <w:pStyle w:val="56"/>
        <w:ind w:firstLine="420"/>
        <w:rPr>
          <w:rFonts w:hint="eastAsia"/>
        </w:rPr>
      </w:pPr>
      <w:r>
        <w:rPr>
          <w:rFonts w:hint="eastAsia"/>
        </w:rPr>
        <w:t xml:space="preserve">9.2 金属屋面周边或浇制或预制的钢筋混凝土屋面的周边，每隔18m—24m应采用引下线接地一次，引下线可利用钢筋混凝土建筑物内的钢筋。 </w:t>
      </w:r>
    </w:p>
    <w:p>
      <w:pPr>
        <w:pStyle w:val="56"/>
        <w:ind w:firstLine="420"/>
        <w:rPr>
          <w:rFonts w:hint="eastAsia"/>
        </w:rPr>
      </w:pPr>
      <w:r>
        <w:rPr>
          <w:rFonts w:hint="eastAsia"/>
        </w:rPr>
        <w:t xml:space="preserve">9.3 平行敷设的金属管道、金属构架和电缆金属外皮等长金属物，相互间其净距小于100mm时，应采用金属线跨接，跨接点间距不大于30m。当交叉净距小于100mm时，其交叉处也要采用跨接线。每一个跨接点都应接地。 </w:t>
      </w:r>
    </w:p>
    <w:p>
      <w:pPr>
        <w:pStyle w:val="56"/>
        <w:ind w:firstLine="420"/>
        <w:rPr>
          <w:rFonts w:hint="eastAsia"/>
        </w:rPr>
      </w:pPr>
      <w:r>
        <w:rPr>
          <w:rFonts w:hint="eastAsia"/>
        </w:rPr>
        <w:t>9.4 当长金属物的弯头阀门法兰盘等连接处的过渡电阻大于 0.03Ω时，连接处应用金属线跨接，跨接线应采用多股铜绞线，其截面不小于16mm</w:t>
      </w:r>
      <w:r>
        <w:rPr>
          <w:rFonts w:hint="eastAsia"/>
          <w:vertAlign w:val="superscript"/>
        </w:rPr>
        <w:t>2</w:t>
      </w:r>
      <w:r>
        <w:rPr>
          <w:rFonts w:hint="eastAsia"/>
        </w:rPr>
        <w:t>或截面不小于48mm</w:t>
      </w:r>
      <w:r>
        <w:rPr>
          <w:rFonts w:hint="eastAsia"/>
          <w:vertAlign w:val="superscript"/>
        </w:rPr>
        <w:t>2</w:t>
      </w:r>
      <w:r>
        <w:rPr>
          <w:rFonts w:hint="eastAsia"/>
        </w:rPr>
        <w:t>的圆钢或扁钢。钢跨接线都必须热镀锌防腐处理，扁钢厚度不小于4mm。对有不少于5根螺栓连接的法兰盘，在非腐蚀环境下可不跨接。</w:t>
      </w:r>
    </w:p>
    <w:p>
      <w:pPr>
        <w:pStyle w:val="56"/>
        <w:ind w:firstLine="420"/>
        <w:rPr>
          <w:rFonts w:hint="eastAsia"/>
        </w:rPr>
      </w:pPr>
      <w:r>
        <w:rPr>
          <w:rFonts w:hint="eastAsia"/>
        </w:rPr>
        <w:t xml:space="preserve">9.5 现场周围树木不在接闪器保护范围之内时，树木与危险货物之间的净距应不小于5m。 </w:t>
      </w:r>
    </w:p>
    <w:p>
      <w:pPr>
        <w:pStyle w:val="56"/>
        <w:ind w:firstLine="420"/>
        <w:rPr>
          <w:rFonts w:hint="eastAsia"/>
        </w:rPr>
      </w:pPr>
      <w:r>
        <w:rPr>
          <w:rFonts w:hint="eastAsia"/>
        </w:rPr>
        <w:t xml:space="preserve">9.6 防直击雷的接地装置应相对独立，形成独立的接地系统，且之间的边缘水平间距不宜小于15m，如两接地装置相隔太近，可用不少于两根的接地干线作等电位连接。 </w:t>
      </w:r>
    </w:p>
    <w:p>
      <w:pPr>
        <w:pStyle w:val="56"/>
        <w:ind w:firstLine="420"/>
        <w:rPr>
          <w:rFonts w:hint="eastAsia"/>
        </w:rPr>
      </w:pPr>
      <w:r>
        <w:rPr>
          <w:rFonts w:hint="eastAsia"/>
        </w:rPr>
        <w:t xml:space="preserve">10 配电系统 </w:t>
      </w:r>
    </w:p>
    <w:p>
      <w:pPr>
        <w:pStyle w:val="56"/>
        <w:ind w:firstLine="420"/>
        <w:rPr>
          <w:rFonts w:hint="eastAsia"/>
        </w:rPr>
      </w:pPr>
      <w:r>
        <w:rPr>
          <w:rFonts w:hint="eastAsia"/>
        </w:rPr>
        <w:t>10.1 港口防雷建筑物和通信设备较集中的场所的供电线路，如果使用架空线路入户，应由架空线路改为铠装电缆埋地入户，宜直接埋地敷设或穿钢管敷设，埋地长度应大于</w:t>
      </w:r>
      <w:r>
        <w:rPr>
          <w:rFonts w:hint="eastAsia" w:ascii="宋体" w:hAnsi="宋体" w:eastAsia="宋体" w:cs="宋体"/>
          <w:position w:val="-12"/>
          <w:sz w:val="21"/>
          <w:lang w:val="en-US" w:eastAsia="zh-CN"/>
        </w:rPr>
        <w:object>
          <v:shape id="_x0000_i1026" o:spt="75" type="#_x0000_t75" style="height:20pt;width:27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5" r:id="rId14">
            <o:LockedField>false</o:LockedField>
          </o:OLEObject>
        </w:object>
      </w:r>
      <w:r>
        <w:rPr>
          <w:rFonts w:hint="eastAsia"/>
        </w:rPr>
        <w:t xml:space="preserve">(m)，但不应小于15m。电缆的金属外皮(钢管)的两端都应就近接地，并与电气设备的保护接地或油罐或输油管或其他长金属(设备)的防雷电感应接地、等电位接地、防静电接地等接入共用接地系统，其接地电阻值按其中的最小值来确定。 </w:t>
      </w:r>
    </w:p>
    <w:p>
      <w:pPr>
        <w:pStyle w:val="56"/>
        <w:ind w:firstLine="420"/>
        <w:rPr>
          <w:rFonts w:hint="eastAsia"/>
        </w:rPr>
      </w:pPr>
      <w:r>
        <w:rPr>
          <w:rFonts w:hint="eastAsia"/>
        </w:rPr>
        <w:t>架空线入户前改为电缆埋地敷设很困难或其埋地长度达不到</w:t>
      </w:r>
      <w:r>
        <w:rPr>
          <w:rFonts w:hint="eastAsia" w:ascii="宋体" w:hAnsi="宋体" w:eastAsia="宋体" w:cs="宋体"/>
          <w:position w:val="-12"/>
          <w:sz w:val="21"/>
          <w:lang w:val="en-US" w:eastAsia="zh-CN"/>
        </w:rPr>
        <w:object>
          <v:shape id="_x0000_i1025" o:spt="75" type="#_x0000_t75" style="height:20pt;width:27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6" r:id="rId16">
            <o:LockedField>false</o:LockedField>
          </o:OLEObject>
        </w:object>
      </w:r>
      <w:r>
        <w:rPr>
          <w:rFonts w:hint="eastAsia"/>
        </w:rPr>
        <w:t xml:space="preserve">(m)要求时，可在入户前三极杆上分别安装防雷装置，人户电缆的金属外皮、钢管和绝缘子铁脚、金具等应与防雷装置一起接地。 </w:t>
      </w:r>
    </w:p>
    <w:p>
      <w:pPr>
        <w:pStyle w:val="56"/>
        <w:ind w:firstLine="420"/>
        <w:rPr>
          <w:rFonts w:hint="eastAsia"/>
        </w:rPr>
      </w:pPr>
      <w:r>
        <w:rPr>
          <w:rFonts w:hint="eastAsia"/>
        </w:rPr>
        <w:t xml:space="preserve">11 信息系统 </w:t>
      </w:r>
    </w:p>
    <w:p>
      <w:pPr>
        <w:pStyle w:val="56"/>
        <w:ind w:firstLine="420"/>
        <w:rPr>
          <w:rFonts w:hint="eastAsia"/>
        </w:rPr>
      </w:pPr>
      <w:r>
        <w:rPr>
          <w:rFonts w:hint="eastAsia"/>
        </w:rPr>
        <w:t xml:space="preserve">11.1 信息系统的等电位接地、屏蔽接地、防雷接地、防静电接地和信息系统功能性要求接地，应采取共用接地系统。 </w:t>
      </w:r>
    </w:p>
    <w:p>
      <w:pPr>
        <w:pStyle w:val="56"/>
        <w:ind w:firstLine="420"/>
        <w:rPr>
          <w:rFonts w:hint="eastAsia"/>
        </w:rPr>
      </w:pPr>
      <w:r>
        <w:rPr>
          <w:rFonts w:hint="eastAsia"/>
        </w:rPr>
        <w:t xml:space="preserve">11.2 新建或改建要安装信息设备的建筑物，应将建筑物内的金属支撑件、金属框架、金属门窗、电梯天井内的金属构筑物及滑道、混凝土中的钢筋等自然构件，与外来金属物如金属管道、供电电缆和通信电缆的铠装金属护套、供电的保护接地系统与防雷的接地装置等通过等电位连接带和引下线共同组成共用接地系统。 </w:t>
      </w:r>
    </w:p>
    <w:p>
      <w:pPr>
        <w:pStyle w:val="56"/>
        <w:ind w:firstLine="420"/>
        <w:rPr>
          <w:rFonts w:hint="eastAsia"/>
        </w:rPr>
      </w:pPr>
      <w:r>
        <w:rPr>
          <w:rFonts w:hint="eastAsia"/>
        </w:rPr>
        <w:t xml:space="preserve">11.3 信息系统设备的金属外壳(金属屏蔽网)、系统的工作接地、浪涌保护器的接地等通过M形或S形等电位连接网络接入共用接地系统。 </w:t>
      </w:r>
    </w:p>
    <w:p>
      <w:pPr>
        <w:pStyle w:val="56"/>
        <w:ind w:firstLine="420"/>
        <w:rPr>
          <w:rFonts w:hint="eastAsia"/>
        </w:rPr>
      </w:pPr>
      <w:r>
        <w:rPr>
          <w:rFonts w:hint="eastAsia"/>
        </w:rPr>
        <w:t xml:space="preserve">11.3.1 信息系统直流接地的形式，当采用S形等电位连接网络时，所采用的金属组件，除在基准点外，应有lOkV、1.2/50µs的绝缘；当采用M形等电位连接网络时，应每隔5m--6m与建筑物内的主钢筋连接一次。 </w:t>
      </w:r>
    </w:p>
    <w:p>
      <w:pPr>
        <w:pStyle w:val="56"/>
        <w:ind w:firstLine="420"/>
        <w:rPr>
          <w:rFonts w:hint="eastAsia"/>
        </w:rPr>
      </w:pPr>
      <w:r>
        <w:rPr>
          <w:rFonts w:hint="eastAsia"/>
        </w:rPr>
        <w:t>11.3.2 信息系统防雷与接地中的连接导体的材料和尺寸应符合GB50057-2010中有关要求。S形网络的引下线要求截面不小于35mm</w:t>
      </w:r>
      <w:r>
        <w:rPr>
          <w:rFonts w:hint="eastAsia"/>
          <w:vertAlign w:val="superscript"/>
        </w:rPr>
        <w:t>2</w:t>
      </w:r>
      <w:r>
        <w:rPr>
          <w:rFonts w:hint="eastAsia"/>
        </w:rPr>
        <w:t xml:space="preserve">的多股铜绞线，而且引下线在地网上的接地点与其他引下线在地网上的接地点之间的水平距离不少于5m。引下线敷设时要求尽量短而直。 </w:t>
      </w:r>
    </w:p>
    <w:p>
      <w:pPr>
        <w:pStyle w:val="56"/>
        <w:ind w:firstLine="420"/>
        <w:rPr>
          <w:rFonts w:hint="eastAsia"/>
        </w:rPr>
      </w:pPr>
      <w:r>
        <w:rPr>
          <w:rFonts w:hint="eastAsia"/>
        </w:rPr>
        <w:t xml:space="preserve">11.4 在多层或高层建筑物中，电子信息设备宜安装在建筑物的雷电防护区最高级别的楼层中，而且应尽量远离外露的门窗和钢筋混凝土结构的柱子，并采取相应的屏蔽措施。 </w:t>
      </w:r>
    </w:p>
    <w:p>
      <w:pPr>
        <w:pStyle w:val="56"/>
        <w:ind w:firstLine="420"/>
        <w:rPr>
          <w:rFonts w:hint="eastAsia"/>
        </w:rPr>
      </w:pPr>
      <w:r>
        <w:rPr>
          <w:rFonts w:hint="eastAsia"/>
        </w:rPr>
        <w:t xml:space="preserve">11.5 安装信息系统设备的房间，钢筋混凝土中的钢筋或其他金属自然构件作防雷接地引下线时，在适当位置留出预埋等电位连接板。连接板宜安设在房间的四角或其他合适位置，离(房间)地面高50mm一l00mm。 </w:t>
      </w:r>
    </w:p>
    <w:p>
      <w:pPr>
        <w:pStyle w:val="56"/>
        <w:ind w:firstLine="420"/>
        <w:rPr>
          <w:rFonts w:hint="eastAsia"/>
        </w:rPr>
      </w:pPr>
      <w:r>
        <w:rPr>
          <w:rFonts w:hint="eastAsia"/>
        </w:rPr>
        <w:t xml:space="preserve">11.6 信息系统的电缆宜采用单层或双层铠装电缆，在各界面处通过等电位连接板接地。光缆中的金属件也应通过等电位连接板进行等电位连接。 </w:t>
      </w:r>
    </w:p>
    <w:p>
      <w:pPr>
        <w:pStyle w:val="56"/>
        <w:ind w:firstLine="420"/>
        <w:rPr>
          <w:rFonts w:hint="eastAsia"/>
        </w:rPr>
      </w:pPr>
      <w:r>
        <w:rPr>
          <w:rFonts w:hint="eastAsia"/>
        </w:rPr>
        <w:t xml:space="preserve">11.7 信息系统设备为非金属外壳，且安置设备的房间达不到设备对磁场屏蔽的要求时，应对设备加装金属屏蔽网或安放在金属屏蔽室内，金属屏蔽网或金属屏蔽室内的屏蔽层都应与等电位连接板连接。 </w:t>
      </w:r>
    </w:p>
    <w:p>
      <w:pPr>
        <w:pStyle w:val="56"/>
        <w:ind w:firstLine="420"/>
        <w:rPr>
          <w:rFonts w:hint="eastAsia"/>
        </w:rPr>
      </w:pPr>
      <w:r>
        <w:rPr>
          <w:rFonts w:hint="eastAsia"/>
        </w:rPr>
        <w:t xml:space="preserve">11.8 当采用非屏蔽电缆时，电缆应敷设在金属管道内埋人地中，埋地水平距离不能小于 ，但不应小于15m。金属管应是连续的电气导通，并在界面处做等电位连接。 </w:t>
      </w:r>
    </w:p>
    <w:p>
      <w:pPr>
        <w:pStyle w:val="56"/>
        <w:ind w:firstLine="420"/>
        <w:rPr>
          <w:rFonts w:hint="eastAsia"/>
        </w:rPr>
      </w:pPr>
      <w:r>
        <w:rPr>
          <w:rFonts w:hint="eastAsia"/>
        </w:rPr>
        <w:t>11.9 合理布线，建筑物内的供电电缆，通信电缆、天馈线和作等电位、屏蔽用的连接导体及引下线等，根据可能通过的电流大小和功能要求相互之间应保持一定的间距。</w:t>
      </w:r>
    </w:p>
    <w:p>
      <w:pPr>
        <w:pStyle w:val="56"/>
        <w:ind w:firstLine="420"/>
        <w:rPr>
          <w:rFonts w:hint="eastAsia"/>
        </w:rPr>
      </w:pPr>
      <w:r>
        <w:rPr>
          <w:rFonts w:hint="eastAsia"/>
        </w:rPr>
        <w:t>11.10 同一房间或同一楼层的同一防护区内的同一个系统的设备，所有外露导电物应建一等电位连接网络，等电位连接网络通过引下线与接地系统相连。</w:t>
      </w:r>
    </w:p>
    <w:p>
      <w:pPr>
        <w:pStyle w:val="56"/>
        <w:ind w:firstLine="420"/>
        <w:rPr>
          <w:rFonts w:hint="eastAsia"/>
        </w:rPr>
      </w:pPr>
      <w:r>
        <w:rPr>
          <w:rFonts w:hint="eastAsia"/>
        </w:rPr>
        <w:t xml:space="preserve">11.11 信号线人户前在界面处都应安装浪涌保护器(SPD)。浪涌保护器的接地线要求短而直，并就 近与界面处的接地引下线相连接。 </w:t>
      </w:r>
    </w:p>
    <w:p>
      <w:pPr>
        <w:pStyle w:val="56"/>
        <w:ind w:firstLine="420"/>
        <w:rPr>
          <w:rFonts w:hint="eastAsia"/>
        </w:rPr>
      </w:pPr>
      <w:r>
        <w:rPr>
          <w:rFonts w:hint="eastAsia"/>
        </w:rPr>
        <w:t>12 电涌保护器（SPD）</w:t>
      </w:r>
    </w:p>
    <w:p>
      <w:pPr>
        <w:pStyle w:val="56"/>
        <w:ind w:firstLine="420"/>
        <w:rPr>
          <w:rFonts w:hint="eastAsia"/>
        </w:rPr>
      </w:pPr>
      <w:r>
        <w:rPr>
          <w:rFonts w:hint="eastAsia"/>
        </w:rPr>
        <w:t>12.1 岸边集装箱起重机和场地轮胎式集装箱龙门起重机上安装的无线通信设备的接收或发射天线，应有防直击雷的设施及安装浪涌保护器，保护器的接地线与车体就近连接。</w:t>
      </w:r>
    </w:p>
    <w:p>
      <w:pPr>
        <w:pStyle w:val="56"/>
        <w:ind w:firstLine="420"/>
        <w:rPr>
          <w:rFonts w:hint="eastAsia"/>
        </w:rPr>
      </w:pPr>
      <w:r>
        <w:rPr>
          <w:rFonts w:hint="eastAsia"/>
        </w:rPr>
        <w:t xml:space="preserve">12.2 冷冻集装箱供电的电源线宜用铠装电缆，电缆的金属外皮应与电源开关箱外壳和支架相连并就 近接地，雷暴日20d/a以上的地区，在电源线的输出端和输人端宜安装浪涌保护器。 </w:t>
      </w:r>
    </w:p>
    <w:p>
      <w:pPr>
        <w:pStyle w:val="56"/>
        <w:ind w:firstLine="420"/>
        <w:rPr>
          <w:rFonts w:hint="eastAsia"/>
        </w:rPr>
      </w:pPr>
      <w:r>
        <w:rPr>
          <w:rFonts w:hint="eastAsia"/>
        </w:rPr>
        <w:t xml:space="preserve">12.3 电源浪涌保护器(SPD)的选择和安装应考虑以下因素: </w:t>
      </w:r>
    </w:p>
    <w:p>
      <w:pPr>
        <w:pStyle w:val="56"/>
        <w:ind w:firstLine="420"/>
        <w:rPr>
          <w:rFonts w:hint="eastAsia"/>
        </w:rPr>
      </w:pPr>
      <w:r>
        <w:rPr>
          <w:rFonts w:hint="eastAsia"/>
        </w:rPr>
        <w:t xml:space="preserve">a) 被保护设备对冲击过电压的承受能力和技术要求。 </w:t>
      </w:r>
    </w:p>
    <w:p>
      <w:pPr>
        <w:pStyle w:val="56"/>
        <w:ind w:firstLine="420"/>
        <w:rPr>
          <w:rFonts w:hint="eastAsia"/>
        </w:rPr>
      </w:pPr>
      <w:r>
        <w:rPr>
          <w:rFonts w:hint="eastAsia"/>
        </w:rPr>
        <w:t xml:space="preserve">b) 建筑物或保护设备所处环境的自然状况和LPZ的界面位置。 </w:t>
      </w:r>
    </w:p>
    <w:p>
      <w:pPr>
        <w:pStyle w:val="56"/>
        <w:ind w:firstLine="420"/>
        <w:rPr>
          <w:rFonts w:hint="eastAsia"/>
        </w:rPr>
      </w:pPr>
      <w:r>
        <w:rPr>
          <w:rFonts w:hint="eastAsia"/>
        </w:rPr>
        <w:t xml:space="preserve">c) 在LPZ0与LPZ1界面处应安装通过I级试验的电涌保护器或限压型电涌保护器作第一级 </w:t>
      </w:r>
    </w:p>
    <w:p>
      <w:pPr>
        <w:pStyle w:val="56"/>
        <w:ind w:firstLine="420"/>
        <w:rPr>
          <w:rFonts w:hint="eastAsia"/>
        </w:rPr>
      </w:pPr>
      <w:r>
        <w:rPr>
          <w:rFonts w:hint="eastAsia"/>
        </w:rPr>
        <w:t xml:space="preserve">保护；LPZ1之后(含LPZ1区)各分区界面处应根据设备承受过电压的能力安装限压型分级电涌保护器 (SPD)。直流设备视其工作电压的要求，宜采用适配的直流电源电涌保护器(SPD)。 </w:t>
      </w:r>
    </w:p>
    <w:p>
      <w:pPr>
        <w:pStyle w:val="56"/>
        <w:ind w:firstLine="420"/>
        <w:rPr>
          <w:rFonts w:hint="eastAsia"/>
        </w:rPr>
      </w:pPr>
      <w:r>
        <w:rPr>
          <w:rFonts w:hint="eastAsia"/>
        </w:rPr>
        <w:t xml:space="preserve">d) SPD必须能承受预期通过它的电涌电流和有熄灭工频续流的能力。 </w:t>
      </w:r>
    </w:p>
    <w:p>
      <w:pPr>
        <w:pStyle w:val="56"/>
        <w:ind w:firstLine="420"/>
        <w:rPr>
          <w:rFonts w:hint="eastAsia"/>
        </w:rPr>
      </w:pPr>
      <w:r>
        <w:rPr>
          <w:rFonts w:hint="eastAsia"/>
        </w:rPr>
        <w:t>e) SPD的残压和两端引线的感应电压(压降)之和应低于被保护设备额定耐冲击过电压值。</w:t>
      </w:r>
    </w:p>
    <w:p>
      <w:pPr>
        <w:pStyle w:val="56"/>
        <w:ind w:firstLine="420"/>
        <w:rPr>
          <w:rFonts w:hint="eastAsia"/>
        </w:rPr>
      </w:pPr>
      <w:r>
        <w:rPr>
          <w:rFonts w:hint="eastAsia"/>
        </w:rPr>
        <w:t>f) 一级SPD应有熔断器作热熔和过流保护。熔断器在主电路上的熔丝电流比宜为1:1.6或1:2,并能在额定通流容量下不断开。</w:t>
      </w:r>
    </w:p>
    <w:p>
      <w:pPr>
        <w:pStyle w:val="56"/>
        <w:ind w:firstLine="420"/>
        <w:rPr>
          <w:rFonts w:hint="eastAsia"/>
        </w:rPr>
      </w:pPr>
      <w:r>
        <w:rPr>
          <w:rFonts w:hint="eastAsia"/>
        </w:rPr>
        <w:t>g) SPD宜有声、光报警，或有遥控信号装置和雷击次数显示等状态功能和劣化显示等。</w:t>
      </w:r>
    </w:p>
    <w:p>
      <w:pPr>
        <w:pStyle w:val="56"/>
        <w:ind w:firstLine="420"/>
        <w:rPr>
          <w:rFonts w:hint="eastAsia"/>
        </w:rPr>
      </w:pPr>
      <w:r>
        <w:rPr>
          <w:rFonts w:hint="eastAsia"/>
        </w:rPr>
        <w:t>h）电源电涌保护器（SPD）冲击电流和标称放电电流参数推荐值宜符合GB 50343-2012 《建筑物电子信息系统防雷技术规范》中表4.3.1和表5.4.3-3规定。</w:t>
      </w:r>
    </w:p>
    <w:p>
      <w:pPr>
        <w:pStyle w:val="56"/>
        <w:ind w:firstLine="420"/>
        <w:rPr>
          <w:rFonts w:hint="eastAsia"/>
        </w:rPr>
      </w:pPr>
      <w:r>
        <w:rPr>
          <w:rFonts w:hint="eastAsia"/>
        </w:rPr>
        <w:t xml:space="preserve">12.4 信号系统SPD应符合下列规定: </w:t>
      </w:r>
    </w:p>
    <w:p>
      <w:pPr>
        <w:pStyle w:val="56"/>
        <w:ind w:firstLine="420"/>
        <w:rPr>
          <w:rFonts w:hint="eastAsia"/>
        </w:rPr>
      </w:pPr>
      <w:r>
        <w:rPr>
          <w:rFonts w:hint="eastAsia"/>
        </w:rPr>
        <w:t>a) SPD的箝位电压应满足设备接口的需要，一般应控制在1.5Ub以内(Ub为信号系统工作电压)，对雷电响应时间应不大于10ns。</w:t>
      </w:r>
    </w:p>
    <w:p>
      <w:pPr>
        <w:pStyle w:val="56"/>
        <w:ind w:firstLine="420"/>
        <w:rPr>
          <w:rFonts w:hint="eastAsia"/>
        </w:rPr>
      </w:pPr>
      <w:r>
        <w:rPr>
          <w:rFonts w:hint="eastAsia"/>
        </w:rPr>
        <w:t xml:space="preserve">b) SPD应满足信号传输速率及带宽(频率)的要求和一定的兼容性。 </w:t>
      </w:r>
    </w:p>
    <w:p>
      <w:pPr>
        <w:pStyle w:val="56"/>
        <w:ind w:firstLine="420"/>
        <w:rPr>
          <w:rFonts w:hint="eastAsia"/>
        </w:rPr>
      </w:pPr>
      <w:r>
        <w:rPr>
          <w:rFonts w:hint="eastAsia"/>
        </w:rPr>
        <w:t>c) SPD的插人损耗不小于0.5dB和驻波系数应不大于1.3。</w:t>
      </w:r>
    </w:p>
    <w:p>
      <w:pPr>
        <w:pStyle w:val="56"/>
        <w:ind w:firstLine="420"/>
        <w:rPr>
          <w:rFonts w:hint="eastAsia"/>
        </w:rPr>
      </w:pPr>
      <w:r>
        <w:rPr>
          <w:rFonts w:hint="eastAsia"/>
        </w:rPr>
        <w:t xml:space="preserve">d)标称放电电流与连接的通信电缆线有关。在非屏蔽双绞线中不小于1kA；屏蔽双绞线中应不小于0.5kA；同轴电缆中不小于3kA。 </w:t>
      </w:r>
    </w:p>
    <w:p>
      <w:pPr>
        <w:pStyle w:val="56"/>
        <w:ind w:firstLine="420"/>
        <w:rPr>
          <w:rFonts w:hint="eastAsia"/>
        </w:rPr>
      </w:pPr>
      <w:r>
        <w:rPr>
          <w:rFonts w:hint="eastAsia"/>
        </w:rPr>
        <w:t xml:space="preserve">e) SPD的平均功率(W)应不小于系统平均功率的1.5倍；特性阻抗(Ω）和接口形式都应满足系统要求。 </w:t>
      </w:r>
    </w:p>
    <w:p>
      <w:pPr>
        <w:pStyle w:val="56"/>
        <w:ind w:firstLine="420"/>
        <w:rPr>
          <w:rFonts w:hint="eastAsia"/>
        </w:rPr>
      </w:pPr>
      <w:r>
        <w:rPr>
          <w:rFonts w:hint="eastAsia"/>
        </w:rPr>
        <w:t>f) SPD的接地线，其截面积不小于1.5mm</w:t>
      </w:r>
      <w:r>
        <w:rPr>
          <w:rFonts w:hint="eastAsia"/>
          <w:vertAlign w:val="superscript"/>
        </w:rPr>
        <w:t>2</w:t>
      </w:r>
      <w:r>
        <w:rPr>
          <w:rFonts w:hint="eastAsia"/>
        </w:rPr>
        <w:t>的铜绞线。</w:t>
      </w:r>
    </w:p>
    <w:p>
      <w:pPr>
        <w:pStyle w:val="56"/>
        <w:ind w:firstLine="420"/>
        <w:rPr>
          <w:rFonts w:hint="eastAsia"/>
        </w:rPr>
      </w:pPr>
      <w:r>
        <w:rPr>
          <w:rFonts w:hint="eastAsia"/>
        </w:rPr>
        <w:t xml:space="preserve">13 检测要求 </w:t>
      </w:r>
    </w:p>
    <w:p>
      <w:pPr>
        <w:pStyle w:val="56"/>
        <w:ind w:firstLine="420"/>
        <w:rPr>
          <w:rFonts w:hint="eastAsia"/>
        </w:rPr>
      </w:pPr>
      <w:r>
        <w:rPr>
          <w:rFonts w:hint="eastAsia"/>
        </w:rPr>
        <w:t xml:space="preserve">13.1 检测规则 </w:t>
      </w:r>
    </w:p>
    <w:p>
      <w:pPr>
        <w:pStyle w:val="56"/>
        <w:ind w:firstLine="420"/>
        <w:rPr>
          <w:rFonts w:hint="eastAsia"/>
        </w:rPr>
      </w:pPr>
      <w:r>
        <w:rPr>
          <w:rFonts w:hint="eastAsia"/>
        </w:rPr>
        <w:t xml:space="preserve">防雷系统的检测主要分以下三种: </w:t>
      </w:r>
    </w:p>
    <w:p>
      <w:pPr>
        <w:pStyle w:val="56"/>
        <w:ind w:firstLine="420"/>
        <w:rPr>
          <w:rFonts w:hint="eastAsia"/>
        </w:rPr>
      </w:pPr>
      <w:r>
        <w:rPr>
          <w:rFonts w:hint="eastAsia"/>
        </w:rPr>
        <w:t>——竣工验收检测；</w:t>
      </w:r>
    </w:p>
    <w:p>
      <w:pPr>
        <w:pStyle w:val="56"/>
        <w:ind w:firstLine="420"/>
        <w:rPr>
          <w:rFonts w:hint="eastAsia"/>
        </w:rPr>
      </w:pPr>
      <w:r>
        <w:rPr>
          <w:rFonts w:hint="eastAsia"/>
        </w:rPr>
        <w:t xml:space="preserve">——定期监督检测； </w:t>
      </w:r>
    </w:p>
    <w:p>
      <w:pPr>
        <w:pStyle w:val="56"/>
        <w:ind w:firstLine="420"/>
        <w:rPr>
          <w:rFonts w:hint="eastAsia"/>
        </w:rPr>
      </w:pPr>
      <w:r>
        <w:rPr>
          <w:rFonts w:hint="eastAsia"/>
        </w:rPr>
        <w:t xml:space="preserve">——单位自行安全检测。 </w:t>
      </w:r>
    </w:p>
    <w:p>
      <w:pPr>
        <w:pStyle w:val="56"/>
        <w:ind w:firstLine="420"/>
        <w:rPr>
          <w:rFonts w:hint="eastAsia"/>
        </w:rPr>
      </w:pPr>
      <w:r>
        <w:rPr>
          <w:rFonts w:hint="eastAsia"/>
        </w:rPr>
        <w:t xml:space="preserve">13.2 竣工验收检测 </w:t>
      </w:r>
    </w:p>
    <w:p>
      <w:pPr>
        <w:pStyle w:val="56"/>
        <w:ind w:firstLine="420"/>
        <w:rPr>
          <w:rFonts w:hint="eastAsia"/>
        </w:rPr>
      </w:pPr>
      <w:r>
        <w:rPr>
          <w:rFonts w:hint="eastAsia"/>
        </w:rPr>
        <w:t xml:space="preserve">应符合设计要求和本标准规定。 </w:t>
      </w:r>
    </w:p>
    <w:p>
      <w:pPr>
        <w:pStyle w:val="56"/>
        <w:ind w:firstLine="420"/>
        <w:rPr>
          <w:rFonts w:hint="eastAsia"/>
        </w:rPr>
      </w:pPr>
      <w:r>
        <w:rPr>
          <w:rFonts w:hint="eastAsia"/>
        </w:rPr>
        <w:t xml:space="preserve">13.3 定期检测 </w:t>
      </w:r>
      <w:bookmarkStart w:id="40" w:name="_GoBack"/>
      <w:bookmarkEnd w:id="40"/>
    </w:p>
    <w:p>
      <w:pPr>
        <w:pStyle w:val="56"/>
        <w:ind w:firstLine="420"/>
        <w:rPr>
          <w:rFonts w:hint="eastAsia"/>
        </w:rPr>
      </w:pPr>
      <w:r>
        <w:rPr>
          <w:rFonts w:hint="eastAsia"/>
        </w:rPr>
        <w:t xml:space="preserve">防雷装置系统运行过程中的定期安全检测。每年雷雨季节到来之前应进行全面检测。 </w:t>
      </w:r>
    </w:p>
    <w:p>
      <w:pPr>
        <w:pStyle w:val="56"/>
        <w:ind w:firstLine="420"/>
        <w:rPr>
          <w:rFonts w:hint="eastAsia"/>
        </w:rPr>
      </w:pPr>
      <w:r>
        <w:rPr>
          <w:rFonts w:hint="eastAsia"/>
        </w:rPr>
        <w:t xml:space="preserve">13.4 单位自行安全检测 </w:t>
      </w:r>
    </w:p>
    <w:p>
      <w:pPr>
        <w:pStyle w:val="56"/>
        <w:ind w:firstLine="420"/>
        <w:rPr>
          <w:rFonts w:hint="eastAsia"/>
        </w:rPr>
      </w:pPr>
      <w:r>
        <w:rPr>
          <w:rFonts w:hint="eastAsia"/>
        </w:rPr>
        <w:t>单位对投入使用后的防雷装置实行周期维护和日常维护。</w:t>
      </w:r>
    </w:p>
    <w:p>
      <w:pPr>
        <w:pStyle w:val="56"/>
        <w:ind w:firstLine="420"/>
      </w:pPr>
    </w:p>
    <w:p>
      <w:pPr>
        <w:pStyle w:val="56"/>
        <w:ind w:firstLine="420"/>
      </w:pPr>
    </w:p>
    <w:p>
      <w:pPr>
        <w:pStyle w:val="56"/>
        <w:ind w:firstLine="420"/>
      </w:pPr>
    </w:p>
    <w:p>
      <w:pPr>
        <w:pStyle w:val="56"/>
        <w:ind w:firstLine="420"/>
      </w:pPr>
    </w:p>
    <w:p>
      <w:pPr>
        <w:pStyle w:val="56"/>
        <w:ind w:firstLine="420"/>
      </w:pPr>
    </w:p>
    <w:bookmarkEnd w:id="21"/>
    <w:p>
      <w:pPr>
        <w:pStyle w:val="56"/>
        <w:ind w:firstLine="420"/>
      </w:pPr>
    </w:p>
    <w:sectPr>
      <w:headerReference r:id="rId9" w:type="default"/>
      <w:footerReference r:id="rId11" w:type="default"/>
      <w:headerReference r:id="rId10" w:type="even"/>
      <w:pgSz w:w="11906" w:h="16838"/>
      <w:pgMar w:top="2410"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D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2D0"/>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E1A"/>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1F7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782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B81068A406491686F63BCD09B6ED59"/>
        <w:style w:val=""/>
        <w:category>
          <w:name w:val="常规"/>
          <w:gallery w:val="placeholder"/>
        </w:category>
        <w:types>
          <w:type w:val="bbPlcHdr"/>
        </w:types>
        <w:behaviors>
          <w:behavior w:val="content"/>
        </w:behaviors>
        <w:description w:val=""/>
        <w:guid w:val="{9C42EC2C-995B-4979-993D-A1B38B43D329}"/>
      </w:docPartPr>
      <w:docPartBody>
        <w:p>
          <w:pPr>
            <w:pStyle w:val="5"/>
          </w:pPr>
          <w:r>
            <w:rPr>
              <w:rStyle w:val="4"/>
              <w:rFonts w:hint="eastAsia"/>
            </w:rPr>
            <w:t>单击或点击此处输入文字。</w:t>
          </w:r>
        </w:p>
      </w:docPartBody>
    </w:docPart>
    <w:docPart>
      <w:docPartPr>
        <w:name w:val="C1BB553282E6423EAB7AE6E995BAC4B5"/>
        <w:style w:val=""/>
        <w:category>
          <w:name w:val="常规"/>
          <w:gallery w:val="placeholder"/>
        </w:category>
        <w:types>
          <w:type w:val="bbPlcHdr"/>
        </w:types>
        <w:behaviors>
          <w:behavior w:val="content"/>
        </w:behaviors>
        <w:description w:val=""/>
        <w:guid w:val="{3190C922-93E4-4B32-A34D-AF00A17954F6}"/>
      </w:docPartPr>
      <w:docPartBody>
        <w:p>
          <w:pPr>
            <w:pStyle w:val="6"/>
          </w:pPr>
          <w:r>
            <w:rPr>
              <w:rStyle w:val="4"/>
              <w:rFonts w:hint="eastAsia"/>
            </w:rPr>
            <w:t>选择一项。</w:t>
          </w:r>
        </w:p>
      </w:docPartBody>
    </w:docPart>
    <w:docPart>
      <w:docPartPr>
        <w:name w:val="A3453E0BF77840E585693230815E954D"/>
        <w:style w:val=""/>
        <w:category>
          <w:name w:val="常规"/>
          <w:gallery w:val="placeholder"/>
        </w:category>
        <w:types>
          <w:type w:val="bbPlcHdr"/>
        </w:types>
        <w:behaviors>
          <w:behavior w:val="content"/>
        </w:behaviors>
        <w:description w:val=""/>
        <w:guid w:val="{D8856215-B5C7-4CFE-8690-99DEB579C5D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A6"/>
    <w:rsid w:val="000A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DB81068A406491686F63BCD09B6ED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1BB553282E6423EAB7AE6E995BAC4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3453E0BF77840E585693230815E954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30834-02D0-484D-95FE-FE34DB18AEF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4568</Words>
  <Characters>5712</Characters>
  <Lines>952</Lines>
  <Paragraphs>856</Paragraphs>
  <TotalTime>2</TotalTime>
  <ScaleCrop>false</ScaleCrop>
  <LinksUpToDate>false</LinksUpToDate>
  <CharactersWithSpaces>9424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2021-09-22T11:12:00Z</dcterms:created>
  <dc:creator>岳阳市局文秘</dc:creator>
  <dc:description>&lt;config cover="true" show_menu="true" version="1.0.0" doctype="SDKXY"&gt;_x000d_
&lt;/config&gt;</dc:description>
  <cp:lastModifiedBy>Administrator</cp:lastModifiedBy>
  <cp:lastPrinted>2020-08-30T10:00:00Z</cp:lastPrinted>
  <dcterms:modified xsi:type="dcterms:W3CDTF">2021-09-23T12:54:57Z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