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pPr>
              <w:pStyle w:val="19"/>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default" w:ascii="黑体" w:hAnsi="黑体" w:eastAsia="黑体"/>
                <w:sz w:val="21"/>
                <w:szCs w:val="21"/>
              </w:rPr>
            </w:pPr>
            <w:r>
              <w:rPr>
                <w:rFonts w:hint="default" w:ascii="黑体" w:hAnsi="黑体" w:eastAsia="黑体"/>
                <w:sz w:val="21"/>
                <w:szCs w:val="21"/>
              </w:rPr>
              <w:fldChar w:fldCharType="begin">
                <w:ffData>
                  <w:name w:val="ICS"/>
                  <w:enabled/>
                  <w:calcOnExit w:val="0"/>
                  <w:textInput>
                    <w:default w:val="点击此处添加ICS号"/>
                  </w:textInput>
                </w:ffData>
              </w:fldChar>
            </w:r>
            <w:bookmarkStart w:id="0" w:name="ICS"/>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eastAsia" w:ascii="黑体" w:hAnsi="黑体" w:eastAsia="黑体"/>
                <w:sz w:val="21"/>
                <w:szCs w:val="21"/>
              </w:rPr>
              <w:t>27.010</w:t>
            </w:r>
            <w:r>
              <w:rPr>
                <w:rFonts w:hint="default"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p>
            <w:pPr>
              <w:pStyle w:val="19"/>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eastAsia" w:ascii="黑体" w:hAnsi="黑体" w:eastAsia="黑体"/>
                <w:sz w:val="21"/>
                <w:szCs w:val="21"/>
              </w:rPr>
              <w:t>F10</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0"/>
              <w:keepNext w:val="0"/>
              <w:keepLines w:val="0"/>
              <w:framePr w:w="0" w:hRule="auto" w:wrap="auto" w:vAnchor="margin" w:hAnchor="text" w:xAlign="left" w:yAlign="inline"/>
              <w:widowControl/>
              <w:suppressLineNumbers w:val="0"/>
              <w:spacing w:before="0" w:beforeAutospacing="0" w:after="0" w:afterAutospacing="0"/>
              <w:ind w:left="0" w:right="0"/>
              <w:rPr>
                <w:rFonts w:hint="default" w:ascii="宋体" w:hAnsi="宋体"/>
                <w:kern w:val="2"/>
                <w:sz w:val="28"/>
                <w:szCs w:val="28"/>
              </w:rPr>
            </w:pPr>
            <w:bookmarkStart w:id="1" w:name="_Hlk26473981"/>
            <w:r>
              <w:rPr>
                <w:rFonts w:hint="default"/>
                <w:kern w:val="2"/>
                <w:szCs w:val="22"/>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default"/>
                <w:kern w:val="2"/>
                <w:sz w:val="21"/>
                <w:szCs w:val="21"/>
              </w:rPr>
              <w:t xml:space="preserve"> </w:t>
            </w:r>
            <w:r>
              <w:rPr>
                <w:rFonts w:hint="default"/>
                <w:kern w:val="2"/>
                <w:szCs w:val="22"/>
              </w:rPr>
              <w:fldChar w:fldCharType="begin">
                <w:ffData>
                  <w:name w:val="c1"/>
                  <w:enabled/>
                  <w:calcOnExit w:val="0"/>
                  <w:textInput>
                    <w:maxLength w:val="8"/>
                  </w:textInput>
                </w:ffData>
              </w:fldChar>
            </w:r>
            <w:bookmarkStart w:id="2" w:name="c1"/>
            <w:r>
              <w:rPr>
                <w:rFonts w:hint="default"/>
                <w:kern w:val="2"/>
                <w:szCs w:val="22"/>
              </w:rPr>
              <w:instrText xml:space="preserve"> FORMTEXT </w:instrText>
            </w:r>
            <w:r>
              <w:rPr>
                <w:rFonts w:hint="default"/>
                <w:kern w:val="2"/>
                <w:szCs w:val="22"/>
              </w:rPr>
              <w:fldChar w:fldCharType="separate"/>
            </w:r>
            <w:r>
              <w:rPr>
                <w:rFonts w:hint="eastAsia"/>
                <w:kern w:val="2"/>
                <w:szCs w:val="22"/>
              </w:rPr>
              <w:t>43</w:t>
            </w:r>
            <w:r>
              <w:rPr>
                <w:rFonts w:hint="default"/>
                <w:kern w:val="2"/>
                <w:szCs w:val="22"/>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6"/>
        <w:framePr w:wrap="around"/>
      </w:pPr>
      <w:r>
        <w:t>DB</w:t>
      </w:r>
      <w:r>
        <w:rPr>
          <w:sz w:val="15"/>
          <w:szCs w:val="15"/>
        </w:rPr>
        <w:t xml:space="preserve"> </w:t>
      </w:r>
      <w:r>
        <w:fldChar w:fldCharType="begin">
          <w:ffData>
            <w:name w:val="文字1"/>
            <w:enabled/>
            <w:calcOnExit w:val="0"/>
            <w:textInput>
              <w:default w:val="XX"/>
            </w:textInput>
          </w:ffData>
        </w:fldChar>
      </w:r>
      <w:bookmarkStart w:id="4" w:name="文字1"/>
      <w:r>
        <w:instrText xml:space="preserve"> FORMTEXT </w:instrText>
      </w:r>
      <w:r>
        <w:fldChar w:fldCharType="separate"/>
      </w:r>
      <w:r>
        <w:rPr>
          <w:rFonts w:hint="eastAsia"/>
        </w:rPr>
        <w:t>43</w:t>
      </w:r>
      <w:r>
        <w:fldChar w:fldCharType="end"/>
      </w:r>
      <w:bookmarkEnd w:id="4"/>
      <w:r>
        <w:t xml:space="preserve"> </w:t>
      </w:r>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rPr>
          <w:rFonts w:hint="eastAsia"/>
        </w:rPr>
        <w:t xml:space="preserve">/T </w:t>
      </w:r>
      <w:r>
        <w:fldChar w:fldCharType="end"/>
      </w:r>
      <w:bookmarkEnd w:id="5"/>
      <w:r>
        <w:rPr>
          <w:rFonts w:hint="eastAsia"/>
        </w:rPr>
        <w:t>XXX</w:t>
      </w:r>
      <w:r>
        <w:rPr>
          <w:rFonts w:hAnsi="黑体"/>
        </w:rPr>
        <w:t>—</w:t>
      </w:r>
      <w:r>
        <w:rPr>
          <w:rFonts w:hint="eastAsia" w:hAnsi="黑体"/>
        </w:rPr>
        <w:t>2021</w:t>
      </w:r>
    </w:p>
    <w:p>
      <w:pPr>
        <w:pStyle w:val="197"/>
        <w:framePr w:wrap="around"/>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教育机构</w:t>
      </w:r>
      <w:r>
        <w:t>能耗定额</w:t>
      </w:r>
      <w:r>
        <w:fldChar w:fldCharType="end"/>
      </w:r>
      <w:bookmarkEnd w:id="6"/>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 xml:space="preserve">Energy consumption </w:t>
      </w:r>
      <w:r>
        <w:rPr>
          <w:rFonts w:hint="eastAsia" w:eastAsia="黑体"/>
          <w:szCs w:val="28"/>
          <w:lang w:val="en-US" w:eastAsia="zh-CN"/>
        </w:rPr>
        <w:t>norms</w:t>
      </w:r>
      <w:r>
        <w:rPr>
          <w:rFonts w:eastAsia="黑体"/>
          <w:szCs w:val="28"/>
        </w:rPr>
        <w:t xml:space="preserve"> </w:t>
      </w:r>
      <w:r>
        <w:rPr>
          <w:rFonts w:hint="eastAsia" w:eastAsia="黑体"/>
          <w:szCs w:val="28"/>
          <w:lang w:val="en-US" w:eastAsia="zh-CN"/>
        </w:rPr>
        <w:t>for educational institutions</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rFonts w:hint="eastAsia"/>
          <w:sz w:val="24"/>
          <w:szCs w:val="28"/>
        </w:rPr>
        <w:t>（</w:t>
      </w:r>
      <w:r>
        <w:rPr>
          <w:rFonts w:hint="eastAsia"/>
          <w:sz w:val="24"/>
          <w:szCs w:val="28"/>
          <w:lang w:eastAsia="zh-CN"/>
        </w:rPr>
        <w:t>征求意见</w:t>
      </w:r>
      <w:r>
        <w:rPr>
          <w:rFonts w:hint="eastAsia"/>
          <w:sz w:val="24"/>
          <w:szCs w:val="28"/>
        </w:rPr>
        <w:t>稿）</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021-8-24</w:t>
      </w:r>
      <w:r>
        <w:rPr>
          <w:rFonts w:hint="eastAsia"/>
          <w:sz w:val="21"/>
          <w:szCs w:val="28"/>
        </w:rPr>
        <w:t>）</w:t>
      </w:r>
      <w:r>
        <w:rPr>
          <w:sz w:val="21"/>
          <w:szCs w:val="28"/>
        </w:rPr>
        <w:fldChar w:fldCharType="end"/>
      </w:r>
      <w:bookmarkEnd w:id="8"/>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r>
        <w:rPr>
          <w:rFonts w:hint="eastAsia"/>
          <w:b/>
          <w:sz w:val="21"/>
          <w:szCs w:val="28"/>
          <w:lang w:eastAsia="zh-CN"/>
        </w:rPr>
        <w:t>在提交反馈意见时，请将您知道的相关专利连同支持性文件一并附上。</w:t>
      </w:r>
    </w:p>
    <w:p>
      <w:pPr>
        <w:pStyle w:val="194"/>
        <w:framePr w:wrap="around" w:y="14176"/>
      </w:pPr>
      <w:r>
        <w:rPr>
          <w:rFonts w:hint="eastAsia" w:ascii="黑体"/>
        </w:rPr>
        <w:t>2021</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5"/>
        <w:framePr w:wrap="around" w:y="14176"/>
      </w:pPr>
      <w:r>
        <w:rPr>
          <w:rFonts w:hint="eastAsia" w:ascii="黑体"/>
        </w:rPr>
        <w:t>2021</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4"/>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pgNumType w:fmt="decimal"/>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rPr>
          <w:rFonts w:hint="eastAsia"/>
          <w:spacing w:val="320"/>
        </w:rPr>
      </w:pPr>
      <w:bookmarkStart w:id="15" w:name="BookMark1"/>
      <w:bookmarkStart w:id="16" w:name="_Toc65159239"/>
      <w:bookmarkStart w:id="17" w:name="_Toc55999811"/>
      <w:bookmarkStart w:id="18" w:name="_Toc65243795"/>
      <w:bookmarkStart w:id="19" w:name="_Toc65230008"/>
      <w:bookmarkStart w:id="20" w:name="_Toc65157122"/>
      <w:bookmarkStart w:id="21" w:name="_Toc63084572"/>
      <w:bookmarkStart w:id="22" w:name="_Toc65228747"/>
      <w:r>
        <w:rPr>
          <w:rFonts w:hint="eastAsia"/>
          <w:spacing w:val="320"/>
        </w:rPr>
        <w:br w:type="page"/>
      </w:r>
    </w:p>
    <w:p>
      <w:pPr>
        <w:pStyle w:val="92"/>
        <w:spacing w:after="468"/>
      </w:pPr>
      <w:r>
        <w:rPr>
          <w:rFonts w:hint="eastAsia"/>
          <w:spacing w:val="320"/>
        </w:rPr>
        <w:t>目</w:t>
      </w:r>
      <w:r>
        <w:rPr>
          <w:rFonts w:hint="eastAsia"/>
        </w:rPr>
        <w:t>次</w:t>
      </w:r>
    </w:p>
    <w:p>
      <w:pPr>
        <w:pStyle w:val="20"/>
        <w:tabs>
          <w:tab w:val="right" w:leader="dot" w:pos="9354"/>
        </w:tabs>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_Toc2898 </w:instrText>
      </w:r>
      <w:r>
        <w:fldChar w:fldCharType="separate"/>
      </w:r>
      <w:r>
        <w:rPr>
          <w:spacing w:val="320"/>
        </w:rPr>
        <w:t>前</w:t>
      </w:r>
      <w:r>
        <w:t>言</w:t>
      </w:r>
      <w:r>
        <w:tab/>
      </w:r>
      <w:r>
        <w:fldChar w:fldCharType="begin"/>
      </w:r>
      <w:r>
        <w:instrText xml:space="preserve"> PAGEREF _Toc2898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_Toc21426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_Toc21426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_Toc18566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_Toc18566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_Toc5150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_Toc5150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_Toc29080 </w:instrText>
      </w:r>
      <w:r>
        <w:fldChar w:fldCharType="separate"/>
      </w:r>
      <w:r>
        <w:rPr>
          <w:rFonts w:hint="eastAsia" w:ascii="黑体" w:eastAsia="黑体"/>
          <w:i w:val="0"/>
        </w:rPr>
        <w:t xml:space="preserve">4 </w:t>
      </w:r>
      <w:r>
        <w:rPr>
          <w:rFonts w:hint="eastAsia"/>
        </w:rPr>
        <w:t>能耗定额指标</w:t>
      </w:r>
      <w:r>
        <w:tab/>
      </w:r>
      <w:r>
        <w:fldChar w:fldCharType="begin"/>
      </w:r>
      <w:r>
        <w:instrText xml:space="preserve"> PAGEREF _Toc29080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_Toc10718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4.1 </w:t>
      </w:r>
      <w:r>
        <w:rPr>
          <w:rFonts w:hint="eastAsia"/>
        </w:rPr>
        <w:t>一般规定</w:t>
      </w:r>
      <w:r>
        <w:tab/>
      </w:r>
      <w:r>
        <w:fldChar w:fldCharType="begin"/>
      </w:r>
      <w:r>
        <w:instrText xml:space="preserve"> PAGEREF _Toc10718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eastAsia"/>
        </w:rPr>
        <w:t>能耗定额指标值</w:t>
      </w:r>
      <w:r>
        <w:tab/>
      </w:r>
      <w:r>
        <w:fldChar w:fldCharType="begin"/>
      </w:r>
      <w:r>
        <w:instrText xml:space="preserve"> PAGEREF _Toc239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_Toc14464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4.3 </w:t>
      </w:r>
      <w:r>
        <w:rPr>
          <w:rFonts w:hint="eastAsia"/>
        </w:rPr>
        <w:t>能耗定额修正系数</w:t>
      </w:r>
      <w:r>
        <w:tab/>
      </w:r>
      <w:r>
        <w:fldChar w:fldCharType="begin"/>
      </w:r>
      <w:r>
        <w:instrText xml:space="preserve"> PAGEREF _Toc14464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_Toc26164 </w:instrText>
      </w:r>
      <w:r>
        <w:fldChar w:fldCharType="separate"/>
      </w:r>
      <w:r>
        <w:rPr>
          <w:rFonts w:hint="eastAsia" w:ascii="黑体" w:eastAsia="黑体"/>
          <w:i w:val="0"/>
        </w:rPr>
        <w:t xml:space="preserve">5 </w:t>
      </w:r>
      <w:r>
        <w:rPr>
          <w:rFonts w:hint="eastAsia"/>
        </w:rPr>
        <w:t>统计范围</w:t>
      </w:r>
      <w:r>
        <w:tab/>
      </w:r>
      <w:r>
        <w:fldChar w:fldCharType="begin"/>
      </w:r>
      <w:r>
        <w:instrText xml:space="preserve"> PAGEREF _Toc26164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_Toc32722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5.1 </w:t>
      </w:r>
      <w:r>
        <w:rPr>
          <w:rFonts w:hint="eastAsia"/>
        </w:rPr>
        <w:t>统计周期</w:t>
      </w:r>
      <w:r>
        <w:tab/>
      </w:r>
      <w:r>
        <w:fldChar w:fldCharType="begin"/>
      </w:r>
      <w:r>
        <w:instrText xml:space="preserve"> PAGEREF _Toc32722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_Toc11000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5.2 </w:t>
      </w:r>
      <w:r>
        <w:rPr>
          <w:rFonts w:hint="eastAsia"/>
        </w:rPr>
        <w:t>综合能耗统计范围</w:t>
      </w:r>
      <w:r>
        <w:tab/>
      </w:r>
      <w:r>
        <w:fldChar w:fldCharType="begin"/>
      </w:r>
      <w:r>
        <w:instrText xml:space="preserve"> PAGEREF _Toc11000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_Toc24819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5.3 </w:t>
      </w:r>
      <w:r>
        <w:rPr>
          <w:rFonts w:hint="eastAsia"/>
        </w:rPr>
        <w:t>用能人数的统计范围</w:t>
      </w:r>
      <w:r>
        <w:tab/>
      </w:r>
      <w:r>
        <w:fldChar w:fldCharType="begin"/>
      </w:r>
      <w:r>
        <w:instrText xml:space="preserve"> PAGEREF _Toc24819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_Toc31339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5.4 </w:t>
      </w:r>
      <w:r>
        <w:rPr>
          <w:rFonts w:hint="eastAsia"/>
        </w:rPr>
        <w:t>电耗范围统计</w:t>
      </w:r>
      <w:r>
        <w:tab/>
      </w:r>
      <w:r>
        <w:fldChar w:fldCharType="begin"/>
      </w:r>
      <w:r>
        <w:instrText xml:space="preserve"> PAGEREF _Toc31339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_Toc5814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5.5 </w:t>
      </w:r>
      <w:r>
        <w:rPr>
          <w:rFonts w:hint="eastAsia"/>
        </w:rPr>
        <w:t>建筑面积的统计范围</w:t>
      </w:r>
      <w:r>
        <w:tab/>
      </w:r>
      <w:r>
        <w:fldChar w:fldCharType="begin"/>
      </w:r>
      <w:r>
        <w:instrText xml:space="preserve"> PAGEREF _Toc5814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_Toc30446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5.6 </w:t>
      </w:r>
      <w:r>
        <w:rPr>
          <w:rFonts w:hint="eastAsia"/>
        </w:rPr>
        <w:t>不纳入能耗统计的范围</w:t>
      </w:r>
      <w:r>
        <w:tab/>
      </w:r>
      <w:r>
        <w:fldChar w:fldCharType="begin"/>
      </w:r>
      <w:r>
        <w:instrText xml:space="preserve"> PAGEREF _Toc30446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_Toc10601 </w:instrText>
      </w:r>
      <w:r>
        <w:fldChar w:fldCharType="separate"/>
      </w:r>
      <w:r>
        <w:rPr>
          <w:rFonts w:hint="eastAsia" w:ascii="黑体" w:eastAsia="黑体"/>
          <w:i w:val="0"/>
        </w:rPr>
        <w:t xml:space="preserve">6 </w:t>
      </w:r>
      <w:r>
        <w:rPr>
          <w:rFonts w:hint="eastAsia"/>
        </w:rPr>
        <w:t>计算方法</w:t>
      </w:r>
      <w:r>
        <w:tab/>
      </w:r>
      <w:r>
        <w:fldChar w:fldCharType="begin"/>
      </w:r>
      <w:r>
        <w:instrText xml:space="preserve"> PAGEREF _Toc10601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_Toc320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6.1 </w:t>
      </w:r>
      <w:r>
        <w:rPr>
          <w:rFonts w:hint="eastAsia"/>
        </w:rPr>
        <w:t>综合能耗</w:t>
      </w:r>
      <w:r>
        <w:tab/>
      </w:r>
      <w:r>
        <w:fldChar w:fldCharType="begin"/>
      </w:r>
      <w:r>
        <w:instrText xml:space="preserve"> PAGEREF _Toc320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_Toc12754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rPr>
        <w:t>单位</w:t>
      </w:r>
      <w:r>
        <w:t>建筑</w:t>
      </w:r>
      <w:r>
        <w:rPr>
          <w:rFonts w:hint="eastAsia"/>
        </w:rPr>
        <w:t>面积综合能耗</w:t>
      </w:r>
      <w:r>
        <w:tab/>
      </w:r>
      <w:r>
        <w:fldChar w:fldCharType="begin"/>
      </w:r>
      <w:r>
        <w:instrText xml:space="preserve"> PAGEREF _Toc12754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_Toc9738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6.3 </w:t>
      </w:r>
      <w:r>
        <w:rPr>
          <w:rFonts w:hint="eastAsia"/>
        </w:rPr>
        <w:t>单位</w:t>
      </w:r>
      <w:r>
        <w:t>建筑</w:t>
      </w:r>
      <w:r>
        <w:rPr>
          <w:rFonts w:hint="eastAsia"/>
        </w:rPr>
        <w:t>面积电耗</w:t>
      </w:r>
      <w:r>
        <w:tab/>
      </w:r>
      <w:r>
        <w:fldChar w:fldCharType="begin"/>
      </w:r>
      <w:r>
        <w:instrText xml:space="preserve"> PAGEREF _Toc9738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_Toc27909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6.4 </w:t>
      </w:r>
      <w:r>
        <w:rPr>
          <w:rFonts w:hint="eastAsia"/>
        </w:rPr>
        <w:t>人均综合能耗</w:t>
      </w:r>
      <w:r>
        <w:tab/>
      </w:r>
      <w:r>
        <w:fldChar w:fldCharType="begin"/>
      </w:r>
      <w:r>
        <w:instrText xml:space="preserve"> PAGEREF _Toc27909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_Toc19672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6.5 </w:t>
      </w:r>
      <w:r>
        <w:rPr>
          <w:rFonts w:hint="eastAsia"/>
        </w:rPr>
        <w:t>人均电耗</w:t>
      </w:r>
      <w:r>
        <w:tab/>
      </w:r>
      <w:r>
        <w:fldChar w:fldCharType="begin"/>
      </w:r>
      <w:r>
        <w:instrText xml:space="preserve"> PAGEREF _Toc19672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_Toc28678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6.6 </w:t>
      </w:r>
      <w:r>
        <w:rPr>
          <w:rFonts w:hint="eastAsia"/>
          <w:lang w:eastAsia="zh-CN"/>
        </w:rPr>
        <w:t>用能人数</w:t>
      </w:r>
      <w:r>
        <w:tab/>
      </w:r>
      <w:r>
        <w:fldChar w:fldCharType="begin"/>
      </w:r>
      <w:r>
        <w:instrText xml:space="preserve"> PAGEREF _Toc28678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_Toc23483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6.7 </w:t>
      </w:r>
      <w:r>
        <w:rPr>
          <w:rFonts w:hint="eastAsia"/>
          <w:lang w:eastAsia="zh-CN"/>
        </w:rPr>
        <w:t>建筑面积</w:t>
      </w:r>
      <w:r>
        <w:tab/>
      </w:r>
      <w:r>
        <w:fldChar w:fldCharType="begin"/>
      </w:r>
      <w:r>
        <w:instrText xml:space="preserve"> PAGEREF _Toc23483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_Toc334 </w:instrText>
      </w:r>
      <w:r>
        <w:fldChar w:fldCharType="separate"/>
      </w:r>
      <w:r>
        <w:rPr>
          <w:rFonts w:hint="eastAsia" w:ascii="黑体" w:eastAsia="黑体"/>
          <w:i w:val="0"/>
        </w:rPr>
        <w:t xml:space="preserve">7 </w:t>
      </w:r>
      <w:r>
        <w:rPr>
          <w:rFonts w:hint="eastAsia"/>
        </w:rPr>
        <w:t>节能管理与措施</w:t>
      </w:r>
      <w:r>
        <w:tab/>
      </w:r>
      <w:r>
        <w:fldChar w:fldCharType="begin"/>
      </w:r>
      <w:r>
        <w:instrText xml:space="preserve"> PAGEREF _Toc334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_Toc23854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7.1 </w:t>
      </w:r>
      <w:r>
        <w:rPr>
          <w:rFonts w:hint="eastAsia"/>
        </w:rPr>
        <w:t>节能管理</w:t>
      </w:r>
      <w:r>
        <w:tab/>
      </w:r>
      <w:r>
        <w:fldChar w:fldCharType="begin"/>
      </w:r>
      <w:r>
        <w:instrText xml:space="preserve"> PAGEREF _Toc23854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_Toc4017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7.2 </w:t>
      </w:r>
      <w:r>
        <w:rPr>
          <w:rFonts w:hint="eastAsia"/>
        </w:rPr>
        <w:t>技术措施</w:t>
      </w:r>
      <w:r>
        <w:tab/>
      </w:r>
      <w:r>
        <w:fldChar w:fldCharType="begin"/>
      </w:r>
      <w:r>
        <w:instrText xml:space="preserve"> PAGEREF _Toc4017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_Toc25077 </w:instrText>
      </w:r>
      <w:r>
        <w:fldChar w:fldCharType="separate"/>
      </w:r>
      <w:r>
        <w:rPr>
          <w:rFonts w:hint="eastAsia" w:ascii="宋体" w:hAnsi="Calibri" w:eastAsia="宋体" w:cs="Times New Roman"/>
          <w:kern w:val="2"/>
          <w:sz w:val="21"/>
          <w:szCs w:val="21"/>
          <w:lang w:val="en-US" w:eastAsia="zh-CN" w:bidi="ar-SA"/>
        </w:rPr>
        <w:t xml:space="preserve">附录A （资料性） </w:t>
      </w:r>
      <w:r>
        <w:rPr>
          <w:rFonts w:hint="eastAsia"/>
        </w:rPr>
        <w:t>折标准煤参考系数</w:t>
      </w:r>
      <w:r>
        <w:tab/>
      </w:r>
      <w:r>
        <w:fldChar w:fldCharType="begin"/>
      </w:r>
      <w:r>
        <w:instrText xml:space="preserve"> PAGEREF _Toc25077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_Toc14643 </w:instrText>
      </w:r>
      <w:r>
        <w:fldChar w:fldCharType="separate"/>
      </w:r>
      <w:r>
        <w:rPr>
          <w:rFonts w:hint="eastAsia" w:ascii="黑体" w:eastAsia="黑体"/>
          <w:i w:val="0"/>
        </w:rPr>
        <w:t xml:space="preserve">A.1 </w:t>
      </w:r>
      <w:r>
        <w:rPr>
          <w:rFonts w:hint="eastAsia"/>
        </w:rPr>
        <w:t>常用能源折标准煤参考系数</w:t>
      </w:r>
      <w:r>
        <w:tab/>
      </w:r>
      <w:r>
        <w:fldChar w:fldCharType="begin"/>
      </w:r>
      <w:r>
        <w:instrText xml:space="preserve"> PAGEREF _Toc14643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_Toc26376 </w:instrText>
      </w:r>
      <w:r>
        <w:fldChar w:fldCharType="separate"/>
      </w:r>
      <w:r>
        <w:rPr>
          <w:rFonts w:hint="eastAsia" w:ascii="黑体" w:eastAsia="黑体"/>
          <w:i w:val="0"/>
        </w:rPr>
        <w:t xml:space="preserve">A.2 </w:t>
      </w:r>
      <w:r>
        <w:rPr>
          <w:rFonts w:hint="eastAsia"/>
        </w:rPr>
        <w:t>常用耗能工质折标准煤参考系数</w:t>
      </w:r>
      <w:r>
        <w:tab/>
      </w:r>
      <w:r>
        <w:fldChar w:fldCharType="begin"/>
      </w:r>
      <w:r>
        <w:instrText xml:space="preserve"> PAGEREF _Toc26376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_Toc10705 </w:instrText>
      </w:r>
      <w:r>
        <w:fldChar w:fldCharType="separate"/>
      </w:r>
      <w:r>
        <w:rPr>
          <w:rFonts w:hint="eastAsia" w:ascii="宋体" w:hAnsi="Calibri" w:eastAsia="宋体" w:cs="Times New Roman"/>
          <w:kern w:val="2"/>
          <w:sz w:val="21"/>
          <w:szCs w:val="21"/>
          <w:lang w:val="en-US" w:eastAsia="zh-CN" w:bidi="ar-SA"/>
        </w:rPr>
        <w:t xml:space="preserve">附录B （资料性） </w:t>
      </w:r>
      <w:r>
        <w:rPr>
          <w:rFonts w:hint="eastAsia"/>
        </w:rPr>
        <w:t>教育机构</w:t>
      </w:r>
      <w:r>
        <w:rPr>
          <w:rFonts w:hint="eastAsia"/>
          <w:lang w:eastAsia="zh-CN"/>
        </w:rPr>
        <w:t>用能人数和建筑面积</w:t>
      </w:r>
      <w:r>
        <w:rPr>
          <w:rFonts w:hint="eastAsia"/>
        </w:rPr>
        <w:t>计算示例</w:t>
      </w:r>
      <w:r>
        <w:tab/>
      </w:r>
      <w:r>
        <w:fldChar w:fldCharType="begin"/>
      </w:r>
      <w:r>
        <w:instrText xml:space="preserve"> PAGEREF _Toc10705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_Toc1996 </w:instrText>
      </w:r>
      <w:r>
        <w:fldChar w:fldCharType="separate"/>
      </w:r>
      <w:r>
        <w:rPr>
          <w:rFonts w:hint="eastAsia" w:ascii="黑体" w:eastAsia="黑体"/>
          <w:i w:val="0"/>
        </w:rPr>
        <w:t xml:space="preserve">B.1 </w:t>
      </w:r>
      <w:r>
        <w:rPr>
          <w:rFonts w:hint="eastAsia"/>
        </w:rPr>
        <w:t>教育机构</w:t>
      </w:r>
      <w:r>
        <w:rPr>
          <w:rFonts w:hint="eastAsia"/>
          <w:lang w:eastAsia="zh-CN"/>
        </w:rPr>
        <w:t>用能人数和建筑面积</w:t>
      </w:r>
      <w:r>
        <w:rPr>
          <w:rFonts w:hint="eastAsia"/>
        </w:rPr>
        <w:t>计算示例</w:t>
      </w:r>
      <w:r>
        <w:tab/>
      </w:r>
      <w:r>
        <w:fldChar w:fldCharType="begin"/>
      </w:r>
      <w:r>
        <w:instrText xml:space="preserve"> PAGEREF _Toc1996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_Toc6475 </w:instrText>
      </w:r>
      <w:r>
        <w:fldChar w:fldCharType="separate"/>
      </w:r>
      <w:r>
        <w:rPr>
          <w:rFonts w:hint="eastAsia" w:ascii="宋体" w:hAnsi="Calibri" w:eastAsia="宋体" w:cs="Times New Roman"/>
          <w:kern w:val="2"/>
          <w:sz w:val="21"/>
          <w:szCs w:val="21"/>
          <w:lang w:val="en-US" w:eastAsia="zh-CN" w:bidi="ar-SA"/>
        </w:rPr>
        <w:t>参考文献</w:t>
      </w:r>
      <w:r>
        <w:tab/>
      </w:r>
      <w:r>
        <w:fldChar w:fldCharType="begin"/>
      </w:r>
      <w:r>
        <w:instrText xml:space="preserve"> PAGEREF _Toc6475 \h </w:instrText>
      </w:r>
      <w:r>
        <w:fldChar w:fldCharType="separate"/>
      </w:r>
      <w:r>
        <w:t>9</w:t>
      </w:r>
      <w:r>
        <w:fldChar w:fldCharType="end"/>
      </w:r>
      <w:r>
        <w:fldChar w:fldCharType="end"/>
      </w:r>
    </w:p>
    <w:p>
      <w:pPr>
        <w:pStyle w:val="92"/>
        <w:spacing w:after="468"/>
      </w:pPr>
      <w:r>
        <w:fldChar w:fldCharType="end"/>
      </w:r>
    </w:p>
    <w:p>
      <w:r>
        <w:br w:type="page"/>
      </w:r>
    </w:p>
    <w:p>
      <w:r>
        <w:br w:type="page"/>
      </w:r>
    </w:p>
    <w:p>
      <w:pPr>
        <w:pStyle w:val="92"/>
        <w:spacing w:after="468"/>
        <w:sectPr>
          <w:headerReference r:id="rId11" w:type="default"/>
          <w:footerReference r:id="rId12" w:type="default"/>
          <w:pgSz w:w="11906" w:h="16838"/>
          <w:pgMar w:top="567" w:right="1134" w:bottom="1134" w:left="1418" w:header="1418" w:footer="1134" w:gutter="0"/>
          <w:pgNumType w:fmt="decimal" w:start="1"/>
          <w:cols w:space="425" w:num="1"/>
          <w:formProt w:val="0"/>
          <w:docGrid w:type="lines" w:linePitch="312" w:charSpace="0"/>
        </w:sectPr>
      </w:pPr>
    </w:p>
    <w:bookmarkEnd w:id="15"/>
    <w:p>
      <w:pPr>
        <w:pStyle w:val="90"/>
        <w:spacing w:after="468"/>
      </w:pPr>
      <w:bookmarkStart w:id="23" w:name="_Toc2898"/>
      <w:bookmarkStart w:id="24" w:name="BookMark2"/>
      <w:r>
        <w:rPr>
          <w:spacing w:val="320"/>
        </w:rPr>
        <w:t>前</w:t>
      </w:r>
      <w:r>
        <w:t>言</w:t>
      </w:r>
      <w:bookmarkEnd w:id="16"/>
      <w:bookmarkEnd w:id="17"/>
      <w:bookmarkEnd w:id="18"/>
      <w:bookmarkEnd w:id="19"/>
      <w:bookmarkEnd w:id="20"/>
      <w:bookmarkEnd w:id="21"/>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本文件由湖南省机关事务管理局提出并归口。</w:t>
      </w:r>
    </w:p>
    <w:p>
      <w:pPr>
        <w:pStyle w:val="57"/>
        <w:ind w:firstLine="420"/>
        <w:rPr>
          <w:rFonts w:hAnsi="宋体"/>
        </w:rPr>
      </w:pPr>
      <w:r>
        <w:rPr>
          <w:rFonts w:hint="eastAsia" w:hAnsi="宋体"/>
        </w:rPr>
        <w:t>本文件起草单位：</w:t>
      </w:r>
    </w:p>
    <w:p>
      <w:pPr>
        <w:pStyle w:val="57"/>
        <w:ind w:firstLine="420"/>
        <w:rPr>
          <w:szCs w:val="22"/>
        </w:rPr>
      </w:pPr>
      <w:r>
        <w:rPr>
          <w:rFonts w:hint="eastAsia"/>
        </w:rPr>
        <w:t>本文件主要起草人：</w:t>
      </w:r>
    </w:p>
    <w:p>
      <w:pPr>
        <w:pStyle w:val="133"/>
        <w:numPr>
          <w:ilvl w:val="0"/>
          <w:numId w:val="0"/>
        </w:numPr>
        <w:ind w:left="851" w:hanging="426"/>
        <w:rPr>
          <w:szCs w:val="22"/>
        </w:rPr>
      </w:pPr>
    </w:p>
    <w:p>
      <w:pPr>
        <w:pStyle w:val="133"/>
        <w:numPr>
          <w:ilvl w:val="0"/>
          <w:numId w:val="0"/>
        </w:numPr>
        <w:ind w:left="851" w:hanging="426"/>
        <w:rPr>
          <w:szCs w:val="22"/>
        </w:rPr>
        <w:sectPr>
          <w:pgSz w:w="11906" w:h="16838"/>
          <w:pgMar w:top="567" w:right="1134" w:bottom="1134" w:left="1418" w:header="1418" w:footer="1134" w:gutter="0"/>
          <w:pgNumType w:fmt="decimal"/>
          <w:cols w:space="425" w:num="1"/>
          <w:formProt w:val="0"/>
          <w:docGrid w:type="lines" w:linePitch="312" w:charSpace="0"/>
        </w:sectPr>
      </w:pPr>
    </w:p>
    <w:p>
      <w:pPr>
        <w:pStyle w:val="133"/>
        <w:numPr>
          <w:ilvl w:val="0"/>
          <w:numId w:val="0"/>
        </w:numPr>
        <w:ind w:left="851" w:hanging="426"/>
        <w:rPr>
          <w:szCs w:val="22"/>
        </w:rPr>
        <w:sectPr>
          <w:footerReference r:id="rId13" w:type="default"/>
          <w:pgSz w:w="11906" w:h="16838"/>
          <w:pgMar w:top="567" w:right="1134" w:bottom="1134" w:left="1418" w:header="1418" w:footer="1134" w:gutter="0"/>
          <w:pgNumType w:fmt="decimal"/>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E609573782A3485F86864D9FED522622"/>
        </w:placeholder>
      </w:sdtPr>
      <w:sdtContent>
        <w:p>
          <w:pPr>
            <w:pStyle w:val="178"/>
            <w:spacing w:beforeLines="100" w:afterLines="220"/>
          </w:pPr>
          <w:bookmarkStart w:id="26" w:name="NEW_STAND_NAME"/>
          <w:r>
            <w:rPr>
              <w:rFonts w:hint="eastAsia"/>
            </w:rPr>
            <w:t>教育机构能耗定额</w:t>
          </w:r>
        </w:p>
      </w:sdtContent>
    </w:sdt>
    <w:bookmarkEnd w:id="26"/>
    <w:p>
      <w:pPr>
        <w:pStyle w:val="105"/>
        <w:spacing w:before="312" w:after="312"/>
      </w:pPr>
      <w:bookmarkStart w:id="27" w:name="_Toc17233325"/>
      <w:bookmarkStart w:id="28" w:name="_Toc21426"/>
      <w:bookmarkStart w:id="29" w:name="_Toc65243796"/>
      <w:bookmarkStart w:id="30" w:name="_Toc24884211"/>
      <w:bookmarkStart w:id="31" w:name="_Toc65157123"/>
      <w:bookmarkStart w:id="32" w:name="_Toc63084573"/>
      <w:bookmarkStart w:id="33" w:name="_Toc26718930"/>
      <w:bookmarkStart w:id="34" w:name="_Toc26986530"/>
      <w:bookmarkStart w:id="35" w:name="_Toc65159240"/>
      <w:bookmarkStart w:id="36" w:name="_Toc65230009"/>
      <w:bookmarkStart w:id="37" w:name="_Toc26986771"/>
      <w:bookmarkStart w:id="38" w:name="_Toc17233333"/>
      <w:bookmarkStart w:id="39" w:name="_Toc55999812"/>
      <w:bookmarkStart w:id="40" w:name="_Toc26648465"/>
      <w:bookmarkStart w:id="41" w:name="_Toc65228748"/>
      <w:bookmarkStart w:id="42" w:name="_Toc24884218"/>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44236926"/>
      <w:bookmarkStart w:id="44" w:name="_Toc44236893"/>
      <w:bookmarkStart w:id="45" w:name="_Toc17233326"/>
      <w:bookmarkStart w:id="46" w:name="_Toc24884219"/>
      <w:bookmarkStart w:id="47" w:name="_Toc26648466"/>
      <w:bookmarkStart w:id="48" w:name="_Toc17233334"/>
      <w:bookmarkStart w:id="49" w:name="_Toc24884212"/>
      <w:r>
        <w:rPr>
          <w:rFonts w:hint="eastAsia"/>
        </w:rPr>
        <w:t>本</w:t>
      </w:r>
      <w:r>
        <w:t>文件</w:t>
      </w:r>
      <w:r>
        <w:rPr>
          <w:rFonts w:hint="eastAsia"/>
        </w:rPr>
        <w:t>规定了</w:t>
      </w:r>
      <w:r>
        <w:t>教育机构</w:t>
      </w:r>
      <w:r>
        <w:rPr>
          <w:rFonts w:hint="eastAsia" w:ascii="Calibri" w:hAnsi="Calibri"/>
          <w:kern w:val="2"/>
          <w:szCs w:val="21"/>
        </w:rPr>
        <w:t>能耗定额指标、统计范围、计算方法和节能管理与措施</w:t>
      </w:r>
      <w:r>
        <w:t>。</w:t>
      </w:r>
      <w:bookmarkEnd w:id="43"/>
      <w:bookmarkEnd w:id="44"/>
    </w:p>
    <w:p>
      <w:pPr>
        <w:pStyle w:val="57"/>
        <w:ind w:firstLine="420"/>
      </w:pPr>
      <w:r>
        <w:rPr>
          <w:rFonts w:hint="eastAsia"/>
        </w:rPr>
        <w:t>本</w:t>
      </w:r>
      <w:r>
        <w:t>文件</w:t>
      </w:r>
      <w:r>
        <w:rPr>
          <w:rFonts w:hint="eastAsia"/>
        </w:rPr>
        <w:t>适用于公共</w:t>
      </w:r>
      <w:r>
        <w:t>教育机构</w:t>
      </w:r>
      <w:r>
        <w:rPr>
          <w:rFonts w:hint="eastAsia"/>
          <w:lang w:eastAsia="zh-CN"/>
        </w:rPr>
        <w:t>能耗</w:t>
      </w:r>
      <w:r>
        <w:rPr>
          <w:rFonts w:hint="eastAsia"/>
        </w:rPr>
        <w:t>的计算与考核。</w:t>
      </w:r>
    </w:p>
    <w:p>
      <w:pPr>
        <w:pStyle w:val="105"/>
        <w:spacing w:before="312" w:after="312"/>
      </w:pPr>
      <w:bookmarkStart w:id="50" w:name="_Toc26986531"/>
      <w:bookmarkStart w:id="51" w:name="_Toc65157124"/>
      <w:bookmarkStart w:id="52" w:name="_Toc63084574"/>
      <w:bookmarkStart w:id="53" w:name="_Toc65228749"/>
      <w:bookmarkStart w:id="54" w:name="_Toc65243797"/>
      <w:bookmarkStart w:id="55" w:name="_Toc55999813"/>
      <w:bookmarkStart w:id="56" w:name="_Toc26986772"/>
      <w:bookmarkStart w:id="57" w:name="_Toc65159241"/>
      <w:bookmarkStart w:id="58" w:name="_Toc65230010"/>
      <w:bookmarkStart w:id="59" w:name="_Toc18566"/>
      <w:bookmarkStart w:id="60" w:name="_Toc26718931"/>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108D902ED30E41DA937B7C350F9F0E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GB/T 23331  能源管理体系 要求及使用指南</w:t>
      </w:r>
    </w:p>
    <w:p>
      <w:pPr>
        <w:pStyle w:val="57"/>
        <w:ind w:firstLine="420"/>
      </w:pPr>
      <w:r>
        <w:rPr>
          <w:rFonts w:hint="eastAsia"/>
        </w:rPr>
        <w:t>GB/T 29149  公共机构能源资源计量器具配备和管理要求</w:t>
      </w:r>
    </w:p>
    <w:p>
      <w:pPr>
        <w:pStyle w:val="57"/>
        <w:ind w:firstLine="420"/>
      </w:pPr>
      <w:r>
        <w:rPr>
          <w:rFonts w:hint="eastAsia"/>
        </w:rPr>
        <w:t>GB/T 32019  公共机构能源管理体系实施指南</w:t>
      </w:r>
    </w:p>
    <w:p>
      <w:pPr>
        <w:pStyle w:val="57"/>
        <w:ind w:firstLine="420"/>
      </w:pPr>
      <w:r>
        <w:rPr>
          <w:rFonts w:hint="eastAsia"/>
        </w:rPr>
        <w:t>GB/T 51161  民用建筑能耗标准</w:t>
      </w:r>
    </w:p>
    <w:p>
      <w:pPr>
        <w:pStyle w:val="105"/>
        <w:spacing w:before="312" w:after="312"/>
      </w:pPr>
      <w:bookmarkStart w:id="61" w:name="_Toc65243798"/>
      <w:bookmarkStart w:id="62" w:name="_Toc55999814"/>
      <w:bookmarkStart w:id="63" w:name="_Toc65157125"/>
      <w:bookmarkStart w:id="64" w:name="_Toc65230011"/>
      <w:bookmarkStart w:id="65" w:name="_Toc65228750"/>
      <w:bookmarkStart w:id="66" w:name="_Toc63084575"/>
      <w:bookmarkStart w:id="67" w:name="_Toc65159242"/>
      <w:bookmarkStart w:id="68" w:name="_Toc5150"/>
      <w:r>
        <w:rPr>
          <w:rFonts w:hint="eastAsia"/>
          <w:szCs w:val="21"/>
        </w:rPr>
        <w:t>术语和定义</w:t>
      </w:r>
      <w:bookmarkEnd w:id="61"/>
      <w:bookmarkEnd w:id="62"/>
      <w:bookmarkEnd w:id="63"/>
      <w:bookmarkEnd w:id="64"/>
      <w:bookmarkEnd w:id="65"/>
      <w:bookmarkEnd w:id="66"/>
      <w:bookmarkEnd w:id="67"/>
      <w:bookmarkEnd w:id="68"/>
    </w:p>
    <w:sdt>
      <w:sdtPr>
        <w:id w:val="-1909835108"/>
        <w:placeholder>
          <w:docPart w:val="CDB2433E952049D99363705BD5298E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9" w:name="_Toc26986532"/>
          <w:bookmarkEnd w:id="69"/>
          <w:r>
            <w:t>下列术语和定义适用于本文件。</w:t>
          </w:r>
        </w:p>
      </w:sdtContent>
    </w:sdt>
    <w:p>
      <w:pPr>
        <w:pStyle w:val="106"/>
        <w:spacing w:before="156" w:after="156"/>
      </w:pPr>
      <w:bookmarkStart w:id="70" w:name="_Toc65243799"/>
      <w:bookmarkEnd w:id="70"/>
      <w:bookmarkStart w:id="71" w:name="_Toc68687175"/>
      <w:bookmarkEnd w:id="71"/>
      <w:bookmarkStart w:id="72" w:name="_Toc65230012"/>
      <w:bookmarkEnd w:id="72"/>
      <w:bookmarkStart w:id="73" w:name="_Toc65228751"/>
      <w:bookmarkEnd w:id="73"/>
      <w:bookmarkStart w:id="74" w:name="_Toc11892"/>
      <w:bookmarkEnd w:id="74"/>
      <w:bookmarkStart w:id="75" w:name="_Toc65159243"/>
      <w:bookmarkEnd w:id="75"/>
      <w:bookmarkStart w:id="76" w:name="_Toc65157126"/>
      <w:bookmarkEnd w:id="76"/>
      <w:bookmarkStart w:id="77" w:name="_Toc63084576"/>
      <w:bookmarkEnd w:id="77"/>
      <w:bookmarkStart w:id="78" w:name="_Toc55999815"/>
      <w:bookmarkEnd w:id="78"/>
      <w:bookmarkStart w:id="79" w:name="_Toc12470"/>
      <w:bookmarkEnd w:id="79"/>
      <w:bookmarkStart w:id="80" w:name="_Toc14157"/>
      <w:bookmarkEnd w:id="80"/>
    </w:p>
    <w:p>
      <w:pPr>
        <w:pStyle w:val="231"/>
        <w:rPr>
          <w:rFonts w:ascii="黑体" w:hAnsi="黑体" w:eastAsia="黑体"/>
        </w:rPr>
      </w:pPr>
      <w:r>
        <w:rPr>
          <w:rFonts w:hint="eastAsia" w:ascii="黑体" w:hAnsi="黑体" w:eastAsia="黑体"/>
        </w:rPr>
        <w:t>综合能耗  comprehensive energy consumption</w:t>
      </w:r>
    </w:p>
    <w:p>
      <w:pPr>
        <w:pStyle w:val="231"/>
        <w:rPr>
          <w:rFonts w:ascii="Times New Roman" w:hAnsi="宋体"/>
        </w:rPr>
      </w:pPr>
      <w:r>
        <w:rPr>
          <w:rFonts w:hint="eastAsia" w:ascii="Times New Roman" w:hAnsi="宋体"/>
        </w:rPr>
        <w:t>在统计期内，</w:t>
      </w:r>
      <w:r>
        <w:rPr>
          <w:rFonts w:ascii="Times New Roman" w:hAnsi="宋体"/>
        </w:rPr>
        <w:t>教育机构</w:t>
      </w:r>
      <w:r>
        <w:rPr>
          <w:rFonts w:hint="eastAsia" w:ascii="Times New Roman" w:hAnsi="宋体"/>
        </w:rPr>
        <w:t>运行过程中实际消耗的各种能源实物量，按照规定的计算方法折算后的总和。</w:t>
      </w:r>
    </w:p>
    <w:p>
      <w:pPr>
        <w:pStyle w:val="106"/>
        <w:spacing w:before="156" w:after="156"/>
      </w:pPr>
      <w:bookmarkStart w:id="81" w:name="_Toc68687176"/>
      <w:bookmarkEnd w:id="81"/>
      <w:bookmarkStart w:id="82" w:name="_Toc19612"/>
      <w:bookmarkEnd w:id="82"/>
      <w:bookmarkStart w:id="83" w:name="_Toc65243800"/>
      <w:bookmarkEnd w:id="83"/>
      <w:bookmarkStart w:id="84" w:name="_Toc65228752"/>
      <w:bookmarkEnd w:id="84"/>
      <w:bookmarkStart w:id="85" w:name="_Toc55999816"/>
      <w:bookmarkEnd w:id="85"/>
      <w:bookmarkStart w:id="86" w:name="_Toc65159244"/>
      <w:bookmarkEnd w:id="86"/>
      <w:bookmarkStart w:id="87" w:name="_Toc63084577"/>
      <w:bookmarkEnd w:id="87"/>
      <w:bookmarkStart w:id="88" w:name="_Toc65230013"/>
      <w:bookmarkEnd w:id="88"/>
      <w:bookmarkStart w:id="89" w:name="_Toc65157127"/>
      <w:bookmarkEnd w:id="89"/>
      <w:bookmarkStart w:id="90" w:name="_Toc4234"/>
      <w:bookmarkEnd w:id="90"/>
      <w:bookmarkStart w:id="91" w:name="_Toc28492"/>
      <w:bookmarkEnd w:id="91"/>
    </w:p>
    <w:p>
      <w:pPr>
        <w:pStyle w:val="231"/>
        <w:rPr>
          <w:rFonts w:ascii="黑体" w:hAnsi="黑体" w:eastAsia="黑体"/>
        </w:rPr>
      </w:pPr>
      <w:r>
        <w:rPr>
          <w:rFonts w:hint="eastAsia" w:ascii="黑体" w:hAnsi="黑体" w:eastAsia="黑体"/>
        </w:rPr>
        <w:t>用能人数  amount of energy consumer</w:t>
      </w:r>
    </w:p>
    <w:p>
      <w:pPr>
        <w:pStyle w:val="231"/>
        <w:rPr>
          <w:rFonts w:ascii="Times New Roman" w:hAnsi="宋体"/>
        </w:rPr>
      </w:pPr>
      <w:r>
        <w:rPr>
          <w:rFonts w:ascii="Times New Roman" w:hAnsi="宋体"/>
        </w:rPr>
        <w:t>在统计期内，教育机构的日平均用能人数，包括在岗在编人员</w:t>
      </w:r>
      <w:r>
        <w:rPr>
          <w:rFonts w:hint="eastAsia" w:ascii="Times New Roman" w:hAnsi="宋体"/>
        </w:rPr>
        <w:t>、</w:t>
      </w:r>
      <w:r>
        <w:rPr>
          <w:rFonts w:hint="eastAsia"/>
        </w:rPr>
        <w:t>长期聘（借）用的编外人员</w:t>
      </w:r>
      <w:r>
        <w:rPr>
          <w:rFonts w:hint="eastAsia" w:ascii="Times New Roman" w:hAnsi="宋体"/>
        </w:rPr>
        <w:t>、登记在校的全日制学生以及流动人员。</w:t>
      </w:r>
    </w:p>
    <w:p>
      <w:pPr>
        <w:pStyle w:val="106"/>
        <w:spacing w:before="156" w:after="156"/>
      </w:pPr>
      <w:bookmarkStart w:id="92" w:name="_Toc27040"/>
      <w:bookmarkEnd w:id="92"/>
      <w:bookmarkStart w:id="93" w:name="_Toc68687177"/>
      <w:bookmarkEnd w:id="93"/>
      <w:bookmarkStart w:id="94" w:name="_Toc65228753"/>
      <w:bookmarkEnd w:id="94"/>
      <w:bookmarkStart w:id="95" w:name="_Toc65157128"/>
      <w:bookmarkEnd w:id="95"/>
      <w:bookmarkStart w:id="96" w:name="_Toc65243801"/>
      <w:bookmarkEnd w:id="96"/>
      <w:bookmarkStart w:id="97" w:name="_Toc55999817"/>
      <w:bookmarkEnd w:id="97"/>
      <w:bookmarkStart w:id="98" w:name="_Toc65159245"/>
      <w:bookmarkEnd w:id="98"/>
      <w:bookmarkStart w:id="99" w:name="_Toc65230014"/>
      <w:bookmarkEnd w:id="99"/>
      <w:bookmarkStart w:id="100" w:name="_Toc63084578"/>
      <w:bookmarkEnd w:id="100"/>
      <w:bookmarkStart w:id="101" w:name="_Toc26251"/>
      <w:bookmarkEnd w:id="101"/>
      <w:bookmarkStart w:id="102" w:name="_Toc2136"/>
      <w:bookmarkEnd w:id="102"/>
    </w:p>
    <w:p>
      <w:pPr>
        <w:pStyle w:val="231"/>
        <w:rPr>
          <w:rFonts w:ascii="黑体" w:hAnsi="黑体" w:eastAsia="黑体"/>
        </w:rPr>
      </w:pPr>
      <w:r>
        <w:rPr>
          <w:rFonts w:hint="eastAsia" w:ascii="黑体" w:hAnsi="黑体" w:eastAsia="黑体"/>
        </w:rPr>
        <w:t>单位</w:t>
      </w:r>
      <w:r>
        <w:rPr>
          <w:rFonts w:ascii="黑体" w:hAnsi="黑体" w:eastAsia="黑体"/>
        </w:rPr>
        <w:t>建筑</w:t>
      </w:r>
      <w:r>
        <w:rPr>
          <w:rFonts w:hint="eastAsia" w:ascii="黑体" w:hAnsi="黑体" w:eastAsia="黑体"/>
        </w:rPr>
        <w:t xml:space="preserve">面积综合能耗  </w:t>
      </w:r>
      <w:r>
        <w:rPr>
          <w:rFonts w:ascii="黑体" w:hAnsi="黑体" w:eastAsia="黑体"/>
        </w:rPr>
        <w:t>conventional energy consumption per unit building area</w:t>
      </w:r>
    </w:p>
    <w:p>
      <w:pPr>
        <w:pStyle w:val="231"/>
        <w:rPr>
          <w:rFonts w:ascii="Times New Roman"/>
        </w:rPr>
      </w:pPr>
      <w:r>
        <w:rPr>
          <w:rFonts w:hint="eastAsia" w:ascii="Times New Roman" w:hAnsi="宋体"/>
        </w:rPr>
        <w:t>在统计期内，</w:t>
      </w:r>
      <w:r>
        <w:rPr>
          <w:rFonts w:ascii="Times New Roman" w:hAnsi="宋体"/>
        </w:rPr>
        <w:t>教育机构</w:t>
      </w:r>
      <w:r>
        <w:rPr>
          <w:rFonts w:hint="eastAsia" w:ascii="Times New Roman" w:hAnsi="宋体"/>
        </w:rPr>
        <w:t>运行过程中每平方米建筑面积所消耗的综合能耗</w:t>
      </w:r>
      <w:r>
        <w:rPr>
          <w:rFonts w:hint="eastAsia" w:ascii="Times New Roman"/>
        </w:rPr>
        <w:t>。</w:t>
      </w:r>
    </w:p>
    <w:p>
      <w:pPr>
        <w:pStyle w:val="106"/>
        <w:spacing w:before="156" w:after="156"/>
      </w:pPr>
      <w:bookmarkStart w:id="103" w:name="_Toc29963"/>
      <w:bookmarkEnd w:id="103"/>
      <w:bookmarkStart w:id="104" w:name="_Toc65157129"/>
      <w:bookmarkEnd w:id="104"/>
      <w:bookmarkStart w:id="105" w:name="_Toc65159246"/>
      <w:bookmarkEnd w:id="105"/>
      <w:bookmarkStart w:id="106" w:name="_Toc65243802"/>
      <w:bookmarkEnd w:id="106"/>
      <w:bookmarkStart w:id="107" w:name="_Toc63084579"/>
      <w:bookmarkEnd w:id="107"/>
      <w:bookmarkStart w:id="108" w:name="_Toc65228754"/>
      <w:bookmarkEnd w:id="108"/>
      <w:bookmarkStart w:id="109" w:name="_Toc65230015"/>
      <w:bookmarkEnd w:id="109"/>
      <w:bookmarkStart w:id="110" w:name="_Toc55999818"/>
      <w:bookmarkEnd w:id="110"/>
      <w:bookmarkStart w:id="111" w:name="_Toc68687178"/>
      <w:bookmarkEnd w:id="111"/>
      <w:bookmarkStart w:id="112" w:name="_Toc27070"/>
      <w:bookmarkEnd w:id="112"/>
      <w:bookmarkStart w:id="113" w:name="_Toc18702"/>
      <w:bookmarkEnd w:id="113"/>
    </w:p>
    <w:p>
      <w:pPr>
        <w:pStyle w:val="231"/>
        <w:rPr>
          <w:rFonts w:ascii="黑体" w:hAnsi="黑体" w:eastAsia="黑体"/>
        </w:rPr>
      </w:pPr>
      <w:r>
        <w:rPr>
          <w:rFonts w:hint="eastAsia" w:ascii="黑体" w:hAnsi="黑体" w:eastAsia="黑体"/>
        </w:rPr>
        <w:t>人均综合能耗  comprehensive energy consumption per person</w:t>
      </w:r>
    </w:p>
    <w:p>
      <w:pPr>
        <w:pStyle w:val="231"/>
        <w:rPr>
          <w:rFonts w:ascii="Times New Roman"/>
        </w:rPr>
      </w:pPr>
      <w:r>
        <w:rPr>
          <w:rFonts w:hint="eastAsia" w:ascii="Times New Roman" w:hAnsi="宋体"/>
        </w:rPr>
        <w:t>在统计期内，</w:t>
      </w:r>
      <w:r>
        <w:rPr>
          <w:rFonts w:ascii="Times New Roman" w:hAnsi="宋体"/>
        </w:rPr>
        <w:t>教育机构</w:t>
      </w:r>
      <w:r>
        <w:rPr>
          <w:rFonts w:hint="eastAsia" w:ascii="Times New Roman" w:hAnsi="宋体"/>
        </w:rPr>
        <w:t>运行过程中每人消耗的综合能耗</w:t>
      </w:r>
      <w:r>
        <w:rPr>
          <w:rFonts w:hint="eastAsia" w:ascii="Times New Roman"/>
        </w:rPr>
        <w:t>。</w:t>
      </w:r>
    </w:p>
    <w:p>
      <w:pPr>
        <w:pStyle w:val="106"/>
        <w:spacing w:before="156" w:after="156"/>
      </w:pPr>
      <w:bookmarkStart w:id="114" w:name="_Toc65159247"/>
      <w:bookmarkEnd w:id="114"/>
      <w:bookmarkStart w:id="115" w:name="_Toc4244"/>
      <w:bookmarkEnd w:id="115"/>
      <w:bookmarkStart w:id="116" w:name="_Toc63084580"/>
      <w:bookmarkEnd w:id="116"/>
      <w:bookmarkStart w:id="117" w:name="_Toc65157130"/>
      <w:bookmarkEnd w:id="117"/>
      <w:bookmarkStart w:id="118" w:name="_Toc68687179"/>
      <w:bookmarkEnd w:id="118"/>
      <w:bookmarkStart w:id="119" w:name="_Toc55999819"/>
      <w:bookmarkEnd w:id="119"/>
      <w:bookmarkStart w:id="120" w:name="_Toc65228755"/>
      <w:bookmarkEnd w:id="120"/>
      <w:bookmarkStart w:id="121" w:name="_Toc65243803"/>
      <w:bookmarkEnd w:id="121"/>
      <w:bookmarkStart w:id="122" w:name="_Toc65230016"/>
      <w:bookmarkEnd w:id="122"/>
      <w:bookmarkStart w:id="123" w:name="_Toc24433"/>
      <w:bookmarkEnd w:id="123"/>
      <w:bookmarkStart w:id="124" w:name="_Toc13962"/>
      <w:bookmarkEnd w:id="124"/>
    </w:p>
    <w:p>
      <w:pPr>
        <w:pStyle w:val="231"/>
        <w:rPr>
          <w:rFonts w:ascii="黑体" w:hAnsi="黑体" w:eastAsia="黑体"/>
        </w:rPr>
      </w:pPr>
      <w:r>
        <w:rPr>
          <w:rFonts w:hint="eastAsia" w:ascii="黑体" w:hAnsi="黑体" w:eastAsia="黑体"/>
        </w:rPr>
        <w:t>总电耗  gross electricity consumption</w:t>
      </w:r>
    </w:p>
    <w:p>
      <w:pPr>
        <w:pStyle w:val="231"/>
        <w:rPr>
          <w:rFonts w:ascii="Times New Roman"/>
        </w:rPr>
      </w:pPr>
      <w:r>
        <w:rPr>
          <w:rFonts w:hint="eastAsia" w:ascii="Times New Roman"/>
        </w:rPr>
        <w:t>在统计期内，</w:t>
      </w:r>
      <w:r>
        <w:rPr>
          <w:rFonts w:ascii="Times New Roman"/>
        </w:rPr>
        <w:t>教育机构</w:t>
      </w:r>
      <w:r>
        <w:rPr>
          <w:rFonts w:hint="eastAsia" w:ascii="Times New Roman"/>
        </w:rPr>
        <w:t>运行过程中消耗的总电量。</w:t>
      </w:r>
      <w:bookmarkStart w:id="435" w:name="_GoBack"/>
      <w:bookmarkEnd w:id="435"/>
    </w:p>
    <w:p>
      <w:pPr>
        <w:pStyle w:val="106"/>
        <w:spacing w:before="156" w:after="156"/>
      </w:pPr>
      <w:bookmarkStart w:id="125" w:name="_Toc65228756"/>
      <w:bookmarkEnd w:id="125"/>
      <w:bookmarkStart w:id="126" w:name="_Toc65243804"/>
      <w:bookmarkEnd w:id="126"/>
      <w:bookmarkStart w:id="127" w:name="_Toc68687180"/>
      <w:bookmarkEnd w:id="127"/>
      <w:bookmarkStart w:id="128" w:name="_Toc65230017"/>
      <w:bookmarkEnd w:id="128"/>
      <w:bookmarkStart w:id="129" w:name="_Toc65159248"/>
      <w:bookmarkEnd w:id="129"/>
      <w:bookmarkStart w:id="130" w:name="_Toc5389"/>
      <w:bookmarkEnd w:id="130"/>
      <w:bookmarkStart w:id="131" w:name="_Toc55999820"/>
      <w:bookmarkEnd w:id="131"/>
      <w:bookmarkStart w:id="132" w:name="_Toc65157131"/>
      <w:bookmarkEnd w:id="132"/>
      <w:bookmarkStart w:id="133" w:name="_Toc63084581"/>
      <w:bookmarkEnd w:id="133"/>
      <w:bookmarkStart w:id="134" w:name="_Toc5029"/>
      <w:bookmarkEnd w:id="134"/>
      <w:bookmarkStart w:id="135" w:name="_Toc9641"/>
      <w:bookmarkEnd w:id="135"/>
    </w:p>
    <w:p>
      <w:pPr>
        <w:pStyle w:val="231"/>
        <w:rPr>
          <w:rFonts w:ascii="黑体" w:hAnsi="黑体" w:eastAsia="黑体"/>
        </w:rPr>
      </w:pPr>
      <w:r>
        <w:rPr>
          <w:rFonts w:hint="eastAsia" w:ascii="黑体" w:hAnsi="黑体" w:eastAsia="黑体"/>
        </w:rPr>
        <w:t>单位</w:t>
      </w:r>
      <w:r>
        <w:rPr>
          <w:rFonts w:ascii="黑体" w:hAnsi="黑体" w:eastAsia="黑体"/>
        </w:rPr>
        <w:t>建筑</w:t>
      </w:r>
      <w:r>
        <w:rPr>
          <w:rFonts w:hint="eastAsia" w:ascii="黑体" w:hAnsi="黑体" w:eastAsia="黑体"/>
        </w:rPr>
        <w:t>面积电耗  elect</w:t>
      </w:r>
      <w:r>
        <w:rPr>
          <w:rFonts w:hint="eastAsia" w:ascii="黑体" w:hAnsi="黑体" w:eastAsia="黑体"/>
          <w:lang w:val="en-US" w:eastAsia="zh-CN"/>
        </w:rPr>
        <w:t>r</w:t>
      </w:r>
      <w:r>
        <w:rPr>
          <w:rFonts w:hint="eastAsia" w:ascii="黑体" w:hAnsi="黑体" w:eastAsia="黑体"/>
        </w:rPr>
        <w:t>icity consumption per unit building area</w:t>
      </w:r>
    </w:p>
    <w:p>
      <w:pPr>
        <w:pStyle w:val="231"/>
        <w:rPr>
          <w:rFonts w:ascii="Times New Roman"/>
        </w:rPr>
      </w:pPr>
      <w:r>
        <w:rPr>
          <w:rFonts w:hint="eastAsia" w:ascii="Times New Roman" w:hAnsi="宋体"/>
        </w:rPr>
        <w:t>在统计期内，</w:t>
      </w:r>
      <w:r>
        <w:rPr>
          <w:rFonts w:ascii="Times New Roman" w:hAnsi="宋体"/>
        </w:rPr>
        <w:t>教育机构</w:t>
      </w:r>
      <w:r>
        <w:rPr>
          <w:rFonts w:hint="eastAsia" w:ascii="Times New Roman" w:hAnsi="宋体"/>
        </w:rPr>
        <w:t>运行过程中每平方米建筑面积所消耗的电量</w:t>
      </w:r>
      <w:r>
        <w:rPr>
          <w:rFonts w:hint="eastAsia" w:ascii="Times New Roman"/>
        </w:rPr>
        <w:t>。</w:t>
      </w:r>
    </w:p>
    <w:p>
      <w:pPr>
        <w:pStyle w:val="106"/>
        <w:spacing w:before="156" w:after="156"/>
      </w:pPr>
      <w:bookmarkStart w:id="136" w:name="_Toc68687181"/>
      <w:bookmarkEnd w:id="136"/>
      <w:bookmarkStart w:id="137" w:name="_Toc65228757"/>
      <w:bookmarkEnd w:id="137"/>
      <w:bookmarkStart w:id="138" w:name="_Toc65157132"/>
      <w:bookmarkEnd w:id="138"/>
      <w:bookmarkStart w:id="139" w:name="_Toc63084582"/>
      <w:bookmarkEnd w:id="139"/>
      <w:bookmarkStart w:id="140" w:name="_Toc65230018"/>
      <w:bookmarkEnd w:id="140"/>
      <w:bookmarkStart w:id="141" w:name="_Toc65243805"/>
      <w:bookmarkEnd w:id="141"/>
      <w:bookmarkStart w:id="142" w:name="_Toc4374"/>
      <w:bookmarkEnd w:id="142"/>
      <w:bookmarkStart w:id="143" w:name="_Toc65159249"/>
      <w:bookmarkEnd w:id="143"/>
      <w:bookmarkStart w:id="144" w:name="_Toc15759"/>
      <w:bookmarkEnd w:id="144"/>
      <w:bookmarkStart w:id="145" w:name="_Toc7746"/>
      <w:bookmarkEnd w:id="145"/>
    </w:p>
    <w:p>
      <w:pPr>
        <w:pStyle w:val="231"/>
        <w:rPr>
          <w:rFonts w:ascii="黑体" w:hAnsi="黑体" w:eastAsia="黑体"/>
        </w:rPr>
      </w:pPr>
      <w:r>
        <w:rPr>
          <w:rFonts w:hint="eastAsia" w:ascii="黑体" w:hAnsi="黑体" w:eastAsia="黑体"/>
        </w:rPr>
        <w:t>人均电耗 elect</w:t>
      </w:r>
      <w:r>
        <w:rPr>
          <w:rFonts w:hint="eastAsia" w:ascii="黑体" w:hAnsi="黑体" w:eastAsia="黑体"/>
          <w:lang w:val="en-US" w:eastAsia="zh-CN"/>
        </w:rPr>
        <w:t>r</w:t>
      </w:r>
      <w:r>
        <w:rPr>
          <w:rFonts w:hint="eastAsia" w:ascii="黑体" w:hAnsi="黑体" w:eastAsia="黑体"/>
        </w:rPr>
        <w:t>icity</w:t>
      </w:r>
      <w:r>
        <w:rPr>
          <w:rFonts w:ascii="黑体" w:hAnsi="黑体" w:eastAsia="黑体"/>
        </w:rPr>
        <w:t xml:space="preserve"> cons</w:t>
      </w:r>
      <w:r>
        <w:rPr>
          <w:rFonts w:hint="eastAsia" w:ascii="黑体" w:hAnsi="黑体" w:eastAsia="黑体"/>
        </w:rPr>
        <w:t xml:space="preserve">umption </w:t>
      </w:r>
      <w:r>
        <w:rPr>
          <w:rFonts w:ascii="黑体" w:hAnsi="黑体" w:eastAsia="黑体"/>
        </w:rPr>
        <w:t xml:space="preserve"> per person</w:t>
      </w:r>
    </w:p>
    <w:p>
      <w:pPr>
        <w:pStyle w:val="231"/>
        <w:rPr>
          <w:rFonts w:hAnsi="宋体"/>
        </w:rPr>
      </w:pPr>
      <w:r>
        <w:rPr>
          <w:rFonts w:hint="eastAsia" w:ascii="Times New Roman" w:hAnsi="宋体"/>
        </w:rPr>
        <w:t>在统计期内，</w:t>
      </w:r>
      <w:r>
        <w:rPr>
          <w:rFonts w:hint="eastAsia" w:hAnsi="宋体"/>
        </w:rPr>
        <w:t>教育机构</w:t>
      </w:r>
      <w:r>
        <w:rPr>
          <w:rFonts w:hint="eastAsia" w:ascii="Times New Roman" w:hAnsi="宋体"/>
        </w:rPr>
        <w:t>运行过程中</w:t>
      </w:r>
      <w:r>
        <w:rPr>
          <w:rFonts w:hint="eastAsia" w:hAnsi="宋体"/>
        </w:rPr>
        <w:t>每人所消耗的电量</w:t>
      </w:r>
      <w:r>
        <w:rPr>
          <w:rFonts w:hint="eastAsia" w:ascii="Times New Roman"/>
        </w:rPr>
        <w:t>。</w:t>
      </w:r>
    </w:p>
    <w:p>
      <w:pPr>
        <w:pStyle w:val="106"/>
        <w:spacing w:before="156" w:after="156"/>
      </w:pPr>
      <w:bookmarkStart w:id="146" w:name="_Toc65157133"/>
      <w:bookmarkEnd w:id="146"/>
      <w:bookmarkStart w:id="147" w:name="_Toc5262"/>
      <w:bookmarkEnd w:id="147"/>
      <w:bookmarkStart w:id="148" w:name="_Toc68687182"/>
      <w:bookmarkEnd w:id="148"/>
      <w:bookmarkStart w:id="149" w:name="_Toc65230019"/>
      <w:bookmarkEnd w:id="149"/>
      <w:bookmarkStart w:id="150" w:name="_Toc65159250"/>
      <w:bookmarkEnd w:id="150"/>
      <w:bookmarkStart w:id="151" w:name="_Toc55999821"/>
      <w:bookmarkEnd w:id="151"/>
      <w:bookmarkStart w:id="152" w:name="_Toc63084583"/>
      <w:bookmarkEnd w:id="152"/>
      <w:bookmarkStart w:id="153" w:name="_Toc65228758"/>
      <w:bookmarkEnd w:id="153"/>
      <w:bookmarkStart w:id="154" w:name="_Toc65243806"/>
      <w:bookmarkEnd w:id="154"/>
      <w:bookmarkStart w:id="155" w:name="_Toc6390"/>
      <w:bookmarkEnd w:id="155"/>
      <w:bookmarkStart w:id="156" w:name="_Toc23688"/>
      <w:bookmarkEnd w:id="156"/>
    </w:p>
    <w:p>
      <w:pPr>
        <w:pStyle w:val="231"/>
        <w:rPr>
          <w:rFonts w:ascii="黑体" w:hAnsi="黑体" w:eastAsia="黑体"/>
        </w:rPr>
      </w:pPr>
      <w:r>
        <w:rPr>
          <w:rFonts w:hint="eastAsia" w:ascii="黑体" w:hAnsi="黑体" w:eastAsia="黑体"/>
        </w:rPr>
        <w:t>约束值  limit value</w:t>
      </w:r>
    </w:p>
    <w:p>
      <w:pPr>
        <w:pStyle w:val="231"/>
        <w:rPr>
          <w:rFonts w:ascii="Times New Roman" w:hAnsi="宋体"/>
        </w:rPr>
      </w:pPr>
      <w:r>
        <w:rPr>
          <w:rFonts w:hint="eastAsia" w:ascii="Times New Roman" w:hAnsi="宋体"/>
        </w:rPr>
        <w:t>保障教育机构正常运行前提下，所允许的相关能耗指标限值。</w:t>
      </w:r>
    </w:p>
    <w:p>
      <w:pPr>
        <w:pStyle w:val="106"/>
        <w:spacing w:before="156" w:after="156"/>
      </w:pPr>
      <w:bookmarkStart w:id="157" w:name="_Toc65159251"/>
      <w:bookmarkEnd w:id="157"/>
      <w:bookmarkStart w:id="158" w:name="_Toc63084584"/>
      <w:bookmarkEnd w:id="158"/>
      <w:bookmarkStart w:id="159" w:name="_Toc65230020"/>
      <w:bookmarkEnd w:id="159"/>
      <w:bookmarkStart w:id="160" w:name="_Toc10142"/>
      <w:bookmarkEnd w:id="160"/>
      <w:bookmarkStart w:id="161" w:name="_Toc65157134"/>
      <w:bookmarkEnd w:id="161"/>
      <w:bookmarkStart w:id="162" w:name="_Toc68687183"/>
      <w:bookmarkEnd w:id="162"/>
      <w:bookmarkStart w:id="163" w:name="_Toc65243807"/>
      <w:bookmarkEnd w:id="163"/>
      <w:bookmarkStart w:id="164" w:name="_Toc55999822"/>
      <w:bookmarkEnd w:id="164"/>
      <w:bookmarkStart w:id="165" w:name="_Toc65228759"/>
      <w:bookmarkEnd w:id="165"/>
      <w:bookmarkStart w:id="166" w:name="_Toc13631"/>
      <w:bookmarkEnd w:id="166"/>
      <w:bookmarkStart w:id="167" w:name="_Toc31673"/>
      <w:bookmarkEnd w:id="167"/>
    </w:p>
    <w:p>
      <w:pPr>
        <w:pStyle w:val="231"/>
        <w:rPr>
          <w:rFonts w:ascii="黑体" w:hAnsi="黑体" w:eastAsia="黑体"/>
        </w:rPr>
      </w:pPr>
      <w:r>
        <w:rPr>
          <w:rFonts w:hint="eastAsia" w:ascii="黑体" w:hAnsi="黑体" w:eastAsia="黑体"/>
        </w:rPr>
        <w:t>基准值  reference value</w:t>
      </w:r>
    </w:p>
    <w:p>
      <w:pPr>
        <w:pStyle w:val="231"/>
        <w:rPr>
          <w:rFonts w:ascii="Times New Roman" w:hAnsi="宋体"/>
        </w:rPr>
      </w:pPr>
      <w:r>
        <w:rPr>
          <w:rFonts w:hint="eastAsia" w:ascii="Times New Roman" w:hAnsi="宋体"/>
        </w:rPr>
        <w:t>保障教育机构正常运行前提下，采取一定的节能管理和技术措施后所能达到的相关能耗指标基础水平值。</w:t>
      </w:r>
    </w:p>
    <w:p>
      <w:pPr>
        <w:pStyle w:val="106"/>
        <w:spacing w:before="156" w:after="156"/>
      </w:pPr>
      <w:bookmarkStart w:id="168" w:name="_Toc55999823"/>
      <w:bookmarkEnd w:id="168"/>
      <w:bookmarkStart w:id="169" w:name="_Toc65157135"/>
      <w:bookmarkEnd w:id="169"/>
      <w:bookmarkStart w:id="170" w:name="_Toc18811"/>
      <w:bookmarkEnd w:id="170"/>
      <w:bookmarkStart w:id="171" w:name="_Toc68687184"/>
      <w:bookmarkEnd w:id="171"/>
      <w:bookmarkStart w:id="172" w:name="_Toc65228760"/>
      <w:bookmarkEnd w:id="172"/>
      <w:bookmarkStart w:id="173" w:name="_Toc63084585"/>
      <w:bookmarkEnd w:id="173"/>
      <w:bookmarkStart w:id="174" w:name="_Toc65159252"/>
      <w:bookmarkEnd w:id="174"/>
      <w:bookmarkStart w:id="175" w:name="_Toc65230021"/>
      <w:bookmarkEnd w:id="175"/>
      <w:bookmarkStart w:id="176" w:name="_Toc65243808"/>
      <w:bookmarkEnd w:id="176"/>
      <w:bookmarkStart w:id="177" w:name="_Toc26390"/>
      <w:bookmarkEnd w:id="177"/>
      <w:bookmarkStart w:id="178" w:name="_Toc22922"/>
      <w:bookmarkEnd w:id="178"/>
    </w:p>
    <w:p>
      <w:pPr>
        <w:pStyle w:val="231"/>
        <w:rPr>
          <w:rFonts w:ascii="黑体" w:hAnsi="黑体" w:eastAsia="黑体"/>
        </w:rPr>
      </w:pPr>
      <w:r>
        <w:rPr>
          <w:rFonts w:hint="eastAsia" w:ascii="黑体" w:hAnsi="黑体" w:eastAsia="黑体"/>
        </w:rPr>
        <w:t>引导值  advanced value</w:t>
      </w:r>
    </w:p>
    <w:p>
      <w:pPr>
        <w:pStyle w:val="231"/>
        <w:rPr>
          <w:rFonts w:ascii="Times New Roman" w:hAnsi="宋体"/>
        </w:rPr>
      </w:pPr>
      <w:r>
        <w:rPr>
          <w:rFonts w:hint="eastAsia" w:ascii="Times New Roman" w:hAnsi="宋体"/>
        </w:rPr>
        <w:t>保障教育机构正常运行前提下，采取更加有效的节能管理和技术措施后所能达到的相关能耗指标期望目标值。</w:t>
      </w:r>
    </w:p>
    <w:p>
      <w:pPr>
        <w:pStyle w:val="105"/>
        <w:spacing w:before="312" w:after="312"/>
      </w:pPr>
      <w:bookmarkStart w:id="179" w:name="_Toc65159253"/>
      <w:bookmarkStart w:id="180" w:name="_Toc63084586"/>
      <w:bookmarkStart w:id="181" w:name="_Toc65228761"/>
      <w:bookmarkStart w:id="182" w:name="_Toc55999824"/>
      <w:bookmarkStart w:id="183" w:name="_Toc44236930"/>
      <w:bookmarkStart w:id="184" w:name="_Toc65243809"/>
      <w:bookmarkStart w:id="185" w:name="_Toc65230022"/>
      <w:bookmarkStart w:id="186" w:name="_Toc44236897"/>
      <w:bookmarkStart w:id="187" w:name="_Toc65157136"/>
      <w:bookmarkStart w:id="188" w:name="_Toc29080"/>
      <w:r>
        <w:rPr>
          <w:rFonts w:hint="eastAsia"/>
        </w:rPr>
        <w:t>能耗定额指标</w:t>
      </w:r>
      <w:bookmarkEnd w:id="179"/>
      <w:bookmarkEnd w:id="180"/>
      <w:bookmarkEnd w:id="181"/>
      <w:bookmarkEnd w:id="182"/>
      <w:bookmarkEnd w:id="183"/>
      <w:bookmarkEnd w:id="184"/>
      <w:bookmarkEnd w:id="185"/>
      <w:bookmarkEnd w:id="186"/>
      <w:bookmarkEnd w:id="187"/>
      <w:bookmarkEnd w:id="188"/>
    </w:p>
    <w:p>
      <w:pPr>
        <w:pStyle w:val="106"/>
        <w:spacing w:before="156" w:after="156"/>
      </w:pPr>
      <w:bookmarkStart w:id="189" w:name="_Toc65230023"/>
      <w:bookmarkStart w:id="190" w:name="_Toc65228762"/>
      <w:bookmarkStart w:id="191" w:name="_Toc65159254"/>
      <w:bookmarkStart w:id="192" w:name="_Toc55999825"/>
      <w:bookmarkStart w:id="193" w:name="_Toc65157137"/>
      <w:bookmarkStart w:id="194" w:name="_Toc63084587"/>
      <w:bookmarkStart w:id="195" w:name="_Toc65243810"/>
      <w:bookmarkStart w:id="196" w:name="_Toc10718"/>
      <w:r>
        <w:rPr>
          <w:rFonts w:hint="eastAsia"/>
        </w:rPr>
        <w:t>一般规定</w:t>
      </w:r>
      <w:bookmarkEnd w:id="189"/>
      <w:bookmarkEnd w:id="190"/>
      <w:bookmarkEnd w:id="191"/>
      <w:bookmarkEnd w:id="192"/>
      <w:bookmarkEnd w:id="193"/>
      <w:bookmarkEnd w:id="194"/>
      <w:bookmarkEnd w:id="195"/>
      <w:bookmarkEnd w:id="196"/>
    </w:p>
    <w:p>
      <w:pPr>
        <w:pStyle w:val="166"/>
      </w:pPr>
      <w:r>
        <w:t>教育机构</w:t>
      </w:r>
      <w:r>
        <w:rPr>
          <w:rFonts w:hint="eastAsia"/>
        </w:rPr>
        <w:t>能耗定额指标按教育机构类型划分为高等教育、中等教育、初等教育</w:t>
      </w:r>
      <w:r>
        <w:rPr>
          <w:rFonts w:hint="eastAsia"/>
          <w:lang w:eastAsia="zh-CN"/>
        </w:rPr>
        <w:t>和</w:t>
      </w:r>
      <w:r>
        <w:rPr>
          <w:rFonts w:hint="eastAsia"/>
        </w:rPr>
        <w:t>学前教育能耗指标。</w:t>
      </w:r>
    </w:p>
    <w:p>
      <w:pPr>
        <w:pStyle w:val="166"/>
      </w:pPr>
      <w:r>
        <w:rPr>
          <w:rFonts w:hint="eastAsia"/>
        </w:rPr>
        <w:t>定额标准分为约束值、基准值和引导值三级能耗指标。</w:t>
      </w:r>
    </w:p>
    <w:p>
      <w:pPr>
        <w:pStyle w:val="166"/>
      </w:pPr>
      <w:r>
        <w:rPr>
          <w:rFonts w:hint="eastAsia"/>
        </w:rPr>
        <w:t>按本文件执行能耗定额的</w:t>
      </w:r>
      <w:r>
        <w:t>教育机构</w:t>
      </w:r>
      <w:r>
        <w:rPr>
          <w:rFonts w:hint="eastAsia"/>
        </w:rPr>
        <w:t>，在满足教育机构正常运行前提下，</w:t>
      </w:r>
      <w:r>
        <w:t>教育机构</w:t>
      </w:r>
      <w:r>
        <w:rPr>
          <w:rFonts w:hint="eastAsia"/>
        </w:rPr>
        <w:t>能耗指标实测值或修正值不应超过所规定的能耗定额约束值，宜小于能耗定额基准值，争取达到能耗指标的引导值。</w:t>
      </w:r>
    </w:p>
    <w:p>
      <w:pPr>
        <w:pStyle w:val="106"/>
        <w:spacing w:before="156" w:after="156"/>
      </w:pPr>
      <w:bookmarkStart w:id="197" w:name="_Toc55999826"/>
      <w:bookmarkStart w:id="198" w:name="_Toc63084588"/>
      <w:bookmarkStart w:id="199" w:name="_Toc65157138"/>
      <w:bookmarkStart w:id="200" w:name="_Toc65159255"/>
      <w:bookmarkStart w:id="201" w:name="_Toc65228763"/>
      <w:bookmarkStart w:id="202" w:name="_Toc65230024"/>
      <w:bookmarkStart w:id="203" w:name="_Toc65243811"/>
      <w:bookmarkStart w:id="204" w:name="_Toc239"/>
      <w:r>
        <w:rPr>
          <w:rFonts w:hint="eastAsia"/>
        </w:rPr>
        <w:t>能耗定额</w:t>
      </w:r>
      <w:bookmarkEnd w:id="197"/>
      <w:bookmarkEnd w:id="198"/>
      <w:r>
        <w:rPr>
          <w:rFonts w:hint="eastAsia"/>
        </w:rPr>
        <w:t>指标值</w:t>
      </w:r>
      <w:bookmarkEnd w:id="199"/>
      <w:bookmarkEnd w:id="200"/>
      <w:bookmarkEnd w:id="201"/>
      <w:bookmarkEnd w:id="202"/>
      <w:bookmarkEnd w:id="203"/>
      <w:bookmarkEnd w:id="204"/>
    </w:p>
    <w:p>
      <w:pPr>
        <w:pStyle w:val="57"/>
        <w:rPr>
          <w:rFonts w:hint="eastAsia"/>
        </w:rPr>
      </w:pPr>
      <w:r>
        <w:rPr>
          <w:rFonts w:hint="eastAsia"/>
        </w:rPr>
        <w:t>机构能耗定额指标值见表1。</w:t>
      </w: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113"/>
        <w:spacing w:before="156" w:after="156"/>
      </w:pPr>
      <w:r>
        <w:t>教育机构</w:t>
      </w:r>
      <w:r>
        <w:rPr>
          <w:rFonts w:hint="eastAsia"/>
        </w:rPr>
        <w:t>能耗定额指标值</w:t>
      </w:r>
    </w:p>
    <w:tbl>
      <w:tblPr>
        <w:tblStyle w:val="27"/>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38"/>
        <w:gridCol w:w="739"/>
        <w:gridCol w:w="739"/>
        <w:gridCol w:w="738"/>
        <w:gridCol w:w="739"/>
        <w:gridCol w:w="739"/>
        <w:gridCol w:w="738"/>
        <w:gridCol w:w="739"/>
        <w:gridCol w:w="739"/>
        <w:gridCol w:w="738"/>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Merge w:val="restart"/>
          </w:tcPr>
          <w:p>
            <w:pPr>
              <w:keepNext w:val="0"/>
              <w:keepLines w:val="0"/>
              <w:suppressLineNumbers w:val="0"/>
              <w:spacing w:before="0" w:beforeAutospacing="0" w:after="0" w:afterAutospacing="0"/>
              <w:ind w:left="0" w:right="0"/>
              <w:jc w:val="center"/>
              <w:rPr>
                <w:rFonts w:hint="default"/>
                <w:sz w:val="18"/>
                <w:szCs w:val="18"/>
              </w:rPr>
            </w:pPr>
            <w:bookmarkStart w:id="205" w:name="_Toc65243812"/>
            <w:bookmarkStart w:id="206" w:name="_Toc65159256"/>
            <w:bookmarkStart w:id="207" w:name="_Toc65230025"/>
            <w:bookmarkStart w:id="208" w:name="_Toc65228764"/>
            <w:bookmarkStart w:id="209" w:name="_Toc65157139"/>
            <w:bookmarkStart w:id="210" w:name="_Toc63084589"/>
            <w:bookmarkStart w:id="211" w:name="_Toc55999828"/>
            <w:r>
              <w:rPr>
                <w:rFonts w:hint="eastAsia"/>
                <w:sz w:val="18"/>
                <w:szCs w:val="18"/>
              </w:rPr>
              <w:t>教育机构类型</w:t>
            </w:r>
          </w:p>
        </w:tc>
        <w:tc>
          <w:tcPr>
            <w:tcW w:w="2216" w:type="dxa"/>
            <w:gridSpan w:val="3"/>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sz w:val="18"/>
                <w:szCs w:val="18"/>
              </w:rPr>
            </w:pPr>
            <w:r>
              <w:rPr>
                <w:rFonts w:hint="eastAsia" w:ascii="宋体" w:hAnsi="宋体"/>
                <w:kern w:val="0"/>
                <w:sz w:val="18"/>
                <w:szCs w:val="18"/>
              </w:rPr>
              <w:t>单位建筑面积综合能耗</w:t>
            </w:r>
            <w:r>
              <w:rPr>
                <w:rFonts w:hint="eastAsia" w:ascii="宋体" w:hAnsi="宋体"/>
                <w:sz w:val="18"/>
                <w:szCs w:val="18"/>
              </w:rPr>
              <w:t>kgce/（m</w:t>
            </w:r>
            <w:r>
              <w:rPr>
                <w:rFonts w:hint="eastAsia" w:ascii="宋体" w:hAnsi="宋体"/>
                <w:sz w:val="18"/>
                <w:szCs w:val="18"/>
                <w:vertAlign w:val="superscript"/>
              </w:rPr>
              <w:t>2</w:t>
            </w:r>
            <w:r>
              <w:rPr>
                <w:rFonts w:hint="eastAsia" w:ascii="宋体" w:hAnsi="宋体"/>
                <w:sz w:val="18"/>
                <w:szCs w:val="18"/>
              </w:rPr>
              <w:t>·a）</w:t>
            </w:r>
          </w:p>
        </w:tc>
        <w:tc>
          <w:tcPr>
            <w:tcW w:w="2216" w:type="dxa"/>
            <w:gridSpan w:val="3"/>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宋体" w:hAnsi="宋体"/>
                <w:kern w:val="0"/>
                <w:sz w:val="18"/>
                <w:szCs w:val="18"/>
              </w:rPr>
            </w:pPr>
            <w:r>
              <w:rPr>
                <w:rFonts w:hint="eastAsia" w:ascii="宋体" w:hAnsi="宋体"/>
                <w:kern w:val="0"/>
                <w:sz w:val="18"/>
                <w:szCs w:val="18"/>
              </w:rPr>
              <w:t>人均综合能耗</w:t>
            </w:r>
          </w:p>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sz w:val="18"/>
                <w:szCs w:val="18"/>
              </w:rPr>
            </w:pPr>
            <w:r>
              <w:rPr>
                <w:rFonts w:hint="eastAsia" w:ascii="宋体" w:hAnsi="宋体"/>
                <w:kern w:val="0"/>
                <w:sz w:val="18"/>
                <w:szCs w:val="18"/>
              </w:rPr>
              <w:t>kgce/（p·a）</w:t>
            </w:r>
          </w:p>
        </w:tc>
        <w:tc>
          <w:tcPr>
            <w:tcW w:w="2216" w:type="dxa"/>
            <w:gridSpan w:val="3"/>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宋体" w:hAnsi="宋体"/>
                <w:kern w:val="0"/>
                <w:sz w:val="18"/>
                <w:szCs w:val="18"/>
              </w:rPr>
            </w:pPr>
            <w:r>
              <w:rPr>
                <w:rFonts w:hint="eastAsia" w:ascii="宋体" w:hAnsi="宋体"/>
                <w:kern w:val="0"/>
                <w:sz w:val="18"/>
                <w:szCs w:val="18"/>
              </w:rPr>
              <w:t>单位建筑面积电耗</w:t>
            </w:r>
          </w:p>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sz w:val="18"/>
                <w:szCs w:val="18"/>
              </w:rPr>
            </w:pPr>
            <w:r>
              <w:rPr>
                <w:rFonts w:hint="eastAsia" w:ascii="宋体" w:hAnsi="宋体"/>
                <w:sz w:val="18"/>
                <w:szCs w:val="18"/>
              </w:rPr>
              <w:t>kW·h/（m</w:t>
            </w:r>
            <w:r>
              <w:rPr>
                <w:rFonts w:hint="eastAsia" w:ascii="宋体" w:hAnsi="宋体"/>
                <w:sz w:val="18"/>
                <w:szCs w:val="18"/>
                <w:vertAlign w:val="superscript"/>
              </w:rPr>
              <w:t>2</w:t>
            </w:r>
            <w:r>
              <w:rPr>
                <w:rFonts w:hint="eastAsia" w:ascii="宋体" w:hAnsi="宋体"/>
                <w:sz w:val="18"/>
                <w:szCs w:val="18"/>
              </w:rPr>
              <w:t>·a）</w:t>
            </w:r>
          </w:p>
        </w:tc>
        <w:tc>
          <w:tcPr>
            <w:tcW w:w="2216" w:type="dxa"/>
            <w:gridSpan w:val="3"/>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宋体" w:hAnsi="宋体"/>
                <w:kern w:val="0"/>
                <w:sz w:val="18"/>
                <w:szCs w:val="18"/>
              </w:rPr>
            </w:pPr>
            <w:r>
              <w:rPr>
                <w:rFonts w:hint="eastAsia" w:ascii="宋体" w:hAnsi="宋体"/>
                <w:kern w:val="0"/>
                <w:sz w:val="18"/>
                <w:szCs w:val="18"/>
              </w:rPr>
              <w:t>人均电耗</w:t>
            </w:r>
          </w:p>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sz w:val="18"/>
                <w:szCs w:val="18"/>
              </w:rPr>
            </w:pPr>
            <w:r>
              <w:rPr>
                <w:rFonts w:hint="eastAsia" w:ascii="宋体" w:hAnsi="宋体"/>
                <w:sz w:val="18"/>
                <w:szCs w:val="18"/>
              </w:rPr>
              <w:t>kW·h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Merge w:val="continue"/>
          </w:tcPr>
          <w:p>
            <w:pPr>
              <w:keepNext w:val="0"/>
              <w:keepLines w:val="0"/>
              <w:suppressLineNumbers w:val="0"/>
              <w:spacing w:before="0" w:beforeAutospacing="0" w:after="0" w:afterAutospacing="0"/>
              <w:ind w:left="0" w:right="0"/>
              <w:jc w:val="center"/>
              <w:rPr>
                <w:rFonts w:hint="default"/>
                <w:sz w:val="18"/>
                <w:szCs w:val="18"/>
              </w:rPr>
            </w:pPr>
          </w:p>
        </w:tc>
        <w:tc>
          <w:tcPr>
            <w:tcW w:w="738"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约束值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基准值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引导值</w:t>
            </w:r>
          </w:p>
        </w:tc>
        <w:tc>
          <w:tcPr>
            <w:tcW w:w="738"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约束值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基准值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引导值</w:t>
            </w:r>
          </w:p>
        </w:tc>
        <w:tc>
          <w:tcPr>
            <w:tcW w:w="738"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约束值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基准值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引导值</w:t>
            </w:r>
          </w:p>
        </w:tc>
        <w:tc>
          <w:tcPr>
            <w:tcW w:w="738"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约束值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基准值</w:t>
            </w:r>
          </w:p>
        </w:tc>
        <w:tc>
          <w:tcPr>
            <w:tcW w:w="739" w:type="dxa"/>
          </w:tcPr>
          <w:p>
            <w:pPr>
              <w:keepNext w:val="0"/>
              <w:keepLines w:val="0"/>
              <w:suppressLineNumbers w:val="0"/>
              <w:spacing w:before="0" w:beforeAutospacing="0" w:after="0" w:afterAutospacing="0"/>
              <w:ind w:left="0" w:right="0"/>
              <w:jc w:val="center"/>
              <w:rPr>
                <w:rFonts w:hint="default" w:ascii="Times New Roman" w:hAnsi="Times New Roman"/>
                <w:spacing w:val="-10"/>
                <w:sz w:val="18"/>
                <w:szCs w:val="18"/>
              </w:rPr>
            </w:pPr>
            <w:r>
              <w:rPr>
                <w:rFonts w:hint="default" w:ascii="Times New Roman" w:hAnsi="Times New Roman"/>
                <w:spacing w:val="-10"/>
                <w:sz w:val="18"/>
                <w:szCs w:val="18"/>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sz w:val="18"/>
                <w:szCs w:val="18"/>
              </w:rPr>
            </w:pPr>
            <w:r>
              <w:rPr>
                <w:rFonts w:hint="eastAsia" w:ascii="宋体" w:hAnsi="宋体"/>
                <w:kern w:val="0"/>
                <w:sz w:val="18"/>
                <w:szCs w:val="18"/>
              </w:rPr>
              <w:t>高等教育</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5.9</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4.3</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1.9</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114.9</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 xml:space="preserve"> 69.2</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 xml:space="preserve"> 27.7</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31.6</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23.1</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1</w:t>
            </w:r>
            <w:r>
              <w:rPr>
                <w:rFonts w:hint="default" w:ascii="宋体" w:hAnsi="宋体"/>
                <w:color w:val="auto"/>
                <w:kern w:val="0"/>
                <w:sz w:val="18"/>
                <w:szCs w:val="18"/>
              </w:rPr>
              <w:t>2</w:t>
            </w:r>
            <w:r>
              <w:rPr>
                <w:rFonts w:hint="eastAsia" w:ascii="宋体" w:hAnsi="宋体"/>
                <w:color w:val="auto"/>
                <w:kern w:val="0"/>
                <w:sz w:val="18"/>
                <w:szCs w:val="18"/>
              </w:rPr>
              <w:t>.6</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626.8</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383.1</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sz w:val="18"/>
                <w:szCs w:val="18"/>
              </w:rPr>
            </w:pPr>
            <w:r>
              <w:rPr>
                <w:rFonts w:hint="eastAsia" w:ascii="宋体" w:hAnsi="宋体"/>
                <w:kern w:val="0"/>
                <w:sz w:val="18"/>
                <w:szCs w:val="18"/>
              </w:rPr>
              <w:t>中等教育</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4.0</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3.1</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1.4</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47.3</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39.5</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16.2</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18.4</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12.5</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4.6</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246.6</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221</w:t>
            </w:r>
            <w:r>
              <w:rPr>
                <w:rFonts w:hint="eastAsia" w:ascii="宋体" w:hAnsi="宋体"/>
                <w:color w:val="auto"/>
                <w:kern w:val="0"/>
                <w:sz w:val="18"/>
                <w:szCs w:val="18"/>
              </w:rPr>
              <w:t>.</w:t>
            </w:r>
            <w:r>
              <w:rPr>
                <w:rFonts w:hint="default" w:ascii="宋体" w:hAnsi="宋体"/>
                <w:color w:val="auto"/>
                <w:kern w:val="0"/>
                <w:sz w:val="18"/>
                <w:szCs w:val="18"/>
              </w:rPr>
              <w:t>4</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default" w:ascii="宋体" w:hAnsi="宋体"/>
                <w:color w:val="auto"/>
                <w:kern w:val="0"/>
                <w:sz w:val="18"/>
                <w:szCs w:val="18"/>
              </w:rPr>
              <w:t>53</w:t>
            </w:r>
            <w:r>
              <w:rPr>
                <w:rFonts w:hint="eastAsia"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sz w:val="18"/>
                <w:szCs w:val="18"/>
              </w:rPr>
            </w:pPr>
            <w:r>
              <w:rPr>
                <w:rFonts w:hint="eastAsia" w:ascii="宋体" w:hAnsi="宋体"/>
                <w:kern w:val="0"/>
                <w:sz w:val="18"/>
                <w:szCs w:val="18"/>
              </w:rPr>
              <w:t>初等教育</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3.0</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1.6</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0.6</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eastAsia" w:ascii="宋体" w:hAnsi="宋体"/>
                <w:color w:val="auto"/>
                <w:kern w:val="0"/>
                <w:sz w:val="18"/>
                <w:szCs w:val="18"/>
              </w:rPr>
              <w:t>22.6</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eastAsia" w:ascii="宋体" w:hAnsi="宋体"/>
                <w:color w:val="auto"/>
                <w:kern w:val="0"/>
                <w:sz w:val="18"/>
                <w:szCs w:val="18"/>
              </w:rPr>
              <w:t>12.6</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eastAsia" w:ascii="宋体" w:hAnsi="宋体"/>
                <w:color w:val="auto"/>
                <w:kern w:val="0"/>
                <w:sz w:val="18"/>
                <w:szCs w:val="18"/>
              </w:rPr>
              <w:t>4.7</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15.2</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8.9</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3.6</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129.2</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eastAsia" w:ascii="宋体" w:hAnsi="宋体"/>
                <w:color w:val="auto"/>
                <w:kern w:val="0"/>
                <w:sz w:val="18"/>
                <w:szCs w:val="18"/>
              </w:rPr>
              <w:t>69.8</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sz w:val="18"/>
                <w:szCs w:val="18"/>
              </w:rPr>
            </w:pPr>
            <w:r>
              <w:rPr>
                <w:rFonts w:hint="eastAsia" w:ascii="宋体" w:hAnsi="宋体"/>
                <w:kern w:val="0"/>
                <w:sz w:val="18"/>
                <w:szCs w:val="18"/>
              </w:rPr>
              <w:t>学前教育</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8.</w:t>
            </w:r>
            <w:r>
              <w:rPr>
                <w:rFonts w:hint="default" w:ascii="宋体" w:hAnsi="宋体"/>
                <w:color w:val="auto"/>
                <w:kern w:val="0"/>
                <w:sz w:val="18"/>
                <w:szCs w:val="18"/>
              </w:rPr>
              <w:t>3</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6.4</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等线"/>
                <w:color w:val="auto"/>
                <w:sz w:val="18"/>
                <w:szCs w:val="18"/>
              </w:rPr>
            </w:pPr>
            <w:r>
              <w:rPr>
                <w:rFonts w:hint="eastAsia" w:ascii="宋体" w:hAnsi="宋体"/>
                <w:color w:val="auto"/>
                <w:kern w:val="0"/>
                <w:sz w:val="18"/>
                <w:szCs w:val="18"/>
              </w:rPr>
              <w:t>2.2</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47.8</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37.6</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eastAsia" w:ascii="宋体" w:hAnsi="宋体"/>
                <w:color w:val="auto"/>
                <w:kern w:val="0"/>
                <w:sz w:val="18"/>
                <w:szCs w:val="18"/>
              </w:rPr>
              <w:t>15.1</w:t>
            </w:r>
          </w:p>
        </w:tc>
        <w:tc>
          <w:tcPr>
            <w:tcW w:w="738"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38.5</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27.5</w:t>
            </w:r>
          </w:p>
        </w:tc>
        <w:tc>
          <w:tcPr>
            <w:tcW w:w="739" w:type="dxa"/>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10.4</w:t>
            </w:r>
          </w:p>
        </w:tc>
        <w:tc>
          <w:tcPr>
            <w:tcW w:w="738"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226.6</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193.5</w:t>
            </w:r>
          </w:p>
        </w:tc>
        <w:tc>
          <w:tcPr>
            <w:tcW w:w="739" w:type="dxa"/>
            <w:shd w:val="clear" w:color="auto" w:fill="FFFFFF" w:themeFill="background1"/>
            <w:vAlign w:val="center"/>
          </w:tcPr>
          <w:p>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olor w:val="auto"/>
                <w:sz w:val="18"/>
                <w:szCs w:val="18"/>
              </w:rPr>
            </w:pPr>
            <w:r>
              <w:rPr>
                <w:rFonts w:hint="default" w:ascii="宋体" w:hAnsi="宋体"/>
                <w:color w:val="auto"/>
                <w:kern w:val="0"/>
                <w:sz w:val="18"/>
                <w:szCs w:val="18"/>
              </w:rPr>
              <w:t>62</w:t>
            </w:r>
            <w:r>
              <w:rPr>
                <w:rFonts w:hint="eastAsia" w:ascii="宋体" w:hAnsi="宋体"/>
                <w:color w:val="auto"/>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3" w:type="dxa"/>
            <w:gridSpan w:val="13"/>
            <w:vAlign w:val="center"/>
          </w:tcPr>
          <w:p>
            <w:pPr>
              <w:pStyle w:val="180"/>
              <w:keepNext w:val="0"/>
              <w:keepLines w:val="0"/>
              <w:suppressLineNumbers w:val="0"/>
              <w:spacing w:before="0" w:beforeAutospacing="0" w:after="0" w:afterAutospacing="0"/>
              <w:ind w:left="0" w:right="0"/>
              <w:rPr>
                <w:rFonts w:hint="eastAsia" w:ascii="Times New Roman" w:hAnsi="Times New Roman" w:eastAsia="等线"/>
                <w:kern w:val="2"/>
                <w:sz w:val="18"/>
                <w:szCs w:val="18"/>
              </w:rPr>
            </w:pPr>
            <w:r>
              <w:rPr>
                <w:rFonts w:hint="eastAsia"/>
                <w:kern w:val="2"/>
              </w:rPr>
              <w:t>其中，高等教育包含理工及综合学校，文史、财经、师范及政法类学校，高职及专业类学校等；中等教育包含中等职业学校、高级中学等；初等教育包含初级中学、完全小学、乡镇中心学校等；学前教育主要是指幼儿园。</w:t>
            </w:r>
          </w:p>
        </w:tc>
      </w:tr>
    </w:tbl>
    <w:p>
      <w:pPr>
        <w:pStyle w:val="57"/>
        <w:ind w:firstLine="420"/>
      </w:pPr>
    </w:p>
    <w:p>
      <w:pPr>
        <w:pStyle w:val="106"/>
        <w:spacing w:before="156" w:after="156"/>
      </w:pPr>
      <w:bookmarkStart w:id="212" w:name="_Toc14464"/>
      <w:r>
        <w:rPr>
          <w:rFonts w:hint="eastAsia"/>
        </w:rPr>
        <w:t>能耗定额修正系数</w:t>
      </w:r>
      <w:bookmarkEnd w:id="205"/>
      <w:bookmarkEnd w:id="206"/>
      <w:bookmarkEnd w:id="207"/>
      <w:bookmarkEnd w:id="208"/>
      <w:bookmarkEnd w:id="209"/>
      <w:bookmarkEnd w:id="210"/>
      <w:bookmarkEnd w:id="211"/>
      <w:bookmarkEnd w:id="212"/>
    </w:p>
    <w:p>
      <w:pPr>
        <w:pStyle w:val="57"/>
        <w:ind w:firstLine="420"/>
      </w:pPr>
      <w:r>
        <w:rPr>
          <w:rFonts w:hint="eastAsia"/>
        </w:rPr>
        <w:t>教育机构能耗定额修正条件和系数见表2。</w:t>
      </w:r>
    </w:p>
    <w:p>
      <w:pPr>
        <w:pStyle w:val="113"/>
        <w:spacing w:before="156" w:after="156"/>
      </w:pPr>
      <w:r>
        <w:rPr>
          <w:rFonts w:hint="eastAsia"/>
        </w:rPr>
        <w:t>能耗定额修正系数</w:t>
      </w:r>
    </w:p>
    <w:tbl>
      <w:tblPr>
        <w:tblStyle w:val="27"/>
        <w:tblW w:w="0" w:type="auto"/>
        <w:tblInd w:w="67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4"/>
        <w:gridCol w:w="1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84" w:type="dxa"/>
            <w:tcBorders>
              <w:top w:val="single" w:color="auto" w:sz="8" w:space="0"/>
              <w:bottom w:val="single" w:color="auto" w:sz="8" w:space="0"/>
            </w:tcBorders>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修正条件</w:t>
            </w:r>
          </w:p>
        </w:tc>
        <w:tc>
          <w:tcPr>
            <w:tcW w:w="1438" w:type="dxa"/>
            <w:tcBorders>
              <w:top w:val="single" w:color="auto" w:sz="8" w:space="0"/>
              <w:bottom w:val="single" w:color="auto" w:sz="8" w:space="0"/>
            </w:tcBorders>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修正系数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84" w:type="dxa"/>
            <w:tcBorders>
              <w:top w:val="single" w:color="auto" w:sz="8" w:space="0"/>
              <w:bottom w:val="single" w:color="auto"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kern w:val="0"/>
                <w:sz w:val="18"/>
                <w:szCs w:val="18"/>
                <w:lang w:eastAsia="zh-CN"/>
              </w:rPr>
            </w:pPr>
            <w:r>
              <w:rPr>
                <w:rFonts w:hint="eastAsia" w:ascii="宋体" w:hAnsi="宋体"/>
                <w:color w:val="000000"/>
                <w:sz w:val="18"/>
                <w:szCs w:val="18"/>
              </w:rPr>
              <w:t>教育机构建筑内安装</w:t>
            </w:r>
            <w:r>
              <w:rPr>
                <w:rFonts w:hint="eastAsia" w:ascii="宋体" w:hAnsi="宋体"/>
                <w:color w:val="000000"/>
                <w:sz w:val="18"/>
                <w:szCs w:val="18"/>
                <w:lang w:eastAsia="zh-CN"/>
              </w:rPr>
              <w:t>和运行</w:t>
            </w:r>
            <w:r>
              <w:rPr>
                <w:rFonts w:hint="eastAsia" w:ascii="宋体" w:hAnsi="宋体"/>
                <w:color w:val="000000"/>
                <w:sz w:val="18"/>
                <w:szCs w:val="18"/>
              </w:rPr>
              <w:t>中央空调</w:t>
            </w:r>
          </w:p>
        </w:tc>
        <w:tc>
          <w:tcPr>
            <w:tcW w:w="1438" w:type="dxa"/>
            <w:tcBorders>
              <w:top w:val="single" w:color="auto" w:sz="8" w:space="0"/>
              <w:bottom w:val="single" w:color="auto" w:sz="8" w:space="0"/>
            </w:tcBorders>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firstLine="540" w:firstLineChars="300"/>
              <w:rPr>
                <w:rFonts w:hint="default" w:ascii="宋体" w:hAnsi="宋体"/>
                <w:kern w:val="0"/>
                <w:sz w:val="18"/>
                <w:szCs w:val="18"/>
              </w:rPr>
            </w:pPr>
            <w:r>
              <w:rPr>
                <w:rFonts w:hint="eastAsia" w:ascii="宋体" w:hAnsi="宋体"/>
                <w:kern w:val="0"/>
                <w:sz w:val="18"/>
                <w:szCs w:val="18"/>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84" w:type="dxa"/>
            <w:tcBorders>
              <w:top w:val="single" w:color="auto" w:sz="8" w:space="0"/>
              <w:bottom w:val="single" w:color="auto"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color w:val="000000"/>
                <w:sz w:val="18"/>
                <w:szCs w:val="18"/>
              </w:rPr>
              <w:t>教育机构</w:t>
            </w:r>
            <w:r>
              <w:rPr>
                <w:rFonts w:hint="eastAsia" w:ascii="宋体" w:hAnsi="宋体"/>
                <w:color w:val="000000"/>
                <w:sz w:val="18"/>
                <w:szCs w:val="18"/>
                <w:lang w:eastAsia="zh-CN"/>
              </w:rPr>
              <w:t>有正常运行的</w:t>
            </w:r>
            <w:r>
              <w:rPr>
                <w:rFonts w:hint="eastAsia" w:ascii="宋体" w:hAnsi="宋体"/>
                <w:color w:val="000000"/>
                <w:sz w:val="18"/>
                <w:szCs w:val="18"/>
              </w:rPr>
              <w:t>高能耗实验室或者校办工厂</w:t>
            </w:r>
            <w:r>
              <w:rPr>
                <w:rFonts w:hint="eastAsia" w:ascii="宋体" w:hAnsi="宋体"/>
                <w:color w:val="000000"/>
                <w:sz w:val="18"/>
                <w:szCs w:val="18"/>
                <w:lang w:eastAsia="zh-CN"/>
              </w:rPr>
              <w:t>（含高能耗设备）</w:t>
            </w:r>
          </w:p>
        </w:tc>
        <w:tc>
          <w:tcPr>
            <w:tcW w:w="1438" w:type="dxa"/>
            <w:tcBorders>
              <w:top w:val="single" w:color="auto" w:sz="8" w:space="0"/>
              <w:bottom w:val="single" w:color="auto" w:sz="8" w:space="0"/>
            </w:tcBorders>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firstLine="540" w:firstLineChars="300"/>
              <w:rPr>
                <w:rFonts w:hint="default" w:ascii="宋体" w:hAnsi="宋体"/>
                <w:kern w:val="0"/>
                <w:sz w:val="18"/>
                <w:szCs w:val="18"/>
              </w:rPr>
            </w:pPr>
            <w:r>
              <w:rPr>
                <w:rFonts w:hint="eastAsia" w:ascii="宋体" w:hAnsi="宋体"/>
                <w:kern w:val="0"/>
                <w:sz w:val="18"/>
                <w:szCs w:val="18"/>
              </w:rPr>
              <w:t>1.20</w:t>
            </w:r>
          </w:p>
        </w:tc>
      </w:tr>
    </w:tbl>
    <w:p>
      <w:pPr>
        <w:pStyle w:val="105"/>
        <w:spacing w:before="312" w:after="312"/>
      </w:pPr>
      <w:bookmarkStart w:id="213" w:name="_Toc44236932"/>
      <w:bookmarkStart w:id="214" w:name="_Toc44236899"/>
      <w:bookmarkStart w:id="215" w:name="_Toc55999829"/>
      <w:bookmarkStart w:id="216" w:name="_Toc63084590"/>
      <w:bookmarkStart w:id="217" w:name="_Toc65157140"/>
      <w:bookmarkStart w:id="218" w:name="_Toc65159257"/>
      <w:bookmarkStart w:id="219" w:name="_Toc65228765"/>
      <w:bookmarkStart w:id="220" w:name="_Toc65230026"/>
      <w:bookmarkStart w:id="221" w:name="_Toc65243813"/>
      <w:bookmarkStart w:id="222" w:name="_Toc26164"/>
      <w:r>
        <w:rPr>
          <w:rFonts w:hint="eastAsia"/>
        </w:rPr>
        <w:t>统计范围</w:t>
      </w:r>
      <w:bookmarkEnd w:id="213"/>
      <w:bookmarkEnd w:id="214"/>
      <w:bookmarkEnd w:id="215"/>
      <w:bookmarkEnd w:id="216"/>
      <w:bookmarkEnd w:id="217"/>
      <w:bookmarkEnd w:id="218"/>
      <w:bookmarkEnd w:id="219"/>
      <w:bookmarkEnd w:id="220"/>
      <w:bookmarkEnd w:id="221"/>
      <w:bookmarkEnd w:id="222"/>
    </w:p>
    <w:p>
      <w:pPr>
        <w:pStyle w:val="106"/>
        <w:spacing w:before="156" w:after="156"/>
      </w:pPr>
      <w:bookmarkStart w:id="223" w:name="_Toc55999830"/>
      <w:bookmarkStart w:id="224" w:name="_Toc63084591"/>
      <w:bookmarkStart w:id="225" w:name="_Toc65157141"/>
      <w:bookmarkStart w:id="226" w:name="_Toc65159258"/>
      <w:bookmarkStart w:id="227" w:name="_Toc65228766"/>
      <w:bookmarkStart w:id="228" w:name="_Toc65230027"/>
      <w:bookmarkStart w:id="229" w:name="_Toc65243814"/>
      <w:bookmarkStart w:id="230" w:name="_Toc32722"/>
      <w:r>
        <w:rPr>
          <w:rFonts w:hint="eastAsia"/>
        </w:rPr>
        <w:t>统计周期</w:t>
      </w:r>
      <w:bookmarkEnd w:id="223"/>
      <w:bookmarkEnd w:id="224"/>
      <w:bookmarkEnd w:id="225"/>
      <w:bookmarkEnd w:id="226"/>
      <w:bookmarkEnd w:id="227"/>
      <w:bookmarkEnd w:id="228"/>
      <w:bookmarkEnd w:id="229"/>
      <w:bookmarkEnd w:id="230"/>
    </w:p>
    <w:p>
      <w:pPr>
        <w:pStyle w:val="57"/>
        <w:ind w:firstLine="420"/>
      </w:pPr>
      <w:bookmarkStart w:id="231" w:name="_Toc44236900"/>
      <w:bookmarkStart w:id="232" w:name="_Toc44236933"/>
      <w:r>
        <w:rPr>
          <w:rFonts w:hint="eastAsia"/>
        </w:rPr>
        <w:t>能耗统计应以年度为周期，宜采用一个自然年作为一个统计周期，统计口径与统计部门保持一致。</w:t>
      </w:r>
      <w:bookmarkEnd w:id="231"/>
      <w:bookmarkEnd w:id="232"/>
    </w:p>
    <w:p>
      <w:pPr>
        <w:pStyle w:val="106"/>
        <w:spacing w:before="156" w:after="156"/>
      </w:pPr>
      <w:bookmarkStart w:id="233" w:name="_Toc65157142"/>
      <w:bookmarkStart w:id="234" w:name="_Toc55999831"/>
      <w:bookmarkStart w:id="235" w:name="_Toc63084592"/>
      <w:bookmarkStart w:id="236" w:name="_Toc65230028"/>
      <w:bookmarkStart w:id="237" w:name="_Toc65243815"/>
      <w:bookmarkStart w:id="238" w:name="_Toc65159259"/>
      <w:bookmarkStart w:id="239" w:name="_Toc65228767"/>
      <w:bookmarkStart w:id="240" w:name="_Toc11000"/>
      <w:r>
        <w:rPr>
          <w:rFonts w:hint="eastAsia"/>
        </w:rPr>
        <w:t>综合能耗统计范围</w:t>
      </w:r>
      <w:bookmarkEnd w:id="233"/>
      <w:bookmarkEnd w:id="234"/>
      <w:bookmarkEnd w:id="235"/>
      <w:bookmarkEnd w:id="236"/>
      <w:bookmarkEnd w:id="237"/>
      <w:bookmarkEnd w:id="238"/>
      <w:bookmarkEnd w:id="239"/>
      <w:bookmarkEnd w:id="240"/>
    </w:p>
    <w:p>
      <w:pPr>
        <w:pStyle w:val="57"/>
        <w:ind w:firstLine="420"/>
      </w:pPr>
      <w:bookmarkStart w:id="241" w:name="_Toc44236901"/>
      <w:bookmarkStart w:id="242" w:name="_Toc44236934"/>
      <w:r>
        <w:t>教育机构</w:t>
      </w:r>
      <w:r>
        <w:rPr>
          <w:rFonts w:hint="eastAsia"/>
        </w:rPr>
        <w:t>综合能耗的统计范围是统计对象在统计周期内实际消耗的一次能源、二次能源和耗能工质折算所消耗的能源。能源的低位热值应以实测为准，若无条件实测，可通过折算得到能源消耗量</w:t>
      </w:r>
      <w:bookmarkEnd w:id="241"/>
      <w:bookmarkEnd w:id="242"/>
      <w:r>
        <w:rPr>
          <w:rFonts w:hint="eastAsia"/>
        </w:rPr>
        <w:t>，折算系数见附录A。</w:t>
      </w:r>
    </w:p>
    <w:p>
      <w:pPr>
        <w:pStyle w:val="106"/>
        <w:spacing w:before="156" w:after="156"/>
      </w:pPr>
      <w:bookmarkStart w:id="243" w:name="_Toc65159263"/>
      <w:bookmarkStart w:id="244" w:name="_Toc65228771"/>
      <w:bookmarkStart w:id="245" w:name="_Toc55999835"/>
      <w:bookmarkStart w:id="246" w:name="_Toc65230032"/>
      <w:bookmarkStart w:id="247" w:name="_Toc65157146"/>
      <w:bookmarkStart w:id="248" w:name="_Toc65243819"/>
      <w:bookmarkStart w:id="249" w:name="_Toc63084596"/>
      <w:bookmarkStart w:id="250" w:name="_Toc24819"/>
      <w:r>
        <w:rPr>
          <w:rFonts w:hint="eastAsia"/>
        </w:rPr>
        <w:t>用能人数的统计范围</w:t>
      </w:r>
      <w:bookmarkEnd w:id="243"/>
      <w:bookmarkEnd w:id="244"/>
      <w:bookmarkEnd w:id="245"/>
      <w:bookmarkEnd w:id="246"/>
      <w:bookmarkEnd w:id="247"/>
      <w:bookmarkEnd w:id="248"/>
      <w:bookmarkEnd w:id="249"/>
      <w:bookmarkEnd w:id="250"/>
    </w:p>
    <w:p>
      <w:pPr>
        <w:pStyle w:val="166"/>
      </w:pPr>
      <w:r>
        <w:rPr>
          <w:rFonts w:hint="eastAsia"/>
        </w:rPr>
        <w:t>教育机构用能人数的统计范围是在统计周期内在校人员，</w:t>
      </w:r>
      <w:r>
        <w:rPr>
          <w:rFonts w:ascii="Times New Roman" w:hAnsi="宋体"/>
        </w:rPr>
        <w:t>包括在岗在编人员</w:t>
      </w:r>
      <w:r>
        <w:rPr>
          <w:rFonts w:hint="eastAsia" w:ascii="Times New Roman" w:hAnsi="宋体"/>
        </w:rPr>
        <w:t>、</w:t>
      </w:r>
      <w:r>
        <w:rPr>
          <w:rFonts w:hint="eastAsia"/>
        </w:rPr>
        <w:t>长期聘（借）用的编外人员</w:t>
      </w:r>
      <w:r>
        <w:rPr>
          <w:rFonts w:hint="eastAsia" w:ascii="Times New Roman" w:hAnsi="宋体"/>
        </w:rPr>
        <w:t>、登记在校的全日制学生、流动人员</w:t>
      </w:r>
      <w:r>
        <w:rPr>
          <w:rFonts w:hint="eastAsia"/>
        </w:rPr>
        <w:t>等日平均用能人数。</w:t>
      </w:r>
    </w:p>
    <w:p>
      <w:pPr>
        <w:pStyle w:val="166"/>
      </w:pPr>
      <w:r>
        <w:rPr>
          <w:rFonts w:hint="eastAsia"/>
        </w:rPr>
        <w:t>在计算教育机构人均综合能耗时，计入教育机构用能人数的数量应与能源使用量的统计范围一致，没有计入能源统计范围的区域，该区域内的人员数量应相应从人员的统计范围中去除。</w:t>
      </w:r>
    </w:p>
    <w:p>
      <w:pPr>
        <w:pStyle w:val="106"/>
        <w:spacing w:before="156" w:after="156"/>
      </w:pPr>
      <w:bookmarkStart w:id="251" w:name="_Toc55999832"/>
      <w:bookmarkStart w:id="252" w:name="_Toc63084593"/>
      <w:bookmarkStart w:id="253" w:name="_Toc65157143"/>
      <w:bookmarkStart w:id="254" w:name="_Toc65159260"/>
      <w:bookmarkStart w:id="255" w:name="_Toc65228768"/>
      <w:bookmarkStart w:id="256" w:name="_Toc65230029"/>
      <w:bookmarkStart w:id="257" w:name="_Toc65243816"/>
      <w:bookmarkStart w:id="258" w:name="_Toc31339"/>
      <w:r>
        <w:rPr>
          <w:rFonts w:hint="eastAsia"/>
        </w:rPr>
        <w:t>电耗范围统计</w:t>
      </w:r>
      <w:bookmarkEnd w:id="251"/>
      <w:bookmarkEnd w:id="252"/>
      <w:bookmarkEnd w:id="253"/>
      <w:bookmarkEnd w:id="254"/>
      <w:bookmarkEnd w:id="255"/>
      <w:bookmarkEnd w:id="256"/>
      <w:bookmarkEnd w:id="257"/>
      <w:bookmarkEnd w:id="258"/>
    </w:p>
    <w:p>
      <w:pPr>
        <w:pStyle w:val="231"/>
      </w:pPr>
      <w:bookmarkStart w:id="259" w:name="_Toc44236902"/>
      <w:bookmarkStart w:id="260" w:name="_Toc44236935"/>
      <w:r>
        <w:t>教育机构</w:t>
      </w:r>
      <w:r>
        <w:rPr>
          <w:rFonts w:hint="eastAsia"/>
        </w:rPr>
        <w:t>电耗的统计范围是统计对象在统计周期内实际消耗的电量。</w:t>
      </w:r>
      <w:bookmarkEnd w:id="259"/>
      <w:bookmarkEnd w:id="260"/>
    </w:p>
    <w:p>
      <w:pPr>
        <w:pStyle w:val="106"/>
        <w:spacing w:before="156" w:after="156"/>
      </w:pPr>
      <w:bookmarkStart w:id="261" w:name="_Toc55999834"/>
      <w:bookmarkStart w:id="262" w:name="_Toc63084595"/>
      <w:bookmarkStart w:id="263" w:name="_Toc65157145"/>
      <w:bookmarkStart w:id="264" w:name="_Toc65159262"/>
      <w:bookmarkStart w:id="265" w:name="_Toc65228770"/>
      <w:bookmarkStart w:id="266" w:name="_Toc65230031"/>
      <w:bookmarkStart w:id="267" w:name="_Toc65243818"/>
      <w:bookmarkStart w:id="268" w:name="_Toc5814"/>
      <w:r>
        <w:rPr>
          <w:rFonts w:hint="eastAsia"/>
        </w:rPr>
        <w:t>建筑面积的统计范围</w:t>
      </w:r>
      <w:bookmarkEnd w:id="261"/>
      <w:bookmarkEnd w:id="262"/>
      <w:bookmarkEnd w:id="263"/>
      <w:bookmarkEnd w:id="264"/>
      <w:bookmarkEnd w:id="265"/>
      <w:bookmarkEnd w:id="266"/>
      <w:bookmarkEnd w:id="267"/>
      <w:bookmarkEnd w:id="268"/>
    </w:p>
    <w:p>
      <w:pPr>
        <w:pStyle w:val="166"/>
      </w:pPr>
      <w:r>
        <w:rPr>
          <w:rFonts w:hint="eastAsia"/>
        </w:rPr>
        <w:t>教育机构建筑面积的统计范围是教育机构用于办公、教学、科研、实训及生活等方面的全部建筑面积，按照 GB/T 51161 的规定进行计算。</w:t>
      </w:r>
    </w:p>
    <w:p>
      <w:pPr>
        <w:pStyle w:val="166"/>
      </w:pPr>
      <w:r>
        <w:rPr>
          <w:rFonts w:hint="eastAsia"/>
        </w:rPr>
        <w:t>在计算教育机构单位建筑面积综合能耗、单位建筑面积电耗时，计入教育机构的建筑面积应与能源使用量的统计范围一致，没有计入能源统计范围的区域，该区域的建筑面积应从相应建筑面积的统计范围中扣除。</w:t>
      </w:r>
    </w:p>
    <w:p>
      <w:pPr>
        <w:pStyle w:val="106"/>
        <w:spacing w:before="156" w:after="156"/>
      </w:pPr>
      <w:bookmarkStart w:id="269" w:name="_Toc55999833"/>
      <w:bookmarkStart w:id="270" w:name="_Toc63084594"/>
      <w:bookmarkStart w:id="271" w:name="_Toc65157144"/>
      <w:bookmarkStart w:id="272" w:name="_Toc65159261"/>
      <w:bookmarkStart w:id="273" w:name="_Toc65230030"/>
      <w:bookmarkStart w:id="274" w:name="_Toc65243817"/>
      <w:bookmarkStart w:id="275" w:name="_Toc65228769"/>
      <w:bookmarkStart w:id="276" w:name="_Toc30446"/>
      <w:r>
        <w:rPr>
          <w:rFonts w:hint="eastAsia"/>
        </w:rPr>
        <w:t>不纳入能耗统计的范围</w:t>
      </w:r>
      <w:bookmarkEnd w:id="269"/>
      <w:bookmarkEnd w:id="270"/>
      <w:bookmarkEnd w:id="271"/>
      <w:bookmarkEnd w:id="272"/>
      <w:bookmarkEnd w:id="273"/>
      <w:bookmarkEnd w:id="274"/>
      <w:bookmarkEnd w:id="275"/>
      <w:bookmarkEnd w:id="276"/>
    </w:p>
    <w:p>
      <w:pPr>
        <w:pStyle w:val="231"/>
      </w:pPr>
      <w:r>
        <w:t>教育机构</w:t>
      </w:r>
      <w:r>
        <w:rPr>
          <w:rFonts w:hint="eastAsia"/>
        </w:rPr>
        <w:t>中独立核算（界定）的并能分项计量的职工住宅、食堂</w:t>
      </w:r>
      <w:r>
        <w:rPr>
          <w:rFonts w:hint="eastAsia"/>
          <w:lang w:eastAsia="zh-CN"/>
        </w:rPr>
        <w:t>、</w:t>
      </w:r>
      <w:r>
        <w:t>浴室、健身</w:t>
      </w:r>
      <w:r>
        <w:rPr>
          <w:rFonts w:hint="eastAsia"/>
          <w:lang w:eastAsia="zh-CN"/>
        </w:rPr>
        <w:t>房</w:t>
      </w:r>
      <w:r>
        <w:rPr>
          <w:rFonts w:hint="eastAsia"/>
        </w:rPr>
        <w:t>等功能区域能耗，不纳入统计范围。</w:t>
      </w:r>
    </w:p>
    <w:p>
      <w:pPr>
        <w:pStyle w:val="105"/>
        <w:spacing w:before="312" w:after="312"/>
      </w:pPr>
      <w:bookmarkStart w:id="277" w:name="_Toc44236903"/>
      <w:bookmarkStart w:id="278" w:name="_Toc44236936"/>
      <w:bookmarkStart w:id="279" w:name="_Toc55999836"/>
      <w:bookmarkStart w:id="280" w:name="_Toc63084597"/>
      <w:bookmarkStart w:id="281" w:name="_Toc65157147"/>
      <w:bookmarkStart w:id="282" w:name="_Toc65159264"/>
      <w:bookmarkStart w:id="283" w:name="_Toc65228772"/>
      <w:bookmarkStart w:id="284" w:name="_Toc65230033"/>
      <w:bookmarkStart w:id="285" w:name="_Toc65243820"/>
      <w:bookmarkStart w:id="286" w:name="_Toc10601"/>
      <w:r>
        <w:rPr>
          <w:rFonts w:hint="eastAsia"/>
        </w:rPr>
        <w:t>计算方法</w:t>
      </w:r>
      <w:bookmarkEnd w:id="277"/>
      <w:bookmarkEnd w:id="278"/>
      <w:bookmarkEnd w:id="279"/>
      <w:bookmarkEnd w:id="280"/>
      <w:bookmarkEnd w:id="281"/>
      <w:bookmarkEnd w:id="282"/>
      <w:bookmarkEnd w:id="283"/>
      <w:bookmarkEnd w:id="284"/>
      <w:bookmarkEnd w:id="285"/>
      <w:bookmarkEnd w:id="286"/>
    </w:p>
    <w:p>
      <w:pPr>
        <w:pStyle w:val="106"/>
        <w:spacing w:before="156" w:after="156"/>
      </w:pPr>
      <w:bookmarkStart w:id="287" w:name="_Toc55999837"/>
      <w:bookmarkStart w:id="288" w:name="_Toc63084598"/>
      <w:bookmarkStart w:id="289" w:name="_Toc65157148"/>
      <w:bookmarkStart w:id="290" w:name="_Toc65159265"/>
      <w:bookmarkStart w:id="291" w:name="_Toc65228773"/>
      <w:bookmarkStart w:id="292" w:name="_Toc65230034"/>
      <w:bookmarkStart w:id="293" w:name="_Toc65243821"/>
      <w:bookmarkStart w:id="294" w:name="_Toc320"/>
      <w:r>
        <w:rPr>
          <w:rFonts w:hint="eastAsia"/>
        </w:rPr>
        <w:t>综合能耗</w:t>
      </w:r>
      <w:bookmarkEnd w:id="287"/>
      <w:bookmarkEnd w:id="288"/>
      <w:bookmarkEnd w:id="289"/>
      <w:bookmarkEnd w:id="290"/>
      <w:bookmarkEnd w:id="291"/>
      <w:bookmarkEnd w:id="292"/>
      <w:bookmarkEnd w:id="293"/>
      <w:bookmarkEnd w:id="294"/>
    </w:p>
    <w:p>
      <w:pPr>
        <w:pStyle w:val="234"/>
        <w:numPr>
          <w:ilvl w:val="0"/>
          <w:numId w:val="0"/>
        </w:numPr>
        <w:spacing w:beforeLines="0" w:afterLines="0"/>
        <w:ind w:firstLine="420" w:firstLineChars="200"/>
        <w:outlineLvl w:val="9"/>
        <w:rPr>
          <w:rFonts w:ascii="Times New Roman" w:hAnsi="宋体" w:eastAsia="宋体"/>
        </w:rPr>
      </w:pPr>
      <w:bookmarkStart w:id="295" w:name="_Toc44236904"/>
      <w:bookmarkStart w:id="296" w:name="_Toc44236937"/>
      <w:r>
        <w:rPr>
          <w:rFonts w:ascii="Times New Roman" w:hAnsi="宋体" w:eastAsia="宋体"/>
        </w:rPr>
        <w:t>教育机构</w:t>
      </w:r>
      <w:r>
        <w:rPr>
          <w:rFonts w:hint="eastAsia" w:ascii="Times New Roman" w:hAnsi="宋体" w:eastAsia="宋体"/>
        </w:rPr>
        <w:t>综合能耗等于统计期内实际消耗的各种能源实物量与该类能源折算标准煤系数的乘积之和，按公式（</w:t>
      </w:r>
      <w:r>
        <w:rPr>
          <w:rFonts w:hint="eastAsia" w:ascii="Times New Roman" w:eastAsia="宋体"/>
        </w:rPr>
        <w:t>1</w:t>
      </w:r>
      <w:r>
        <w:rPr>
          <w:rFonts w:hint="eastAsia" w:ascii="Times New Roman" w:hAnsi="宋体" w:eastAsia="宋体"/>
        </w:rPr>
        <w:t>）进行计算。</w:t>
      </w:r>
      <w:bookmarkEnd w:id="295"/>
      <w:bookmarkEnd w:id="296"/>
    </w:p>
    <w:p>
      <w:pPr>
        <w:pStyle w:val="231"/>
        <w:jc w:val="right"/>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w:rPr>
                <w:rFonts w:hint="eastAsia" w:ascii="Cambria Math" w:hAnsi="Cambria Math"/>
              </w:rPr>
              <m:t>z</m:t>
            </m:r>
            <m:ctrlPr>
              <w:rPr>
                <w:rFonts w:ascii="Cambria Math" w:hAnsi="Cambria Math"/>
              </w:rPr>
            </m:ctrlPr>
          </m:sub>
        </m:sSub>
        <m:r>
          <m:rPr>
            <m:sty m:val="p"/>
          </m:rPr>
          <w:rPr>
            <w:rFonts w:hint="eastAsia" w:ascii="Cambria Math" w:hAnsi="Cambria Math"/>
          </w:rPr>
          <m:t>=</m:t>
        </m:r>
        <m:nary>
          <m:naryPr>
            <m:chr m:val="∑"/>
            <m:limLoc m:val="undOvr"/>
            <m:ctrlPr>
              <w:rPr>
                <w:rFonts w:ascii="Cambria Math" w:hAnsi="Cambria Math"/>
              </w:rPr>
            </m:ctrlPr>
          </m:naryPr>
          <m:sub>
            <m:r>
              <m:rPr/>
              <w:rPr>
                <w:rFonts w:hint="eastAsia" w:ascii="Cambria Math" w:hAnsi="Cambria Math"/>
              </w:rPr>
              <m:t>i=1</m:t>
            </m:r>
            <m:ctrlPr>
              <w:rPr>
                <w:rFonts w:ascii="Cambria Math" w:hAnsi="Cambria Math"/>
              </w:rPr>
            </m:ctrlPr>
          </m:sub>
          <m:sup>
            <m:r>
              <m:rPr/>
              <w:rPr>
                <w:rFonts w:hint="eastAsia" w:ascii="Cambria Math" w:hAnsi="Cambria Math"/>
              </w:rPr>
              <m:t>n</m:t>
            </m:r>
            <m:ctrlPr>
              <w:rPr>
                <w:rFonts w:ascii="Cambria Math" w:hAnsi="Cambria Math"/>
              </w:rPr>
            </m:ctrlPr>
          </m:sup>
          <m:e>
            <m:r>
              <m:rPr/>
              <w:rPr>
                <w:rFonts w:hint="eastAsia" w:ascii="Cambria Math" w:hAnsi="Cambria Math"/>
              </w:rPr>
              <m:t>（</m:t>
            </m:r>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hint="eastAsia" w:ascii="Cambria Math" w:hAnsi="Cambria Math"/>
              </w:rPr>
              <m:t>）</m:t>
            </m:r>
            <m:ctrlPr>
              <w:rPr>
                <w:rFonts w:ascii="Cambria Math" w:hAnsi="Cambria Math"/>
              </w:rPr>
            </m:ctrlPr>
          </m:e>
        </m:nary>
      </m:oMath>
      <w:r>
        <w:rPr>
          <w:rFonts w:hAnsi="宋体"/>
        </w:rPr>
        <w:t>………………………………………………</w:t>
      </w:r>
      <w:r>
        <w:rPr>
          <w:rFonts w:hint="eastAsia" w:hAnsi="宋体"/>
        </w:rPr>
        <w:t>（1）</w:t>
      </w:r>
    </w:p>
    <w:p>
      <w:pPr>
        <w:pStyle w:val="231"/>
      </w:pPr>
    </w:p>
    <w:p>
      <w:pPr>
        <w:pStyle w:val="231"/>
        <w:jc w:val="left"/>
        <w:rPr>
          <w:rFonts w:ascii="Times New Roman"/>
        </w:rPr>
      </w:pPr>
      <w:r>
        <w:rPr>
          <w:rFonts w:hint="eastAsia" w:ascii="Times New Roman"/>
        </w:rPr>
        <w:t>式中：</w:t>
      </w:r>
    </w:p>
    <w:p>
      <w:pPr>
        <w:pStyle w:val="231"/>
        <w:rPr>
          <w:rFonts w:hAnsi="宋体"/>
        </w:rPr>
      </w:pPr>
      <w:r>
        <w:rPr>
          <w:rFonts w:hAnsi="宋体"/>
          <w:i/>
          <w:iCs/>
        </w:rPr>
        <w:t>E</w:t>
      </w:r>
      <w:r>
        <w:rPr>
          <w:rFonts w:hint="eastAsia" w:hAnsi="宋体"/>
          <w:i/>
          <w:iCs/>
          <w:vertAlign w:val="subscript"/>
        </w:rPr>
        <w:t>z</w:t>
      </w:r>
      <w:r>
        <w:rPr>
          <w:rFonts w:hAnsi="宋体"/>
        </w:rPr>
        <w:t>——教育机构</w:t>
      </w:r>
      <w:r>
        <w:rPr>
          <w:rFonts w:hint="eastAsia" w:hAnsi="宋体"/>
        </w:rPr>
        <w:t>统计期内综合能耗，单位为千克标准煤每年</w:t>
      </w:r>
      <w:r>
        <w:rPr>
          <w:rFonts w:hint="eastAsia" w:hAnsi="宋体"/>
          <w:kern w:val="2"/>
          <w:szCs w:val="21"/>
        </w:rPr>
        <w:t>（</w:t>
      </w:r>
      <w:r>
        <w:rPr>
          <w:rFonts w:hAnsi="宋体"/>
          <w:kern w:val="2"/>
          <w:szCs w:val="21"/>
        </w:rPr>
        <w:t>kgce</w:t>
      </w:r>
      <w:r>
        <w:rPr>
          <w:rFonts w:hint="eastAsia" w:hAnsi="宋体"/>
          <w:kern w:val="2"/>
          <w:szCs w:val="21"/>
        </w:rPr>
        <w:t>/a）</w:t>
      </w:r>
      <w:r>
        <w:rPr>
          <w:rFonts w:hint="eastAsia" w:hAnsi="宋体"/>
        </w:rPr>
        <w:t>；</w:t>
      </w:r>
    </w:p>
    <w:p>
      <w:pPr>
        <w:pStyle w:val="231"/>
        <w:rPr>
          <w:rFonts w:hAnsi="宋体"/>
        </w:rPr>
      </w:pPr>
      <w:r>
        <w:rPr>
          <w:rFonts w:hAnsi="宋体"/>
          <w:i/>
          <w:iCs/>
        </w:rPr>
        <w:t>e</w:t>
      </w:r>
      <w:r>
        <w:rPr>
          <w:rFonts w:hAnsi="宋体"/>
          <w:i/>
          <w:iCs/>
          <w:vertAlign w:val="subscript"/>
        </w:rPr>
        <w:t>i</w:t>
      </w:r>
      <w:r>
        <w:rPr>
          <w:rFonts w:hAnsi="宋体"/>
        </w:rPr>
        <w:t xml:space="preserve"> ——教育机构</w:t>
      </w:r>
      <w:r>
        <w:rPr>
          <w:rFonts w:hint="eastAsia" w:hAnsi="宋体"/>
        </w:rPr>
        <w:t>统计期内消耗的第i种能源的实物量，单位为实物量的单位；</w:t>
      </w:r>
    </w:p>
    <w:p>
      <w:pPr>
        <w:pStyle w:val="231"/>
        <w:rPr>
          <w:rFonts w:hAnsi="宋体"/>
        </w:rPr>
      </w:pPr>
      <w:r>
        <w:rPr>
          <w:rFonts w:hAnsi="宋体"/>
          <w:i/>
          <w:iCs/>
        </w:rPr>
        <w:t>p</w:t>
      </w:r>
      <w:r>
        <w:rPr>
          <w:rFonts w:hAnsi="宋体"/>
          <w:i/>
          <w:iCs/>
          <w:vertAlign w:val="subscript"/>
        </w:rPr>
        <w:t>i</w:t>
      </w:r>
      <w:r>
        <w:rPr>
          <w:rFonts w:hAnsi="宋体"/>
        </w:rPr>
        <w:t xml:space="preserve"> ——</w:t>
      </w:r>
      <w:r>
        <w:rPr>
          <w:rFonts w:hint="eastAsia" w:hAnsi="宋体"/>
        </w:rPr>
        <w:t>第i种能源折算标准煤系数；</w:t>
      </w:r>
    </w:p>
    <w:p>
      <w:pPr>
        <w:pStyle w:val="231"/>
        <w:rPr>
          <w:rFonts w:hAnsi="宋体"/>
        </w:rPr>
      </w:pPr>
      <w:r>
        <w:rPr>
          <w:rFonts w:hAnsi="宋体"/>
          <w:i/>
          <w:iCs/>
        </w:rPr>
        <w:t>n</w:t>
      </w:r>
      <w:r>
        <w:rPr>
          <w:rFonts w:hAnsi="宋体"/>
        </w:rPr>
        <w:t xml:space="preserve"> ——教育机构</w:t>
      </w:r>
      <w:r>
        <w:rPr>
          <w:rFonts w:hint="eastAsia" w:hAnsi="宋体"/>
        </w:rPr>
        <w:t>消耗的能源种类数。</w:t>
      </w:r>
    </w:p>
    <w:p>
      <w:pPr>
        <w:pStyle w:val="106"/>
        <w:spacing w:before="156" w:after="156"/>
      </w:pPr>
      <w:bookmarkStart w:id="297" w:name="_Toc55999838"/>
      <w:bookmarkStart w:id="298" w:name="_Toc63084599"/>
      <w:bookmarkStart w:id="299" w:name="_Toc65157149"/>
      <w:bookmarkStart w:id="300" w:name="_Toc65159266"/>
      <w:bookmarkStart w:id="301" w:name="_Toc65228774"/>
      <w:bookmarkStart w:id="302" w:name="_Toc65230035"/>
      <w:bookmarkStart w:id="303" w:name="_Toc65243822"/>
      <w:bookmarkStart w:id="304" w:name="_Toc12754"/>
      <w:r>
        <w:rPr>
          <w:rFonts w:hint="eastAsia"/>
        </w:rPr>
        <w:t>单位</w:t>
      </w:r>
      <w:r>
        <w:t>建筑</w:t>
      </w:r>
      <w:r>
        <w:rPr>
          <w:rFonts w:hint="eastAsia"/>
        </w:rPr>
        <w:t>面积综合能耗</w:t>
      </w:r>
      <w:bookmarkEnd w:id="297"/>
      <w:bookmarkEnd w:id="298"/>
      <w:bookmarkEnd w:id="299"/>
      <w:bookmarkEnd w:id="300"/>
      <w:bookmarkEnd w:id="301"/>
      <w:bookmarkEnd w:id="302"/>
      <w:bookmarkEnd w:id="303"/>
      <w:bookmarkEnd w:id="304"/>
    </w:p>
    <w:p>
      <w:pPr>
        <w:pStyle w:val="234"/>
        <w:numPr>
          <w:ilvl w:val="0"/>
          <w:numId w:val="0"/>
        </w:numPr>
        <w:spacing w:beforeLines="0" w:afterLines="0"/>
        <w:ind w:firstLine="420" w:firstLineChars="200"/>
        <w:outlineLvl w:val="9"/>
        <w:rPr>
          <w:rFonts w:ascii="宋体" w:hAnsi="宋体" w:eastAsia="宋体"/>
          <w:color w:val="000000"/>
        </w:rPr>
      </w:pPr>
      <w:bookmarkStart w:id="305" w:name="_Toc44236938"/>
      <w:bookmarkStart w:id="306" w:name="_Toc44236905"/>
      <w:r>
        <w:rPr>
          <w:rFonts w:ascii="Times New Roman" w:hAnsi="宋体" w:eastAsia="宋体"/>
          <w:color w:val="000000"/>
        </w:rPr>
        <w:t>教育机构</w:t>
      </w:r>
      <w:r>
        <w:rPr>
          <w:rFonts w:hint="eastAsia" w:ascii="Times New Roman" w:hAnsi="宋体" w:eastAsia="宋体"/>
          <w:color w:val="000000"/>
        </w:rPr>
        <w:t>单位</w:t>
      </w:r>
      <w:r>
        <w:rPr>
          <w:rFonts w:ascii="Times New Roman" w:hAnsi="宋体" w:eastAsia="宋体"/>
          <w:color w:val="000000"/>
        </w:rPr>
        <w:t>建筑</w:t>
      </w:r>
      <w:r>
        <w:rPr>
          <w:rFonts w:hint="eastAsia" w:ascii="Times New Roman" w:hAnsi="宋体" w:eastAsia="宋体"/>
          <w:color w:val="000000"/>
        </w:rPr>
        <w:t>面积综合能耗等于统计期内综合能耗与其建筑面积的比值</w:t>
      </w:r>
      <w:r>
        <w:rPr>
          <w:rFonts w:hint="eastAsia" w:ascii="宋体" w:hAnsi="宋体" w:eastAsia="宋体"/>
          <w:color w:val="000000"/>
        </w:rPr>
        <w:t>，按公式（2）进行计算。</w:t>
      </w:r>
      <w:bookmarkEnd w:id="305"/>
      <w:bookmarkEnd w:id="306"/>
    </w:p>
    <w:p>
      <w:pPr>
        <w:jc w:val="right"/>
        <w:rPr>
          <w:rFonts w:ascii="宋体" w:hAnsi="宋体" w:cs="宋体"/>
          <w:kern w:val="0"/>
          <w:sz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mz</m:t>
            </m:r>
            <m:ctrlPr>
              <w:rPr>
                <w:rFonts w:ascii="Cambria Math" w:hAnsi="Cambria Math"/>
                <w:i/>
              </w:rPr>
            </m:ctrlPr>
          </m:sub>
        </m:sSub>
        <m:r>
          <m:rPr/>
          <w:rPr>
            <w:rFonts w:ascii="Cambria Math" w:hAnsi="Cambria Math"/>
          </w:rPr>
          <m:t>=</m:t>
        </m:r>
        <m:f>
          <m:fPr>
            <m:type m:val="lin"/>
            <m:ctrlPr>
              <w:rPr>
                <w:rFonts w:ascii="Cambria Math" w:hAnsi="Cambria Math"/>
                <w:i/>
              </w:rPr>
            </m:ctrlPr>
          </m:fPr>
          <m:num>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Z</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oMath>
      <w:r>
        <w:rPr>
          <w:rFonts w:ascii="宋体" w:hAnsi="宋体" w:cs="宋体"/>
          <w:kern w:val="0"/>
          <w:sz w:val="24"/>
        </w:rPr>
        <w:t xml:space="preserve"> </w:t>
      </w:r>
      <w:r>
        <w:rPr>
          <w:rFonts w:ascii="宋体" w:hAnsi="宋体"/>
        </w:rPr>
        <w:t>…………………………………………………</w:t>
      </w:r>
      <w:r>
        <w:rPr>
          <w:rFonts w:hint="eastAsia" w:ascii="宋体" w:hAnsi="宋体"/>
        </w:rPr>
        <w:t>（2）</w:t>
      </w:r>
    </w:p>
    <w:p>
      <w:pPr>
        <w:pStyle w:val="231"/>
        <w:jc w:val="center"/>
        <w:rPr>
          <w:rFonts w:hAnsi="宋体"/>
        </w:rPr>
      </w:pPr>
    </w:p>
    <w:p>
      <w:pPr>
        <w:pStyle w:val="231"/>
        <w:jc w:val="left"/>
        <w:rPr>
          <w:rFonts w:hAnsi="宋体"/>
        </w:rPr>
      </w:pPr>
      <w:r>
        <w:rPr>
          <w:rFonts w:hint="eastAsia" w:hAnsi="宋体"/>
        </w:rPr>
        <w:t>式中：</w:t>
      </w:r>
    </w:p>
    <w:p>
      <w:pPr>
        <w:pStyle w:val="231"/>
        <w:rPr>
          <w:rFonts w:hAnsi="宋体"/>
        </w:rPr>
      </w:pPr>
      <w:r>
        <w:rPr>
          <w:rFonts w:hAnsi="宋体"/>
          <w:i/>
          <w:iCs/>
        </w:rPr>
        <w:t>E</w:t>
      </w:r>
      <w:r>
        <w:rPr>
          <w:rFonts w:hint="eastAsia" w:hAnsi="宋体"/>
          <w:i/>
          <w:iCs/>
          <w:vertAlign w:val="subscript"/>
        </w:rPr>
        <w:t xml:space="preserve">mz </w:t>
      </w:r>
      <w:r>
        <w:rPr>
          <w:rFonts w:hAnsi="宋体"/>
        </w:rPr>
        <w:t>——教育机构</w:t>
      </w:r>
      <w:r>
        <w:rPr>
          <w:rFonts w:hint="eastAsia" w:hAnsi="宋体"/>
        </w:rPr>
        <w:t>单位</w:t>
      </w:r>
      <w:r>
        <w:rPr>
          <w:rFonts w:hAnsi="宋体"/>
        </w:rPr>
        <w:t>建筑</w:t>
      </w:r>
      <w:r>
        <w:rPr>
          <w:rFonts w:hint="eastAsia" w:hAnsi="宋体"/>
        </w:rPr>
        <w:t>面积综合能耗，单位为千克标准煤每平方米年</w:t>
      </w:r>
      <w:r>
        <w:rPr>
          <w:rFonts w:hint="eastAsia" w:hAnsi="宋体"/>
          <w:kern w:val="2"/>
          <w:szCs w:val="21"/>
        </w:rPr>
        <w:t>[kgce/（m</w:t>
      </w:r>
      <w:r>
        <w:rPr>
          <w:rFonts w:hint="eastAsia" w:hAnsi="宋体"/>
          <w:kern w:val="2"/>
          <w:szCs w:val="21"/>
          <w:vertAlign w:val="superscript"/>
        </w:rPr>
        <w:t>2</w:t>
      </w:r>
      <w:r>
        <w:rPr>
          <w:rFonts w:hint="eastAsia" w:hAnsi="宋体"/>
          <w:kern w:val="2"/>
          <w:szCs w:val="21"/>
        </w:rPr>
        <w:t>·a）]</w:t>
      </w:r>
      <w:r>
        <w:rPr>
          <w:rFonts w:hint="eastAsia" w:hAnsi="宋体"/>
        </w:rPr>
        <w:t>；</w:t>
      </w:r>
    </w:p>
    <w:p>
      <w:pPr>
        <w:pStyle w:val="231"/>
        <w:rPr>
          <w:rFonts w:hAnsi="宋体"/>
        </w:rPr>
      </w:pPr>
      <w:r>
        <w:rPr>
          <w:rFonts w:hAnsi="宋体"/>
          <w:i/>
          <w:iCs/>
        </w:rPr>
        <w:t>E</w:t>
      </w:r>
      <w:r>
        <w:rPr>
          <w:rFonts w:hint="eastAsia" w:hAnsi="宋体"/>
          <w:i/>
          <w:iCs/>
          <w:vertAlign w:val="subscript"/>
        </w:rPr>
        <w:t>z</w:t>
      </w:r>
      <w:r>
        <w:rPr>
          <w:rFonts w:hAnsi="宋体"/>
        </w:rPr>
        <w:t>——教育机构</w:t>
      </w:r>
      <w:r>
        <w:rPr>
          <w:rFonts w:hint="eastAsia" w:hAnsi="宋体"/>
        </w:rPr>
        <w:t>统计期内综合能耗，单位为千克标准煤每年</w:t>
      </w:r>
      <w:r>
        <w:rPr>
          <w:rFonts w:hint="eastAsia" w:hAnsi="宋体"/>
          <w:kern w:val="2"/>
          <w:szCs w:val="21"/>
        </w:rPr>
        <w:t>（</w:t>
      </w:r>
      <w:r>
        <w:rPr>
          <w:rFonts w:hAnsi="宋体"/>
          <w:kern w:val="2"/>
          <w:szCs w:val="21"/>
        </w:rPr>
        <w:t>kgce</w:t>
      </w:r>
      <w:r>
        <w:rPr>
          <w:rFonts w:hint="eastAsia" w:hAnsi="宋体"/>
          <w:kern w:val="2"/>
          <w:szCs w:val="21"/>
        </w:rPr>
        <w:t>/a）</w:t>
      </w:r>
      <w:r>
        <w:rPr>
          <w:rFonts w:hint="eastAsia" w:hAnsi="宋体"/>
        </w:rPr>
        <w:t>；</w:t>
      </w:r>
    </w:p>
    <w:p>
      <w:pPr>
        <w:pStyle w:val="231"/>
        <w:rPr>
          <w:rFonts w:hAnsi="宋体"/>
        </w:rPr>
      </w:pPr>
      <w:r>
        <w:rPr>
          <w:rFonts w:hAnsi="宋体"/>
          <w:i/>
          <w:iCs/>
        </w:rPr>
        <w:t>M</w:t>
      </w:r>
      <w:r>
        <w:rPr>
          <w:rFonts w:hint="eastAsia" w:hAnsi="宋体"/>
          <w:i/>
          <w:iCs/>
        </w:rPr>
        <w:t xml:space="preserve"> </w:t>
      </w:r>
      <w:r>
        <w:rPr>
          <w:rFonts w:hAnsi="宋体"/>
        </w:rPr>
        <w:t>——教育机构</w:t>
      </w:r>
      <w:r>
        <w:rPr>
          <w:rFonts w:hint="eastAsia" w:hAnsi="宋体"/>
        </w:rPr>
        <w:t>建筑面积，单位为平方米（</w:t>
      </w:r>
      <w:r>
        <w:rPr>
          <w:rFonts w:hAnsi="宋体"/>
        </w:rPr>
        <w:t>m</w:t>
      </w:r>
      <w:r>
        <w:rPr>
          <w:rFonts w:hAnsi="宋体"/>
          <w:vertAlign w:val="superscript"/>
        </w:rPr>
        <w:t>2</w:t>
      </w:r>
      <w:r>
        <w:rPr>
          <w:rFonts w:hint="eastAsia" w:hAnsi="宋体"/>
        </w:rPr>
        <w:t>）。</w:t>
      </w:r>
    </w:p>
    <w:p>
      <w:pPr>
        <w:pStyle w:val="106"/>
        <w:spacing w:before="156" w:after="156"/>
      </w:pPr>
      <w:bookmarkStart w:id="307" w:name="_Toc55999839"/>
      <w:bookmarkStart w:id="308" w:name="_Toc63084600"/>
      <w:bookmarkStart w:id="309" w:name="_Toc65157150"/>
      <w:bookmarkStart w:id="310" w:name="_Toc65159267"/>
      <w:bookmarkStart w:id="311" w:name="_Toc65228775"/>
      <w:bookmarkStart w:id="312" w:name="_Toc65230036"/>
      <w:bookmarkStart w:id="313" w:name="_Toc65243823"/>
      <w:bookmarkStart w:id="314" w:name="_Toc9738"/>
      <w:r>
        <w:rPr>
          <w:rFonts w:hint="eastAsia"/>
        </w:rPr>
        <w:t>单位</w:t>
      </w:r>
      <w:r>
        <w:t>建筑</w:t>
      </w:r>
      <w:r>
        <w:rPr>
          <w:rFonts w:hint="eastAsia"/>
        </w:rPr>
        <w:t>面积电耗</w:t>
      </w:r>
      <w:bookmarkEnd w:id="307"/>
      <w:bookmarkEnd w:id="308"/>
      <w:bookmarkEnd w:id="309"/>
      <w:bookmarkEnd w:id="310"/>
      <w:bookmarkEnd w:id="311"/>
      <w:bookmarkEnd w:id="312"/>
      <w:bookmarkEnd w:id="313"/>
      <w:bookmarkEnd w:id="314"/>
    </w:p>
    <w:p>
      <w:pPr>
        <w:pStyle w:val="234"/>
        <w:numPr>
          <w:ilvl w:val="0"/>
          <w:numId w:val="0"/>
        </w:numPr>
        <w:spacing w:beforeLines="0" w:afterLines="0"/>
        <w:ind w:firstLine="420" w:firstLineChars="200"/>
        <w:outlineLvl w:val="9"/>
        <w:rPr>
          <w:rFonts w:ascii="宋体" w:hAnsi="宋体" w:eastAsia="宋体"/>
        </w:rPr>
      </w:pPr>
      <w:bookmarkStart w:id="315" w:name="_Toc44236906"/>
      <w:bookmarkStart w:id="316" w:name="_Toc44236939"/>
      <w:r>
        <w:rPr>
          <w:rFonts w:ascii="Times New Roman" w:hAnsi="宋体" w:eastAsia="宋体"/>
        </w:rPr>
        <w:t>教育机构</w:t>
      </w:r>
      <w:r>
        <w:rPr>
          <w:rFonts w:hint="eastAsia" w:ascii="Times New Roman" w:hAnsi="宋体" w:eastAsia="宋体"/>
        </w:rPr>
        <w:t>单位</w:t>
      </w:r>
      <w:r>
        <w:rPr>
          <w:rFonts w:ascii="Times New Roman" w:hAnsi="宋体" w:eastAsia="宋体"/>
        </w:rPr>
        <w:t>建筑</w:t>
      </w:r>
      <w:r>
        <w:rPr>
          <w:rFonts w:hint="eastAsia" w:ascii="Times New Roman" w:hAnsi="宋体" w:eastAsia="宋体"/>
        </w:rPr>
        <w:t>面积电耗等于统计期内总电力消耗量</w:t>
      </w:r>
      <w:r>
        <w:rPr>
          <w:rFonts w:hint="eastAsia" w:ascii="宋体" w:hAnsi="宋体" w:eastAsia="宋体"/>
        </w:rPr>
        <w:t>与其建筑面积的比值，按公式（3）进行计算。</w:t>
      </w:r>
      <w:bookmarkEnd w:id="315"/>
      <w:bookmarkEnd w:id="316"/>
    </w:p>
    <w:p>
      <w:pPr>
        <w:pStyle w:val="234"/>
        <w:numPr>
          <w:ilvl w:val="0"/>
          <w:numId w:val="0"/>
        </w:numPr>
        <w:spacing w:beforeLines="0" w:afterLines="0"/>
        <w:ind w:firstLine="420" w:firstLineChars="200"/>
        <w:jc w:val="right"/>
        <w:outlineLvl w:val="9"/>
        <w:rPr>
          <w:rFonts w:ascii="宋体" w:hAnsi="宋体" w:eastAsia="宋体"/>
        </w:rPr>
      </w:pPr>
      <m:oMath>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md</m:t>
            </m:r>
            <m:ctrlPr>
              <w:rPr>
                <w:rFonts w:ascii="Cambria Math" w:hAnsi="Cambria Math" w:eastAsia="宋体"/>
                <w:i/>
              </w:rPr>
            </m:ctrlPr>
          </m:sub>
        </m:sSub>
        <m:r>
          <m:rPr/>
          <w:rPr>
            <w:rFonts w:ascii="Cambria Math" w:hAnsi="Cambria Math" w:eastAsia="宋体"/>
          </w:rPr>
          <m:t>=</m:t>
        </m:r>
        <m:f>
          <m:fPr>
            <m:type m:val="lin"/>
            <m:ctrlPr>
              <w:rPr>
                <w:rFonts w:ascii="Cambria Math" w:hAnsi="Cambria Math" w:eastAsia="宋体"/>
                <w:i/>
              </w:rPr>
            </m:ctrlPr>
          </m:fPr>
          <m:num>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d</m:t>
                </m:r>
                <m:ctrlPr>
                  <w:rPr>
                    <w:rFonts w:ascii="Cambria Math" w:hAnsi="Cambria Math" w:eastAsia="宋体"/>
                    <w:i/>
                  </w:rPr>
                </m:ctrlPr>
              </m:sub>
            </m:sSub>
            <m:ctrlPr>
              <w:rPr>
                <w:rFonts w:ascii="Cambria Math" w:hAnsi="Cambria Math" w:eastAsia="宋体"/>
                <w:i/>
              </w:rPr>
            </m:ctrlPr>
          </m:num>
          <m:den>
            <m:r>
              <m:rPr/>
              <w:rPr>
                <w:rFonts w:ascii="Cambria Math" w:hAnsi="Cambria Math" w:eastAsia="宋体"/>
              </w:rPr>
              <m:t>M</m:t>
            </m:r>
            <m:ctrlPr>
              <w:rPr>
                <w:rFonts w:ascii="Cambria Math" w:hAnsi="Cambria Math" w:eastAsia="宋体"/>
                <w:i/>
              </w:rPr>
            </m:ctrlPr>
          </m:den>
        </m:f>
      </m:oMath>
      <w:r>
        <w:rPr>
          <w:rFonts w:ascii="宋体" w:hAnsi="宋体" w:eastAsia="宋体" w:cs="宋体"/>
          <w:sz w:val="24"/>
        </w:rPr>
        <w:t xml:space="preserve"> </w:t>
      </w:r>
      <w:r>
        <w:rPr>
          <w:rFonts w:ascii="宋体" w:hAnsi="宋体" w:eastAsia="宋体"/>
        </w:rPr>
        <w:t>…………………………………………………</w:t>
      </w:r>
      <w:r>
        <w:rPr>
          <w:rFonts w:hint="eastAsia" w:ascii="宋体" w:hAnsi="宋体" w:eastAsia="宋体"/>
        </w:rPr>
        <w:t>（3）</w:t>
      </w:r>
    </w:p>
    <w:p>
      <w:pPr>
        <w:pStyle w:val="231"/>
        <w:jc w:val="center"/>
        <w:rPr>
          <w:rFonts w:hAnsi="宋体"/>
        </w:rPr>
      </w:pPr>
    </w:p>
    <w:p>
      <w:pPr>
        <w:pStyle w:val="231"/>
        <w:jc w:val="left"/>
        <w:rPr>
          <w:rFonts w:hAnsi="宋体"/>
        </w:rPr>
      </w:pPr>
      <w:r>
        <w:rPr>
          <w:rFonts w:hint="eastAsia" w:hAnsi="宋体"/>
        </w:rPr>
        <w:t>式中：</w:t>
      </w:r>
    </w:p>
    <w:p>
      <w:pPr>
        <w:pStyle w:val="231"/>
        <w:rPr>
          <w:rFonts w:hAnsi="宋体"/>
        </w:rPr>
      </w:pPr>
      <w:r>
        <w:rPr>
          <w:rFonts w:hAnsi="宋体"/>
          <w:i/>
          <w:iCs/>
        </w:rPr>
        <w:t>E</w:t>
      </w:r>
      <w:r>
        <w:rPr>
          <w:rFonts w:hint="eastAsia" w:hAnsi="宋体"/>
          <w:i/>
          <w:iCs/>
          <w:vertAlign w:val="subscript"/>
        </w:rPr>
        <w:t xml:space="preserve">md </w:t>
      </w:r>
      <w:r>
        <w:rPr>
          <w:rFonts w:hAnsi="宋体"/>
        </w:rPr>
        <w:t>——教育机构</w:t>
      </w:r>
      <w:r>
        <w:rPr>
          <w:rFonts w:hint="eastAsia" w:hAnsi="宋体"/>
        </w:rPr>
        <w:t>单位</w:t>
      </w:r>
      <w:r>
        <w:rPr>
          <w:rFonts w:hAnsi="宋体"/>
        </w:rPr>
        <w:t>建筑</w:t>
      </w:r>
      <w:r>
        <w:rPr>
          <w:rFonts w:hint="eastAsia" w:hAnsi="宋体"/>
        </w:rPr>
        <w:t>面积电耗，单位为千瓦时每平方米年</w:t>
      </w:r>
      <w:r>
        <w:rPr>
          <w:rFonts w:hint="eastAsia" w:hAnsi="宋体"/>
          <w:kern w:val="2"/>
          <w:szCs w:val="21"/>
        </w:rPr>
        <w:t>[kW·h/（m</w:t>
      </w:r>
      <w:r>
        <w:rPr>
          <w:rFonts w:hint="eastAsia" w:hAnsi="宋体"/>
          <w:kern w:val="2"/>
          <w:szCs w:val="21"/>
          <w:vertAlign w:val="superscript"/>
        </w:rPr>
        <w:t>2</w:t>
      </w:r>
      <w:r>
        <w:rPr>
          <w:rFonts w:hint="eastAsia" w:hAnsi="宋体"/>
          <w:kern w:val="2"/>
          <w:szCs w:val="21"/>
        </w:rPr>
        <w:t>·a）]</w:t>
      </w:r>
      <w:r>
        <w:rPr>
          <w:rFonts w:hint="eastAsia" w:hAnsi="宋体"/>
        </w:rPr>
        <w:t>；</w:t>
      </w:r>
    </w:p>
    <w:p>
      <w:pPr>
        <w:pStyle w:val="231"/>
        <w:rPr>
          <w:rFonts w:hAnsi="宋体"/>
        </w:rPr>
      </w:pPr>
      <w:r>
        <w:rPr>
          <w:rFonts w:hAnsi="宋体"/>
          <w:i/>
          <w:iCs/>
        </w:rPr>
        <w:t>E</w:t>
      </w:r>
      <w:r>
        <w:rPr>
          <w:rFonts w:hint="eastAsia" w:hAnsi="宋体"/>
          <w:i/>
          <w:iCs/>
          <w:vertAlign w:val="subscript"/>
        </w:rPr>
        <w:t xml:space="preserve">d  </w:t>
      </w:r>
      <w:r>
        <w:rPr>
          <w:rFonts w:hAnsi="宋体"/>
        </w:rPr>
        <w:t>——教育机构</w:t>
      </w:r>
      <w:r>
        <w:rPr>
          <w:rFonts w:hint="eastAsia" w:hAnsi="宋体"/>
        </w:rPr>
        <w:t>统计期内</w:t>
      </w:r>
      <w:r>
        <w:rPr>
          <w:rFonts w:hint="eastAsia" w:ascii="Times New Roman" w:hAnsi="宋体"/>
        </w:rPr>
        <w:t>总电耗</w:t>
      </w:r>
      <w:r>
        <w:rPr>
          <w:rFonts w:hint="eastAsia" w:hAnsi="宋体"/>
        </w:rPr>
        <w:t>，单位为千瓦时每年</w:t>
      </w:r>
      <w:r>
        <w:rPr>
          <w:rFonts w:hint="eastAsia" w:hAnsi="宋体"/>
          <w:kern w:val="2"/>
          <w:szCs w:val="21"/>
        </w:rPr>
        <w:t>（</w:t>
      </w:r>
      <w:r>
        <w:rPr>
          <w:rFonts w:hAnsi="宋体"/>
          <w:kern w:val="2"/>
          <w:szCs w:val="21"/>
        </w:rPr>
        <w:t>kW·h</w:t>
      </w:r>
      <w:r>
        <w:rPr>
          <w:rFonts w:hint="eastAsia" w:hAnsi="宋体"/>
          <w:kern w:val="2"/>
          <w:szCs w:val="21"/>
        </w:rPr>
        <w:t>/a）</w:t>
      </w:r>
      <w:r>
        <w:rPr>
          <w:rFonts w:hint="eastAsia" w:hAnsi="宋体"/>
        </w:rPr>
        <w:t>；</w:t>
      </w:r>
    </w:p>
    <w:p>
      <w:pPr>
        <w:pStyle w:val="231"/>
        <w:rPr>
          <w:rFonts w:hAnsi="宋体"/>
        </w:rPr>
      </w:pPr>
      <w:r>
        <w:rPr>
          <w:rFonts w:hAnsi="宋体"/>
          <w:i/>
          <w:iCs/>
        </w:rPr>
        <w:t>M</w:t>
      </w:r>
      <w:r>
        <w:rPr>
          <w:rFonts w:hint="eastAsia" w:hAnsi="宋体"/>
          <w:i/>
          <w:iCs/>
        </w:rPr>
        <w:t xml:space="preserve"> </w:t>
      </w:r>
      <w:r>
        <w:rPr>
          <w:rFonts w:hAnsi="宋体"/>
        </w:rPr>
        <w:t>——教育机构</w:t>
      </w:r>
      <w:r>
        <w:rPr>
          <w:rFonts w:hint="eastAsia" w:hAnsi="宋体"/>
        </w:rPr>
        <w:t>建筑面积，单位为平方米（</w:t>
      </w:r>
      <w:r>
        <w:rPr>
          <w:rFonts w:hAnsi="宋体"/>
        </w:rPr>
        <w:t>m</w:t>
      </w:r>
      <w:r>
        <w:rPr>
          <w:rFonts w:hAnsi="宋体"/>
          <w:vertAlign w:val="superscript"/>
        </w:rPr>
        <w:t>2</w:t>
      </w:r>
      <w:r>
        <w:rPr>
          <w:rFonts w:hint="eastAsia" w:hAnsi="宋体"/>
        </w:rPr>
        <w:t>）。</w:t>
      </w:r>
    </w:p>
    <w:p>
      <w:pPr>
        <w:pStyle w:val="106"/>
        <w:spacing w:before="156" w:after="156"/>
      </w:pPr>
      <w:bookmarkStart w:id="317" w:name="_Toc55999840"/>
      <w:bookmarkStart w:id="318" w:name="_Toc63084601"/>
      <w:bookmarkStart w:id="319" w:name="_Toc65157151"/>
      <w:bookmarkStart w:id="320" w:name="_Toc65159268"/>
      <w:bookmarkStart w:id="321" w:name="_Toc65228776"/>
      <w:bookmarkStart w:id="322" w:name="_Toc65230037"/>
      <w:bookmarkStart w:id="323" w:name="_Toc65243824"/>
      <w:bookmarkStart w:id="324" w:name="_Toc27909"/>
      <w:r>
        <w:rPr>
          <w:rFonts w:hint="eastAsia"/>
        </w:rPr>
        <w:t>人均综合能耗</w:t>
      </w:r>
      <w:bookmarkEnd w:id="317"/>
      <w:bookmarkEnd w:id="318"/>
      <w:bookmarkEnd w:id="319"/>
      <w:bookmarkEnd w:id="320"/>
      <w:bookmarkEnd w:id="321"/>
      <w:bookmarkEnd w:id="322"/>
      <w:bookmarkEnd w:id="323"/>
      <w:bookmarkEnd w:id="324"/>
    </w:p>
    <w:p>
      <w:pPr>
        <w:pStyle w:val="234"/>
        <w:numPr>
          <w:ilvl w:val="0"/>
          <w:numId w:val="0"/>
        </w:numPr>
        <w:spacing w:beforeLines="0" w:afterLines="0"/>
        <w:ind w:firstLine="420" w:firstLineChars="200"/>
        <w:outlineLvl w:val="9"/>
        <w:rPr>
          <w:rFonts w:ascii="宋体" w:hAnsi="宋体" w:eastAsia="宋体"/>
        </w:rPr>
      </w:pPr>
      <w:bookmarkStart w:id="325" w:name="_Toc44236940"/>
      <w:bookmarkStart w:id="326" w:name="_Toc44236907"/>
      <w:r>
        <w:rPr>
          <w:rFonts w:ascii="Times New Roman" w:hAnsi="宋体" w:eastAsia="宋体"/>
        </w:rPr>
        <w:t>教育机构</w:t>
      </w:r>
      <w:r>
        <w:rPr>
          <w:rFonts w:hint="eastAsia" w:ascii="Times New Roman" w:hAnsi="宋体" w:eastAsia="宋体"/>
        </w:rPr>
        <w:t>人均综合能耗等于统计期内综合</w:t>
      </w:r>
      <w:r>
        <w:rPr>
          <w:rFonts w:hint="eastAsia" w:ascii="宋体" w:hAnsi="宋体" w:eastAsia="宋体"/>
        </w:rPr>
        <w:t>能耗与其总人数的比值，按公式（4）进行计算。</w:t>
      </w:r>
      <w:bookmarkEnd w:id="325"/>
      <w:bookmarkEnd w:id="326"/>
    </w:p>
    <w:p>
      <w:pPr>
        <w:jc w:val="right"/>
        <w:rPr>
          <w:rFonts w:ascii="宋体" w:hAnsi="宋体" w:cs="宋体"/>
          <w:kern w:val="0"/>
          <w:sz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rz</m:t>
            </m:r>
            <m:ctrlPr>
              <w:rPr>
                <w:rFonts w:ascii="Cambria Math" w:hAnsi="Cambria Math"/>
                <w:i/>
              </w:rPr>
            </m:ctrlPr>
          </m:sub>
        </m:sSub>
        <m:r>
          <m:rPr/>
          <w:rPr>
            <w:rFonts w:ascii="Cambria Math" w:hAnsi="Cambria Math"/>
          </w:rPr>
          <m:t>=</m:t>
        </m:r>
        <m:f>
          <m:fPr>
            <m:type m:val="lin"/>
            <m:ctrlPr>
              <w:rPr>
                <w:rFonts w:ascii="Cambria Math" w:hAnsi="Cambria Math"/>
                <w:i/>
              </w:rPr>
            </m:ctrlPr>
          </m:fPr>
          <m:num>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hint="eastAsia" w:ascii="Cambria Math" w:hAnsi="Cambria Math"/>
                  </w:rPr>
                  <m:t>z</m:t>
                </m:r>
                <m:ctrlPr>
                  <w:rPr>
                    <w:rFonts w:ascii="Cambria Math" w:hAnsi="Cambria Math"/>
                    <w:i/>
                  </w:rPr>
                </m:ctrlPr>
              </m:sub>
            </m:sSub>
            <m:ctrlPr>
              <w:rPr>
                <w:rFonts w:ascii="Cambria Math" w:hAnsi="Cambria Math"/>
                <w:i/>
              </w:rPr>
            </m:ctrlPr>
          </m:num>
          <m:den>
            <m:r>
              <m:rPr/>
              <w:rPr>
                <w:rFonts w:ascii="Cambria Math" w:hAnsi="Cambria Math"/>
              </w:rPr>
              <m:t>N</m:t>
            </m:r>
            <m:ctrlPr>
              <w:rPr>
                <w:rFonts w:ascii="Cambria Math" w:hAnsi="Cambria Math"/>
                <w:i/>
              </w:rPr>
            </m:ctrlPr>
          </m:den>
        </m:f>
      </m:oMath>
      <w:r>
        <w:rPr>
          <w:rFonts w:ascii="宋体" w:hAnsi="宋体" w:cs="宋体"/>
          <w:kern w:val="0"/>
          <w:sz w:val="24"/>
        </w:rPr>
        <w:t xml:space="preserve"> </w:t>
      </w:r>
      <w:r>
        <w:rPr>
          <w:rFonts w:ascii="宋体" w:hAnsi="宋体"/>
        </w:rPr>
        <w:t>……………………………………………………</w:t>
      </w:r>
      <w:r>
        <w:rPr>
          <w:rFonts w:hint="eastAsia" w:ascii="宋体" w:hAnsi="宋体"/>
        </w:rPr>
        <w:t>（4）</w:t>
      </w:r>
    </w:p>
    <w:p>
      <w:pPr>
        <w:pStyle w:val="231"/>
        <w:jc w:val="center"/>
        <w:rPr>
          <w:rFonts w:hAnsi="宋体"/>
        </w:rPr>
      </w:pPr>
    </w:p>
    <w:p>
      <w:pPr>
        <w:pStyle w:val="231"/>
        <w:jc w:val="left"/>
        <w:rPr>
          <w:rFonts w:hAnsi="宋体"/>
        </w:rPr>
      </w:pPr>
      <w:r>
        <w:rPr>
          <w:rFonts w:hint="eastAsia" w:hAnsi="宋体"/>
        </w:rPr>
        <w:t>式中：</w:t>
      </w:r>
    </w:p>
    <w:p>
      <w:pPr>
        <w:pStyle w:val="231"/>
        <w:rPr>
          <w:rFonts w:hAnsi="宋体"/>
        </w:rPr>
      </w:pPr>
      <w:r>
        <w:rPr>
          <w:rFonts w:hAnsi="宋体"/>
          <w:i/>
          <w:iCs/>
        </w:rPr>
        <w:t>E</w:t>
      </w:r>
      <w:r>
        <w:rPr>
          <w:rFonts w:hAnsi="宋体"/>
          <w:i/>
          <w:iCs/>
          <w:vertAlign w:val="subscript"/>
        </w:rPr>
        <w:t>r</w:t>
      </w:r>
      <w:r>
        <w:rPr>
          <w:rFonts w:hint="eastAsia" w:hAnsi="宋体"/>
          <w:i/>
          <w:iCs/>
          <w:vertAlign w:val="subscript"/>
        </w:rPr>
        <w:t xml:space="preserve">z </w:t>
      </w:r>
      <w:r>
        <w:rPr>
          <w:rFonts w:hAnsi="宋体"/>
        </w:rPr>
        <w:t>——教育机构</w:t>
      </w:r>
      <w:r>
        <w:rPr>
          <w:rFonts w:hint="eastAsia" w:hAnsi="宋体"/>
        </w:rPr>
        <w:t>人均综合能耗，单位为千克标准煤每人年</w:t>
      </w:r>
      <w:r>
        <w:rPr>
          <w:rFonts w:hint="eastAsia" w:hAnsi="宋体"/>
          <w:kern w:val="2"/>
          <w:szCs w:val="21"/>
        </w:rPr>
        <w:t>[kgce/</w:t>
      </w:r>
      <w:r>
        <w:rPr>
          <w:rFonts w:hint="eastAsia" w:hAnsi="宋体"/>
          <w:kern w:val="2"/>
          <w:szCs w:val="18"/>
        </w:rPr>
        <w:t>（</w:t>
      </w:r>
      <w:r>
        <w:rPr>
          <w:rFonts w:hint="eastAsia" w:hAnsi="宋体"/>
          <w:kern w:val="2"/>
          <w:szCs w:val="21"/>
        </w:rPr>
        <w:t>p·a）]</w:t>
      </w:r>
      <w:r>
        <w:rPr>
          <w:rFonts w:hint="eastAsia" w:hAnsi="宋体"/>
        </w:rPr>
        <w:t>；</w:t>
      </w:r>
    </w:p>
    <w:p>
      <w:pPr>
        <w:pStyle w:val="231"/>
        <w:rPr>
          <w:rFonts w:hAnsi="宋体"/>
        </w:rPr>
      </w:pPr>
      <w:r>
        <w:rPr>
          <w:rFonts w:hAnsi="宋体"/>
          <w:i/>
          <w:iCs/>
        </w:rPr>
        <w:t>E</w:t>
      </w:r>
      <w:r>
        <w:rPr>
          <w:rFonts w:hint="eastAsia" w:hAnsi="宋体"/>
          <w:i/>
          <w:iCs/>
          <w:vertAlign w:val="subscript"/>
        </w:rPr>
        <w:t>z</w:t>
      </w:r>
      <w:r>
        <w:rPr>
          <w:rFonts w:hAnsi="宋体"/>
        </w:rPr>
        <w:t>——教育机构</w:t>
      </w:r>
      <w:r>
        <w:rPr>
          <w:rFonts w:hint="eastAsia" w:hAnsi="宋体"/>
        </w:rPr>
        <w:t>统计期内综合能耗，单位为千克标准煤每年</w:t>
      </w:r>
      <w:r>
        <w:rPr>
          <w:rFonts w:hint="eastAsia" w:hAnsi="宋体"/>
          <w:kern w:val="2"/>
          <w:szCs w:val="21"/>
        </w:rPr>
        <w:t>（</w:t>
      </w:r>
      <w:r>
        <w:rPr>
          <w:rFonts w:hAnsi="宋体"/>
          <w:kern w:val="2"/>
          <w:szCs w:val="21"/>
        </w:rPr>
        <w:t>kgce</w:t>
      </w:r>
      <w:r>
        <w:rPr>
          <w:rFonts w:hint="eastAsia" w:hAnsi="宋体"/>
          <w:kern w:val="2"/>
          <w:szCs w:val="21"/>
        </w:rPr>
        <w:t>/a）</w:t>
      </w:r>
      <w:r>
        <w:rPr>
          <w:rFonts w:hint="eastAsia" w:hAnsi="宋体"/>
        </w:rPr>
        <w:t>；</w:t>
      </w:r>
    </w:p>
    <w:p>
      <w:pPr>
        <w:pStyle w:val="231"/>
        <w:rPr>
          <w:rFonts w:hAnsi="宋体"/>
        </w:rPr>
      </w:pPr>
      <w:r>
        <w:rPr>
          <w:rFonts w:hint="eastAsia" w:hAnsi="宋体"/>
          <w:i/>
          <w:iCs/>
        </w:rPr>
        <w:t xml:space="preserve">N </w:t>
      </w:r>
      <w:r>
        <w:rPr>
          <w:rFonts w:hAnsi="宋体"/>
        </w:rPr>
        <w:t>——教育机构</w:t>
      </w:r>
      <w:r>
        <w:rPr>
          <w:rFonts w:hint="eastAsia" w:hAnsi="宋体"/>
        </w:rPr>
        <w:t>统计期内的</w:t>
      </w:r>
      <w:r>
        <w:rPr>
          <w:rFonts w:hint="eastAsia" w:hAnsi="宋体"/>
          <w:lang w:eastAsia="zh-CN"/>
        </w:rPr>
        <w:t>用能</w:t>
      </w:r>
      <w:r>
        <w:rPr>
          <w:rFonts w:hint="eastAsia" w:hAnsi="宋体"/>
        </w:rPr>
        <w:t>人数，</w:t>
      </w:r>
      <w:r>
        <w:rPr>
          <w:rFonts w:hint="eastAsia" w:hAnsi="宋体"/>
          <w:kern w:val="2"/>
          <w:szCs w:val="21"/>
        </w:rPr>
        <w:t>单位为人（p）。</w:t>
      </w:r>
    </w:p>
    <w:p>
      <w:pPr>
        <w:pStyle w:val="106"/>
        <w:spacing w:before="156" w:after="156"/>
      </w:pPr>
      <w:bookmarkStart w:id="327" w:name="_Toc55999841"/>
      <w:bookmarkStart w:id="328" w:name="_Toc63084602"/>
      <w:bookmarkStart w:id="329" w:name="_Toc65157152"/>
      <w:bookmarkStart w:id="330" w:name="_Toc65159269"/>
      <w:bookmarkStart w:id="331" w:name="_Toc65228777"/>
      <w:bookmarkStart w:id="332" w:name="_Toc65230038"/>
      <w:bookmarkStart w:id="333" w:name="_Toc65243825"/>
      <w:bookmarkStart w:id="334" w:name="_Toc19672"/>
      <w:r>
        <w:rPr>
          <w:rFonts w:hint="eastAsia"/>
        </w:rPr>
        <w:t>人均电耗</w:t>
      </w:r>
      <w:bookmarkEnd w:id="327"/>
      <w:bookmarkEnd w:id="328"/>
      <w:bookmarkEnd w:id="329"/>
      <w:bookmarkEnd w:id="330"/>
      <w:bookmarkEnd w:id="331"/>
      <w:bookmarkEnd w:id="332"/>
      <w:bookmarkEnd w:id="333"/>
      <w:bookmarkEnd w:id="334"/>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kern w:val="0"/>
          <w:szCs w:val="20"/>
        </w:rPr>
        <w:t>教育机构</w:t>
      </w:r>
      <w:r>
        <w:rPr>
          <w:rFonts w:hint="eastAsia" w:ascii="宋体" w:hAnsi="宋体"/>
          <w:kern w:val="0"/>
          <w:szCs w:val="20"/>
        </w:rPr>
        <w:t>人均电耗等于统计期内总电力消耗量与用能总人数的比值，按公式（5）进行计算。</w:t>
      </w:r>
    </w:p>
    <w:p>
      <w:pPr>
        <w:jc w:val="right"/>
        <w:rPr>
          <w:rFonts w:ascii="宋体" w:hAnsi="宋体" w:cs="宋体"/>
          <w:kern w:val="0"/>
          <w:sz w:val="24"/>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rd</m:t>
            </m:r>
            <m:ctrlPr>
              <w:rPr>
                <w:rFonts w:ascii="Cambria Math" w:hAnsi="Cambria Math"/>
                <w:i/>
              </w:rPr>
            </m:ctrlPr>
          </m:sub>
        </m:sSub>
        <m:r>
          <m:rPr/>
          <w:rPr>
            <w:rFonts w:ascii="Cambria Math" w:hAnsi="Cambria Math"/>
          </w:rPr>
          <m:t>=</m:t>
        </m:r>
        <m:f>
          <m:fPr>
            <m:type m:val="lin"/>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d</m:t>
                </m:r>
                <m:ctrlPr>
                  <w:rPr>
                    <w:rFonts w:ascii="Cambria Math" w:hAnsi="Cambria Math"/>
                    <w:i/>
                  </w:rPr>
                </m:ctrlPr>
              </m:sub>
            </m:sSub>
            <m:ctrlPr>
              <w:rPr>
                <w:rFonts w:ascii="Cambria Math" w:hAnsi="Cambria Math"/>
                <w:i/>
              </w:rPr>
            </m:ctrlPr>
          </m:num>
          <m:den>
            <m:r>
              <m:rPr/>
              <w:rPr>
                <w:rFonts w:ascii="Cambria Math" w:hAnsi="Cambria Math"/>
              </w:rPr>
              <m:t>N</m:t>
            </m:r>
            <m:ctrlPr>
              <w:rPr>
                <w:rFonts w:ascii="Cambria Math" w:hAnsi="Cambria Math"/>
                <w:i/>
              </w:rPr>
            </m:ctrlPr>
          </m:den>
        </m:f>
      </m:oMath>
      <w:r>
        <w:rPr>
          <w:rFonts w:hint="eastAsia" w:ascii="宋体" w:hAnsi="宋体"/>
          <w:kern w:val="0"/>
          <w:szCs w:val="20"/>
        </w:rPr>
        <w:t xml:space="preserve"> </w:t>
      </w:r>
      <w:r>
        <w:rPr>
          <w:rFonts w:ascii="宋体" w:hAnsi="宋体"/>
        </w:rPr>
        <w:t>…………………………………………………</w:t>
      </w:r>
      <w:r>
        <w:rPr>
          <w:rFonts w:hint="eastAsia" w:ascii="宋体" w:hAnsi="宋体"/>
        </w:rPr>
        <w:t>（5）</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式中：</w:t>
      </w:r>
    </w:p>
    <w:p>
      <w:pPr>
        <w:pStyle w:val="57"/>
        <w:ind w:firstLine="420"/>
      </w:pPr>
      <w:r>
        <w:rPr>
          <w:rFonts w:hint="eastAsia"/>
          <w:i/>
        </w:rPr>
        <w:t>E</w:t>
      </w:r>
      <w:r>
        <w:rPr>
          <w:rFonts w:hint="eastAsia"/>
          <w:i/>
          <w:vertAlign w:val="subscript"/>
        </w:rPr>
        <w:t>rd</w:t>
      </w:r>
      <w:r>
        <w:rPr>
          <w:rFonts w:hAnsi="宋体"/>
        </w:rPr>
        <w:t>——</w:t>
      </w:r>
      <w:r>
        <w:rPr>
          <w:rFonts w:hint="eastAsia"/>
        </w:rPr>
        <w:t>教育机构人均电耗，单位为千瓦时每人年[kW·h /（p·a</w:t>
      </w:r>
      <w:r>
        <w:rPr>
          <w:rFonts w:hint="eastAsia"/>
          <w:szCs w:val="18"/>
        </w:rPr>
        <w:t>）</w:t>
      </w:r>
      <w:r>
        <w:rPr>
          <w:rFonts w:hint="eastAsia"/>
        </w:rPr>
        <w:t>]；</w:t>
      </w:r>
    </w:p>
    <w:p>
      <w:pPr>
        <w:pStyle w:val="57"/>
        <w:ind w:firstLine="420"/>
      </w:pPr>
      <w:r>
        <w:rPr>
          <w:i/>
          <w:iCs/>
        </w:rPr>
        <w:t>E</w:t>
      </w:r>
      <w:r>
        <w:rPr>
          <w:rFonts w:hint="eastAsia"/>
          <w:i/>
          <w:iCs/>
          <w:vertAlign w:val="subscript"/>
        </w:rPr>
        <w:t xml:space="preserve">d  </w:t>
      </w:r>
      <w:r>
        <w:rPr>
          <w:rFonts w:hAnsi="宋体"/>
        </w:rPr>
        <w:t>——</w:t>
      </w:r>
      <w:r>
        <w:t>教育机构</w:t>
      </w:r>
      <w:r>
        <w:rPr>
          <w:rFonts w:hint="eastAsia"/>
        </w:rPr>
        <w:t>统计期内</w:t>
      </w:r>
      <w:r>
        <w:rPr>
          <w:rFonts w:hint="eastAsia" w:ascii="Times New Roman"/>
        </w:rPr>
        <w:t>总电耗</w:t>
      </w:r>
      <w:r>
        <w:rPr>
          <w:rFonts w:hint="eastAsia"/>
        </w:rPr>
        <w:t>，单位为千瓦时每年</w:t>
      </w:r>
      <w:r>
        <w:rPr>
          <w:rFonts w:hint="eastAsia"/>
          <w:kern w:val="2"/>
          <w:szCs w:val="21"/>
        </w:rPr>
        <w:t>（</w:t>
      </w:r>
      <w:r>
        <w:rPr>
          <w:kern w:val="2"/>
          <w:szCs w:val="21"/>
        </w:rPr>
        <w:t>kW·h</w:t>
      </w:r>
      <w:r>
        <w:rPr>
          <w:rFonts w:hint="eastAsia"/>
          <w:kern w:val="2"/>
          <w:szCs w:val="21"/>
        </w:rPr>
        <w:t>/a）</w:t>
      </w:r>
      <w:r>
        <w:rPr>
          <w:rFonts w:hint="eastAsia"/>
        </w:rPr>
        <w:t>。</w:t>
      </w:r>
    </w:p>
    <w:p>
      <w:pPr>
        <w:pStyle w:val="57"/>
        <w:ind w:firstLine="420"/>
        <w:rPr>
          <w:rFonts w:hint="eastAsia"/>
        </w:rPr>
      </w:pPr>
      <w:r>
        <w:rPr>
          <w:rFonts w:hint="eastAsia"/>
          <w:i/>
        </w:rPr>
        <w:t xml:space="preserve">N </w:t>
      </w:r>
      <w:r>
        <w:rPr>
          <w:rFonts w:hAnsi="宋体"/>
        </w:rPr>
        <w:t>——</w:t>
      </w:r>
      <w:r>
        <w:rPr>
          <w:rFonts w:hint="eastAsia"/>
        </w:rPr>
        <w:t>教育机构统计期内用</w:t>
      </w:r>
      <w:r>
        <w:rPr>
          <w:rFonts w:hint="eastAsia"/>
          <w:lang w:eastAsia="zh-CN"/>
        </w:rPr>
        <w:t>能</w:t>
      </w:r>
      <w:r>
        <w:rPr>
          <w:rFonts w:hint="eastAsia"/>
        </w:rPr>
        <w:t>人数，单位为人（p）。</w:t>
      </w:r>
    </w:p>
    <w:p>
      <w:pPr>
        <w:pStyle w:val="106"/>
        <w:spacing w:before="156" w:after="156"/>
      </w:pPr>
      <w:bookmarkStart w:id="335" w:name="_Toc28678"/>
      <w:r>
        <w:rPr>
          <w:rFonts w:hint="eastAsia"/>
          <w:lang w:eastAsia="zh-CN"/>
        </w:rPr>
        <w:t>用能人数</w:t>
      </w:r>
      <w:bookmarkEnd w:id="335"/>
    </w:p>
    <w:p>
      <w:pPr>
        <w:pStyle w:val="57"/>
        <w:rPr>
          <w:rFonts w:hint="eastAsia" w:ascii="宋体" w:hAnsi="宋体"/>
          <w:kern w:val="0"/>
          <w:szCs w:val="20"/>
        </w:rPr>
      </w:pPr>
      <w:r>
        <w:rPr>
          <w:rFonts w:hint="eastAsia" w:ascii="宋体"/>
          <w:kern w:val="0"/>
          <w:szCs w:val="20"/>
        </w:rPr>
        <w:t>教育机构</w:t>
      </w:r>
      <w:r>
        <w:rPr>
          <w:rFonts w:hint="eastAsia"/>
          <w:kern w:val="0"/>
          <w:szCs w:val="20"/>
          <w:lang w:eastAsia="zh-CN"/>
        </w:rPr>
        <w:t>用能</w:t>
      </w:r>
      <w:r>
        <w:rPr>
          <w:rFonts w:hint="eastAsia" w:hAnsi="宋体"/>
          <w:kern w:val="0"/>
          <w:szCs w:val="20"/>
          <w:lang w:eastAsia="zh-CN"/>
        </w:rPr>
        <w:t>人数</w:t>
      </w:r>
      <w:r>
        <w:rPr>
          <w:rFonts w:hint="eastAsia" w:ascii="宋体" w:hAnsi="宋体"/>
          <w:kern w:val="0"/>
          <w:szCs w:val="20"/>
        </w:rPr>
        <w:t>等于统计期内</w:t>
      </w:r>
      <w:r>
        <w:rPr>
          <w:rFonts w:ascii="Times New Roman" w:hAnsi="宋体"/>
        </w:rPr>
        <w:t>在岗在编人员</w:t>
      </w:r>
      <w:r>
        <w:rPr>
          <w:rFonts w:hint="eastAsia" w:ascii="Times New Roman" w:hAnsi="宋体"/>
        </w:rPr>
        <w:t>、</w:t>
      </w:r>
      <w:r>
        <w:rPr>
          <w:rFonts w:hint="eastAsia"/>
        </w:rPr>
        <w:t>长期聘（借）用的编外人员</w:t>
      </w:r>
      <w:r>
        <w:rPr>
          <w:rFonts w:hint="eastAsia" w:ascii="Times New Roman" w:hAnsi="宋体"/>
        </w:rPr>
        <w:t>、登记在校的全日制学生</w:t>
      </w:r>
      <w:r>
        <w:rPr>
          <w:rFonts w:hint="eastAsia" w:ascii="Times New Roman" w:hAnsi="宋体"/>
          <w:lang w:eastAsia="zh-CN"/>
        </w:rPr>
        <w:t>、</w:t>
      </w:r>
      <w:r>
        <w:rPr>
          <w:rFonts w:hint="eastAsia" w:ascii="Times New Roman" w:hAnsi="宋体"/>
        </w:rPr>
        <w:t>流动人员</w:t>
      </w:r>
      <w:r>
        <w:rPr>
          <w:rFonts w:hint="eastAsia" w:ascii="Times New Roman" w:hAnsi="宋体"/>
          <w:lang w:eastAsia="zh-CN"/>
        </w:rPr>
        <w:t>人数总和。其中，流动人员人数按实际用能天数折算，折算系数为流动人员实际用能天数与</w:t>
      </w:r>
      <w:r>
        <w:rPr>
          <w:rFonts w:ascii="Times New Roman" w:hAnsi="宋体"/>
        </w:rPr>
        <w:t>在岗在编人员</w:t>
      </w:r>
      <w:r>
        <w:rPr>
          <w:rFonts w:hint="eastAsia" w:ascii="Times New Roman" w:hAnsi="宋体"/>
        </w:rPr>
        <w:t>、</w:t>
      </w:r>
      <w:r>
        <w:rPr>
          <w:rFonts w:hint="eastAsia"/>
        </w:rPr>
        <w:t>长期聘（借）用的编外人员</w:t>
      </w:r>
      <w:r>
        <w:rPr>
          <w:rFonts w:hint="eastAsia" w:ascii="Times New Roman" w:hAnsi="宋体"/>
        </w:rPr>
        <w:t>、登记在校的全日制学生</w:t>
      </w:r>
      <w:r>
        <w:rPr>
          <w:rFonts w:hint="eastAsia" w:ascii="Times New Roman" w:hAnsi="宋体"/>
          <w:lang w:eastAsia="zh-CN"/>
        </w:rPr>
        <w:t>用能天数的比值。</w:t>
      </w:r>
      <w:r>
        <w:rPr>
          <w:rFonts w:ascii="Times New Roman" w:hAnsi="宋体"/>
        </w:rPr>
        <w:t>在岗在编人员</w:t>
      </w:r>
      <w:r>
        <w:rPr>
          <w:rFonts w:hint="eastAsia" w:ascii="Times New Roman" w:hAnsi="宋体"/>
        </w:rPr>
        <w:t>、</w:t>
      </w:r>
      <w:r>
        <w:rPr>
          <w:rFonts w:hint="eastAsia"/>
        </w:rPr>
        <w:t>长期聘（借）用的编外人员</w:t>
      </w:r>
      <w:r>
        <w:rPr>
          <w:rFonts w:hint="eastAsia" w:ascii="Times New Roman" w:hAnsi="宋体"/>
        </w:rPr>
        <w:t>、登记在校的全日制学生</w:t>
      </w:r>
      <w:r>
        <w:rPr>
          <w:rFonts w:hint="eastAsia" w:ascii="Times New Roman" w:hAnsi="宋体"/>
          <w:lang w:eastAsia="zh-CN"/>
        </w:rPr>
        <w:t>用能天数为一个统计周期（一年）扣除寒、暑假的放假天数</w:t>
      </w:r>
      <w:r>
        <w:rPr>
          <w:rFonts w:hint="eastAsia" w:hAnsi="宋体"/>
          <w:kern w:val="0"/>
          <w:szCs w:val="20"/>
          <w:lang w:eastAsia="zh-CN"/>
        </w:rPr>
        <w:t>。</w:t>
      </w:r>
      <w:r>
        <w:rPr>
          <w:rFonts w:hint="eastAsia" w:ascii="宋体"/>
          <w:kern w:val="0"/>
          <w:szCs w:val="20"/>
        </w:rPr>
        <w:t>教育机构</w:t>
      </w:r>
      <w:r>
        <w:rPr>
          <w:rFonts w:hint="eastAsia"/>
          <w:kern w:val="0"/>
          <w:szCs w:val="20"/>
          <w:lang w:eastAsia="zh-CN"/>
        </w:rPr>
        <w:t>用能</w:t>
      </w:r>
      <w:r>
        <w:rPr>
          <w:rFonts w:hint="eastAsia" w:hAnsi="宋体"/>
          <w:kern w:val="0"/>
          <w:szCs w:val="20"/>
          <w:lang w:eastAsia="zh-CN"/>
        </w:rPr>
        <w:t>总人数</w:t>
      </w:r>
      <w:r>
        <w:rPr>
          <w:rFonts w:hint="eastAsia" w:ascii="宋体" w:hAnsi="宋体"/>
          <w:kern w:val="0"/>
          <w:szCs w:val="20"/>
        </w:rPr>
        <w:t>按公式（</w:t>
      </w:r>
      <w:r>
        <w:rPr>
          <w:rFonts w:hint="eastAsia" w:hAnsi="宋体"/>
          <w:kern w:val="0"/>
          <w:szCs w:val="20"/>
          <w:lang w:val="en-US" w:eastAsia="zh-CN"/>
        </w:rPr>
        <w:t>6</w:t>
      </w:r>
      <w:r>
        <w:rPr>
          <w:rFonts w:hint="eastAsia" w:ascii="宋体" w:hAnsi="宋体"/>
          <w:kern w:val="0"/>
          <w:szCs w:val="20"/>
        </w:rPr>
        <w:t>）进行计算。</w:t>
      </w:r>
      <w:r>
        <w:rPr>
          <w:rFonts w:hint="eastAsia"/>
        </w:rPr>
        <w:t>教育机构人数计算方法</w:t>
      </w:r>
      <w:r>
        <w:rPr>
          <w:rFonts w:hint="eastAsia"/>
          <w:lang w:eastAsia="zh-CN"/>
        </w:rPr>
        <w:t>示例见</w:t>
      </w:r>
      <w:r>
        <w:rPr>
          <w:rFonts w:hint="eastAsia"/>
        </w:rPr>
        <w:t>附录B。</w:t>
      </w:r>
    </w:p>
    <w:p>
      <w:pPr>
        <w:pStyle w:val="57"/>
        <w:rPr>
          <w:rFonts w:hint="eastAsia" w:ascii="宋体" w:hAnsi="宋体"/>
          <w:kern w:val="0"/>
          <w:szCs w:val="20"/>
        </w:rPr>
      </w:pPr>
    </w:p>
    <w:p>
      <w:pPr>
        <w:jc w:val="right"/>
        <w:rPr>
          <w:rFonts w:ascii="宋体" w:hAnsi="宋体" w:cs="宋体"/>
          <w:kern w:val="0"/>
          <w:sz w:val="24"/>
        </w:rPr>
      </w:pPr>
      <m:oMath>
        <m:r>
          <m:rPr/>
          <w:rPr>
            <w:rFonts w:hint="default" w:ascii="Cambria Math" w:hAnsi="Cambria Math"/>
            <w:sz w:val="21"/>
            <w:lang w:val="en-US" w:eastAsia="zh-CN"/>
          </w:rPr>
          <m:t>N</m:t>
        </m:r>
        <m:r>
          <m:rPr/>
          <w:rPr>
            <w:rFonts w:ascii="Cambria Math" w:hAnsi="Cambria Math"/>
            <w:sz w:val="21"/>
          </w:rPr>
          <m:t>=</m:t>
        </m:r>
        <m:sSub>
          <m:sSubPr>
            <m:ctrlPr>
              <w:rPr>
                <w:rFonts w:hint="default" w:ascii="Cambria Math" w:hAnsi="Cambria Math"/>
                <w:i/>
                <w:sz w:val="21"/>
                <w:lang w:val="en-US" w:eastAsia="zh-CN"/>
              </w:rPr>
            </m:ctrlPr>
          </m:sSubPr>
          <m:e>
            <m:r>
              <m:rPr/>
              <w:rPr>
                <w:rFonts w:hint="default" w:ascii="Cambria Math" w:hAnsi="Cambria Math"/>
                <w:sz w:val="21"/>
                <w:lang w:val="en-US" w:eastAsia="zh-CN"/>
              </w:rPr>
              <m:t>N</m:t>
            </m:r>
            <m:ctrlPr>
              <w:rPr>
                <w:rFonts w:hint="default" w:ascii="Cambria Math" w:hAnsi="Cambria Math"/>
                <w:i/>
                <w:sz w:val="21"/>
                <w:lang w:val="en-US" w:eastAsia="zh-CN"/>
              </w:rPr>
            </m:ctrlPr>
          </m:e>
          <m:sub>
            <m:r>
              <m:rPr/>
              <w:rPr>
                <w:rFonts w:hint="default" w:ascii="Cambria Math" w:hAnsi="Cambria Math"/>
                <w:sz w:val="21"/>
                <w:lang w:val="en-US" w:eastAsia="zh-CN"/>
              </w:rPr>
              <m:t>1</m:t>
            </m:r>
            <m:ctrlPr>
              <w:rPr>
                <w:rFonts w:hint="default" w:ascii="Cambria Math" w:hAnsi="Cambria Math"/>
                <w:i/>
                <w:sz w:val="21"/>
                <w:lang w:val="en-US" w:eastAsia="zh-CN"/>
              </w:rPr>
            </m:ctrlPr>
          </m:sub>
        </m:sSub>
        <m:r>
          <m:rPr/>
          <w:rPr>
            <w:rFonts w:hint="default" w:ascii="Cambria Math" w:hAnsi="Cambria Math"/>
            <w:sz w:val="21"/>
            <w:lang w:val="en-US" w:eastAsia="zh-CN"/>
          </w:rPr>
          <m:t>+</m:t>
        </m:r>
        <m:sSub>
          <m:sSubPr>
            <m:ctrlPr>
              <w:rPr>
                <w:rFonts w:hint="default" w:ascii="Cambria Math" w:hAnsi="Cambria Math"/>
                <w:i/>
                <w:sz w:val="21"/>
                <w:lang w:val="en-US" w:eastAsia="zh-CN"/>
              </w:rPr>
            </m:ctrlPr>
          </m:sSubPr>
          <m:e>
            <m:r>
              <m:rPr/>
              <w:rPr>
                <w:rFonts w:hint="default" w:ascii="Cambria Math" w:hAnsi="Cambria Math"/>
                <w:sz w:val="21"/>
                <w:lang w:val="en-US" w:eastAsia="zh-CN"/>
              </w:rPr>
              <m:t>N</m:t>
            </m:r>
            <m:ctrlPr>
              <w:rPr>
                <w:rFonts w:hint="default" w:ascii="Cambria Math" w:hAnsi="Cambria Math"/>
                <w:i/>
                <w:sz w:val="21"/>
                <w:lang w:val="en-US" w:eastAsia="zh-CN"/>
              </w:rPr>
            </m:ctrlPr>
          </m:e>
          <m:sub>
            <m:r>
              <m:rPr/>
              <w:rPr>
                <w:rFonts w:hint="default" w:ascii="Cambria Math" w:hAnsi="Cambria Math"/>
                <w:sz w:val="21"/>
                <w:lang w:val="en-US" w:eastAsia="zh-CN"/>
              </w:rPr>
              <m:t>2</m:t>
            </m:r>
            <m:ctrlPr>
              <w:rPr>
                <w:rFonts w:hint="default" w:ascii="Cambria Math" w:hAnsi="Cambria Math"/>
                <w:i/>
                <w:sz w:val="21"/>
                <w:lang w:val="en-US" w:eastAsia="zh-CN"/>
              </w:rPr>
            </m:ctrlPr>
          </m:sub>
        </m:sSub>
        <m:f>
          <m:fPr>
            <m:ctrlPr>
              <w:rPr>
                <w:rFonts w:hint="default" w:ascii="Cambria Math" w:hAnsi="Cambria Math"/>
                <w:i/>
                <w:sz w:val="21"/>
                <w:lang w:val="en-US" w:eastAsia="zh-CN"/>
              </w:rPr>
            </m:ctrlPr>
          </m:fPr>
          <m:num>
            <m:r>
              <m:rPr/>
              <w:rPr>
                <w:rFonts w:hint="default" w:ascii="Cambria Math" w:hAnsi="Cambria Math"/>
                <w:sz w:val="21"/>
                <w:lang w:val="en-US" w:eastAsia="zh-CN"/>
              </w:rPr>
              <m:t>a</m:t>
            </m:r>
            <m:ctrlPr>
              <w:rPr>
                <w:rFonts w:hint="default" w:ascii="Cambria Math" w:hAnsi="Cambria Math"/>
                <w:i/>
                <w:sz w:val="21"/>
                <w:lang w:val="en-US" w:eastAsia="zh-CN"/>
              </w:rPr>
            </m:ctrlPr>
          </m:num>
          <m:den>
            <m:r>
              <m:rPr/>
              <w:rPr>
                <w:rFonts w:hint="default" w:ascii="Cambria Math" w:hAnsi="Cambria Math"/>
                <w:sz w:val="21"/>
                <w:lang w:val="en-US" w:eastAsia="zh-CN"/>
              </w:rPr>
              <m:t>365−b</m:t>
            </m:r>
            <m:ctrlPr>
              <w:rPr>
                <w:rFonts w:hint="default" w:ascii="Cambria Math" w:hAnsi="Cambria Math"/>
                <w:i/>
                <w:sz w:val="21"/>
                <w:lang w:val="en-US" w:eastAsia="zh-CN"/>
              </w:rPr>
            </m:ctrlPr>
          </m:den>
        </m:f>
      </m:oMath>
      <w:r>
        <w:rPr>
          <w:rFonts w:hint="eastAsia" w:ascii="宋体" w:hAnsi="宋体"/>
          <w:kern w:val="0"/>
          <w:szCs w:val="20"/>
        </w:rPr>
        <w:t xml:space="preserve"> </w:t>
      </w:r>
      <w:r>
        <w:rPr>
          <w:rFonts w:ascii="宋体" w:hAnsi="宋体"/>
        </w:rPr>
        <w:t>…………………………………………………</w:t>
      </w:r>
      <w:r>
        <w:rPr>
          <w:rFonts w:hint="eastAsia" w:ascii="宋体" w:hAnsi="宋体"/>
        </w:rPr>
        <w:t>（</w:t>
      </w:r>
      <w:r>
        <w:rPr>
          <w:rFonts w:hint="eastAsia" w:ascii="宋体" w:hAnsi="宋体"/>
          <w:lang w:val="en-US" w:eastAsia="zh-CN"/>
        </w:rPr>
        <w:t>6</w:t>
      </w:r>
      <w:r>
        <w:rPr>
          <w:rFonts w:hint="eastAsia" w:ascii="宋体" w:hAnsi="宋体"/>
        </w:rPr>
        <w:t>）</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式中：</w:t>
      </w:r>
    </w:p>
    <w:p>
      <w:pPr>
        <w:pStyle w:val="57"/>
        <w:ind w:firstLine="420"/>
        <w:rPr>
          <w:rFonts w:hint="eastAsia"/>
        </w:rPr>
      </w:pPr>
      <w:r>
        <w:rPr>
          <w:rFonts w:hint="eastAsia"/>
          <w:i/>
        </w:rPr>
        <w:t>N</w:t>
      </w:r>
      <w:r>
        <w:rPr>
          <w:rFonts w:hAnsi="宋体"/>
        </w:rPr>
        <w:t>——</w:t>
      </w:r>
      <w:r>
        <w:rPr>
          <w:rFonts w:hint="eastAsia"/>
        </w:rPr>
        <w:t>教育机构统计期内用能人数，单位为人（p）。</w:t>
      </w:r>
    </w:p>
    <w:p>
      <w:pPr>
        <w:pStyle w:val="57"/>
        <w:ind w:firstLine="420"/>
        <w:rPr>
          <w:rFonts w:hint="eastAsia"/>
        </w:rPr>
      </w:pPr>
      <w:r>
        <w:rPr>
          <w:rFonts w:hint="eastAsia"/>
          <w:i/>
        </w:rPr>
        <w:t>N</w:t>
      </w:r>
      <w:r>
        <w:rPr>
          <w:rFonts w:hint="eastAsia"/>
          <w:i/>
          <w:sz w:val="21"/>
          <w:vertAlign w:val="subscript"/>
          <w:lang w:val="en-US" w:eastAsia="zh-CN"/>
        </w:rPr>
        <w:t>1</w:t>
      </w:r>
      <w:r>
        <w:rPr>
          <w:rFonts w:hAnsi="宋体"/>
        </w:rPr>
        <w:t>——</w:t>
      </w:r>
      <w:r>
        <w:rPr>
          <w:rFonts w:hint="eastAsia"/>
        </w:rPr>
        <w:t>教育机构统计期内</w:t>
      </w:r>
      <w:r>
        <w:rPr>
          <w:rFonts w:ascii="Times New Roman" w:hAnsi="宋体"/>
        </w:rPr>
        <w:t>在岗在编人员</w:t>
      </w:r>
      <w:r>
        <w:rPr>
          <w:rFonts w:hint="eastAsia" w:ascii="Times New Roman" w:hAnsi="宋体"/>
        </w:rPr>
        <w:t>、</w:t>
      </w:r>
      <w:r>
        <w:rPr>
          <w:rFonts w:hint="eastAsia"/>
        </w:rPr>
        <w:t>长期聘（借）用的编外人员</w:t>
      </w:r>
      <w:r>
        <w:rPr>
          <w:rFonts w:hint="eastAsia" w:ascii="Times New Roman" w:hAnsi="宋体"/>
        </w:rPr>
        <w:t>、登记在校的全日制学生</w:t>
      </w:r>
      <w:r>
        <w:rPr>
          <w:rFonts w:hint="eastAsia"/>
        </w:rPr>
        <w:t>人数</w:t>
      </w:r>
      <w:r>
        <w:rPr>
          <w:rFonts w:hint="eastAsia"/>
          <w:lang w:eastAsia="zh-CN"/>
        </w:rPr>
        <w:t>之和</w:t>
      </w:r>
      <w:r>
        <w:rPr>
          <w:rFonts w:hint="eastAsia"/>
        </w:rPr>
        <w:t>，单位为人（p）。</w:t>
      </w:r>
    </w:p>
    <w:p>
      <w:pPr>
        <w:pStyle w:val="57"/>
        <w:ind w:firstLine="420"/>
        <w:rPr>
          <w:rFonts w:hint="eastAsia"/>
        </w:rPr>
      </w:pPr>
      <w:r>
        <w:rPr>
          <w:rFonts w:hint="eastAsia"/>
          <w:i/>
        </w:rPr>
        <w:t>N</w:t>
      </w:r>
      <w:r>
        <w:rPr>
          <w:rFonts w:hint="eastAsia"/>
          <w:i/>
          <w:sz w:val="21"/>
          <w:vertAlign w:val="subscript"/>
          <w:lang w:val="en-US" w:eastAsia="zh-CN"/>
        </w:rPr>
        <w:t>2</w:t>
      </w:r>
      <w:r>
        <w:rPr>
          <w:rFonts w:hAnsi="宋体"/>
        </w:rPr>
        <w:t>——</w:t>
      </w:r>
      <w:r>
        <w:rPr>
          <w:rFonts w:hint="eastAsia"/>
        </w:rPr>
        <w:t>教育机构统计期内</w:t>
      </w:r>
      <w:r>
        <w:rPr>
          <w:rFonts w:hint="eastAsia" w:ascii="Times New Roman" w:hAnsi="宋体"/>
        </w:rPr>
        <w:t>流动人员</w:t>
      </w:r>
      <w:r>
        <w:rPr>
          <w:rFonts w:hint="eastAsia" w:ascii="Times New Roman" w:hAnsi="宋体"/>
          <w:lang w:eastAsia="zh-CN"/>
        </w:rPr>
        <w:t>人数，</w:t>
      </w:r>
      <w:r>
        <w:rPr>
          <w:rFonts w:hint="eastAsia"/>
        </w:rPr>
        <w:t>单位为人（p）。</w:t>
      </w:r>
    </w:p>
    <w:p>
      <w:pPr>
        <w:pStyle w:val="57"/>
        <w:ind w:firstLine="420"/>
        <w:rPr>
          <w:rFonts w:hint="eastAsia"/>
        </w:rPr>
      </w:pPr>
      <w:r>
        <w:rPr>
          <w:rFonts w:hint="eastAsia"/>
          <w:lang w:val="en-US" w:eastAsia="zh-CN"/>
        </w:rPr>
        <w:t>a</w:t>
      </w:r>
      <w:r>
        <w:rPr>
          <w:rFonts w:hAnsi="宋体"/>
        </w:rPr>
        <w:t>——</w:t>
      </w:r>
      <w:r>
        <w:rPr>
          <w:rFonts w:hint="eastAsia"/>
        </w:rPr>
        <w:t>教育机构统计期内</w:t>
      </w:r>
      <w:r>
        <w:rPr>
          <w:rFonts w:hint="eastAsia" w:ascii="Times New Roman" w:hAnsi="宋体"/>
        </w:rPr>
        <w:t>流动人员</w:t>
      </w:r>
      <w:r>
        <w:rPr>
          <w:rFonts w:hint="eastAsia" w:ascii="Times New Roman" w:hAnsi="宋体"/>
          <w:lang w:eastAsia="zh-CN"/>
        </w:rPr>
        <w:t>实际用能天数</w:t>
      </w:r>
      <w:r>
        <w:rPr>
          <w:rFonts w:hint="eastAsia"/>
        </w:rPr>
        <w:t>。</w:t>
      </w:r>
    </w:p>
    <w:p>
      <w:pPr>
        <w:pStyle w:val="57"/>
        <w:ind w:firstLine="420"/>
        <w:rPr>
          <w:rFonts w:hint="eastAsia"/>
        </w:rPr>
      </w:pPr>
      <w:r>
        <w:rPr>
          <w:rFonts w:hint="eastAsia"/>
          <w:lang w:val="en-US" w:eastAsia="zh-CN"/>
        </w:rPr>
        <w:t>b</w:t>
      </w:r>
      <w:r>
        <w:rPr>
          <w:rFonts w:hAnsi="宋体"/>
        </w:rPr>
        <w:t>——</w:t>
      </w:r>
      <w:r>
        <w:rPr>
          <w:rFonts w:hint="eastAsia"/>
        </w:rPr>
        <w:t>教育机构统计期内</w:t>
      </w:r>
      <w:r>
        <w:rPr>
          <w:rFonts w:hint="eastAsia" w:ascii="Times New Roman" w:hAnsi="宋体"/>
          <w:lang w:eastAsia="zh-CN"/>
        </w:rPr>
        <w:t>寒、暑假的放假天数</w:t>
      </w:r>
      <w:r>
        <w:rPr>
          <w:rFonts w:hint="eastAsia"/>
        </w:rPr>
        <w:t>。</w:t>
      </w:r>
    </w:p>
    <w:p>
      <w:pPr>
        <w:pStyle w:val="106"/>
        <w:spacing w:before="156" w:after="156"/>
      </w:pPr>
      <w:bookmarkStart w:id="336" w:name="_Toc23483"/>
      <w:r>
        <w:rPr>
          <w:rFonts w:hint="eastAsia"/>
          <w:lang w:eastAsia="zh-CN"/>
        </w:rPr>
        <w:t>建筑面积</w:t>
      </w:r>
      <w:bookmarkEnd w:id="336"/>
    </w:p>
    <w:p>
      <w:pPr>
        <w:pStyle w:val="57"/>
        <w:rPr>
          <w:rFonts w:hint="eastAsia" w:ascii="宋体" w:hAnsi="宋体"/>
          <w:kern w:val="0"/>
          <w:szCs w:val="20"/>
        </w:rPr>
      </w:pPr>
      <w:r>
        <w:rPr>
          <w:rFonts w:hint="eastAsia" w:ascii="宋体"/>
          <w:kern w:val="0"/>
          <w:szCs w:val="20"/>
        </w:rPr>
        <w:t>教育机构</w:t>
      </w:r>
      <w:r>
        <w:rPr>
          <w:rFonts w:hint="eastAsia"/>
          <w:kern w:val="0"/>
          <w:szCs w:val="20"/>
          <w:lang w:eastAsia="zh-CN"/>
        </w:rPr>
        <w:t>实际建筑面积与折算系数的乘积。折算系数为</w:t>
      </w:r>
      <w:r>
        <w:rPr>
          <w:rFonts w:hint="eastAsia" w:ascii="Times New Roman" w:hAnsi="宋体"/>
          <w:lang w:eastAsia="zh-CN"/>
        </w:rPr>
        <w:t>用能人数与</w:t>
      </w:r>
      <w:r>
        <w:rPr>
          <w:rFonts w:ascii="Times New Roman" w:hAnsi="宋体"/>
        </w:rPr>
        <w:t>在岗在编人员</w:t>
      </w:r>
      <w:r>
        <w:rPr>
          <w:rFonts w:hint="eastAsia" w:ascii="Times New Roman" w:hAnsi="宋体"/>
        </w:rPr>
        <w:t>、</w:t>
      </w:r>
      <w:r>
        <w:rPr>
          <w:rFonts w:hint="eastAsia"/>
        </w:rPr>
        <w:t>长期聘（借）用的编外人员</w:t>
      </w:r>
      <w:r>
        <w:rPr>
          <w:rFonts w:hint="eastAsia" w:ascii="Times New Roman" w:hAnsi="宋体"/>
        </w:rPr>
        <w:t>、登记在校的全日制学生</w:t>
      </w:r>
      <w:r>
        <w:rPr>
          <w:rFonts w:hint="eastAsia" w:ascii="Times New Roman" w:hAnsi="宋体"/>
          <w:lang w:eastAsia="zh-CN"/>
        </w:rPr>
        <w:t>人数的比值，</w:t>
      </w:r>
      <w:r>
        <w:rPr>
          <w:rFonts w:hint="eastAsia"/>
          <w:kern w:val="0"/>
          <w:szCs w:val="20"/>
          <w:lang w:eastAsia="zh-CN"/>
        </w:rPr>
        <w:t>建筑面积</w:t>
      </w:r>
      <w:r>
        <w:rPr>
          <w:rFonts w:hint="eastAsia" w:ascii="宋体" w:hAnsi="宋体"/>
          <w:kern w:val="0"/>
          <w:szCs w:val="20"/>
        </w:rPr>
        <w:t>按公式（</w:t>
      </w:r>
      <w:r>
        <w:rPr>
          <w:rFonts w:hint="eastAsia" w:hAnsi="宋体"/>
          <w:kern w:val="0"/>
          <w:szCs w:val="20"/>
          <w:lang w:val="en-US" w:eastAsia="zh-CN"/>
        </w:rPr>
        <w:t>7</w:t>
      </w:r>
      <w:r>
        <w:rPr>
          <w:rFonts w:hint="eastAsia" w:ascii="宋体" w:hAnsi="宋体"/>
          <w:kern w:val="0"/>
          <w:szCs w:val="20"/>
        </w:rPr>
        <w:t>）进行计算。</w:t>
      </w:r>
      <w:r>
        <w:rPr>
          <w:rFonts w:hint="eastAsia"/>
        </w:rPr>
        <w:t>教育机构</w:t>
      </w:r>
      <w:r>
        <w:rPr>
          <w:rFonts w:hint="eastAsia"/>
          <w:lang w:eastAsia="zh-CN"/>
        </w:rPr>
        <w:t>建筑面积</w:t>
      </w:r>
      <w:r>
        <w:rPr>
          <w:rFonts w:hint="eastAsia"/>
        </w:rPr>
        <w:t>计算方法</w:t>
      </w:r>
      <w:r>
        <w:rPr>
          <w:rFonts w:hint="eastAsia"/>
          <w:lang w:eastAsia="zh-CN"/>
        </w:rPr>
        <w:t>示例见</w:t>
      </w:r>
      <w:r>
        <w:rPr>
          <w:rFonts w:hint="eastAsia"/>
        </w:rPr>
        <w:t>附录B。</w:t>
      </w:r>
    </w:p>
    <w:p>
      <w:pPr>
        <w:pStyle w:val="57"/>
        <w:rPr>
          <w:rFonts w:hint="eastAsia" w:ascii="宋体" w:hAnsi="宋体"/>
          <w:kern w:val="0"/>
          <w:szCs w:val="20"/>
        </w:rPr>
      </w:pPr>
    </w:p>
    <w:p>
      <w:pPr>
        <w:jc w:val="right"/>
        <w:rPr>
          <w:rFonts w:ascii="宋体" w:hAnsi="宋体" w:cs="宋体"/>
          <w:kern w:val="0"/>
          <w:sz w:val="24"/>
        </w:rPr>
      </w:pPr>
      <m:oMath>
        <m:r>
          <m:rPr/>
          <w:rPr>
            <w:rFonts w:hint="default" w:ascii="Cambria Math" w:hAnsi="Cambria Math"/>
            <w:sz w:val="21"/>
            <w:lang w:val="en-US" w:eastAsia="zh-CN"/>
          </w:rPr>
          <m:t>M</m:t>
        </m:r>
        <m:r>
          <m:rPr/>
          <w:rPr>
            <w:rFonts w:ascii="Cambria Math" w:hAnsi="Cambria Math"/>
            <w:sz w:val="21"/>
          </w:rPr>
          <m:t>=</m:t>
        </m:r>
        <m:sSub>
          <m:sSubPr>
            <m:ctrlPr>
              <w:rPr>
                <w:rFonts w:ascii="Cambria Math" w:hAnsi="Cambria Math"/>
                <w:i/>
                <w:sz w:val="21"/>
              </w:rPr>
            </m:ctrlPr>
          </m:sSubPr>
          <m:e>
            <m:r>
              <m:rPr/>
              <w:rPr>
                <w:rFonts w:hint="default" w:ascii="Cambria Math" w:hAnsi="Cambria Math"/>
                <w:sz w:val="21"/>
                <w:lang w:val="en-US" w:eastAsia="zh-CN"/>
              </w:rPr>
              <m:t>M</m:t>
            </m:r>
            <m:ctrlPr>
              <w:rPr>
                <w:rFonts w:ascii="Cambria Math" w:hAnsi="Cambria Math"/>
                <w:i/>
                <w:sz w:val="21"/>
              </w:rPr>
            </m:ctrlPr>
          </m:e>
          <m:sub>
            <m:r>
              <m:rPr/>
              <w:rPr>
                <w:rFonts w:hint="default" w:ascii="Cambria Math" w:hAnsi="Cambria Math"/>
                <w:sz w:val="21"/>
                <w:lang w:val="en-US" w:eastAsia="zh-CN"/>
              </w:rPr>
              <m:t>1</m:t>
            </m:r>
            <m:ctrlPr>
              <w:rPr>
                <w:rFonts w:ascii="Cambria Math" w:hAnsi="Cambria Math"/>
                <w:i/>
                <w:sz w:val="21"/>
              </w:rPr>
            </m:ctrlPr>
          </m:sub>
        </m:sSub>
        <m:r>
          <m:rPr/>
          <w:rPr>
            <w:rFonts w:ascii="Cambria Math" w:hAnsi="Cambria Math"/>
            <w:sz w:val="21"/>
          </w:rPr>
          <m:t>×</m:t>
        </m:r>
        <m:f>
          <m:fPr>
            <m:ctrlPr>
              <w:rPr>
                <w:rFonts w:ascii="Cambria Math" w:hAnsi="Cambria Math"/>
                <w:i/>
                <w:sz w:val="21"/>
              </w:rPr>
            </m:ctrlPr>
          </m:fPr>
          <m:num>
            <m:r>
              <m:rPr/>
              <w:rPr>
                <w:rFonts w:hint="default" w:ascii="Cambria Math" w:hAnsi="Cambria Math"/>
                <w:sz w:val="21"/>
                <w:lang w:val="en-US" w:eastAsia="zh-CN"/>
              </w:rPr>
              <m:t>N</m:t>
            </m:r>
            <m:ctrlPr>
              <w:rPr>
                <w:rFonts w:ascii="Cambria Math" w:hAnsi="Cambria Math"/>
                <w:i/>
                <w:sz w:val="21"/>
              </w:rPr>
            </m:ctrlPr>
          </m:num>
          <m:den>
            <m:sSub>
              <m:sSubPr>
                <m:ctrlPr>
                  <w:rPr>
                    <w:rFonts w:ascii="Cambria Math" w:hAnsi="Cambria Math"/>
                    <w:i/>
                    <w:sz w:val="21"/>
                  </w:rPr>
                </m:ctrlPr>
              </m:sSubPr>
              <m:e>
                <m:r>
                  <m:rPr/>
                  <w:rPr>
                    <w:rFonts w:hint="default" w:ascii="Cambria Math" w:hAnsi="Cambria Math"/>
                    <w:sz w:val="21"/>
                    <w:lang w:val="en-US" w:eastAsia="zh-CN"/>
                  </w:rPr>
                  <m:t>N</m:t>
                </m:r>
                <m:ctrlPr>
                  <w:rPr>
                    <w:rFonts w:ascii="Cambria Math" w:hAnsi="Cambria Math"/>
                    <w:i/>
                    <w:sz w:val="21"/>
                  </w:rPr>
                </m:ctrlPr>
              </m:e>
              <m:sub>
                <m:r>
                  <m:rPr/>
                  <w:rPr>
                    <w:rFonts w:hint="default" w:ascii="Cambria Math" w:hAnsi="Cambria Math"/>
                    <w:sz w:val="21"/>
                    <w:lang w:val="en-US" w:eastAsia="zh-CN"/>
                  </w:rPr>
                  <m:t>1</m:t>
                </m:r>
                <m:ctrlPr>
                  <w:rPr>
                    <w:rFonts w:ascii="Cambria Math" w:hAnsi="Cambria Math"/>
                    <w:i/>
                    <w:sz w:val="21"/>
                  </w:rPr>
                </m:ctrlPr>
              </m:sub>
            </m:sSub>
            <m:ctrlPr>
              <w:rPr>
                <w:rFonts w:ascii="Cambria Math" w:hAnsi="Cambria Math"/>
                <w:i/>
                <w:sz w:val="21"/>
              </w:rPr>
            </m:ctrlPr>
          </m:den>
        </m:f>
      </m:oMath>
      <w:r>
        <w:rPr>
          <w:rFonts w:hint="eastAsia" w:ascii="宋体" w:hAnsi="宋体"/>
          <w:kern w:val="0"/>
          <w:szCs w:val="20"/>
        </w:rPr>
        <w:t xml:space="preserve"> </w:t>
      </w:r>
      <w:r>
        <w:rPr>
          <w:rFonts w:ascii="宋体" w:hAnsi="宋体"/>
        </w:rPr>
        <w:t>…………………………………………………</w:t>
      </w:r>
      <w:r>
        <w:rPr>
          <w:rFonts w:hint="eastAsia" w:ascii="宋体" w:hAnsi="宋体"/>
        </w:rPr>
        <w:t>（</w:t>
      </w:r>
      <w:r>
        <w:rPr>
          <w:rFonts w:hint="eastAsia" w:ascii="宋体" w:hAnsi="宋体"/>
          <w:lang w:val="en-US" w:eastAsia="zh-CN"/>
        </w:rPr>
        <w:t>7</w:t>
      </w:r>
      <w:r>
        <w:rPr>
          <w:rFonts w:hint="eastAsia" w:ascii="宋体" w:hAnsi="宋体"/>
        </w:rPr>
        <w:t>）</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式中：</w:t>
      </w:r>
    </w:p>
    <w:p>
      <w:pPr>
        <w:pStyle w:val="231"/>
        <w:rPr>
          <w:rFonts w:hAnsi="宋体"/>
        </w:rPr>
      </w:pPr>
      <w:r>
        <w:rPr>
          <w:rFonts w:hAnsi="宋体"/>
          <w:i/>
          <w:iCs/>
        </w:rPr>
        <w:t>M</w:t>
      </w:r>
      <w:r>
        <w:rPr>
          <w:rFonts w:hint="eastAsia" w:hAnsi="宋体"/>
          <w:i/>
          <w:iCs/>
        </w:rPr>
        <w:t xml:space="preserve"> </w:t>
      </w:r>
      <w:r>
        <w:rPr>
          <w:rFonts w:hAnsi="宋体"/>
        </w:rPr>
        <w:t>——教育机构</w:t>
      </w:r>
      <w:r>
        <w:rPr>
          <w:rFonts w:hint="eastAsia" w:hAnsi="宋体"/>
        </w:rPr>
        <w:t>建筑面积，单位为平方米（</w:t>
      </w:r>
      <w:r>
        <w:rPr>
          <w:rFonts w:hAnsi="宋体"/>
        </w:rPr>
        <w:t>m</w:t>
      </w:r>
      <w:r>
        <w:rPr>
          <w:rFonts w:hAnsi="宋体"/>
          <w:vertAlign w:val="superscript"/>
        </w:rPr>
        <w:t>2</w:t>
      </w:r>
      <w:r>
        <w:rPr>
          <w:rFonts w:hint="eastAsia" w:hAnsi="宋体"/>
        </w:rPr>
        <w:t>）。</w:t>
      </w:r>
    </w:p>
    <w:p>
      <w:pPr>
        <w:pStyle w:val="57"/>
        <w:ind w:firstLine="420"/>
        <w:rPr>
          <w:rFonts w:hint="eastAsia"/>
        </w:rPr>
      </w:pPr>
      <w:r>
        <w:rPr>
          <w:rFonts w:hint="eastAsia"/>
          <w:i/>
          <w:lang w:val="en-US" w:eastAsia="zh-CN"/>
        </w:rPr>
        <w:t>M</w:t>
      </w:r>
      <w:r>
        <w:rPr>
          <w:rFonts w:hint="eastAsia"/>
          <w:i/>
          <w:sz w:val="21"/>
          <w:vertAlign w:val="subscript"/>
          <w:lang w:val="en-US" w:eastAsia="zh-CN"/>
        </w:rPr>
        <w:t>1</w:t>
      </w:r>
      <w:r>
        <w:rPr>
          <w:rFonts w:hAnsi="宋体"/>
        </w:rPr>
        <w:t>——教育机构</w:t>
      </w:r>
      <w:r>
        <w:rPr>
          <w:rFonts w:hint="eastAsia" w:hAnsi="宋体"/>
          <w:lang w:eastAsia="zh-CN"/>
        </w:rPr>
        <w:t>纳入统计范围的实测</w:t>
      </w:r>
      <w:r>
        <w:rPr>
          <w:rFonts w:hint="eastAsia" w:hAnsi="宋体"/>
        </w:rPr>
        <w:t>建筑面积，单位为平方米（</w:t>
      </w:r>
      <w:r>
        <w:rPr>
          <w:rFonts w:hAnsi="宋体"/>
        </w:rPr>
        <w:t>m</w:t>
      </w:r>
      <w:r>
        <w:rPr>
          <w:rFonts w:hAnsi="宋体"/>
          <w:vertAlign w:val="superscript"/>
        </w:rPr>
        <w:t>2</w:t>
      </w:r>
      <w:r>
        <w:rPr>
          <w:rFonts w:hint="eastAsia" w:hAnsi="宋体"/>
        </w:rPr>
        <w:t>）。</w:t>
      </w:r>
    </w:p>
    <w:p>
      <w:pPr>
        <w:pStyle w:val="57"/>
        <w:ind w:firstLine="420"/>
        <w:rPr>
          <w:rFonts w:hint="eastAsia"/>
        </w:rPr>
      </w:pPr>
      <w:r>
        <w:rPr>
          <w:rFonts w:hint="eastAsia"/>
          <w:i/>
        </w:rPr>
        <w:t>N</w:t>
      </w:r>
      <w:r>
        <w:rPr>
          <w:rFonts w:hAnsi="宋体"/>
        </w:rPr>
        <w:t>——</w:t>
      </w:r>
      <w:r>
        <w:rPr>
          <w:rFonts w:hint="eastAsia"/>
        </w:rPr>
        <w:t>教育机构统计期内用能人数，单位为人（p）。</w:t>
      </w:r>
    </w:p>
    <w:p>
      <w:pPr>
        <w:pStyle w:val="57"/>
        <w:ind w:firstLine="420"/>
        <w:rPr>
          <w:rFonts w:hint="eastAsia"/>
        </w:rPr>
      </w:pPr>
      <w:r>
        <w:rPr>
          <w:rFonts w:hint="eastAsia"/>
          <w:i/>
        </w:rPr>
        <w:t>N</w:t>
      </w:r>
      <w:r>
        <w:rPr>
          <w:rFonts w:hint="eastAsia"/>
          <w:i/>
          <w:sz w:val="21"/>
          <w:vertAlign w:val="subscript"/>
          <w:lang w:val="en-US" w:eastAsia="zh-CN"/>
        </w:rPr>
        <w:t>1</w:t>
      </w:r>
      <w:r>
        <w:rPr>
          <w:rFonts w:hAnsi="宋体"/>
        </w:rPr>
        <w:t>——</w:t>
      </w:r>
      <w:r>
        <w:rPr>
          <w:rFonts w:hint="eastAsia"/>
        </w:rPr>
        <w:t>教育机构统计期内</w:t>
      </w:r>
      <w:r>
        <w:rPr>
          <w:rFonts w:ascii="Times New Roman" w:hAnsi="宋体"/>
        </w:rPr>
        <w:t>在岗在编人员</w:t>
      </w:r>
      <w:r>
        <w:rPr>
          <w:rFonts w:hint="eastAsia" w:ascii="Times New Roman" w:hAnsi="宋体"/>
        </w:rPr>
        <w:t>、</w:t>
      </w:r>
      <w:r>
        <w:rPr>
          <w:rFonts w:hint="eastAsia"/>
        </w:rPr>
        <w:t>长期聘（借）用的编外人员</w:t>
      </w:r>
      <w:r>
        <w:rPr>
          <w:rFonts w:hint="eastAsia" w:ascii="Times New Roman" w:hAnsi="宋体"/>
        </w:rPr>
        <w:t>、登记在校的全日制学生</w:t>
      </w:r>
      <w:r>
        <w:rPr>
          <w:rFonts w:hint="eastAsia"/>
        </w:rPr>
        <w:t>人数</w:t>
      </w:r>
      <w:r>
        <w:rPr>
          <w:rFonts w:hint="eastAsia"/>
          <w:lang w:eastAsia="zh-CN"/>
        </w:rPr>
        <w:t>之和</w:t>
      </w:r>
      <w:r>
        <w:rPr>
          <w:rFonts w:hint="eastAsia"/>
        </w:rPr>
        <w:t>，单位为人（p）。</w:t>
      </w:r>
    </w:p>
    <w:p>
      <w:pPr>
        <w:pStyle w:val="105"/>
        <w:spacing w:before="312" w:after="312"/>
      </w:pPr>
      <w:bookmarkStart w:id="337" w:name="_Toc44236947"/>
      <w:bookmarkStart w:id="338" w:name="_Toc44236914"/>
      <w:bookmarkStart w:id="339" w:name="_Toc55999843"/>
      <w:bookmarkStart w:id="340" w:name="_Toc63084603"/>
      <w:bookmarkStart w:id="341" w:name="_Toc65157153"/>
      <w:bookmarkStart w:id="342" w:name="_Toc65159270"/>
      <w:bookmarkStart w:id="343" w:name="_Toc65228778"/>
      <w:bookmarkStart w:id="344" w:name="_Toc65230039"/>
      <w:bookmarkStart w:id="345" w:name="_Toc65243826"/>
      <w:bookmarkStart w:id="346" w:name="_Toc334"/>
      <w:r>
        <w:rPr>
          <w:rFonts w:hint="eastAsia"/>
        </w:rPr>
        <w:t>节能管理与措施</w:t>
      </w:r>
      <w:bookmarkEnd w:id="337"/>
      <w:bookmarkEnd w:id="338"/>
      <w:bookmarkEnd w:id="339"/>
      <w:bookmarkEnd w:id="340"/>
      <w:bookmarkEnd w:id="341"/>
      <w:bookmarkEnd w:id="342"/>
      <w:bookmarkEnd w:id="343"/>
      <w:bookmarkEnd w:id="344"/>
      <w:bookmarkEnd w:id="345"/>
      <w:bookmarkEnd w:id="346"/>
    </w:p>
    <w:p>
      <w:pPr>
        <w:pStyle w:val="106"/>
        <w:spacing w:before="156" w:after="156"/>
      </w:pPr>
      <w:bookmarkStart w:id="347" w:name="_Toc50965015"/>
      <w:bookmarkStart w:id="348" w:name="_Toc50972958"/>
      <w:bookmarkStart w:id="349" w:name="_Toc55812781"/>
      <w:bookmarkStart w:id="350" w:name="_Toc55889581"/>
      <w:bookmarkStart w:id="351" w:name="_Toc56000783"/>
      <w:bookmarkStart w:id="352" w:name="_Toc56002340"/>
      <w:bookmarkStart w:id="353" w:name="_Toc56067207"/>
      <w:bookmarkStart w:id="354" w:name="_Toc56070205"/>
      <w:bookmarkStart w:id="355" w:name="_Toc63084604"/>
      <w:bookmarkStart w:id="356" w:name="_Toc65157154"/>
      <w:bookmarkStart w:id="357" w:name="_Toc65159271"/>
      <w:bookmarkStart w:id="358" w:name="_Toc65228779"/>
      <w:bookmarkStart w:id="359" w:name="_Toc65230040"/>
      <w:bookmarkStart w:id="360" w:name="_Toc65243827"/>
      <w:bookmarkStart w:id="361" w:name="_Toc23854"/>
      <w:r>
        <w:rPr>
          <w:rFonts w:hint="eastAsia"/>
        </w:rPr>
        <w:t>节能管理</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166"/>
      </w:pPr>
      <w:r>
        <w:rPr>
          <w:rFonts w:hint="eastAsia"/>
        </w:rPr>
        <w:t>教育机构应按照G</w:t>
      </w:r>
      <w:r>
        <w:rPr>
          <w:rFonts w:hint="eastAsia" w:hAnsi="宋体"/>
        </w:rPr>
        <w:t>B/T 32019</w:t>
      </w:r>
      <w:r>
        <w:rPr>
          <w:rFonts w:hint="eastAsia" w:hAnsi="宋体"/>
          <w:kern w:val="2"/>
          <w:szCs w:val="21"/>
        </w:rPr>
        <w:t>、GB/T 23331</w:t>
      </w:r>
      <w:r>
        <w:rPr>
          <w:rFonts w:hint="eastAsia"/>
        </w:rPr>
        <w:t>的要求建立并实施能源管理体系。</w:t>
      </w:r>
    </w:p>
    <w:p>
      <w:pPr>
        <w:pStyle w:val="166"/>
      </w:pPr>
      <w:r>
        <w:rPr>
          <w:rFonts w:hint="eastAsia"/>
        </w:rPr>
        <w:t>教育机构应结合本单位用能特点和上一年度用能状况，制定节能工作计划，并组织实施。</w:t>
      </w:r>
    </w:p>
    <w:p>
      <w:pPr>
        <w:pStyle w:val="166"/>
      </w:pPr>
      <w:r>
        <w:rPr>
          <w:rFonts w:hint="eastAsia"/>
        </w:rPr>
        <w:t>教育机构应根据本文件能耗定额指标进行能耗管理，</w:t>
      </w:r>
      <w:r>
        <w:rPr>
          <w:rFonts w:hint="eastAsia" w:ascii="Calibri" w:hAnsi="Calibri"/>
          <w:kern w:val="2"/>
          <w:szCs w:val="21"/>
        </w:rPr>
        <w:t>并根据情况开展能源审计，</w:t>
      </w:r>
      <w:r>
        <w:rPr>
          <w:rFonts w:hint="eastAsia"/>
        </w:rPr>
        <w:t>及时准确掌握能源使用情况。</w:t>
      </w:r>
    </w:p>
    <w:p>
      <w:pPr>
        <w:pStyle w:val="166"/>
      </w:pPr>
      <w:r>
        <w:rPr>
          <w:rFonts w:hint="eastAsia"/>
        </w:rPr>
        <w:t>教育机构应通过安装分类和分项能耗计量装置，建立能耗监测系统，实施能耗在线监测与动态分析。</w:t>
      </w:r>
    </w:p>
    <w:p>
      <w:pPr>
        <w:pStyle w:val="166"/>
      </w:pPr>
      <w:r>
        <w:rPr>
          <w:rFonts w:hint="eastAsia"/>
        </w:rPr>
        <w:t>应对能源消耗进行记录、统计、考核，建立能源档案，定期开展节能培训和宣贯，提高工作人员的节能水平和节能意识。</w:t>
      </w:r>
    </w:p>
    <w:p>
      <w:pPr>
        <w:pStyle w:val="166"/>
      </w:pPr>
      <w:r>
        <w:rPr>
          <w:rFonts w:hint="eastAsia"/>
        </w:rPr>
        <w:t>教育机构新购设备应符合相关节能要求。</w:t>
      </w:r>
    </w:p>
    <w:p>
      <w:pPr>
        <w:pStyle w:val="106"/>
        <w:spacing w:before="156" w:after="156"/>
      </w:pPr>
      <w:bookmarkStart w:id="362" w:name="_Toc56000784"/>
      <w:bookmarkStart w:id="363" w:name="_Toc56002341"/>
      <w:bookmarkStart w:id="364" w:name="_Toc55889582"/>
      <w:bookmarkStart w:id="365" w:name="_Toc55812782"/>
      <w:bookmarkStart w:id="366" w:name="_Toc56067208"/>
      <w:bookmarkStart w:id="367" w:name="_Toc56070206"/>
      <w:bookmarkStart w:id="368" w:name="_Toc63084605"/>
      <w:bookmarkStart w:id="369" w:name="_Toc65157155"/>
      <w:bookmarkStart w:id="370" w:name="_Toc65159272"/>
      <w:bookmarkStart w:id="371" w:name="_Toc65228780"/>
      <w:bookmarkStart w:id="372" w:name="_Toc65230041"/>
      <w:bookmarkStart w:id="373" w:name="_Toc65243828"/>
      <w:bookmarkStart w:id="374" w:name="_Toc50965016"/>
      <w:bookmarkStart w:id="375" w:name="_Toc50972959"/>
      <w:bookmarkStart w:id="376" w:name="_Toc4017"/>
      <w:r>
        <w:rPr>
          <w:rFonts w:hint="eastAsia"/>
        </w:rPr>
        <w:t>技术措施</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166"/>
      </w:pPr>
      <w:r>
        <w:rPr>
          <w:rFonts w:hint="eastAsia"/>
        </w:rPr>
        <w:t>教育机构能源计量器具的配备和管理应符合GB/T 29149的要求。</w:t>
      </w:r>
    </w:p>
    <w:p>
      <w:pPr>
        <w:pStyle w:val="166"/>
      </w:pPr>
      <w:r>
        <w:rPr>
          <w:rFonts w:hint="eastAsia"/>
        </w:rPr>
        <w:t>除特殊温度要求的区域外，教育机构室内空调温度的设定应符合国家相关规定。</w:t>
      </w:r>
    </w:p>
    <w:p>
      <w:pPr>
        <w:pStyle w:val="166"/>
      </w:pPr>
      <w:r>
        <w:rPr>
          <w:rFonts w:hint="eastAsia"/>
        </w:rPr>
        <w:t>教育机构应在公共区域推广应用智能调控装置，根据使用需求和自然采光状况进行调节，严格控制夜间泛光照明以及装饰照明。</w:t>
      </w:r>
    </w:p>
    <w:p>
      <w:pPr>
        <w:pStyle w:val="166"/>
      </w:pPr>
      <w:r>
        <w:rPr>
          <w:rFonts w:hint="eastAsia"/>
        </w:rPr>
        <w:t>在制定节能改造计划时，教育机构宜充分考虑新能源新技术产品的应用。</w:t>
      </w:r>
    </w:p>
    <w:p>
      <w:pPr>
        <w:pStyle w:val="166"/>
      </w:pPr>
      <w:r>
        <w:rPr>
          <w:rFonts w:hint="eastAsia"/>
        </w:rPr>
        <w:t>教育机构</w:t>
      </w:r>
      <w:r>
        <w:rPr>
          <w:rFonts w:hint="eastAsia"/>
          <w:lang w:eastAsia="zh-CN"/>
        </w:rPr>
        <w:t>应</w:t>
      </w:r>
      <w:r>
        <w:rPr>
          <w:rFonts w:hint="eastAsia"/>
        </w:rPr>
        <w:t>定期对用能设备进行检修、维护和保养工作，提高设备的能源利用率。</w:t>
      </w:r>
    </w:p>
    <w:p>
      <w:pPr>
        <w:pStyle w:val="57"/>
        <w:ind w:firstLine="420"/>
      </w:pPr>
    </w:p>
    <w:p>
      <w:pPr>
        <w:pStyle w:val="166"/>
        <w:sectPr>
          <w:footerReference r:id="rId14" w:type="default"/>
          <w:pgSz w:w="11906" w:h="16838"/>
          <w:pgMar w:top="1871" w:right="1134" w:bottom="1134" w:left="1134" w:header="1418" w:footer="1134" w:gutter="284"/>
          <w:pgNumType w:fmt="decimal" w:start="1"/>
          <w:cols w:space="425" w:num="1"/>
          <w:formProt w:val="0"/>
          <w:docGrid w:type="lines" w:linePitch="312" w:charSpace="0"/>
        </w:sectPr>
      </w:pPr>
    </w:p>
    <w:bookmarkEnd w:id="25"/>
    <w:p>
      <w:pPr>
        <w:pStyle w:val="199"/>
        <w:rPr>
          <w:vanish w:val="0"/>
        </w:rPr>
      </w:pPr>
      <w:bookmarkStart w:id="377" w:name="BookMark5"/>
    </w:p>
    <w:p>
      <w:pPr>
        <w:pStyle w:val="200"/>
        <w:rPr>
          <w:vanish w:val="0"/>
        </w:rPr>
      </w:pPr>
    </w:p>
    <w:p>
      <w:pPr>
        <w:pStyle w:val="77"/>
        <w:spacing w:before="78" w:after="156"/>
      </w:pPr>
      <w:bookmarkStart w:id="378" w:name="_Toc25077"/>
      <w:r>
        <w:br w:type="textWrapping"/>
      </w:r>
      <w:bookmarkStart w:id="379" w:name="_Toc56088540"/>
      <w:bookmarkStart w:id="380" w:name="_Toc56409338"/>
      <w:bookmarkStart w:id="381" w:name="_Toc65243829"/>
      <w:bookmarkStart w:id="382" w:name="_Toc65230042"/>
      <w:bookmarkStart w:id="383" w:name="_Toc65228781"/>
      <w:bookmarkStart w:id="384" w:name="_Toc65159273"/>
      <w:bookmarkStart w:id="385" w:name="_Toc65157156"/>
      <w:bookmarkStart w:id="386" w:name="_Toc63690300"/>
      <w:bookmarkStart w:id="387" w:name="_Toc63153472"/>
      <w:bookmarkStart w:id="388" w:name="_Toc56414349"/>
      <w:bookmarkStart w:id="389" w:name="_Toc55889583"/>
      <w:bookmarkStart w:id="390" w:name="_Toc56000785"/>
      <w:bookmarkStart w:id="391" w:name="_Toc56002342"/>
      <w:bookmarkStart w:id="392" w:name="_Toc56070207"/>
      <w:bookmarkStart w:id="393" w:name="_Toc56067209"/>
      <w:r>
        <w:rPr>
          <w:rFonts w:hint="eastAsia"/>
        </w:rPr>
        <w:t>（资料性）</w:t>
      </w:r>
      <w:r>
        <w:br w:type="textWrapping"/>
      </w:r>
      <w:r>
        <w:rPr>
          <w:rFonts w:hint="eastAsia"/>
        </w:rPr>
        <w:t>折标准煤参考系数</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79"/>
        <w:spacing w:before="156" w:after="156"/>
      </w:pPr>
      <w:bookmarkStart w:id="394" w:name="_Toc55889584"/>
      <w:bookmarkStart w:id="395" w:name="_Toc56000786"/>
      <w:bookmarkStart w:id="396" w:name="_Toc56002343"/>
      <w:bookmarkStart w:id="397" w:name="_Toc56067210"/>
      <w:bookmarkStart w:id="398" w:name="_Toc56070208"/>
      <w:bookmarkStart w:id="399" w:name="_Toc56088541"/>
      <w:bookmarkStart w:id="400" w:name="_Toc56409339"/>
      <w:bookmarkStart w:id="401" w:name="_Toc56414350"/>
      <w:bookmarkStart w:id="402" w:name="_Toc63153473"/>
      <w:bookmarkStart w:id="403" w:name="_Toc63690301"/>
      <w:bookmarkStart w:id="404" w:name="_Toc65157157"/>
      <w:bookmarkStart w:id="405" w:name="_Toc65159274"/>
      <w:bookmarkStart w:id="406" w:name="_Toc65228782"/>
      <w:bookmarkStart w:id="407" w:name="_Toc65230043"/>
      <w:bookmarkStart w:id="408" w:name="_Toc65243830"/>
      <w:bookmarkStart w:id="409" w:name="_Toc14643"/>
      <w:r>
        <w:rPr>
          <w:rFonts w:hint="eastAsia"/>
        </w:rPr>
        <w:t>常用能源折标准煤参考系数</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57"/>
        <w:ind w:firstLine="420"/>
      </w:pPr>
      <w:r>
        <w:rPr>
          <w:rFonts w:hint="eastAsia"/>
        </w:rPr>
        <w:t>常用能源折标准煤参考系数参见表A.1。</w:t>
      </w:r>
    </w:p>
    <w:p>
      <w:pPr>
        <w:pStyle w:val="78"/>
        <w:spacing w:before="156" w:after="156"/>
      </w:pPr>
      <w:r>
        <w:rPr>
          <w:rFonts w:hint="eastAsia"/>
        </w:rPr>
        <w:t>常用能源折标准煤参考系数</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能源名称</w:t>
            </w:r>
          </w:p>
        </w:tc>
        <w:tc>
          <w:tcPr>
            <w:tcW w:w="3190" w:type="dxa"/>
            <w:tcBorders>
              <w:top w:val="single" w:color="auto" w:sz="8" w:space="0"/>
              <w:left w:val="nil"/>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平均低位发热量</w:t>
            </w:r>
          </w:p>
        </w:tc>
        <w:tc>
          <w:tcPr>
            <w:tcW w:w="3190" w:type="dxa"/>
            <w:tcBorders>
              <w:top w:val="single" w:color="auto" w:sz="8"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折标准煤系数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原煤</w:t>
            </w:r>
          </w:p>
        </w:tc>
        <w:tc>
          <w:tcPr>
            <w:tcW w:w="3190" w:type="dxa"/>
            <w:tcBorders>
              <w:top w:val="single" w:color="auto" w:sz="8"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20 934 kJ/kg（5 000 kcal/kg）</w:t>
            </w:r>
          </w:p>
        </w:tc>
        <w:tc>
          <w:tcPr>
            <w:tcW w:w="3190" w:type="dxa"/>
            <w:tcBorders>
              <w:top w:val="single" w:color="auto" w:sz="8"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0.7143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天然气</w:t>
            </w:r>
          </w:p>
        </w:tc>
        <w:tc>
          <w:tcPr>
            <w:tcW w:w="31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vertAlign w:val="superscript"/>
              </w:rPr>
            </w:pPr>
            <w:r>
              <w:rPr>
                <w:rFonts w:hint="eastAsia" w:ascii="宋体" w:hAnsi="宋体"/>
                <w:sz w:val="18"/>
                <w:szCs w:val="18"/>
              </w:rPr>
              <w:t>32 238 kJ/m</w:t>
            </w:r>
            <w:r>
              <w:rPr>
                <w:rFonts w:hint="eastAsia" w:ascii="宋体" w:hAnsi="宋体"/>
                <w:sz w:val="18"/>
                <w:szCs w:val="18"/>
                <w:vertAlign w:val="superscript"/>
              </w:rPr>
              <w:t>3</w:t>
            </w:r>
            <w:r>
              <w:rPr>
                <w:rFonts w:hint="eastAsia" w:ascii="宋体" w:hAnsi="宋体"/>
                <w:sz w:val="18"/>
                <w:szCs w:val="18"/>
              </w:rPr>
              <w:t>～38 979kJ/m</w:t>
            </w:r>
            <w:r>
              <w:rPr>
                <w:rFonts w:hint="eastAsia" w:ascii="宋体" w:hAnsi="宋体"/>
                <w:sz w:val="18"/>
                <w:szCs w:val="18"/>
                <w:vertAlign w:val="superscript"/>
              </w:rPr>
              <w:t>3</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（7 700 kcal/m</w:t>
            </w:r>
            <w:r>
              <w:rPr>
                <w:rFonts w:hint="eastAsia" w:ascii="宋体" w:hAnsi="宋体"/>
                <w:sz w:val="18"/>
                <w:szCs w:val="18"/>
                <w:vertAlign w:val="superscript"/>
              </w:rPr>
              <w:t>3</w:t>
            </w:r>
            <w:r>
              <w:rPr>
                <w:rFonts w:hint="eastAsia" w:ascii="宋体" w:hAnsi="宋体"/>
                <w:sz w:val="18"/>
                <w:szCs w:val="18"/>
              </w:rPr>
              <w:t>～9 310 kcal/m</w:t>
            </w:r>
            <w:r>
              <w:rPr>
                <w:rFonts w:hint="eastAsia" w:ascii="宋体" w:hAnsi="宋体"/>
                <w:sz w:val="18"/>
                <w:szCs w:val="18"/>
                <w:vertAlign w:val="superscript"/>
              </w:rPr>
              <w:t>3</w:t>
            </w:r>
            <w:r>
              <w:rPr>
                <w:rFonts w:hint="eastAsia" w:ascii="宋体" w:hAnsi="宋体"/>
                <w:sz w:val="18"/>
                <w:szCs w:val="18"/>
              </w:rPr>
              <w:t>）</w:t>
            </w:r>
          </w:p>
        </w:tc>
        <w:tc>
          <w:tcPr>
            <w:tcW w:w="319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1.1000～1.330 kgce/m</w:t>
            </w:r>
            <w:r>
              <w:rPr>
                <w:rFonts w:hint="eastAsia" w:ascii="宋体" w:hAnsi="宋体"/>
                <w:sz w:val="18"/>
                <w:szCs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19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液化石油气</w:t>
            </w:r>
          </w:p>
        </w:tc>
        <w:tc>
          <w:tcPr>
            <w:tcW w:w="31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50 242 kJ/kg（12 000 kcal/kg）</w:t>
            </w:r>
          </w:p>
        </w:tc>
        <w:tc>
          <w:tcPr>
            <w:tcW w:w="319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1.7143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汽油</w:t>
            </w:r>
          </w:p>
        </w:tc>
        <w:tc>
          <w:tcPr>
            <w:tcW w:w="31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43 124 kJ/kg（10 300 kcal/kg）</w:t>
            </w:r>
          </w:p>
        </w:tc>
        <w:tc>
          <w:tcPr>
            <w:tcW w:w="319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1.4714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柴油</w:t>
            </w:r>
          </w:p>
        </w:tc>
        <w:tc>
          <w:tcPr>
            <w:tcW w:w="31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42 705 kJ/kg（10 200 kcal/kg）</w:t>
            </w:r>
          </w:p>
        </w:tc>
        <w:tc>
          <w:tcPr>
            <w:tcW w:w="319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1.4571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燃料油</w:t>
            </w:r>
          </w:p>
        </w:tc>
        <w:tc>
          <w:tcPr>
            <w:tcW w:w="31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41 868 kJ/kg（10 000 kcal/kg）</w:t>
            </w:r>
          </w:p>
        </w:tc>
        <w:tc>
          <w:tcPr>
            <w:tcW w:w="319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1.4286 kgce/kg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电力（当量值）</w:t>
            </w:r>
          </w:p>
        </w:tc>
        <w:tc>
          <w:tcPr>
            <w:tcW w:w="31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w:t>
            </w:r>
          </w:p>
        </w:tc>
        <w:tc>
          <w:tcPr>
            <w:tcW w:w="3190"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0.1229 kgce/（kW·h）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热力（当量值）</w:t>
            </w:r>
          </w:p>
        </w:tc>
        <w:tc>
          <w:tcPr>
            <w:tcW w:w="3190" w:type="dxa"/>
            <w:tcBorders>
              <w:top w:val="single" w:color="auto" w:sz="4" w:space="0"/>
              <w:left w:val="nil"/>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w:t>
            </w:r>
          </w:p>
        </w:tc>
        <w:tc>
          <w:tcPr>
            <w:tcW w:w="3190"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0.03412 kgce/MJ</w:t>
            </w:r>
          </w:p>
        </w:tc>
      </w:tr>
    </w:tbl>
    <w:p>
      <w:pPr>
        <w:pStyle w:val="231"/>
      </w:pPr>
    </w:p>
    <w:p>
      <w:pPr>
        <w:pStyle w:val="79"/>
        <w:spacing w:before="156" w:after="156"/>
      </w:pPr>
      <w:bookmarkStart w:id="410" w:name="_Toc63153474"/>
      <w:bookmarkStart w:id="411" w:name="_Toc56414351"/>
      <w:bookmarkStart w:id="412" w:name="_Toc56409340"/>
      <w:bookmarkStart w:id="413" w:name="_Toc56088542"/>
      <w:bookmarkStart w:id="414" w:name="_Toc56070209"/>
      <w:bookmarkStart w:id="415" w:name="_Toc56067211"/>
      <w:bookmarkStart w:id="416" w:name="_Toc56002344"/>
      <w:bookmarkStart w:id="417" w:name="_Toc56000787"/>
      <w:bookmarkStart w:id="418" w:name="_Toc55889585"/>
      <w:bookmarkStart w:id="419" w:name="_Toc63690302"/>
      <w:bookmarkStart w:id="420" w:name="_Toc65157158"/>
      <w:bookmarkStart w:id="421" w:name="_Toc65159275"/>
      <w:bookmarkStart w:id="422" w:name="_Toc65228783"/>
      <w:bookmarkStart w:id="423" w:name="_Toc65230044"/>
      <w:bookmarkStart w:id="424" w:name="_Toc65243831"/>
      <w:bookmarkStart w:id="425" w:name="_Toc26376"/>
      <w:r>
        <w:rPr>
          <w:rFonts w:hint="eastAsia"/>
        </w:rPr>
        <w:t>常用耗能工质折标准煤参考系数</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57"/>
        <w:ind w:firstLine="420"/>
      </w:pPr>
      <w:r>
        <w:rPr>
          <w:rFonts w:hint="eastAsia"/>
        </w:rPr>
        <w:t>常用耗能工质折标准煤参考系数参见表A.2。</w:t>
      </w:r>
    </w:p>
    <w:p>
      <w:pPr>
        <w:pStyle w:val="78"/>
        <w:spacing w:before="156" w:after="156"/>
      </w:pPr>
      <w:r>
        <w:rPr>
          <w:rFonts w:hint="eastAsia"/>
        </w:rPr>
        <w:t>常用耗能工质折标准煤参考系数</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90"/>
        <w:gridCol w:w="3190"/>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耗能工质名称</w:t>
            </w:r>
          </w:p>
        </w:tc>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单位耗能工质耗能量</w:t>
            </w:r>
          </w:p>
        </w:tc>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折标准煤系数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新水</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7.54 MJ/t（1 800 kcal/t）</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0.2571 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软水</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14.24 MJ/t（3 400 kcal/t）</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0.4857 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除氧水</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28.47 MJ/t（6 800 kcal/t）</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0.9714 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压缩空气</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1.17 MJ/m</w:t>
            </w:r>
            <w:r>
              <w:rPr>
                <w:rFonts w:hint="eastAsia" w:ascii="宋体" w:hAnsi="宋体"/>
                <w:sz w:val="18"/>
                <w:szCs w:val="18"/>
                <w:vertAlign w:val="superscript"/>
              </w:rPr>
              <w:t>3</w:t>
            </w:r>
            <w:r>
              <w:rPr>
                <w:rFonts w:hint="eastAsia" w:ascii="宋体" w:hAnsi="宋体"/>
                <w:sz w:val="18"/>
                <w:szCs w:val="18"/>
              </w:rPr>
              <w:t>（280 kcal/ m</w:t>
            </w:r>
            <w:r>
              <w:rPr>
                <w:rFonts w:hint="eastAsia" w:ascii="宋体" w:hAnsi="宋体"/>
                <w:sz w:val="18"/>
                <w:szCs w:val="18"/>
                <w:vertAlign w:val="superscript"/>
              </w:rPr>
              <w:t>3</w:t>
            </w:r>
            <w:r>
              <w:rPr>
                <w:rFonts w:hint="eastAsia" w:ascii="宋体" w:hAnsi="宋体"/>
                <w:sz w:val="18"/>
                <w:szCs w:val="18"/>
              </w:rPr>
              <w:t>）</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0.0400 kgce/m</w:t>
            </w:r>
            <w:r>
              <w:rPr>
                <w:rFonts w:hint="default" w:ascii="宋体" w:hAnsi="宋体"/>
                <w:sz w:val="18"/>
                <w:szCs w:val="1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31"/>
              <w:keepNext w:val="0"/>
              <w:keepLines w:val="0"/>
              <w:widowControl/>
              <w:suppressLineNumbers w:val="0"/>
              <w:spacing w:before="0" w:beforeAutospacing="0" w:after="0" w:afterAutospacing="0"/>
              <w:ind w:left="0" w:right="0" w:firstLine="0" w:firstLineChars="0"/>
              <w:jc w:val="center"/>
              <w:rPr>
                <w:rFonts w:hint="default" w:hAnsi="宋体"/>
                <w:kern w:val="2"/>
                <w:sz w:val="18"/>
                <w:szCs w:val="22"/>
              </w:rPr>
            </w:pPr>
            <w:r>
              <w:rPr>
                <w:rFonts w:hint="eastAsia" w:hAnsi="宋体"/>
                <w:kern w:val="2"/>
                <w:sz w:val="18"/>
                <w:szCs w:val="22"/>
              </w:rPr>
              <w:t>氧气</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11.72 MJ/m</w:t>
            </w:r>
            <w:r>
              <w:rPr>
                <w:rFonts w:hint="eastAsia" w:ascii="宋体" w:hAnsi="宋体"/>
                <w:sz w:val="18"/>
                <w:szCs w:val="18"/>
                <w:vertAlign w:val="superscript"/>
              </w:rPr>
              <w:t>3</w:t>
            </w:r>
            <w:r>
              <w:rPr>
                <w:rFonts w:hint="eastAsia" w:ascii="宋体" w:hAnsi="宋体"/>
                <w:sz w:val="18"/>
                <w:szCs w:val="18"/>
              </w:rPr>
              <w:t>（2 800 kcal/ m</w:t>
            </w:r>
            <w:r>
              <w:rPr>
                <w:rFonts w:hint="eastAsia" w:ascii="宋体" w:hAnsi="宋体"/>
                <w:sz w:val="18"/>
                <w:szCs w:val="18"/>
                <w:vertAlign w:val="superscript"/>
              </w:rPr>
              <w:t>3</w:t>
            </w:r>
            <w:r>
              <w:rPr>
                <w:rFonts w:hint="eastAsia" w:ascii="宋体" w:hAnsi="宋体"/>
                <w:sz w:val="18"/>
                <w:szCs w:val="18"/>
              </w:rPr>
              <w:t>）</w:t>
            </w:r>
          </w:p>
        </w:tc>
        <w:tc>
          <w:tcPr>
            <w:tcW w:w="3190"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0.4000 kgce/m</w:t>
            </w:r>
            <w:r>
              <w:rPr>
                <w:rFonts w:hint="default" w:ascii="宋体" w:hAnsi="宋体"/>
                <w:sz w:val="18"/>
                <w:szCs w:val="18"/>
                <w:vertAlign w:val="superscript"/>
              </w:rPr>
              <w:t>3</w:t>
            </w:r>
          </w:p>
        </w:tc>
      </w:tr>
    </w:tbl>
    <w:p>
      <w:pPr>
        <w:pStyle w:val="57"/>
        <w:ind w:firstLine="420"/>
      </w:pPr>
    </w:p>
    <w:p>
      <w:pPr>
        <w:pStyle w:val="57"/>
        <w:ind w:firstLine="420"/>
      </w:pPr>
    </w:p>
    <w:p>
      <w:pPr>
        <w:pStyle w:val="57"/>
        <w:ind w:firstLine="420"/>
        <w:sectPr>
          <w:pgSz w:w="11906" w:h="16838"/>
          <w:pgMar w:top="1871" w:right="1134" w:bottom="1134" w:left="1134" w:header="1418" w:footer="1134" w:gutter="284"/>
          <w:pgNumType w:fmt="decimal"/>
          <w:cols w:space="425" w:num="1"/>
          <w:formProt w:val="0"/>
          <w:docGrid w:type="lines" w:linePitch="312" w:charSpace="0"/>
        </w:sectPr>
      </w:pPr>
    </w:p>
    <w:p>
      <w:pPr>
        <w:pStyle w:val="199"/>
      </w:pPr>
    </w:p>
    <w:p>
      <w:pPr>
        <w:pStyle w:val="200"/>
      </w:pPr>
    </w:p>
    <w:p>
      <w:pPr>
        <w:pStyle w:val="77"/>
        <w:spacing w:before="78" w:after="156"/>
        <w:rPr>
          <w:rFonts w:hint="eastAsia"/>
        </w:rPr>
      </w:pPr>
      <w:bookmarkStart w:id="426" w:name="_Toc10705"/>
      <w:r>
        <w:br w:type="textWrapping"/>
      </w:r>
      <w:r>
        <w:rPr>
          <w:rFonts w:hint="eastAsia"/>
        </w:rPr>
        <w:t>（资料性）</w:t>
      </w:r>
      <w:r>
        <w:br w:type="textWrapping"/>
      </w:r>
      <w:r>
        <w:rPr>
          <w:rFonts w:hint="eastAsia"/>
        </w:rPr>
        <w:t>教育机构</w:t>
      </w:r>
      <w:r>
        <w:rPr>
          <w:rFonts w:hint="eastAsia"/>
          <w:lang w:eastAsia="zh-CN"/>
        </w:rPr>
        <w:t>用能人数和建筑面积</w:t>
      </w:r>
      <w:r>
        <w:rPr>
          <w:rFonts w:hint="eastAsia"/>
        </w:rPr>
        <w:t>计算示例</w:t>
      </w:r>
      <w:bookmarkEnd w:id="426"/>
    </w:p>
    <w:p>
      <w:pPr>
        <w:pStyle w:val="79"/>
        <w:spacing w:before="156" w:after="156"/>
        <w:rPr>
          <w:rFonts w:hint="eastAsia"/>
        </w:rPr>
      </w:pPr>
      <w:bookmarkStart w:id="427" w:name="_Toc1996"/>
      <w:r>
        <w:rPr>
          <w:rFonts w:hint="eastAsia"/>
        </w:rPr>
        <w:t>教育机构</w:t>
      </w:r>
      <w:r>
        <w:rPr>
          <w:rFonts w:hint="eastAsia"/>
          <w:lang w:eastAsia="zh-CN"/>
        </w:rPr>
        <w:t>用能人数和建筑面积</w:t>
      </w:r>
      <w:r>
        <w:rPr>
          <w:rFonts w:hint="eastAsia"/>
        </w:rPr>
        <w:t>计算示例</w:t>
      </w:r>
      <w:bookmarkEnd w:id="427"/>
    </w:p>
    <w:p>
      <w:pPr>
        <w:pStyle w:val="213"/>
        <w:rPr>
          <w:rFonts w:hint="eastAsia"/>
        </w:rPr>
      </w:pPr>
      <w:r>
        <w:rPr>
          <w:rFonts w:hint="eastAsia"/>
        </w:rPr>
        <w:t>2019年某教育机构用能人数</w:t>
      </w:r>
      <w:r>
        <w:rPr>
          <w:rFonts w:hint="eastAsia"/>
          <w:lang w:eastAsia="zh-CN"/>
        </w:rPr>
        <w:t>和建筑面积</w:t>
      </w:r>
      <w:r>
        <w:rPr>
          <w:rFonts w:hint="eastAsia"/>
        </w:rPr>
        <w:t>情况如下：</w:t>
      </w:r>
    </w:p>
    <w:p>
      <w:pPr>
        <w:pStyle w:val="175"/>
        <w:rPr>
          <w:rFonts w:hint="eastAsia"/>
        </w:rPr>
      </w:pPr>
      <w:r>
        <w:rPr>
          <w:rFonts w:ascii="Times New Roman" w:hAnsi="宋体"/>
        </w:rPr>
        <w:t>在岗在编人员</w:t>
      </w:r>
      <w:r>
        <w:rPr>
          <w:rFonts w:hint="eastAsia"/>
        </w:rPr>
        <w:t>：200人；</w:t>
      </w:r>
    </w:p>
    <w:p>
      <w:pPr>
        <w:pStyle w:val="175"/>
        <w:rPr>
          <w:rFonts w:hint="eastAsia"/>
        </w:rPr>
      </w:pPr>
      <w:r>
        <w:rPr>
          <w:rFonts w:hint="eastAsia"/>
        </w:rPr>
        <w:t>长期聘（借）用的编外人员：60人；</w:t>
      </w:r>
    </w:p>
    <w:p>
      <w:pPr>
        <w:pStyle w:val="175"/>
        <w:rPr>
          <w:rFonts w:hint="eastAsia"/>
        </w:rPr>
      </w:pPr>
      <w:r>
        <w:rPr>
          <w:rFonts w:hint="eastAsia" w:ascii="Times New Roman" w:hAnsi="宋体"/>
        </w:rPr>
        <w:t>登记在校的全日制学生</w:t>
      </w:r>
      <w:r>
        <w:rPr>
          <w:rFonts w:hint="eastAsia"/>
        </w:rPr>
        <w:t>：4000人；</w:t>
      </w:r>
    </w:p>
    <w:p>
      <w:pPr>
        <w:pStyle w:val="175"/>
        <w:rPr>
          <w:rFonts w:hint="eastAsia"/>
        </w:rPr>
      </w:pPr>
      <w:r>
        <w:rPr>
          <w:rFonts w:hint="eastAsia"/>
        </w:rPr>
        <w:t>流动人员：1500人</w:t>
      </w:r>
      <w:r>
        <w:rPr>
          <w:rFonts w:hint="eastAsia"/>
          <w:lang w:eastAsia="zh-CN"/>
        </w:rPr>
        <w:t>；</w:t>
      </w:r>
    </w:p>
    <w:p>
      <w:pPr>
        <w:pStyle w:val="175"/>
        <w:rPr>
          <w:rFonts w:hint="eastAsia"/>
        </w:rPr>
      </w:pPr>
      <w:r>
        <w:rPr>
          <w:rFonts w:hint="eastAsia"/>
          <w:lang w:eastAsia="zh-CN"/>
        </w:rPr>
        <w:t>实测建筑面积：</w:t>
      </w:r>
      <w:r>
        <w:rPr>
          <w:rFonts w:hint="eastAsia"/>
          <w:lang w:val="en-US" w:eastAsia="zh-CN"/>
        </w:rPr>
        <w:t>10000</w:t>
      </w:r>
      <w:r>
        <w:rPr>
          <w:rFonts w:hAnsi="宋体"/>
        </w:rPr>
        <w:t>m</w:t>
      </w:r>
      <w:r>
        <w:rPr>
          <w:rFonts w:hAnsi="宋体"/>
          <w:vertAlign w:val="superscript"/>
        </w:rPr>
        <w:t>2</w:t>
      </w:r>
      <w:r>
        <w:rPr>
          <w:rFonts w:hint="eastAsia"/>
          <w:lang w:val="en-US" w:eastAsia="zh-CN"/>
        </w:rPr>
        <w:t>。</w:t>
      </w:r>
    </w:p>
    <w:p>
      <w:pPr>
        <w:pStyle w:val="213"/>
        <w:rPr>
          <w:rFonts w:hint="eastAsia"/>
        </w:rPr>
      </w:pPr>
      <w:r>
        <w:rPr>
          <w:rFonts w:hint="eastAsia"/>
        </w:rPr>
        <w:t>该教育机构的</w:t>
      </w:r>
      <w:r>
        <w:rPr>
          <w:rFonts w:hint="eastAsia"/>
          <w:lang w:eastAsia="zh-CN"/>
        </w:rPr>
        <w:t>用能人数</w:t>
      </w:r>
      <w:r>
        <w:rPr>
          <w:rFonts w:hint="eastAsia"/>
        </w:rPr>
        <w:t>按表B.1计算：</w:t>
      </w:r>
    </w:p>
    <w:p>
      <w:pPr>
        <w:pStyle w:val="78"/>
        <w:spacing w:before="156" w:after="156"/>
        <w:rPr>
          <w:rFonts w:hint="eastAsia"/>
        </w:rPr>
      </w:pPr>
      <w:r>
        <w:rPr>
          <w:rFonts w:hint="eastAsia"/>
        </w:rPr>
        <w:t>用能人数计算明细表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2021"/>
        <w:gridCol w:w="1169"/>
        <w:gridCol w:w="19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名称</w:t>
            </w:r>
          </w:p>
        </w:tc>
        <w:tc>
          <w:tcPr>
            <w:tcW w:w="1595" w:type="dxa"/>
            <w:vMerge w:val="restart"/>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人数</w:t>
            </w:r>
          </w:p>
        </w:tc>
        <w:tc>
          <w:tcPr>
            <w:tcW w:w="3190" w:type="dxa"/>
            <w:gridSpan w:val="2"/>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lang w:eastAsia="zh-CN"/>
              </w:rPr>
              <w:t>折算</w:t>
            </w:r>
            <w:r>
              <w:rPr>
                <w:rFonts w:hint="eastAsia"/>
                <w:kern w:val="2"/>
                <w:szCs w:val="22"/>
              </w:rPr>
              <w:t>系数</w:t>
            </w:r>
          </w:p>
        </w:tc>
        <w:tc>
          <w:tcPr>
            <w:tcW w:w="3190" w:type="dxa"/>
            <w:gridSpan w:val="2"/>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用能人数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p>
        </w:tc>
        <w:tc>
          <w:tcPr>
            <w:tcW w:w="1595" w:type="dxa"/>
            <w:vMerge w:val="continue"/>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算式</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结果</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算式</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default" w:ascii="Times New Roman" w:hAnsi="宋体"/>
                <w:kern w:val="2"/>
                <w:szCs w:val="22"/>
              </w:rPr>
              <w:t>在岗在编人员</w:t>
            </w:r>
          </w:p>
        </w:tc>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200</w:t>
            </w: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val="en-US" w:eastAsia="zh-CN"/>
              </w:rPr>
            </w:pPr>
            <w:r>
              <w:rPr>
                <w:rFonts w:hint="eastAsia"/>
                <w:kern w:val="2"/>
                <w:szCs w:val="22"/>
                <w:lang w:val="en-US" w:eastAsia="zh-CN"/>
              </w:rPr>
              <w:t>-</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kern w:val="2"/>
                <w:szCs w:val="22"/>
                <w:lang w:eastAsia="zh-CN"/>
              </w:rPr>
              <w:t>1</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kern w:val="2"/>
                <w:szCs w:val="22"/>
              </w:rPr>
              <w:t>200*</w:t>
            </w:r>
            <w:r>
              <w:rPr>
                <w:rFonts w:hint="eastAsia"/>
                <w:kern w:val="2"/>
                <w:szCs w:val="22"/>
                <w:lang w:val="en-US" w:eastAsia="zh-CN"/>
              </w:rPr>
              <w:t>1</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长期聘（借）用的编外人员</w:t>
            </w:r>
          </w:p>
        </w:tc>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60</w:t>
            </w: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val="en-US" w:eastAsia="zh-CN"/>
              </w:rPr>
            </w:pPr>
            <w:r>
              <w:rPr>
                <w:rFonts w:hint="eastAsia"/>
                <w:kern w:val="2"/>
                <w:szCs w:val="22"/>
                <w:lang w:val="en-US" w:eastAsia="zh-CN"/>
              </w:rPr>
              <w:t>-</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kern w:val="2"/>
                <w:szCs w:val="22"/>
                <w:lang w:eastAsia="zh-CN"/>
              </w:rPr>
              <w:t>1</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kern w:val="2"/>
                <w:szCs w:val="22"/>
              </w:rPr>
              <w:t>60*</w:t>
            </w:r>
            <w:r>
              <w:rPr>
                <w:rFonts w:hint="eastAsia"/>
                <w:kern w:val="2"/>
                <w:szCs w:val="22"/>
                <w:lang w:val="en-US" w:eastAsia="zh-CN"/>
              </w:rPr>
              <w:t>1</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ascii="Times New Roman" w:hAnsi="宋体"/>
                <w:kern w:val="2"/>
                <w:szCs w:val="22"/>
              </w:rPr>
              <w:t>登记在校的全日制学生</w:t>
            </w:r>
          </w:p>
        </w:tc>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4000</w:t>
            </w: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val="en-US" w:eastAsia="zh-CN"/>
              </w:rPr>
            </w:pPr>
            <w:r>
              <w:rPr>
                <w:rFonts w:hint="eastAsia"/>
                <w:kern w:val="2"/>
                <w:szCs w:val="22"/>
                <w:lang w:val="en-US" w:eastAsia="zh-CN"/>
              </w:rPr>
              <w:t>-</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val="en-US" w:eastAsia="zh-CN"/>
              </w:rPr>
            </w:pPr>
            <w:r>
              <w:rPr>
                <w:rFonts w:hint="eastAsia"/>
                <w:kern w:val="2"/>
                <w:szCs w:val="22"/>
                <w:lang w:val="en-US" w:eastAsia="zh-CN"/>
              </w:rPr>
              <w:t>1</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kern w:val="2"/>
                <w:szCs w:val="22"/>
              </w:rPr>
              <w:t>4000*</w:t>
            </w:r>
            <w:r>
              <w:rPr>
                <w:rFonts w:hint="eastAsia"/>
                <w:kern w:val="2"/>
                <w:szCs w:val="22"/>
                <w:lang w:val="en-US" w:eastAsia="zh-CN"/>
              </w:rPr>
              <w:t>1</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流动人员</w:t>
            </w:r>
          </w:p>
        </w:tc>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1500</w:t>
            </w: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65</w:t>
            </w:r>
            <w:r>
              <w:rPr>
                <w:rFonts w:hint="eastAsia"/>
                <w:kern w:val="2"/>
                <w:szCs w:val="22"/>
              </w:rPr>
              <w:t>/365</w:t>
            </w:r>
            <w:r>
              <w:rPr>
                <w:rFonts w:hint="eastAsia"/>
                <w:kern w:val="2"/>
                <w:szCs w:val="22"/>
                <w:lang w:val="en-US" w:eastAsia="zh-CN"/>
              </w:rPr>
              <w:t>-88</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0.318</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1500*0.318</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5"/>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合计</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6"/>
            <w:vAlign w:val="center"/>
          </w:tcPr>
          <w:p>
            <w:pPr>
              <w:pStyle w:val="181"/>
              <w:keepNext w:val="0"/>
              <w:keepLines w:val="0"/>
              <w:suppressLineNumbers w:val="0"/>
              <w:spacing w:before="0" w:beforeAutospacing="0" w:after="0" w:afterAutospacing="0"/>
              <w:ind w:left="0" w:right="0"/>
              <w:rPr>
                <w:rFonts w:hint="eastAsia"/>
                <w:kern w:val="2"/>
              </w:rPr>
            </w:pPr>
            <w:r>
              <w:rPr>
                <w:rFonts w:hint="default" w:ascii="Times New Roman" w:hAnsi="Times New Roman" w:eastAsia="黑体"/>
                <w:kern w:val="2"/>
                <w:sz w:val="18"/>
                <w:szCs w:val="18"/>
              </w:rPr>
              <w:t>注</w:t>
            </w:r>
            <w:r>
              <w:rPr>
                <w:rFonts w:hint="eastAsia" w:ascii="Times New Roman" w:eastAsia="黑体"/>
                <w:kern w:val="2"/>
                <w:sz w:val="18"/>
                <w:szCs w:val="18"/>
                <w:lang w:val="en-US" w:eastAsia="zh-CN"/>
              </w:rPr>
              <w:t>1</w:t>
            </w:r>
            <w:r>
              <w:rPr>
                <w:rFonts w:hint="default" w:ascii="Times New Roman" w:hAnsi="Times New Roman" w:eastAsia="黑体"/>
                <w:kern w:val="2"/>
                <w:sz w:val="18"/>
                <w:szCs w:val="18"/>
              </w:rPr>
              <w:t>：</w:t>
            </w:r>
            <w:r>
              <w:rPr>
                <w:rFonts w:hint="eastAsia"/>
                <w:kern w:val="2"/>
                <w:lang w:eastAsia="zh-CN"/>
              </w:rPr>
              <w:t>流动人员折算</w:t>
            </w:r>
            <w:r>
              <w:rPr>
                <w:rFonts w:hint="eastAsia"/>
                <w:kern w:val="2"/>
              </w:rPr>
              <w:t>系数算式中“</w:t>
            </w:r>
            <w:r>
              <w:rPr>
                <w:rFonts w:hint="eastAsia"/>
                <w:kern w:val="2"/>
                <w:lang w:val="en-US" w:eastAsia="zh-CN"/>
              </w:rPr>
              <w:t>88</w:t>
            </w:r>
            <w:r>
              <w:rPr>
                <w:rFonts w:hint="eastAsia"/>
                <w:kern w:val="2"/>
              </w:rPr>
              <w:t>”两个数字分别为举例说明该教育机构寒</w:t>
            </w:r>
            <w:r>
              <w:rPr>
                <w:rFonts w:hint="eastAsia"/>
                <w:kern w:val="2"/>
                <w:lang w:eastAsia="zh-CN"/>
              </w:rPr>
              <w:t>、</w:t>
            </w:r>
            <w:r>
              <w:rPr>
                <w:rFonts w:hint="eastAsia"/>
                <w:kern w:val="2"/>
              </w:rPr>
              <w:t>暑假的放假天数</w:t>
            </w:r>
            <w:r>
              <w:rPr>
                <w:rFonts w:hint="eastAsia"/>
                <w:kern w:val="2"/>
                <w:lang w:eastAsia="zh-CN"/>
              </w:rPr>
              <w:t>之和，数字“</w:t>
            </w:r>
            <w:r>
              <w:rPr>
                <w:rFonts w:hint="eastAsia"/>
                <w:kern w:val="2"/>
                <w:lang w:val="en-US" w:eastAsia="zh-CN"/>
              </w:rPr>
              <w:t>65</w:t>
            </w:r>
            <w:r>
              <w:rPr>
                <w:rFonts w:hint="eastAsia"/>
                <w:kern w:val="2"/>
                <w:lang w:eastAsia="zh-CN"/>
              </w:rPr>
              <w:t>”</w:t>
            </w:r>
            <w:r>
              <w:rPr>
                <w:rFonts w:hint="eastAsia"/>
                <w:kern w:val="2"/>
              </w:rPr>
              <w:t>为举例说明该教育机构</w:t>
            </w:r>
            <w:r>
              <w:rPr>
                <w:rFonts w:hint="eastAsia"/>
                <w:kern w:val="2"/>
                <w:lang w:eastAsia="zh-CN"/>
              </w:rPr>
              <w:t>流动人员实际用能天数</w:t>
            </w:r>
            <w:r>
              <w:rPr>
                <w:rFonts w:hint="eastAsia"/>
                <w:kern w:val="2"/>
              </w:rPr>
              <w:t>。</w:t>
            </w:r>
          </w:p>
          <w:p>
            <w:pPr>
              <w:pStyle w:val="181"/>
              <w:keepNext w:val="0"/>
              <w:keepLines w:val="0"/>
              <w:suppressLineNumbers w:val="0"/>
              <w:spacing w:before="0" w:beforeAutospacing="0" w:after="0" w:afterAutospacing="0"/>
              <w:ind w:left="0" w:right="0"/>
              <w:rPr>
                <w:rFonts w:hint="default"/>
                <w:kern w:val="2"/>
              </w:rPr>
            </w:pPr>
            <w:r>
              <w:rPr>
                <w:rFonts w:hint="default" w:ascii="Times New Roman" w:hAnsi="Times New Roman" w:eastAsia="黑体"/>
                <w:kern w:val="2"/>
                <w:sz w:val="18"/>
                <w:szCs w:val="18"/>
              </w:rPr>
              <w:t>注</w:t>
            </w:r>
            <w:r>
              <w:rPr>
                <w:rFonts w:hint="eastAsia" w:ascii="Times New Roman" w:eastAsia="黑体"/>
                <w:kern w:val="2"/>
                <w:sz w:val="18"/>
                <w:szCs w:val="18"/>
                <w:lang w:val="en-US" w:eastAsia="zh-CN"/>
              </w:rPr>
              <w:t>2</w:t>
            </w:r>
            <w:r>
              <w:rPr>
                <w:rFonts w:hint="default" w:ascii="Times New Roman" w:hAnsi="Times New Roman" w:eastAsia="黑体"/>
                <w:kern w:val="2"/>
                <w:sz w:val="18"/>
                <w:szCs w:val="18"/>
              </w:rPr>
              <w:t>：</w:t>
            </w:r>
            <w:r>
              <w:rPr>
                <w:rFonts w:hint="eastAsia"/>
                <w:kern w:val="2"/>
              </w:rPr>
              <w:t>该教育机构</w:t>
            </w:r>
            <w:r>
              <w:rPr>
                <w:rFonts w:hint="eastAsia"/>
                <w:kern w:val="2"/>
                <w:lang w:eastAsia="zh-CN"/>
              </w:rPr>
              <w:t>流动人员为</w:t>
            </w:r>
            <w:r>
              <w:rPr>
                <w:rFonts w:hint="eastAsia"/>
                <w:kern w:val="2"/>
                <w:lang w:val="en-US" w:eastAsia="zh-CN"/>
              </w:rPr>
              <w:t>477人</w:t>
            </w:r>
            <w:r>
              <w:rPr>
                <w:rFonts w:hint="eastAsia"/>
                <w:kern w:val="2"/>
              </w:rPr>
              <w:t>，其中小数点采取四舍五入。</w:t>
            </w:r>
          </w:p>
        </w:tc>
      </w:tr>
    </w:tbl>
    <w:p>
      <w:pPr>
        <w:pStyle w:val="57"/>
        <w:ind w:firstLine="420"/>
      </w:pPr>
    </w:p>
    <w:p>
      <w:pPr>
        <w:pStyle w:val="213"/>
        <w:rPr>
          <w:rFonts w:hint="eastAsia"/>
        </w:rPr>
      </w:pPr>
      <w:r>
        <w:rPr>
          <w:rFonts w:hint="eastAsia"/>
        </w:rPr>
        <w:t>该教育机构的</w:t>
      </w:r>
      <w:r>
        <w:rPr>
          <w:rFonts w:hint="eastAsia"/>
          <w:lang w:eastAsia="zh-CN"/>
        </w:rPr>
        <w:t>建筑面积</w:t>
      </w:r>
      <w:r>
        <w:rPr>
          <w:rFonts w:hint="eastAsia"/>
        </w:rPr>
        <w:t>按表B.</w:t>
      </w:r>
      <w:r>
        <w:rPr>
          <w:rFonts w:hint="eastAsia"/>
          <w:lang w:val="en-US" w:eastAsia="zh-CN"/>
        </w:rPr>
        <w:t>2</w:t>
      </w:r>
      <w:r>
        <w:rPr>
          <w:rFonts w:hint="eastAsia"/>
        </w:rPr>
        <w:t>计算：</w:t>
      </w:r>
    </w:p>
    <w:p>
      <w:pPr>
        <w:pStyle w:val="78"/>
        <w:spacing w:before="156" w:after="156"/>
        <w:rPr>
          <w:rFonts w:hint="eastAsia"/>
        </w:rPr>
      </w:pPr>
      <w:r>
        <w:rPr>
          <w:rFonts w:hint="eastAsia"/>
          <w:lang w:eastAsia="zh-CN"/>
        </w:rPr>
        <w:t>建筑面积</w:t>
      </w:r>
      <w:r>
        <w:rPr>
          <w:rFonts w:hint="eastAsia"/>
        </w:rPr>
        <w:t>计算明细表</w:t>
      </w:r>
    </w:p>
    <w:bookmarkEnd w:id="377"/>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2021"/>
        <w:gridCol w:w="1169"/>
        <w:gridCol w:w="19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restart"/>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bookmarkStart w:id="428" w:name="BookMark6"/>
            <w:r>
              <w:rPr>
                <w:rFonts w:hint="eastAsia"/>
                <w:kern w:val="2"/>
                <w:szCs w:val="22"/>
              </w:rPr>
              <w:t>名称</w:t>
            </w:r>
          </w:p>
        </w:tc>
        <w:tc>
          <w:tcPr>
            <w:tcW w:w="1595" w:type="dxa"/>
            <w:vMerge w:val="restart"/>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kern w:val="2"/>
                <w:szCs w:val="22"/>
                <w:lang w:eastAsia="zh-CN"/>
              </w:rPr>
            </w:pPr>
            <w:r>
              <w:rPr>
                <w:rFonts w:hint="eastAsia"/>
                <w:kern w:val="2"/>
                <w:szCs w:val="22"/>
                <w:lang w:eastAsia="zh-CN"/>
              </w:rPr>
              <w:t>实测建筑面积</w:t>
            </w:r>
          </w:p>
          <w:p>
            <w:pPr>
              <w:pStyle w:val="57"/>
              <w:keepNext w:val="0"/>
              <w:keepLines w:val="0"/>
              <w:widowControl/>
              <w:suppressLineNumbers w:val="0"/>
              <w:spacing w:before="0" w:beforeAutospacing="0" w:after="0" w:afterAutospacing="0"/>
              <w:ind w:left="0" w:right="0" w:firstLine="0" w:firstLineChars="0"/>
              <w:jc w:val="center"/>
              <w:rPr>
                <w:rFonts w:hint="eastAsia"/>
                <w:kern w:val="2"/>
                <w:szCs w:val="22"/>
                <w:lang w:eastAsia="zh-CN"/>
              </w:rPr>
            </w:pPr>
            <w:r>
              <w:rPr>
                <w:rFonts w:hint="eastAsia"/>
                <w:kern w:val="2"/>
                <w:szCs w:val="22"/>
                <w:lang w:eastAsia="zh-CN"/>
              </w:rPr>
              <w:t>（单位：</w:t>
            </w:r>
            <w:r>
              <w:rPr>
                <w:rFonts w:hint="default" w:hAnsi="宋体"/>
                <w:kern w:val="2"/>
                <w:szCs w:val="22"/>
              </w:rPr>
              <w:t>m</w:t>
            </w:r>
            <w:r>
              <w:rPr>
                <w:rFonts w:hint="default" w:hAnsi="宋体"/>
                <w:kern w:val="2"/>
                <w:szCs w:val="22"/>
                <w:vertAlign w:val="superscript"/>
              </w:rPr>
              <w:t>2</w:t>
            </w:r>
            <w:r>
              <w:rPr>
                <w:rFonts w:hint="eastAsia"/>
                <w:kern w:val="2"/>
                <w:szCs w:val="22"/>
                <w:lang w:eastAsia="zh-CN"/>
              </w:rPr>
              <w:t>）</w:t>
            </w:r>
          </w:p>
        </w:tc>
        <w:tc>
          <w:tcPr>
            <w:tcW w:w="3190" w:type="dxa"/>
            <w:gridSpan w:val="2"/>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lang w:eastAsia="zh-CN"/>
              </w:rPr>
              <w:t>折算</w:t>
            </w:r>
            <w:r>
              <w:rPr>
                <w:rFonts w:hint="eastAsia"/>
                <w:kern w:val="2"/>
                <w:szCs w:val="22"/>
              </w:rPr>
              <w:t>系数</w:t>
            </w:r>
          </w:p>
        </w:tc>
        <w:tc>
          <w:tcPr>
            <w:tcW w:w="3190" w:type="dxa"/>
            <w:gridSpan w:val="2"/>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kern w:val="2"/>
                <w:szCs w:val="22"/>
                <w:lang w:eastAsia="zh-CN"/>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continue"/>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p>
        </w:tc>
        <w:tc>
          <w:tcPr>
            <w:tcW w:w="1595" w:type="dxa"/>
            <w:vMerge w:val="continue"/>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算式</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结果</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算式</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kern w:val="2"/>
                <w:szCs w:val="22"/>
              </w:rPr>
            </w:pPr>
            <w:r>
              <w:rPr>
                <w:rFonts w:hint="eastAsia"/>
                <w:kern w:val="2"/>
                <w:szCs w:val="22"/>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eastAsia" w:eastAsia="宋体"/>
                <w:kern w:val="2"/>
                <w:szCs w:val="22"/>
                <w:lang w:eastAsia="zh-CN"/>
              </w:rPr>
            </w:pPr>
            <w:r>
              <w:rPr>
                <w:rFonts w:hint="eastAsia" w:ascii="Times New Roman" w:hAnsi="宋体"/>
                <w:kern w:val="2"/>
                <w:szCs w:val="22"/>
                <w:lang w:eastAsia="zh-CN"/>
              </w:rPr>
              <w:t>建筑面积</w:t>
            </w:r>
          </w:p>
        </w:tc>
        <w:tc>
          <w:tcPr>
            <w:tcW w:w="1595"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10000</w:t>
            </w:r>
          </w:p>
        </w:tc>
        <w:tc>
          <w:tcPr>
            <w:tcW w:w="2021"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4737/200+60+4000</w:t>
            </w:r>
          </w:p>
        </w:tc>
        <w:tc>
          <w:tcPr>
            <w:tcW w:w="1169"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eastAsia="zh-CN"/>
              </w:rPr>
              <w:t>1</w:t>
            </w:r>
            <w:r>
              <w:rPr>
                <w:rFonts w:hint="eastAsia"/>
                <w:kern w:val="2"/>
                <w:szCs w:val="22"/>
                <w:lang w:val="en-US" w:eastAsia="zh-CN"/>
              </w:rPr>
              <w:t>.112</w:t>
            </w:r>
          </w:p>
        </w:tc>
        <w:tc>
          <w:tcPr>
            <w:tcW w:w="195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10000</w:t>
            </w:r>
            <w:r>
              <w:rPr>
                <w:rFonts w:hint="eastAsia"/>
                <w:kern w:val="2"/>
                <w:szCs w:val="22"/>
              </w:rPr>
              <w:t>*</w:t>
            </w:r>
            <w:r>
              <w:rPr>
                <w:rFonts w:hint="eastAsia"/>
                <w:kern w:val="2"/>
                <w:szCs w:val="22"/>
                <w:lang w:val="en-US" w:eastAsia="zh-CN"/>
              </w:rPr>
              <w:t>1.112</w:t>
            </w:r>
          </w:p>
        </w:tc>
        <w:tc>
          <w:tcPr>
            <w:tcW w:w="1240" w:type="dxa"/>
            <w:vAlign w:val="center"/>
          </w:tcPr>
          <w:p>
            <w:pPr>
              <w:pStyle w:val="57"/>
              <w:keepNext w:val="0"/>
              <w:keepLines w:val="0"/>
              <w:widowControl/>
              <w:suppressLineNumbers w:val="0"/>
              <w:spacing w:before="0" w:beforeAutospacing="0" w:after="0" w:afterAutospacing="0"/>
              <w:ind w:left="0" w:right="0" w:firstLine="0" w:firstLineChars="0"/>
              <w:jc w:val="center"/>
              <w:rPr>
                <w:rFonts w:hint="default" w:eastAsia="宋体"/>
                <w:kern w:val="2"/>
                <w:szCs w:val="22"/>
                <w:lang w:val="en-US" w:eastAsia="zh-CN"/>
              </w:rPr>
            </w:pPr>
            <w:r>
              <w:rPr>
                <w:rFonts w:hint="eastAsia"/>
                <w:kern w:val="2"/>
                <w:szCs w:val="22"/>
                <w:lang w:val="en-US" w:eastAsia="zh-CN"/>
              </w:rPr>
              <w:t>11120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6"/>
            <w:vAlign w:val="center"/>
          </w:tcPr>
          <w:p>
            <w:pPr>
              <w:pStyle w:val="181"/>
              <w:keepNext w:val="0"/>
              <w:keepLines w:val="0"/>
              <w:suppressLineNumbers w:val="0"/>
              <w:spacing w:before="0" w:beforeAutospacing="0" w:after="0" w:afterAutospacing="0"/>
              <w:ind w:left="0" w:right="0"/>
              <w:rPr>
                <w:rFonts w:hint="default"/>
                <w:kern w:val="2"/>
              </w:rPr>
            </w:pPr>
            <w:r>
              <w:rPr>
                <w:rFonts w:hint="default" w:ascii="Times New Roman" w:hAnsi="Times New Roman" w:eastAsia="黑体"/>
                <w:kern w:val="2"/>
                <w:sz w:val="18"/>
                <w:szCs w:val="18"/>
              </w:rPr>
              <w:t>注：</w:t>
            </w:r>
            <w:r>
              <w:rPr>
                <w:rFonts w:hint="eastAsia"/>
                <w:kern w:val="2"/>
                <w:lang w:eastAsia="zh-CN"/>
              </w:rPr>
              <w:t>折算</w:t>
            </w:r>
            <w:r>
              <w:rPr>
                <w:rFonts w:hint="eastAsia"/>
                <w:kern w:val="2"/>
              </w:rPr>
              <w:t>系数算式中“</w:t>
            </w:r>
            <w:r>
              <w:rPr>
                <w:rFonts w:hint="eastAsia"/>
                <w:kern w:val="2"/>
                <w:lang w:val="en-US" w:eastAsia="zh-CN"/>
              </w:rPr>
              <w:t>4737</w:t>
            </w:r>
            <w:r>
              <w:rPr>
                <w:rFonts w:hint="eastAsia"/>
                <w:kern w:val="2"/>
              </w:rPr>
              <w:t>”为举例说明该教育机构</w:t>
            </w:r>
            <w:r>
              <w:rPr>
                <w:rFonts w:hint="eastAsia"/>
                <w:kern w:val="2"/>
                <w:lang w:eastAsia="zh-CN"/>
              </w:rPr>
              <w:t>用能人数，“</w:t>
            </w:r>
            <w:r>
              <w:rPr>
                <w:rFonts w:hint="eastAsia"/>
                <w:kern w:val="2"/>
                <w:lang w:val="en-US" w:eastAsia="zh-CN"/>
              </w:rPr>
              <w:t>200+60+4000</w:t>
            </w:r>
            <w:r>
              <w:rPr>
                <w:rFonts w:hint="eastAsia"/>
                <w:kern w:val="2"/>
                <w:lang w:eastAsia="zh-CN"/>
              </w:rPr>
              <w:t>”</w:t>
            </w:r>
            <w:r>
              <w:rPr>
                <w:rFonts w:hint="eastAsia"/>
                <w:kern w:val="2"/>
              </w:rPr>
              <w:t>为举例说明该教育机构</w:t>
            </w:r>
            <w:r>
              <w:rPr>
                <w:rFonts w:hint="default" w:ascii="Times New Roman" w:hAnsi="宋体"/>
                <w:kern w:val="2"/>
              </w:rPr>
              <w:t>在岗在编人员</w:t>
            </w:r>
            <w:r>
              <w:rPr>
                <w:rFonts w:hint="eastAsia" w:ascii="Times New Roman" w:hAnsi="宋体"/>
                <w:kern w:val="2"/>
              </w:rPr>
              <w:t>、</w:t>
            </w:r>
            <w:r>
              <w:rPr>
                <w:rFonts w:hint="eastAsia"/>
                <w:kern w:val="2"/>
              </w:rPr>
              <w:t>长期聘（借）用的编外人员</w:t>
            </w:r>
            <w:r>
              <w:rPr>
                <w:rFonts w:hint="eastAsia" w:ascii="Times New Roman" w:hAnsi="宋体"/>
                <w:kern w:val="2"/>
              </w:rPr>
              <w:t>、登记在校的全日制学生</w:t>
            </w:r>
            <w:r>
              <w:rPr>
                <w:rFonts w:hint="eastAsia" w:ascii="Times New Roman" w:hAnsi="宋体"/>
                <w:kern w:val="2"/>
                <w:lang w:eastAsia="zh-CN"/>
              </w:rPr>
              <w:t>人数之和</w:t>
            </w:r>
            <w:r>
              <w:rPr>
                <w:rFonts w:hint="eastAsia"/>
                <w:kern w:val="2"/>
              </w:rPr>
              <w:t>。</w:t>
            </w:r>
          </w:p>
        </w:tc>
      </w:tr>
    </w:tbl>
    <w:p>
      <w:pPr>
        <w:pStyle w:val="57"/>
        <w:ind w:firstLine="420"/>
        <w:sectPr>
          <w:pgSz w:w="11906" w:h="16838"/>
          <w:pgMar w:top="1871" w:right="1134" w:bottom="1134" w:left="1134" w:header="1418" w:footer="1134" w:gutter="284"/>
          <w:pgNumType w:fmt="decimal"/>
          <w:cols w:space="425" w:num="1"/>
          <w:formProt w:val="0"/>
          <w:docGrid w:type="lines" w:linePitch="312" w:charSpace="0"/>
        </w:sectPr>
      </w:pPr>
    </w:p>
    <w:p>
      <w:pPr>
        <w:pStyle w:val="64"/>
        <w:spacing w:before="124" w:after="156"/>
      </w:pPr>
      <w:bookmarkStart w:id="429" w:name="_Toc65159276"/>
      <w:bookmarkStart w:id="430" w:name="_Toc65228784"/>
      <w:bookmarkStart w:id="431" w:name="_Toc65230045"/>
      <w:bookmarkStart w:id="432" w:name="_Toc65243832"/>
      <w:bookmarkStart w:id="433" w:name="_Toc6475"/>
      <w:r>
        <w:rPr>
          <w:rFonts w:hint="eastAsia"/>
          <w:spacing w:val="105"/>
        </w:rPr>
        <w:t>参考文</w:t>
      </w:r>
      <w:r>
        <w:rPr>
          <w:rFonts w:hint="eastAsia"/>
        </w:rPr>
        <w:t>献</w:t>
      </w:r>
      <w:bookmarkEnd w:id="429"/>
      <w:bookmarkEnd w:id="430"/>
      <w:bookmarkEnd w:id="431"/>
      <w:bookmarkEnd w:id="432"/>
      <w:bookmarkEnd w:id="433"/>
    </w:p>
    <w:p>
      <w:pPr>
        <w:pStyle w:val="57"/>
        <w:ind w:firstLine="420"/>
      </w:pPr>
    </w:p>
    <w:p>
      <w:pPr>
        <w:pStyle w:val="231"/>
      </w:pPr>
      <w:r>
        <w:rPr>
          <w:rFonts w:hint="eastAsia"/>
        </w:rPr>
        <w:t>[1]　《中华人民共和国节约能源法》</w:t>
      </w:r>
    </w:p>
    <w:p>
      <w:pPr>
        <w:pStyle w:val="231"/>
      </w:pPr>
      <w:r>
        <w:rPr>
          <w:rFonts w:hint="eastAsia"/>
        </w:rPr>
        <w:t>[2]　《公共机构节能条例》</w:t>
      </w:r>
    </w:p>
    <w:p>
      <w:pPr>
        <w:pStyle w:val="57"/>
        <w:ind w:firstLine="420"/>
      </w:pPr>
      <w:r>
        <w:rPr>
          <w:rFonts w:hint="eastAsia"/>
        </w:rPr>
        <w:t>[3]　《公共机构能耗定额标准编制和应用指南（试行）》</w:t>
      </w:r>
    </w:p>
    <w:p>
      <w:pPr>
        <w:pStyle w:val="231"/>
      </w:pPr>
      <w:r>
        <w:rPr>
          <w:rFonts w:hint="eastAsia"/>
        </w:rPr>
        <w:t>[4]　 GB/T 36710-2018 公共机构办公区节能运行管理规范</w:t>
      </w:r>
    </w:p>
    <w:p>
      <w:pPr>
        <w:pStyle w:val="231"/>
      </w:pPr>
      <w:r>
        <w:rPr>
          <w:rFonts w:hint="eastAsia"/>
        </w:rPr>
        <w:t>[5]　 GB/T 2589-2020 综合能耗计算通则</w:t>
      </w:r>
    </w:p>
    <w:p>
      <w:pPr>
        <w:pStyle w:val="231"/>
        <w:rPr>
          <w:rFonts w:hAnsi="宋体"/>
        </w:rPr>
      </w:pPr>
      <w:r>
        <w:rPr>
          <w:rFonts w:hint="eastAsia" w:hAnsi="宋体"/>
        </w:rPr>
        <w:t>[6]   JGSW 01-2021 中央和国家机关能源资源消耗定额</w:t>
      </w:r>
    </w:p>
    <w:bookmarkEnd w:id="428"/>
    <w:p>
      <w:pPr>
        <w:pStyle w:val="57"/>
        <w:ind w:firstLine="420"/>
        <w:jc w:val="center"/>
      </w:pPr>
      <w:bookmarkStart w:id="43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4"/>
    </w:p>
    <w:sectPr>
      <w:pgSz w:w="11906" w:h="16838"/>
      <w:pgMar w:top="1871"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r>
      <w:rPr>
        <w:sz w:val="2"/>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2059" o:spid="_x0000_s2059"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4" o:spid="_x0000_s2054"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3"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2060" o:spid="_x0000_s2060"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5" o:spid="_x0000_s2055" o:spt="202" type="#_x0000_t202" style="position:absolute;left:0pt;margin-top:0pt;height:144pt;width:144pt;mso-position-horizontal:in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6" o:spid="_x0000_s2056"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7" o:spid="_x0000_s2057"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2061" o:spid="_x0000_s2061"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r>
      <w:rPr>
        <w:sz w:val="18"/>
      </w:rPr>
      <w:pict>
        <v:shape id="_x0000_s2058" o:spid="_x0000_s2058" o:spt="202" type="#_x0000_t202" style="position:absolute;left:0pt;margin-top:0pt;height:144pt;width:144pt;mso-position-horizontal:in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r>
      <w:rPr>
        <w:sz w:val="18"/>
      </w:rPr>
      <w:pict>
        <v:shape id="_x0000_s2052" o:spid="_x0000_s2052" o:spt="202" type="#_x0000_t202" style="position:absolute;left:0pt;margin-top:0pt;height:144pt;width:144pt;mso-position-horizontal:in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9"/>
    </w:pPr>
    <w:r>
      <w:t>DB4</w:t>
    </w:r>
    <w:r>
      <w:rPr>
        <w:rFonts w:hint="eastAsia"/>
      </w:rPr>
      <w:t>3</w:t>
    </w:r>
    <w:r>
      <w:t>/T</w:t>
    </w:r>
    <w:r>
      <w:rPr>
        <w:rFonts w:hint="eastAsia"/>
      </w:rPr>
      <w:t xml:space="preserve"> XXX</w:t>
    </w:r>
    <w:r>
      <w:t>—</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BF583A"/>
    <w:multiLevelType w:val="multilevel"/>
    <w:tmpl w:val="1DBF583A"/>
    <w:lvl w:ilvl="0" w:tentative="0">
      <w:start w:val="1"/>
      <w:numFmt w:val="decimal"/>
      <w:pStyle w:val="23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B55DC2"/>
    <w:multiLevelType w:val="multilevel"/>
    <w:tmpl w:val="60B55DC2"/>
    <w:lvl w:ilvl="0" w:tentative="0">
      <w:start w:val="1"/>
      <w:numFmt w:val="upperLetter"/>
      <w:pStyle w:val="241"/>
      <w:lvlText w:val="%1"/>
      <w:lvlJc w:val="left"/>
      <w:pPr>
        <w:tabs>
          <w:tab w:val="left" w:pos="0"/>
        </w:tabs>
        <w:ind w:left="0" w:hanging="425"/>
      </w:pPr>
      <w:rPr>
        <w:rFonts w:hint="eastAsia"/>
      </w:rPr>
    </w:lvl>
    <w:lvl w:ilvl="1" w:tentative="0">
      <w:start w:val="1"/>
      <w:numFmt w:val="decimal"/>
      <w:pStyle w:val="24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3"/>
      <w:suff w:val="nothing"/>
      <w:lvlText w:val="表%1　"/>
      <w:lvlJc w:val="left"/>
      <w:pPr>
        <w:ind w:left="3119"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426"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62E9"/>
    <w:rsid w:val="0000040A"/>
    <w:rsid w:val="00000A94"/>
    <w:rsid w:val="00001972"/>
    <w:rsid w:val="00001D9A"/>
    <w:rsid w:val="000067E5"/>
    <w:rsid w:val="00007B3A"/>
    <w:rsid w:val="000107E0"/>
    <w:rsid w:val="00011FDE"/>
    <w:rsid w:val="00012FFD"/>
    <w:rsid w:val="00014162"/>
    <w:rsid w:val="00014340"/>
    <w:rsid w:val="00014433"/>
    <w:rsid w:val="00016A9C"/>
    <w:rsid w:val="00022184"/>
    <w:rsid w:val="00022762"/>
    <w:rsid w:val="000238E0"/>
    <w:rsid w:val="000249DB"/>
    <w:rsid w:val="0002595E"/>
    <w:rsid w:val="000303C3"/>
    <w:rsid w:val="000331D3"/>
    <w:rsid w:val="000346A5"/>
    <w:rsid w:val="000359C3"/>
    <w:rsid w:val="00035A7D"/>
    <w:rsid w:val="000365ED"/>
    <w:rsid w:val="0004249A"/>
    <w:rsid w:val="00042F1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5FE"/>
    <w:rsid w:val="00096D63"/>
    <w:rsid w:val="000A0B60"/>
    <w:rsid w:val="000A0EB8"/>
    <w:rsid w:val="000A19FC"/>
    <w:rsid w:val="000A296B"/>
    <w:rsid w:val="000A7311"/>
    <w:rsid w:val="000B060F"/>
    <w:rsid w:val="000B1592"/>
    <w:rsid w:val="000B1FF2"/>
    <w:rsid w:val="000B3CDA"/>
    <w:rsid w:val="000B6A0B"/>
    <w:rsid w:val="000C0DE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5C5"/>
    <w:rsid w:val="000E4C9E"/>
    <w:rsid w:val="000E5887"/>
    <w:rsid w:val="000E66F3"/>
    <w:rsid w:val="000E6FD7"/>
    <w:rsid w:val="000F06E1"/>
    <w:rsid w:val="000F0E3C"/>
    <w:rsid w:val="000F19D5"/>
    <w:rsid w:val="000F4AEA"/>
    <w:rsid w:val="000F67E9"/>
    <w:rsid w:val="00104926"/>
    <w:rsid w:val="00110786"/>
    <w:rsid w:val="001129C6"/>
    <w:rsid w:val="00113B1E"/>
    <w:rsid w:val="00114CAC"/>
    <w:rsid w:val="0011711C"/>
    <w:rsid w:val="00124E4F"/>
    <w:rsid w:val="001260B7"/>
    <w:rsid w:val="001265CB"/>
    <w:rsid w:val="001321C6"/>
    <w:rsid w:val="001325C4"/>
    <w:rsid w:val="00133010"/>
    <w:rsid w:val="001338EE"/>
    <w:rsid w:val="00133AAE"/>
    <w:rsid w:val="00134A43"/>
    <w:rsid w:val="00134BA3"/>
    <w:rsid w:val="0013501D"/>
    <w:rsid w:val="00135323"/>
    <w:rsid w:val="001356C4"/>
    <w:rsid w:val="00137FBF"/>
    <w:rsid w:val="00140FDB"/>
    <w:rsid w:val="0014109C"/>
    <w:rsid w:val="00141114"/>
    <w:rsid w:val="00142969"/>
    <w:rsid w:val="001446C2"/>
    <w:rsid w:val="001457E7"/>
    <w:rsid w:val="00145D9D"/>
    <w:rsid w:val="00146388"/>
    <w:rsid w:val="001529E5"/>
    <w:rsid w:val="00153C7E"/>
    <w:rsid w:val="00156B25"/>
    <w:rsid w:val="00156E1A"/>
    <w:rsid w:val="00157894"/>
    <w:rsid w:val="00157B55"/>
    <w:rsid w:val="00160C96"/>
    <w:rsid w:val="001642FA"/>
    <w:rsid w:val="001649EB"/>
    <w:rsid w:val="00164BAF"/>
    <w:rsid w:val="00164FA8"/>
    <w:rsid w:val="00165065"/>
    <w:rsid w:val="00165434"/>
    <w:rsid w:val="0016580B"/>
    <w:rsid w:val="00165F49"/>
    <w:rsid w:val="00166B6F"/>
    <w:rsid w:val="00166B88"/>
    <w:rsid w:val="0016770A"/>
    <w:rsid w:val="00170804"/>
    <w:rsid w:val="001708E9"/>
    <w:rsid w:val="0017340B"/>
    <w:rsid w:val="00173FB1"/>
    <w:rsid w:val="001759C6"/>
    <w:rsid w:val="00176DFD"/>
    <w:rsid w:val="001852C9"/>
    <w:rsid w:val="001879AE"/>
    <w:rsid w:val="00190087"/>
    <w:rsid w:val="001913C4"/>
    <w:rsid w:val="00191AF5"/>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6E9"/>
    <w:rsid w:val="002142EA"/>
    <w:rsid w:val="002204BB"/>
    <w:rsid w:val="002215BB"/>
    <w:rsid w:val="00221B79"/>
    <w:rsid w:val="00221C6B"/>
    <w:rsid w:val="002253A1"/>
    <w:rsid w:val="00225CF8"/>
    <w:rsid w:val="0022794E"/>
    <w:rsid w:val="00232E20"/>
    <w:rsid w:val="00233D64"/>
    <w:rsid w:val="00233D7E"/>
    <w:rsid w:val="0023482A"/>
    <w:rsid w:val="002359CB"/>
    <w:rsid w:val="00243540"/>
    <w:rsid w:val="0024497B"/>
    <w:rsid w:val="0024515B"/>
    <w:rsid w:val="00246021"/>
    <w:rsid w:val="0024666E"/>
    <w:rsid w:val="00247F52"/>
    <w:rsid w:val="00250B25"/>
    <w:rsid w:val="00250BBE"/>
    <w:rsid w:val="002515C2"/>
    <w:rsid w:val="0025194F"/>
    <w:rsid w:val="0026148A"/>
    <w:rsid w:val="00261F14"/>
    <w:rsid w:val="00262696"/>
    <w:rsid w:val="00263D25"/>
    <w:rsid w:val="002643C3"/>
    <w:rsid w:val="00264A0C"/>
    <w:rsid w:val="00266EEB"/>
    <w:rsid w:val="00267EF4"/>
    <w:rsid w:val="00270CB8"/>
    <w:rsid w:val="00270F64"/>
    <w:rsid w:val="00272B08"/>
    <w:rsid w:val="002816F6"/>
    <w:rsid w:val="00281BB8"/>
    <w:rsid w:val="00281E9E"/>
    <w:rsid w:val="00282405"/>
    <w:rsid w:val="00285170"/>
    <w:rsid w:val="00285361"/>
    <w:rsid w:val="002860EA"/>
    <w:rsid w:val="00292D60"/>
    <w:rsid w:val="00293B30"/>
    <w:rsid w:val="00294D34"/>
    <w:rsid w:val="00294E3B"/>
    <w:rsid w:val="00296193"/>
    <w:rsid w:val="00296714"/>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602"/>
    <w:rsid w:val="002B4508"/>
    <w:rsid w:val="002B5779"/>
    <w:rsid w:val="002B7332"/>
    <w:rsid w:val="002B7F51"/>
    <w:rsid w:val="002C09E7"/>
    <w:rsid w:val="002C1E06"/>
    <w:rsid w:val="002C3F07"/>
    <w:rsid w:val="002C4EBE"/>
    <w:rsid w:val="002C5278"/>
    <w:rsid w:val="002C5E4F"/>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CAE"/>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33F"/>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43B"/>
    <w:rsid w:val="003D0519"/>
    <w:rsid w:val="003D0FF6"/>
    <w:rsid w:val="003D262C"/>
    <w:rsid w:val="003D6D61"/>
    <w:rsid w:val="003E091D"/>
    <w:rsid w:val="003E1C53"/>
    <w:rsid w:val="003E2A69"/>
    <w:rsid w:val="003E2D49"/>
    <w:rsid w:val="003E2FD4"/>
    <w:rsid w:val="003E45AB"/>
    <w:rsid w:val="003E49F6"/>
    <w:rsid w:val="003E660F"/>
    <w:rsid w:val="003F0841"/>
    <w:rsid w:val="003F23D3"/>
    <w:rsid w:val="003F3F08"/>
    <w:rsid w:val="003F49F1"/>
    <w:rsid w:val="003F6272"/>
    <w:rsid w:val="00400E72"/>
    <w:rsid w:val="00401400"/>
    <w:rsid w:val="00404869"/>
    <w:rsid w:val="00405884"/>
    <w:rsid w:val="00407D39"/>
    <w:rsid w:val="0041320F"/>
    <w:rsid w:val="0041477A"/>
    <w:rsid w:val="004154AD"/>
    <w:rsid w:val="00415F15"/>
    <w:rsid w:val="00416472"/>
    <w:rsid w:val="004167A3"/>
    <w:rsid w:val="004210CF"/>
    <w:rsid w:val="00431D70"/>
    <w:rsid w:val="00432DAA"/>
    <w:rsid w:val="00434305"/>
    <w:rsid w:val="00435DF7"/>
    <w:rsid w:val="0044083F"/>
    <w:rsid w:val="00441AE7"/>
    <w:rsid w:val="004435A5"/>
    <w:rsid w:val="00445574"/>
    <w:rsid w:val="004459A7"/>
    <w:rsid w:val="004467FB"/>
    <w:rsid w:val="00452D6B"/>
    <w:rsid w:val="004537E0"/>
    <w:rsid w:val="00454484"/>
    <w:rsid w:val="0045517B"/>
    <w:rsid w:val="00463B77"/>
    <w:rsid w:val="00463C7B"/>
    <w:rsid w:val="004644A6"/>
    <w:rsid w:val="004657DB"/>
    <w:rsid w:val="004659BD"/>
    <w:rsid w:val="00470775"/>
    <w:rsid w:val="004746B1"/>
    <w:rsid w:val="0047583F"/>
    <w:rsid w:val="00475DE8"/>
    <w:rsid w:val="00481C44"/>
    <w:rsid w:val="004843E6"/>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85F"/>
    <w:rsid w:val="004C1FBC"/>
    <w:rsid w:val="004C3F1D"/>
    <w:rsid w:val="004C458D"/>
    <w:rsid w:val="004C4965"/>
    <w:rsid w:val="004C7556"/>
    <w:rsid w:val="004C7E8B"/>
    <w:rsid w:val="004C7E9D"/>
    <w:rsid w:val="004C7F67"/>
    <w:rsid w:val="004D076D"/>
    <w:rsid w:val="004D0EF1"/>
    <w:rsid w:val="004D2253"/>
    <w:rsid w:val="004D2553"/>
    <w:rsid w:val="004D4406"/>
    <w:rsid w:val="004D7C42"/>
    <w:rsid w:val="004D7C66"/>
    <w:rsid w:val="004E0465"/>
    <w:rsid w:val="004E127B"/>
    <w:rsid w:val="004E1C0A"/>
    <w:rsid w:val="004E30C5"/>
    <w:rsid w:val="004E4AA5"/>
    <w:rsid w:val="004E4AEE"/>
    <w:rsid w:val="004E59E3"/>
    <w:rsid w:val="004E67C0"/>
    <w:rsid w:val="004F3120"/>
    <w:rsid w:val="004F391A"/>
    <w:rsid w:val="004F3C8C"/>
    <w:rsid w:val="004F3CFB"/>
    <w:rsid w:val="004F6456"/>
    <w:rsid w:val="004F696E"/>
    <w:rsid w:val="004F6C71"/>
    <w:rsid w:val="00501139"/>
    <w:rsid w:val="0050363E"/>
    <w:rsid w:val="005039BC"/>
    <w:rsid w:val="005043BB"/>
    <w:rsid w:val="0050462C"/>
    <w:rsid w:val="00504A3D"/>
    <w:rsid w:val="00505767"/>
    <w:rsid w:val="005073F0"/>
    <w:rsid w:val="00510A7B"/>
    <w:rsid w:val="00512F6E"/>
    <w:rsid w:val="00513038"/>
    <w:rsid w:val="00514174"/>
    <w:rsid w:val="00516088"/>
    <w:rsid w:val="00516B0B"/>
    <w:rsid w:val="005220EC"/>
    <w:rsid w:val="00523F95"/>
    <w:rsid w:val="00524D65"/>
    <w:rsid w:val="00525B16"/>
    <w:rsid w:val="00530F93"/>
    <w:rsid w:val="00533D04"/>
    <w:rsid w:val="00534804"/>
    <w:rsid w:val="00534BDF"/>
    <w:rsid w:val="005354EA"/>
    <w:rsid w:val="0053585F"/>
    <w:rsid w:val="00535CA4"/>
    <w:rsid w:val="00535EC4"/>
    <w:rsid w:val="00535ED9"/>
    <w:rsid w:val="0053692B"/>
    <w:rsid w:val="005405B6"/>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6998"/>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BAE"/>
    <w:rsid w:val="005E6812"/>
    <w:rsid w:val="005E7881"/>
    <w:rsid w:val="005E78E0"/>
    <w:rsid w:val="005F0D9C"/>
    <w:rsid w:val="005F284E"/>
    <w:rsid w:val="005F3DBC"/>
    <w:rsid w:val="006015CE"/>
    <w:rsid w:val="00604784"/>
    <w:rsid w:val="0060542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582"/>
    <w:rsid w:val="00636E3E"/>
    <w:rsid w:val="006379F7"/>
    <w:rsid w:val="00637E4D"/>
    <w:rsid w:val="00640620"/>
    <w:rsid w:val="00641A1F"/>
    <w:rsid w:val="00645904"/>
    <w:rsid w:val="00647549"/>
    <w:rsid w:val="0065105C"/>
    <w:rsid w:val="00651ACB"/>
    <w:rsid w:val="00651C47"/>
    <w:rsid w:val="00652AB2"/>
    <w:rsid w:val="00653FED"/>
    <w:rsid w:val="00654EC0"/>
    <w:rsid w:val="0065525B"/>
    <w:rsid w:val="00655D4F"/>
    <w:rsid w:val="00656D29"/>
    <w:rsid w:val="00661CE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493"/>
    <w:rsid w:val="006B2672"/>
    <w:rsid w:val="006B54BF"/>
    <w:rsid w:val="006B5F44"/>
    <w:rsid w:val="006B5F90"/>
    <w:rsid w:val="006B60A0"/>
    <w:rsid w:val="006B62E4"/>
    <w:rsid w:val="006C043B"/>
    <w:rsid w:val="006C1BBA"/>
    <w:rsid w:val="006C2079"/>
    <w:rsid w:val="006C32BC"/>
    <w:rsid w:val="006C5A62"/>
    <w:rsid w:val="006C5D68"/>
    <w:rsid w:val="006C6976"/>
    <w:rsid w:val="006C6DD0"/>
    <w:rsid w:val="006D04EA"/>
    <w:rsid w:val="006D16C4"/>
    <w:rsid w:val="006D35A4"/>
    <w:rsid w:val="006D3E96"/>
    <w:rsid w:val="006D4515"/>
    <w:rsid w:val="006D4BB1"/>
    <w:rsid w:val="006D62E9"/>
    <w:rsid w:val="006D6593"/>
    <w:rsid w:val="006E08F5"/>
    <w:rsid w:val="006E4CBC"/>
    <w:rsid w:val="006F03A8"/>
    <w:rsid w:val="006F2ACA"/>
    <w:rsid w:val="006F2ADC"/>
    <w:rsid w:val="006F2BFE"/>
    <w:rsid w:val="006F31E9"/>
    <w:rsid w:val="006F6284"/>
    <w:rsid w:val="006F76EC"/>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05F"/>
    <w:rsid w:val="00752B4D"/>
    <w:rsid w:val="00755402"/>
    <w:rsid w:val="00756B26"/>
    <w:rsid w:val="00756EDF"/>
    <w:rsid w:val="007600E3"/>
    <w:rsid w:val="007626D7"/>
    <w:rsid w:val="00765C43"/>
    <w:rsid w:val="00765EFB"/>
    <w:rsid w:val="007671CA"/>
    <w:rsid w:val="00767C61"/>
    <w:rsid w:val="0077008A"/>
    <w:rsid w:val="00773C1F"/>
    <w:rsid w:val="00774DA4"/>
    <w:rsid w:val="00776599"/>
    <w:rsid w:val="0078114B"/>
    <w:rsid w:val="00781DD2"/>
    <w:rsid w:val="00783ECF"/>
    <w:rsid w:val="0078413A"/>
    <w:rsid w:val="00790F06"/>
    <w:rsid w:val="007959E8"/>
    <w:rsid w:val="00795E9C"/>
    <w:rsid w:val="007A0521"/>
    <w:rsid w:val="007A2111"/>
    <w:rsid w:val="007A2320"/>
    <w:rsid w:val="007A2E12"/>
    <w:rsid w:val="007A3475"/>
    <w:rsid w:val="007A41C8"/>
    <w:rsid w:val="007A54CE"/>
    <w:rsid w:val="007A6FD9"/>
    <w:rsid w:val="007A7FFA"/>
    <w:rsid w:val="007B04EB"/>
    <w:rsid w:val="007B0D4F"/>
    <w:rsid w:val="007B5A3D"/>
    <w:rsid w:val="007B5B95"/>
    <w:rsid w:val="007B68EA"/>
    <w:rsid w:val="007B7453"/>
    <w:rsid w:val="007C2D89"/>
    <w:rsid w:val="007C3443"/>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091"/>
    <w:rsid w:val="00811369"/>
    <w:rsid w:val="0081381E"/>
    <w:rsid w:val="00815419"/>
    <w:rsid w:val="008163C8"/>
    <w:rsid w:val="008164A1"/>
    <w:rsid w:val="00816C1F"/>
    <w:rsid w:val="00817325"/>
    <w:rsid w:val="008209E6"/>
    <w:rsid w:val="00823303"/>
    <w:rsid w:val="008233B2"/>
    <w:rsid w:val="00823A9F"/>
    <w:rsid w:val="00823C85"/>
    <w:rsid w:val="00825138"/>
    <w:rsid w:val="008269DD"/>
    <w:rsid w:val="00830621"/>
    <w:rsid w:val="0083348C"/>
    <w:rsid w:val="00836D2A"/>
    <w:rsid w:val="008373D3"/>
    <w:rsid w:val="00840617"/>
    <w:rsid w:val="00840F84"/>
    <w:rsid w:val="00842A47"/>
    <w:rsid w:val="00842A50"/>
    <w:rsid w:val="00843C13"/>
    <w:rsid w:val="008454F8"/>
    <w:rsid w:val="0085173A"/>
    <w:rsid w:val="0085615E"/>
    <w:rsid w:val="008603CE"/>
    <w:rsid w:val="008620FC"/>
    <w:rsid w:val="008627A5"/>
    <w:rsid w:val="00863E05"/>
    <w:rsid w:val="00865ACA"/>
    <w:rsid w:val="00865B9D"/>
    <w:rsid w:val="00865D28"/>
    <w:rsid w:val="00865F85"/>
    <w:rsid w:val="00867C10"/>
    <w:rsid w:val="00870439"/>
    <w:rsid w:val="00870DA1"/>
    <w:rsid w:val="00882A36"/>
    <w:rsid w:val="00883F93"/>
    <w:rsid w:val="00884DB3"/>
    <w:rsid w:val="00885A9D"/>
    <w:rsid w:val="008864F6"/>
    <w:rsid w:val="0089049D"/>
    <w:rsid w:val="008928C9"/>
    <w:rsid w:val="008930CB"/>
    <w:rsid w:val="008938DC"/>
    <w:rsid w:val="00893FD1"/>
    <w:rsid w:val="0089482F"/>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17F"/>
    <w:rsid w:val="008C475E"/>
    <w:rsid w:val="008C619A"/>
    <w:rsid w:val="008C77A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897"/>
    <w:rsid w:val="00911BE5"/>
    <w:rsid w:val="00913CA9"/>
    <w:rsid w:val="009145AE"/>
    <w:rsid w:val="009146CE"/>
    <w:rsid w:val="00914CA7"/>
    <w:rsid w:val="00915C3E"/>
    <w:rsid w:val="009161A8"/>
    <w:rsid w:val="009245F5"/>
    <w:rsid w:val="009249EC"/>
    <w:rsid w:val="009268E0"/>
    <w:rsid w:val="009273B3"/>
    <w:rsid w:val="009305B5"/>
    <w:rsid w:val="00935CB7"/>
    <w:rsid w:val="009429D5"/>
    <w:rsid w:val="00942BF1"/>
    <w:rsid w:val="00945180"/>
    <w:rsid w:val="00945428"/>
    <w:rsid w:val="0094607B"/>
    <w:rsid w:val="00953604"/>
    <w:rsid w:val="0095496B"/>
    <w:rsid w:val="00955D9C"/>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7C0"/>
    <w:rsid w:val="00993889"/>
    <w:rsid w:val="0099551B"/>
    <w:rsid w:val="009967A0"/>
    <w:rsid w:val="00997BF1"/>
    <w:rsid w:val="009A074D"/>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8B3"/>
    <w:rsid w:val="009D47FA"/>
    <w:rsid w:val="009D4C5B"/>
    <w:rsid w:val="009D50D2"/>
    <w:rsid w:val="009D5EB3"/>
    <w:rsid w:val="009D6BCA"/>
    <w:rsid w:val="009E0F62"/>
    <w:rsid w:val="009E1092"/>
    <w:rsid w:val="009E4A58"/>
    <w:rsid w:val="009E5A2D"/>
    <w:rsid w:val="009E5AB2"/>
    <w:rsid w:val="009E6219"/>
    <w:rsid w:val="009E70DB"/>
    <w:rsid w:val="009F03B3"/>
    <w:rsid w:val="00A0096C"/>
    <w:rsid w:val="00A01757"/>
    <w:rsid w:val="00A028C0"/>
    <w:rsid w:val="00A02BAE"/>
    <w:rsid w:val="00A02F29"/>
    <w:rsid w:val="00A06A6B"/>
    <w:rsid w:val="00A07C43"/>
    <w:rsid w:val="00A07E47"/>
    <w:rsid w:val="00A129D0"/>
    <w:rsid w:val="00A12C33"/>
    <w:rsid w:val="00A138BA"/>
    <w:rsid w:val="00A14C8E"/>
    <w:rsid w:val="00A153D9"/>
    <w:rsid w:val="00A15F09"/>
    <w:rsid w:val="00A169B6"/>
    <w:rsid w:val="00A2271D"/>
    <w:rsid w:val="00A237D5"/>
    <w:rsid w:val="00A2661C"/>
    <w:rsid w:val="00A275A9"/>
    <w:rsid w:val="00A30EFC"/>
    <w:rsid w:val="00A31984"/>
    <w:rsid w:val="00A32D73"/>
    <w:rsid w:val="00A3339E"/>
    <w:rsid w:val="00A3367B"/>
    <w:rsid w:val="00A34B26"/>
    <w:rsid w:val="00A3597D"/>
    <w:rsid w:val="00A36997"/>
    <w:rsid w:val="00A36B00"/>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F00"/>
    <w:rsid w:val="00A648CD"/>
    <w:rsid w:val="00A6537A"/>
    <w:rsid w:val="00A67866"/>
    <w:rsid w:val="00A70B07"/>
    <w:rsid w:val="00A723F8"/>
    <w:rsid w:val="00A72C73"/>
    <w:rsid w:val="00A77CCB"/>
    <w:rsid w:val="00A83D8D"/>
    <w:rsid w:val="00A8446B"/>
    <w:rsid w:val="00A8473F"/>
    <w:rsid w:val="00A862D6"/>
    <w:rsid w:val="00A8715E"/>
    <w:rsid w:val="00A9295B"/>
    <w:rsid w:val="00A93B09"/>
    <w:rsid w:val="00A94A56"/>
    <w:rsid w:val="00A94E45"/>
    <w:rsid w:val="00A952D7"/>
    <w:rsid w:val="00A963F7"/>
    <w:rsid w:val="00A96AD8"/>
    <w:rsid w:val="00AA052C"/>
    <w:rsid w:val="00AA1E45"/>
    <w:rsid w:val="00AA4286"/>
    <w:rsid w:val="00AA456B"/>
    <w:rsid w:val="00AA57F5"/>
    <w:rsid w:val="00AA672E"/>
    <w:rsid w:val="00AA6EC9"/>
    <w:rsid w:val="00AB09D0"/>
    <w:rsid w:val="00AB41FE"/>
    <w:rsid w:val="00AB6309"/>
    <w:rsid w:val="00AB6C5F"/>
    <w:rsid w:val="00AB7129"/>
    <w:rsid w:val="00AC27A6"/>
    <w:rsid w:val="00AC30F7"/>
    <w:rsid w:val="00AC3A5A"/>
    <w:rsid w:val="00AC4D95"/>
    <w:rsid w:val="00AC586A"/>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1EC"/>
    <w:rsid w:val="00B21F61"/>
    <w:rsid w:val="00B261F1"/>
    <w:rsid w:val="00B265BC"/>
    <w:rsid w:val="00B31FB1"/>
    <w:rsid w:val="00B33952"/>
    <w:rsid w:val="00B33C5E"/>
    <w:rsid w:val="00B342F4"/>
    <w:rsid w:val="00B34369"/>
    <w:rsid w:val="00B34DC2"/>
    <w:rsid w:val="00B36320"/>
    <w:rsid w:val="00B378E5"/>
    <w:rsid w:val="00B4346D"/>
    <w:rsid w:val="00B440F4"/>
    <w:rsid w:val="00B447A5"/>
    <w:rsid w:val="00B4654C"/>
    <w:rsid w:val="00B47293"/>
    <w:rsid w:val="00B50E50"/>
    <w:rsid w:val="00B52120"/>
    <w:rsid w:val="00B54ABC"/>
    <w:rsid w:val="00B54BE1"/>
    <w:rsid w:val="00B56767"/>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6C6B"/>
    <w:rsid w:val="00BC73D8"/>
    <w:rsid w:val="00BD0176"/>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81D"/>
    <w:rsid w:val="00C21540"/>
    <w:rsid w:val="00C21906"/>
    <w:rsid w:val="00C21BFA"/>
    <w:rsid w:val="00C22148"/>
    <w:rsid w:val="00C24C8D"/>
    <w:rsid w:val="00C25FE2"/>
    <w:rsid w:val="00C26B53"/>
    <w:rsid w:val="00C279B2"/>
    <w:rsid w:val="00C33E50"/>
    <w:rsid w:val="00C34C20"/>
    <w:rsid w:val="00C35A3E"/>
    <w:rsid w:val="00C40BD1"/>
    <w:rsid w:val="00C41A31"/>
    <w:rsid w:val="00C42130"/>
    <w:rsid w:val="00C423A4"/>
    <w:rsid w:val="00C44BF5"/>
    <w:rsid w:val="00C521D6"/>
    <w:rsid w:val="00C55232"/>
    <w:rsid w:val="00C553A4"/>
    <w:rsid w:val="00C55A06"/>
    <w:rsid w:val="00C55D03"/>
    <w:rsid w:val="00C5639D"/>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1D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F4"/>
    <w:rsid w:val="00D20737"/>
    <w:rsid w:val="00D21E81"/>
    <w:rsid w:val="00D223DE"/>
    <w:rsid w:val="00D25E37"/>
    <w:rsid w:val="00D2661A"/>
    <w:rsid w:val="00D27582"/>
    <w:rsid w:val="00D27EC4"/>
    <w:rsid w:val="00D32719"/>
    <w:rsid w:val="00D33333"/>
    <w:rsid w:val="00D352A2"/>
    <w:rsid w:val="00D360C5"/>
    <w:rsid w:val="00D4162B"/>
    <w:rsid w:val="00D423FA"/>
    <w:rsid w:val="00D4514F"/>
    <w:rsid w:val="00D451E2"/>
    <w:rsid w:val="00D45E89"/>
    <w:rsid w:val="00D45E8D"/>
    <w:rsid w:val="00D466AE"/>
    <w:rsid w:val="00D4734F"/>
    <w:rsid w:val="00D51BF3"/>
    <w:rsid w:val="00D62D0C"/>
    <w:rsid w:val="00D66846"/>
    <w:rsid w:val="00D675FB"/>
    <w:rsid w:val="00D676FC"/>
    <w:rsid w:val="00D71F25"/>
    <w:rsid w:val="00D72A9C"/>
    <w:rsid w:val="00D77031"/>
    <w:rsid w:val="00D84941"/>
    <w:rsid w:val="00D84FA1"/>
    <w:rsid w:val="00D851F0"/>
    <w:rsid w:val="00D86DB7"/>
    <w:rsid w:val="00D926D0"/>
    <w:rsid w:val="00D93030"/>
    <w:rsid w:val="00D93C68"/>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7E3C"/>
    <w:rsid w:val="00DD00FF"/>
    <w:rsid w:val="00DD0619"/>
    <w:rsid w:val="00DD07FB"/>
    <w:rsid w:val="00DD25C6"/>
    <w:rsid w:val="00DD4FE5"/>
    <w:rsid w:val="00DD54B0"/>
    <w:rsid w:val="00DD57EE"/>
    <w:rsid w:val="00DD6BCC"/>
    <w:rsid w:val="00DE0A4B"/>
    <w:rsid w:val="00DE2410"/>
    <w:rsid w:val="00DE2939"/>
    <w:rsid w:val="00DE4F14"/>
    <w:rsid w:val="00DE6E81"/>
    <w:rsid w:val="00DE703F"/>
    <w:rsid w:val="00DE7595"/>
    <w:rsid w:val="00DF1961"/>
    <w:rsid w:val="00DF44DE"/>
    <w:rsid w:val="00E01138"/>
    <w:rsid w:val="00E01239"/>
    <w:rsid w:val="00E02DFB"/>
    <w:rsid w:val="00E030F9"/>
    <w:rsid w:val="00E0311A"/>
    <w:rsid w:val="00E03138"/>
    <w:rsid w:val="00E06404"/>
    <w:rsid w:val="00E11A85"/>
    <w:rsid w:val="00E12495"/>
    <w:rsid w:val="00E15CCD"/>
    <w:rsid w:val="00E202EF"/>
    <w:rsid w:val="00E20F08"/>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9F3"/>
    <w:rsid w:val="00E60C63"/>
    <w:rsid w:val="00E62FF9"/>
    <w:rsid w:val="00E635D6"/>
    <w:rsid w:val="00E639BC"/>
    <w:rsid w:val="00E664CC"/>
    <w:rsid w:val="00E70388"/>
    <w:rsid w:val="00E70F92"/>
    <w:rsid w:val="00E74C54"/>
    <w:rsid w:val="00E7507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25E"/>
    <w:rsid w:val="00EA58D1"/>
    <w:rsid w:val="00EA61BC"/>
    <w:rsid w:val="00EA681A"/>
    <w:rsid w:val="00EA735B"/>
    <w:rsid w:val="00EB1E69"/>
    <w:rsid w:val="00EB2086"/>
    <w:rsid w:val="00EB52F4"/>
    <w:rsid w:val="00EB5EDF"/>
    <w:rsid w:val="00EB60FE"/>
    <w:rsid w:val="00EB74DB"/>
    <w:rsid w:val="00EC5359"/>
    <w:rsid w:val="00EC562A"/>
    <w:rsid w:val="00EC6099"/>
    <w:rsid w:val="00ED067A"/>
    <w:rsid w:val="00ED2B50"/>
    <w:rsid w:val="00ED4715"/>
    <w:rsid w:val="00ED6DF1"/>
    <w:rsid w:val="00EE0350"/>
    <w:rsid w:val="00EE0719"/>
    <w:rsid w:val="00EE0E80"/>
    <w:rsid w:val="00EE613F"/>
    <w:rsid w:val="00EE7295"/>
    <w:rsid w:val="00EE7869"/>
    <w:rsid w:val="00EF0120"/>
    <w:rsid w:val="00EF054A"/>
    <w:rsid w:val="00EF3235"/>
    <w:rsid w:val="00EF7E72"/>
    <w:rsid w:val="00F06D37"/>
    <w:rsid w:val="00F07B9D"/>
    <w:rsid w:val="00F11586"/>
    <w:rsid w:val="00F1183B"/>
    <w:rsid w:val="00F11C9F"/>
    <w:rsid w:val="00F12263"/>
    <w:rsid w:val="00F129EB"/>
    <w:rsid w:val="00F1409D"/>
    <w:rsid w:val="00F14214"/>
    <w:rsid w:val="00F157A9"/>
    <w:rsid w:val="00F25BB6"/>
    <w:rsid w:val="00F26B7E"/>
    <w:rsid w:val="00F27022"/>
    <w:rsid w:val="00F27A3B"/>
    <w:rsid w:val="00F32DD3"/>
    <w:rsid w:val="00F33817"/>
    <w:rsid w:val="00F35F7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2FC"/>
    <w:rsid w:val="00F66A4A"/>
    <w:rsid w:val="00F71E22"/>
    <w:rsid w:val="00F72142"/>
    <w:rsid w:val="00F72AE7"/>
    <w:rsid w:val="00F833BA"/>
    <w:rsid w:val="00F84FD0"/>
    <w:rsid w:val="00F859A8"/>
    <w:rsid w:val="00F86D87"/>
    <w:rsid w:val="00F90C90"/>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440"/>
    <w:rsid w:val="00FC17B7"/>
    <w:rsid w:val="00FC2CB7"/>
    <w:rsid w:val="00FC4090"/>
    <w:rsid w:val="00FC505B"/>
    <w:rsid w:val="00FC55B4"/>
    <w:rsid w:val="00FD00E6"/>
    <w:rsid w:val="00FD09A1"/>
    <w:rsid w:val="00FD2A7C"/>
    <w:rsid w:val="00FD59EB"/>
    <w:rsid w:val="00FD7299"/>
    <w:rsid w:val="00FE1FBE"/>
    <w:rsid w:val="00FE3901"/>
    <w:rsid w:val="00FE39D3"/>
    <w:rsid w:val="00FE3AD7"/>
    <w:rsid w:val="00FE4BCE"/>
    <w:rsid w:val="00FE54AE"/>
    <w:rsid w:val="00FE576A"/>
    <w:rsid w:val="00FE7E79"/>
    <w:rsid w:val="00FF3E7D"/>
    <w:rsid w:val="00FF5B99"/>
    <w:rsid w:val="00FF730C"/>
    <w:rsid w:val="00FF73F4"/>
    <w:rsid w:val="00FF7CE4"/>
    <w:rsid w:val="00FF7E39"/>
    <w:rsid w:val="019223C8"/>
    <w:rsid w:val="05CD74CA"/>
    <w:rsid w:val="07AA38AE"/>
    <w:rsid w:val="097705BE"/>
    <w:rsid w:val="0F665D3E"/>
    <w:rsid w:val="11663AA1"/>
    <w:rsid w:val="137A70EA"/>
    <w:rsid w:val="137B4D92"/>
    <w:rsid w:val="155C4B5D"/>
    <w:rsid w:val="15B14B1D"/>
    <w:rsid w:val="16D17A4B"/>
    <w:rsid w:val="171752F7"/>
    <w:rsid w:val="17F67F63"/>
    <w:rsid w:val="18136671"/>
    <w:rsid w:val="190D6A11"/>
    <w:rsid w:val="193952AF"/>
    <w:rsid w:val="1A056C30"/>
    <w:rsid w:val="1A694967"/>
    <w:rsid w:val="1A885C58"/>
    <w:rsid w:val="1CAB5925"/>
    <w:rsid w:val="1E150B39"/>
    <w:rsid w:val="245D4101"/>
    <w:rsid w:val="26403FEE"/>
    <w:rsid w:val="27244ACC"/>
    <w:rsid w:val="286A3B37"/>
    <w:rsid w:val="28F87D97"/>
    <w:rsid w:val="2C771530"/>
    <w:rsid w:val="2CE44768"/>
    <w:rsid w:val="2D532375"/>
    <w:rsid w:val="2F1318D3"/>
    <w:rsid w:val="3062021B"/>
    <w:rsid w:val="31257207"/>
    <w:rsid w:val="32453D55"/>
    <w:rsid w:val="33D12E3C"/>
    <w:rsid w:val="3416555A"/>
    <w:rsid w:val="34E3542A"/>
    <w:rsid w:val="37831791"/>
    <w:rsid w:val="39516138"/>
    <w:rsid w:val="3DFB20C2"/>
    <w:rsid w:val="3ECB54EE"/>
    <w:rsid w:val="3F1D692A"/>
    <w:rsid w:val="40884689"/>
    <w:rsid w:val="45037BF1"/>
    <w:rsid w:val="4684234C"/>
    <w:rsid w:val="470B227F"/>
    <w:rsid w:val="4742558F"/>
    <w:rsid w:val="4AA016FF"/>
    <w:rsid w:val="4BD82BC3"/>
    <w:rsid w:val="4CD1519F"/>
    <w:rsid w:val="4D1A2AB1"/>
    <w:rsid w:val="4DFB539F"/>
    <w:rsid w:val="4E555DA7"/>
    <w:rsid w:val="513A1AB6"/>
    <w:rsid w:val="51EE0842"/>
    <w:rsid w:val="52891428"/>
    <w:rsid w:val="53E824C5"/>
    <w:rsid w:val="54FC0A16"/>
    <w:rsid w:val="554D5FD9"/>
    <w:rsid w:val="5A075750"/>
    <w:rsid w:val="5AB4118D"/>
    <w:rsid w:val="5BB0057C"/>
    <w:rsid w:val="5BE61C7E"/>
    <w:rsid w:val="5C222C0D"/>
    <w:rsid w:val="5CC5434B"/>
    <w:rsid w:val="60432F0E"/>
    <w:rsid w:val="6228207A"/>
    <w:rsid w:val="64CB78FF"/>
    <w:rsid w:val="657E1DC9"/>
    <w:rsid w:val="68A65C1C"/>
    <w:rsid w:val="6A985293"/>
    <w:rsid w:val="6C163C8A"/>
    <w:rsid w:val="6D0911F2"/>
    <w:rsid w:val="6D927C65"/>
    <w:rsid w:val="6E73155D"/>
    <w:rsid w:val="765E7DE0"/>
    <w:rsid w:val="78D90BB6"/>
    <w:rsid w:val="79A40D82"/>
    <w:rsid w:val="7A221477"/>
    <w:rsid w:val="7AB0735C"/>
    <w:rsid w:val="7BB25324"/>
    <w:rsid w:val="7C5916A2"/>
    <w:rsid w:val="7C6310EF"/>
    <w:rsid w:val="7E356806"/>
    <w:rsid w:val="7EB12225"/>
    <w:rsid w:val="7F475FFD"/>
    <w:rsid w:val="7FC8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50"/>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qFormat/>
    <w:uiPriority w:val="0"/>
    <w:pPr>
      <w:numPr>
        <w:ilvl w:val="2"/>
      </w:numPr>
      <w:spacing w:before="50" w:after="50"/>
      <w:outlineLvl w:val="3"/>
    </w:pPr>
  </w:style>
  <w:style w:type="paragraph" w:customStyle="1" w:styleId="236">
    <w:name w:val="四级条标题"/>
    <w:basedOn w:val="1"/>
    <w:next w:val="231"/>
    <w:qFormat/>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7">
    <w:name w:val="五级条标题"/>
    <w:basedOn w:val="236"/>
    <w:next w:val="231"/>
    <w:qFormat/>
    <w:uiPriority w:val="0"/>
    <w:pPr>
      <w:numPr>
        <w:ilvl w:val="5"/>
      </w:numPr>
      <w:outlineLvl w:val="6"/>
    </w:pPr>
  </w:style>
  <w:style w:type="paragraph" w:customStyle="1" w:styleId="238">
    <w:name w:val="二级无"/>
    <w:basedOn w:val="235"/>
    <w:qFormat/>
    <w:uiPriority w:val="0"/>
    <w:pPr>
      <w:spacing w:beforeLines="0" w:afterLines="0"/>
      <w:ind w:left="0"/>
    </w:pPr>
    <w:rPr>
      <w:rFonts w:ascii="宋体" w:eastAsia="宋体"/>
    </w:rPr>
  </w:style>
  <w:style w:type="paragraph" w:customStyle="1" w:styleId="239">
    <w:name w:val="注×：（正文）"/>
    <w:qFormat/>
    <w:uiPriority w:val="0"/>
    <w:pPr>
      <w:numPr>
        <w:ilvl w:val="0"/>
        <w:numId w:val="33"/>
      </w:numPr>
      <w:jc w:val="both"/>
    </w:pPr>
    <w:rPr>
      <w:rFonts w:ascii="宋体" w:hAnsi="Times New Roman" w:eastAsia="宋体" w:cs="Times New Roman"/>
      <w:sz w:val="18"/>
      <w:szCs w:val="18"/>
      <w:lang w:val="en-US" w:eastAsia="zh-CN" w:bidi="ar-SA"/>
    </w:rPr>
  </w:style>
  <w:style w:type="paragraph" w:customStyle="1" w:styleId="240">
    <w:name w:val="正文表标题"/>
    <w:next w:val="23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1">
    <w:name w:val="附录表标号"/>
    <w:basedOn w:val="1"/>
    <w:next w:val="231"/>
    <w:qFormat/>
    <w:uiPriority w:val="0"/>
    <w:pPr>
      <w:numPr>
        <w:ilvl w:val="0"/>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2">
    <w:name w:val="附录表标题"/>
    <w:basedOn w:val="1"/>
    <w:next w:val="231"/>
    <w:qFormat/>
    <w:uiPriority w:val="0"/>
    <w:pPr>
      <w:numPr>
        <w:ilvl w:val="1"/>
        <w:numId w:val="34"/>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4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7">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50">
    <w:name w:val="文档结构图 Char"/>
    <w:basedOn w:val="29"/>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09573782A3485F86864D9FED522622"/>
        <w:style w:val=""/>
        <w:category>
          <w:name w:val="常规"/>
          <w:gallery w:val="placeholder"/>
        </w:category>
        <w:types>
          <w:type w:val="bbPlcHdr"/>
        </w:types>
        <w:behaviors>
          <w:behavior w:val="content"/>
        </w:behaviors>
        <w:description w:val=""/>
        <w:guid w:val="{77B89D2E-462F-444B-9767-763CE5E40B20}"/>
      </w:docPartPr>
      <w:docPartBody>
        <w:p>
          <w:pPr>
            <w:pStyle w:val="5"/>
          </w:pPr>
          <w:r>
            <w:rPr>
              <w:rStyle w:val="4"/>
              <w:rFonts w:hint="eastAsia"/>
            </w:rPr>
            <w:t>单击或点击此处输入文字。</w:t>
          </w:r>
        </w:p>
      </w:docPartBody>
    </w:docPart>
    <w:docPart>
      <w:docPartPr>
        <w:name w:val="108D902ED30E41DA937B7C350F9F0E30"/>
        <w:style w:val=""/>
        <w:category>
          <w:name w:val="常规"/>
          <w:gallery w:val="placeholder"/>
        </w:category>
        <w:types>
          <w:type w:val="bbPlcHdr"/>
        </w:types>
        <w:behaviors>
          <w:behavior w:val="content"/>
        </w:behaviors>
        <w:description w:val=""/>
        <w:guid w:val="{A773FECD-ECC9-4278-8C56-87B4486AED78}"/>
      </w:docPartPr>
      <w:docPartBody>
        <w:p>
          <w:pPr>
            <w:pStyle w:val="6"/>
          </w:pPr>
          <w:r>
            <w:rPr>
              <w:rStyle w:val="4"/>
              <w:rFonts w:hint="eastAsia"/>
            </w:rPr>
            <w:t>选择一项。</w:t>
          </w:r>
        </w:p>
      </w:docPartBody>
    </w:docPart>
    <w:docPart>
      <w:docPartPr>
        <w:name w:val="CDB2433E952049D99363705BD5298E54"/>
        <w:style w:val=""/>
        <w:category>
          <w:name w:val="常规"/>
          <w:gallery w:val="placeholder"/>
        </w:category>
        <w:types>
          <w:type w:val="bbPlcHdr"/>
        </w:types>
        <w:behaviors>
          <w:behavior w:val="content"/>
        </w:behaviors>
        <w:description w:val=""/>
        <w:guid w:val="{F49B396B-BF66-4913-96D8-315BFC42517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D62"/>
    <w:rsid w:val="001277E2"/>
    <w:rsid w:val="00224D62"/>
    <w:rsid w:val="00244188"/>
    <w:rsid w:val="00254DF0"/>
    <w:rsid w:val="002B184D"/>
    <w:rsid w:val="003F66D5"/>
    <w:rsid w:val="004473B7"/>
    <w:rsid w:val="00476442"/>
    <w:rsid w:val="004D1B1D"/>
    <w:rsid w:val="005306CC"/>
    <w:rsid w:val="006D5697"/>
    <w:rsid w:val="00735CCA"/>
    <w:rsid w:val="0079591B"/>
    <w:rsid w:val="007F44A7"/>
    <w:rsid w:val="00841C4D"/>
    <w:rsid w:val="008566DF"/>
    <w:rsid w:val="008B60A8"/>
    <w:rsid w:val="008F6862"/>
    <w:rsid w:val="00A70DCD"/>
    <w:rsid w:val="00A77EBD"/>
    <w:rsid w:val="00B974E8"/>
    <w:rsid w:val="00BB08B3"/>
    <w:rsid w:val="00C05C48"/>
    <w:rsid w:val="00D11C54"/>
    <w:rsid w:val="00D6625F"/>
    <w:rsid w:val="00DA0452"/>
    <w:rsid w:val="00E54C1E"/>
    <w:rsid w:val="00E637B1"/>
    <w:rsid w:val="00EB5121"/>
    <w:rsid w:val="00ED5858"/>
    <w:rsid w:val="00F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609573782A3485F86864D9FED5226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8D902ED30E41DA937B7C350F9F0E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DB2433E952049D99363705BD5298E5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2059" textRotate="1"/>
    <customShpInfo spid="_x0000_s2054" textRotate="1"/>
    <customShpInfo spid="_x0000_s2053" textRotate="1"/>
    <customShpInfo spid="_x0000_s2051" textRotate="1"/>
    <customShpInfo spid="_x0000_s2060" textRotate="1"/>
    <customShpInfo spid="_x0000_s2055" textRotate="1"/>
    <customShpInfo spid="_x0000_s2056" textRotate="1"/>
    <customShpInfo spid="_x0000_s2057" textRotate="1"/>
    <customShpInfo spid="_x0000_s2061" textRotate="1"/>
    <customShpInfo spid="_x0000_s2058" textRotate="1"/>
    <customShpInfo spid="_x0000_s2052"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91FB6-19A1-49FB-A8F7-8EB48CCCCEB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5216</Words>
  <Characters>6364</Characters>
  <Lines>57</Lines>
  <Paragraphs>16</Paragraphs>
  <TotalTime>4</TotalTime>
  <ScaleCrop>false</ScaleCrop>
  <LinksUpToDate>false</LinksUpToDate>
  <CharactersWithSpaces>6744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pengxiahua</dc:creator>
  <dc:description>&lt;config cover="true" show_menu="true" version="1.0.0" doctype="SDKXY"&gt;_x000d_
&lt;/config&gt;</dc:description>
  <cp:lastModifiedBy>Administrator</cp:lastModifiedBy>
  <cp:lastPrinted>2021-09-01T04:25:00Z</cp:lastPrinted>
  <dcterms:modified xsi:type="dcterms:W3CDTF">2021-09-01T04:35:03Z</dcterms:modified>
  <dc:title>地方标准</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64FC627EA4894D91BB1D1A4C139A385B</vt:lpwstr>
  </property>
</Properties>
</file>