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rPr>
          <w:rFonts w:hint="eastAsia"/>
        </w:rPr>
        <w:t>《</w:t>
      </w:r>
      <w:bookmarkStart w:id="0" w:name="StandardName"/>
      <w:r>
        <w:rPr>
          <w:rFonts w:hint="eastAsia"/>
        </w:rPr>
        <w:t>刺梨栽培技术规程》编制说明</w:t>
      </w:r>
      <w:bookmarkEnd w:id="0"/>
    </w:p>
    <w:p>
      <w:pPr>
        <w:pStyle w:val="9"/>
      </w:pPr>
      <w:bookmarkStart w:id="1" w:name="_Toc33887659"/>
      <w:bookmarkEnd w:id="1"/>
      <w:bookmarkStart w:id="2" w:name="_Toc7003"/>
      <w:bookmarkStart w:id="3" w:name="_Toc4818"/>
      <w:bookmarkStart w:id="4" w:name="_Toc33887825"/>
      <w:bookmarkStart w:id="5" w:name="_Toc29528"/>
      <w:bookmarkStart w:id="6" w:name="_Toc20379"/>
      <w:bookmarkStart w:id="7" w:name="_Toc11910"/>
      <w:bookmarkStart w:id="8" w:name="_Toc33887977"/>
      <w:r>
        <w:rPr>
          <w:rFonts w:hint="eastAsia"/>
        </w:rPr>
        <w:t>项目概况、背景及意义</w:t>
      </w:r>
      <w:bookmarkEnd w:id="2"/>
      <w:bookmarkEnd w:id="3"/>
      <w:bookmarkEnd w:id="4"/>
      <w:bookmarkEnd w:id="5"/>
      <w:bookmarkEnd w:id="6"/>
      <w:bookmarkEnd w:id="7"/>
      <w:bookmarkEnd w:id="8"/>
    </w:p>
    <w:p>
      <w:pPr>
        <w:pStyle w:val="8"/>
      </w:pPr>
      <w:bookmarkStart w:id="9" w:name="_Toc33887978"/>
      <w:bookmarkStart w:id="10" w:name="_Toc17627"/>
      <w:bookmarkStart w:id="11" w:name="_Toc22575"/>
      <w:bookmarkStart w:id="12" w:name="_Toc9622"/>
      <w:bookmarkStart w:id="13" w:name="_Toc6338"/>
      <w:bookmarkStart w:id="14" w:name="_Toc458"/>
      <w:bookmarkStart w:id="15" w:name="_Toc33887826"/>
      <w:r>
        <w:rPr>
          <w:rFonts w:hint="eastAsia"/>
        </w:rPr>
        <w:t>项目来源</w:t>
      </w:r>
      <w:bookmarkEnd w:id="9"/>
      <w:bookmarkEnd w:id="10"/>
      <w:bookmarkEnd w:id="11"/>
      <w:bookmarkEnd w:id="12"/>
      <w:bookmarkEnd w:id="13"/>
      <w:bookmarkEnd w:id="14"/>
      <w:bookmarkEnd w:id="15"/>
    </w:p>
    <w:p>
      <w:pPr>
        <w:pStyle w:val="6"/>
      </w:pPr>
      <w:r>
        <w:rPr>
          <w:rFonts w:hint="eastAsia"/>
        </w:rPr>
        <w:t>《刺梨栽培技术规程》（以下称“规程”）标准编制项目经湖南省市场监督管理局批准列入《2021年度第1批地方标准制修订项目计划》（湘市监标函〔2021〕33号）。</w:t>
      </w:r>
    </w:p>
    <w:p>
      <w:pPr>
        <w:pStyle w:val="8"/>
      </w:pPr>
      <w:bookmarkStart w:id="16" w:name="_Toc20291"/>
      <w:bookmarkStart w:id="17" w:name="_Toc30875"/>
      <w:bookmarkStart w:id="18" w:name="_Toc33887979"/>
      <w:bookmarkStart w:id="19" w:name="_Toc6548"/>
      <w:bookmarkStart w:id="20" w:name="_Toc15995"/>
      <w:bookmarkStart w:id="21" w:name="_Toc19572"/>
      <w:bookmarkStart w:id="22" w:name="_Toc33887827"/>
      <w:r>
        <w:rPr>
          <w:rFonts w:hint="eastAsia"/>
        </w:rPr>
        <w:t>本标准提出单位、起草单位和归口单位</w:t>
      </w:r>
      <w:bookmarkEnd w:id="16"/>
      <w:bookmarkEnd w:id="17"/>
      <w:bookmarkEnd w:id="18"/>
      <w:bookmarkEnd w:id="19"/>
      <w:bookmarkEnd w:id="20"/>
      <w:bookmarkEnd w:id="21"/>
      <w:bookmarkEnd w:id="22"/>
    </w:p>
    <w:p>
      <w:pPr>
        <w:pStyle w:val="6"/>
      </w:pPr>
      <w:r>
        <w:rPr>
          <w:rFonts w:hint="eastAsia"/>
        </w:rPr>
        <w:t>本标准提出单位：湖南环境生物职业技术学院。</w:t>
      </w:r>
    </w:p>
    <w:p>
      <w:pPr>
        <w:pStyle w:val="6"/>
      </w:pPr>
      <w:r>
        <w:rPr>
          <w:rFonts w:hint="eastAsia"/>
        </w:rPr>
        <w:t>本标准起草单位：湖南环境生物职业技术学院。</w:t>
      </w:r>
    </w:p>
    <w:p>
      <w:pPr>
        <w:pStyle w:val="6"/>
      </w:pPr>
      <w:r>
        <w:rPr>
          <w:rFonts w:hint="eastAsia"/>
        </w:rPr>
        <w:t>本标准归口单位：湖南省林业标准化技术委员会。</w:t>
      </w:r>
    </w:p>
    <w:p>
      <w:pPr>
        <w:pStyle w:val="6"/>
        <w:rPr>
          <w:color w:val="000000"/>
        </w:rPr>
      </w:pPr>
      <w:r>
        <w:rPr>
          <w:rFonts w:hint="eastAsia"/>
        </w:rPr>
        <w:t>主要起草人：</w:t>
      </w:r>
      <w:r>
        <w:rPr>
          <w:rFonts w:hint="eastAsia"/>
          <w:color w:val="000000"/>
        </w:rPr>
        <w:t>梁忠厚、赵富群、黄  雯、李有清、李静纳、胡春梅、李琳、贺灵芝、李  翔、邹  青、田开慧。</w:t>
      </w:r>
    </w:p>
    <w:p>
      <w:pPr>
        <w:pStyle w:val="8"/>
      </w:pPr>
      <w:bookmarkStart w:id="23" w:name="_Toc33887980"/>
      <w:bookmarkStart w:id="24" w:name="_Toc14076"/>
      <w:bookmarkStart w:id="25" w:name="_Toc33887828"/>
      <w:bookmarkStart w:id="26" w:name="_Toc25688"/>
      <w:bookmarkStart w:id="27" w:name="_Toc908"/>
      <w:bookmarkStart w:id="28" w:name="_Toc431"/>
      <w:bookmarkStart w:id="29" w:name="_Toc9606"/>
      <w:r>
        <w:rPr>
          <w:rFonts w:hint="eastAsia"/>
        </w:rPr>
        <w:t>本标准编写时间</w:t>
      </w:r>
      <w:bookmarkEnd w:id="23"/>
      <w:bookmarkEnd w:id="24"/>
      <w:bookmarkEnd w:id="25"/>
      <w:bookmarkEnd w:id="26"/>
      <w:bookmarkEnd w:id="27"/>
      <w:bookmarkEnd w:id="28"/>
      <w:bookmarkEnd w:id="29"/>
    </w:p>
    <w:p>
      <w:pPr>
        <w:pStyle w:val="6"/>
      </w:pPr>
      <w:r>
        <w:rPr>
          <w:rFonts w:hint="eastAsia"/>
        </w:rPr>
        <w:t>2021年1月-12月。</w:t>
      </w:r>
    </w:p>
    <w:p>
      <w:pPr>
        <w:pStyle w:val="8"/>
      </w:pPr>
      <w:bookmarkStart w:id="30" w:name="_Toc29101"/>
      <w:bookmarkStart w:id="31" w:name="_Toc13112"/>
      <w:bookmarkStart w:id="32" w:name="_Toc2677"/>
      <w:bookmarkStart w:id="33" w:name="_Toc33887829"/>
      <w:bookmarkStart w:id="34" w:name="_Toc9240"/>
      <w:bookmarkStart w:id="35" w:name="_Toc33887981"/>
      <w:bookmarkStart w:id="36" w:name="_Toc29554"/>
      <w:r>
        <w:rPr>
          <w:rFonts w:hint="eastAsia"/>
        </w:rPr>
        <w:t>标准制定的背景及意义</w:t>
      </w:r>
      <w:bookmarkEnd w:id="30"/>
      <w:bookmarkEnd w:id="31"/>
      <w:bookmarkEnd w:id="32"/>
      <w:bookmarkEnd w:id="33"/>
      <w:bookmarkEnd w:id="34"/>
      <w:bookmarkEnd w:id="35"/>
      <w:bookmarkEnd w:id="36"/>
    </w:p>
    <w:p>
      <w:pPr>
        <w:pStyle w:val="9"/>
        <w:numPr>
          <w:ilvl w:val="0"/>
          <w:numId w:val="0"/>
        </w:numPr>
        <w:spacing w:before="0" w:beforeLines="0" w:after="0" w:afterLines="0" w:line="420" w:lineRule="exact"/>
        <w:ind w:firstLine="420" w:firstLineChars="200"/>
        <w:rPr>
          <w:rFonts w:ascii="宋体" w:eastAsia="宋体"/>
        </w:rPr>
      </w:pPr>
      <w:r>
        <w:rPr>
          <w:rFonts w:ascii="宋体" w:eastAsia="宋体"/>
        </w:rPr>
        <w:t>湖南是药材资源大省，全国361个常用重点中药材品种中，湖南拥有241个，占全国的66.8%，位居全国第2位。中药材作为我国独特的药用植物资源和重要的生态资源，在经济社会发展中发挥着重要作用。2015年</w:t>
      </w:r>
      <w:r>
        <w:rPr>
          <w:rFonts w:hint="eastAsia" w:ascii="宋体" w:eastAsia="宋体"/>
        </w:rPr>
        <w:t>、</w:t>
      </w:r>
      <w:r>
        <w:rPr>
          <w:rFonts w:ascii="宋体" w:eastAsia="宋体"/>
        </w:rPr>
        <w:t>2016年国务院印发“工业和信息化部等部门中药材保护和发展规划（2015-2020年）的通知”和“中医药发展战略规划纲要（2016-2030年）的通知”，通知中均明确指出“要促进中药材种植养殖业绿色发展，制定中药材种植养殖、采集、储藏技术标准，加强对中药材种植养殖的科学引导。”为响应国家政策，充分发掘当地道地药材资源，湖南省也相继制定了《湖南省加快中医药发展五年行动计划（2011-2015年）》和《湖南省中药材保护和发展规划（2016-2025年）》，指出“要提升中药材栽培技术水平，以支撑中药材种植效益并为实施精准扶贫提供相关技术保障”。国家及地方相关政策的出台，为药食两用植物资源栽培应用及管理的规范化指明了方向。</w:t>
      </w:r>
    </w:p>
    <w:p>
      <w:pPr>
        <w:spacing w:line="420" w:lineRule="exact"/>
        <w:ind w:firstLine="424" w:firstLineChars="202"/>
        <w:rPr>
          <w:rFonts w:ascii="宋体"/>
        </w:rPr>
      </w:pPr>
      <w:r>
        <w:rPr>
          <w:rFonts w:hint="eastAsia" w:ascii="宋体"/>
        </w:rPr>
        <w:t>刺梨(</w:t>
      </w:r>
      <w:r>
        <w:rPr>
          <w:rFonts w:hint="eastAsia" w:ascii="宋体"/>
          <w:i/>
        </w:rPr>
        <w:t>R</w:t>
      </w:r>
      <w:r>
        <w:rPr>
          <w:rFonts w:hint="eastAsia" w:ascii="宋体"/>
        </w:rPr>
        <w:t>ose roxburghii Tratt)又名</w:t>
      </w:r>
      <w:r>
        <w:rPr>
          <w:rFonts w:ascii="宋体"/>
        </w:rPr>
        <w:t>刺玫果、</w:t>
      </w:r>
      <w:r>
        <w:rPr>
          <w:rFonts w:hint="eastAsia" w:ascii="宋体"/>
        </w:rPr>
        <w:t>文先果、送春归，属蔷薇科野生植物，是我国西南部特产野果，原产云贵高原，</w:t>
      </w:r>
      <w:r>
        <w:rPr>
          <w:rFonts w:ascii="宋体"/>
        </w:rPr>
        <w:t>是一种典型的药食两用植物，</w:t>
      </w:r>
      <w:r>
        <w:rPr>
          <w:rFonts w:hint="eastAsia" w:ascii="宋体"/>
        </w:rPr>
        <w:t>其果甘甜，含有丰富的维生素C(Vc)、超氧化物歧化酶(SOD)、刺梨黄酮、刺梨多糖及多种人体必须氨基酸，并且具有巨大的药用价值。在</w:t>
      </w:r>
      <w:r>
        <w:rPr>
          <w:rFonts w:ascii="宋体"/>
        </w:rPr>
        <w:t>古代著作《本草纲目》和《</w:t>
      </w:r>
      <w:r>
        <w:fldChar w:fldCharType="begin"/>
      </w:r>
      <w:r>
        <w:instrText xml:space="preserve"> HYPERLINK "https://www.pingguolv.com/zy/" \t "https://www.pingguolv.com/sl/yingyang/_blank" </w:instrText>
      </w:r>
      <w:r>
        <w:fldChar w:fldCharType="separate"/>
      </w:r>
      <w:r>
        <w:rPr>
          <w:rFonts w:ascii="宋体"/>
        </w:rPr>
        <w:t>中药</w:t>
      </w:r>
      <w:r>
        <w:rPr>
          <w:rFonts w:ascii="宋体"/>
        </w:rPr>
        <w:fldChar w:fldCharType="end"/>
      </w:r>
      <w:r>
        <w:rPr>
          <w:rFonts w:ascii="宋体"/>
        </w:rPr>
        <w:t>大辞典》中均有记载</w:t>
      </w:r>
      <w:r>
        <w:rPr>
          <w:rFonts w:hint="eastAsia" w:ascii="宋体"/>
        </w:rPr>
        <w:t>，其花、果、叶、籽皆可入药，食之可解闷、消积滞。近年来的研究表明，刺梨具有抗氧化与抗延缓衰老、免疫调节、微量元素调节、抗炎作用、改善睡眠、解毒排毒、脏器保护、抗突变与抗癌等功效，由于刺梨具有丰富的食用、药用价值和对其抗肿瘤、白血病等重大作用的研究发现，刺梨引起了医药界的广泛关注，综合食用历史和临床应用实践，刺梨具有稳定可靠的药性和安全性，前景广阔。</w:t>
      </w:r>
      <w:r>
        <w:rPr>
          <w:rFonts w:ascii="宋体"/>
        </w:rPr>
        <w:t>2014</w:t>
      </w:r>
      <w:r>
        <w:rPr>
          <w:rFonts w:hint="eastAsia" w:ascii="宋体"/>
        </w:rPr>
        <w:t>年湖南省出台《关于加快中药材产业发展的意见》（湘政办发</w:t>
      </w:r>
      <w:r>
        <w:rPr>
          <w:rFonts w:ascii="宋体"/>
        </w:rPr>
        <w:t>[2014]80</w:t>
      </w:r>
      <w:r>
        <w:rPr>
          <w:rFonts w:hint="eastAsia" w:ascii="宋体"/>
        </w:rPr>
        <w:t>号），大力推动中药材种植。目前对刺梨的栽植研究，国内仅有贵州、云南、四川、湖南等少量地区引种栽植，导致产量不高，栽培技术不规范，从而使种植刺梨林农经济效能低，故对刺梨栽培技术系统研究尤为迫切，项目负责人科研团队通过不断尝试创新，从引种、栽培技术、管理、病虫害研究等，制订湖南省地方标准《刺梨栽培技术规程》，规范种植培养管理标准，通过建立刺梨种植示范基地，提高刺梨品质和产量，因地制宜推广</w:t>
      </w:r>
      <w:r>
        <w:rPr>
          <w:rFonts w:ascii="宋体"/>
        </w:rPr>
        <w:t>药食两用植物</w:t>
      </w:r>
      <w:r>
        <w:rPr>
          <w:rFonts w:hint="eastAsia" w:ascii="宋体"/>
        </w:rPr>
        <w:t>刺梨的栽培技术，提高刺梨品质和产量，因地制宜推广刺梨栽培技术，对我省中药材千亿产业发展和乡村振兴战略等具有十分重要的现实意义。</w:t>
      </w:r>
    </w:p>
    <w:p>
      <w:pPr>
        <w:pStyle w:val="9"/>
      </w:pPr>
      <w:bookmarkStart w:id="37" w:name="_Toc1181"/>
      <w:bookmarkStart w:id="38" w:name="_Toc16247"/>
      <w:bookmarkStart w:id="39" w:name="_Toc23412"/>
      <w:bookmarkStart w:id="40" w:name="_Toc33887830"/>
      <w:bookmarkStart w:id="41" w:name="_Toc31375"/>
      <w:bookmarkStart w:id="42" w:name="_Toc21723"/>
      <w:bookmarkStart w:id="43" w:name="_Toc33887982"/>
      <w:r>
        <w:rPr>
          <w:rFonts w:hint="eastAsia"/>
        </w:rPr>
        <w:t>制定原则</w:t>
      </w:r>
      <w:bookmarkEnd w:id="37"/>
      <w:bookmarkEnd w:id="38"/>
      <w:bookmarkEnd w:id="39"/>
      <w:bookmarkEnd w:id="40"/>
      <w:bookmarkEnd w:id="41"/>
      <w:bookmarkEnd w:id="42"/>
      <w:bookmarkEnd w:id="43"/>
    </w:p>
    <w:p>
      <w:pPr>
        <w:pStyle w:val="8"/>
      </w:pPr>
      <w:bookmarkStart w:id="44" w:name="_Toc26525"/>
      <w:bookmarkStart w:id="45" w:name="_Toc8630"/>
      <w:bookmarkStart w:id="46" w:name="_Toc33887831"/>
      <w:bookmarkStart w:id="47" w:name="_Toc5676"/>
      <w:bookmarkStart w:id="48" w:name="_Toc8834"/>
      <w:bookmarkStart w:id="49" w:name="_Toc30920"/>
      <w:bookmarkStart w:id="50" w:name="_Toc33887983"/>
      <w:r>
        <w:rPr>
          <w:rFonts w:hint="eastAsia"/>
        </w:rPr>
        <w:t>标准结构和编写规则</w:t>
      </w:r>
      <w:bookmarkEnd w:id="44"/>
      <w:bookmarkEnd w:id="45"/>
      <w:bookmarkEnd w:id="46"/>
      <w:bookmarkEnd w:id="47"/>
      <w:bookmarkEnd w:id="48"/>
      <w:bookmarkEnd w:id="49"/>
      <w:bookmarkEnd w:id="50"/>
    </w:p>
    <w:p>
      <w:pPr>
        <w:pStyle w:val="6"/>
      </w:pPr>
      <w:r>
        <w:rPr>
          <w:rFonts w:hint="eastAsia"/>
        </w:rPr>
        <w:t>根据《GB/T1.1-2009标准化工作导则第1部分：标准的结构和编写规则》的要求和规则编写。</w:t>
      </w:r>
    </w:p>
    <w:p>
      <w:pPr>
        <w:pStyle w:val="8"/>
      </w:pPr>
      <w:bookmarkStart w:id="51" w:name="_Toc33887832"/>
      <w:bookmarkStart w:id="52" w:name="_Toc33887984"/>
      <w:bookmarkStart w:id="53" w:name="_Toc7562"/>
      <w:bookmarkStart w:id="54" w:name="_Toc17602"/>
      <w:bookmarkStart w:id="55" w:name="_Toc31311"/>
      <w:bookmarkStart w:id="56" w:name="_Toc11231"/>
      <w:bookmarkStart w:id="57" w:name="_Toc30834"/>
      <w:r>
        <w:rPr>
          <w:rFonts w:hint="eastAsia"/>
        </w:rPr>
        <w:t>制定原则、要求及目标</w:t>
      </w:r>
      <w:bookmarkEnd w:id="51"/>
      <w:bookmarkEnd w:id="52"/>
      <w:bookmarkEnd w:id="53"/>
      <w:bookmarkEnd w:id="54"/>
      <w:bookmarkEnd w:id="55"/>
      <w:bookmarkEnd w:id="56"/>
      <w:bookmarkEnd w:id="57"/>
    </w:p>
    <w:p>
      <w:pPr>
        <w:pStyle w:val="10"/>
        <w:spacing w:before="156" w:after="156"/>
      </w:pPr>
      <w:bookmarkStart w:id="58" w:name="_Toc33887985"/>
      <w:bookmarkStart w:id="59" w:name="_Toc33887833"/>
      <w:bookmarkStart w:id="60" w:name="_Toc5004"/>
      <w:bookmarkStart w:id="61" w:name="_Toc16084"/>
      <w:r>
        <w:rPr>
          <w:rFonts w:hint="eastAsia"/>
        </w:rPr>
        <w:t>制定原则</w:t>
      </w:r>
      <w:bookmarkEnd w:id="58"/>
      <w:bookmarkEnd w:id="59"/>
      <w:bookmarkEnd w:id="60"/>
      <w:bookmarkEnd w:id="61"/>
    </w:p>
    <w:p>
      <w:pPr>
        <w:pStyle w:val="6"/>
        <w:spacing w:line="420" w:lineRule="exact"/>
      </w:pPr>
      <w:r>
        <w:rPr>
          <w:rFonts w:hint="eastAsia"/>
        </w:rPr>
        <w:t>法性原则。编写本规范不能与任何强制性标准及法律法规相抵触。</w:t>
      </w:r>
    </w:p>
    <w:p>
      <w:pPr>
        <w:pStyle w:val="6"/>
        <w:spacing w:line="420" w:lineRule="exact"/>
      </w:pPr>
      <w:r>
        <w:rPr>
          <w:rFonts w:hint="eastAsia"/>
        </w:rPr>
        <w:t>引领性原则。编写本规范既要反映刺梨栽培先进技术，又要能具体实施，达到引领和接地气目的。</w:t>
      </w:r>
    </w:p>
    <w:p>
      <w:pPr>
        <w:pStyle w:val="6"/>
        <w:spacing w:line="420" w:lineRule="exact"/>
      </w:pPr>
      <w:r>
        <w:rPr>
          <w:rFonts w:hint="eastAsia"/>
        </w:rPr>
        <w:t>标准性原则。编写本规范必须注意基本格式、术语规范。</w:t>
      </w:r>
    </w:p>
    <w:p>
      <w:pPr>
        <w:pStyle w:val="6"/>
        <w:spacing w:line="420" w:lineRule="exact"/>
      </w:pPr>
      <w:r>
        <w:t>科研实践与实际应用相结合的原则。标准中的技术要素是根据科研实践紧密结合实际应用而确定的，科学而客观地反映了</w:t>
      </w:r>
      <w:r>
        <w:rPr>
          <w:rFonts w:hint="eastAsia"/>
        </w:rPr>
        <w:t>刺梨</w:t>
      </w:r>
      <w:r>
        <w:t>栽培技术规程，具有可操作性和应用的普及性。</w:t>
      </w:r>
    </w:p>
    <w:p>
      <w:pPr>
        <w:pStyle w:val="6"/>
        <w:spacing w:line="420" w:lineRule="exact"/>
      </w:pPr>
      <w:r>
        <w:t>技术先进性和可行性相结合的原则。标准中的技术来源于长期的科研实践和成熟的应用经验，内容紧密联系我国目前</w:t>
      </w:r>
      <w:r>
        <w:rPr>
          <w:rFonts w:hint="eastAsia"/>
        </w:rPr>
        <w:t>刺梨</w:t>
      </w:r>
      <w:r>
        <w:t>栽培的状况，各项技术指标先进、合理，系统性和可操作性强。</w:t>
      </w:r>
    </w:p>
    <w:p>
      <w:pPr>
        <w:pStyle w:val="10"/>
        <w:spacing w:before="156" w:after="156"/>
      </w:pPr>
      <w:bookmarkStart w:id="62" w:name="_Toc33887986"/>
      <w:bookmarkStart w:id="63" w:name="_Toc13608"/>
      <w:bookmarkStart w:id="64" w:name="_Toc33887834"/>
      <w:bookmarkStart w:id="65" w:name="_Toc7402"/>
      <w:r>
        <w:rPr>
          <w:rFonts w:hint="eastAsia"/>
        </w:rPr>
        <w:t>制定要求</w:t>
      </w:r>
      <w:bookmarkEnd w:id="62"/>
      <w:bookmarkEnd w:id="63"/>
      <w:bookmarkEnd w:id="64"/>
      <w:bookmarkEnd w:id="65"/>
    </w:p>
    <w:p>
      <w:pPr>
        <w:pStyle w:val="6"/>
      </w:pPr>
      <w:r>
        <w:rPr>
          <w:rFonts w:hint="eastAsia"/>
        </w:rPr>
        <w:t>公共至上。编写本规范必须能够使绝大多数种植企业推广应用，不能限制其他成果或排他成果。</w:t>
      </w:r>
    </w:p>
    <w:p>
      <w:pPr>
        <w:pStyle w:val="6"/>
      </w:pPr>
      <w:r>
        <w:rPr>
          <w:rFonts w:hint="eastAsia"/>
        </w:rPr>
        <w:t>简化优先。编写本规范要简练和协调统一，前者是指语言精练、不能拖泥带水，后者是指各个地方标准之间、地方标准与行业标准之间、各个行业标准之间、地方标准与国家标准之间要协调统一。</w:t>
      </w:r>
    </w:p>
    <w:p>
      <w:pPr>
        <w:pStyle w:val="6"/>
      </w:pPr>
      <w:r>
        <w:rPr>
          <w:rFonts w:hint="eastAsia"/>
        </w:rPr>
        <w:t>民主集中制。编写本规范要充分讨论，发挥集体智慧，负责人统筹考虑吸收各种意见定稿。</w:t>
      </w:r>
    </w:p>
    <w:p>
      <w:pPr>
        <w:pStyle w:val="9"/>
      </w:pPr>
      <w:bookmarkStart w:id="66" w:name="_Toc33887835"/>
      <w:bookmarkStart w:id="67" w:name="_Toc23194"/>
      <w:bookmarkStart w:id="68" w:name="_Toc33887987"/>
      <w:bookmarkStart w:id="69" w:name="_Toc31631"/>
      <w:bookmarkStart w:id="70" w:name="_Toc20658"/>
      <w:bookmarkStart w:id="71" w:name="_Toc23406"/>
      <w:bookmarkStart w:id="72" w:name="_Toc29139"/>
      <w:r>
        <w:rPr>
          <w:rFonts w:hint="eastAsia"/>
        </w:rPr>
        <w:t>工作情况</w:t>
      </w:r>
      <w:bookmarkEnd w:id="66"/>
      <w:bookmarkEnd w:id="67"/>
      <w:bookmarkEnd w:id="68"/>
      <w:bookmarkEnd w:id="69"/>
      <w:bookmarkEnd w:id="70"/>
      <w:bookmarkEnd w:id="71"/>
      <w:bookmarkEnd w:id="72"/>
    </w:p>
    <w:p>
      <w:pPr>
        <w:pStyle w:val="8"/>
        <w:spacing w:line="420" w:lineRule="exact"/>
      </w:pPr>
      <w:bookmarkStart w:id="73" w:name="_Toc8515"/>
      <w:bookmarkStart w:id="74" w:name="_Toc17022"/>
      <w:bookmarkStart w:id="75" w:name="_Toc33887988"/>
      <w:bookmarkStart w:id="76" w:name="_Toc19427"/>
      <w:bookmarkStart w:id="77" w:name="_Toc20181"/>
      <w:bookmarkStart w:id="78" w:name="_Toc33887836"/>
      <w:bookmarkStart w:id="79" w:name="_Toc7448"/>
      <w:r>
        <w:rPr>
          <w:rFonts w:hint="eastAsia"/>
        </w:rPr>
        <w:t>编制人员分工</w:t>
      </w:r>
      <w:bookmarkEnd w:id="73"/>
      <w:bookmarkEnd w:id="74"/>
      <w:bookmarkEnd w:id="75"/>
      <w:bookmarkEnd w:id="76"/>
      <w:bookmarkEnd w:id="77"/>
      <w:bookmarkEnd w:id="78"/>
      <w:bookmarkEnd w:id="79"/>
    </w:p>
    <w:p>
      <w:pPr>
        <w:pStyle w:val="6"/>
        <w:spacing w:line="420" w:lineRule="exact"/>
      </w:pPr>
      <w:r>
        <w:t>项目组成员具有多年从事林木生产科研的经验，熟悉</w:t>
      </w:r>
      <w:r>
        <w:rPr>
          <w:rFonts w:hint="eastAsia"/>
        </w:rPr>
        <w:t>刺梨</w:t>
      </w:r>
      <w:r>
        <w:t>科研和生产的动态和发展趋势，精通</w:t>
      </w:r>
      <w:r>
        <w:rPr>
          <w:rFonts w:hint="eastAsia"/>
        </w:rPr>
        <w:t>刺梨</w:t>
      </w:r>
      <w:r>
        <w:t>种植、抚育管理技术关键和生产环节，项目组成员结构配置合理。</w:t>
      </w:r>
    </w:p>
    <w:p>
      <w:pPr>
        <w:pStyle w:val="6"/>
      </w:pPr>
    </w:p>
    <w:tbl>
      <w:tblPr>
        <w:tblStyle w:val="5"/>
        <w:tblW w:w="75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126"/>
        <w:gridCol w:w="4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姓  名</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职称/职务</w:t>
            </w:r>
          </w:p>
        </w:tc>
        <w:tc>
          <w:tcPr>
            <w:tcW w:w="4438"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成员分工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1"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梁忠厚</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研究员</w:t>
            </w:r>
            <w:r>
              <w:t>/</w:t>
            </w:r>
            <w:r>
              <w:rPr>
                <w:rFonts w:hint="eastAsia"/>
              </w:rPr>
              <w:t>副校长</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int="eastAsia"/>
              </w:rPr>
              <w:t>制定规范编制原则、框架结构及统筹整个标准的编制工作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赵富群</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Ansi="宋体"/>
                <w:szCs w:val="21"/>
              </w:rPr>
              <w:t>数据的收集与整理、</w:t>
            </w:r>
            <w:r>
              <w:rPr>
                <w:rFonts w:hint="eastAsia"/>
              </w:rPr>
              <w:t>栽培技术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黄  雯</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Ansi="宋体"/>
                <w:szCs w:val="21"/>
              </w:rPr>
              <w:t>数据的收集与整理、</w:t>
            </w:r>
            <w:r>
              <w:rPr>
                <w:rFonts w:hint="eastAsia"/>
              </w:rPr>
              <w:t>栽培技术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李有清</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Ansi="宋体"/>
                <w:szCs w:val="21"/>
              </w:rPr>
              <w:t>野外调查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李静纳</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int="eastAsia"/>
              </w:rPr>
              <w:t>病虫害防治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胡春梅</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int="eastAsia"/>
              </w:rPr>
              <w:t>插扦育苗技术、栽植技术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李  翔</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副教授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Ansi="宋体"/>
                <w:szCs w:val="21"/>
              </w:rPr>
              <w:t>野外调查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t>贺灵芝</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t>药理成分分析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t>邹</w:t>
            </w:r>
            <w:r>
              <w:rPr>
                <w:rFonts w:hint="eastAsia"/>
              </w:rPr>
              <w:t xml:space="preserve">  </w:t>
            </w:r>
            <w:r>
              <w:t>青</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t>药理成分分析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李  琳</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馆  员</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Ansi="宋体"/>
                <w:szCs w:val="21"/>
              </w:rPr>
              <w:t>数据的收集与整理、野外调查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rPr>
                <w:rFonts w:hint="eastAsia"/>
              </w:rPr>
              <w:t>刘慧娟</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rPr>
                <w:rFonts w:hint="eastAsia"/>
              </w:rPr>
              <w:t>讲  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int="eastAsia"/>
              </w:rPr>
              <w:t>插扦育苗技术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pStyle w:val="6"/>
              <w:ind w:firstLine="0" w:firstLineChars="0"/>
              <w:jc w:val="left"/>
            </w:pPr>
            <w:r>
              <w:t>田开慧</w:t>
            </w:r>
          </w:p>
        </w:tc>
        <w:tc>
          <w:tcPr>
            <w:tcW w:w="2126" w:type="dxa"/>
            <w:tcBorders>
              <w:top w:val="single" w:color="000000" w:sz="4" w:space="0"/>
              <w:left w:val="nil"/>
              <w:bottom w:val="single" w:color="000000" w:sz="4" w:space="0"/>
              <w:right w:val="single" w:color="000000" w:sz="4" w:space="0"/>
            </w:tcBorders>
            <w:vAlign w:val="center"/>
          </w:tcPr>
          <w:p>
            <w:pPr>
              <w:pStyle w:val="6"/>
              <w:jc w:val="center"/>
            </w:pPr>
            <w:r>
              <w:t>高级工程师</w:t>
            </w:r>
          </w:p>
        </w:tc>
        <w:tc>
          <w:tcPr>
            <w:tcW w:w="4438" w:type="dxa"/>
            <w:tcBorders>
              <w:top w:val="single" w:color="000000" w:sz="4" w:space="0"/>
              <w:left w:val="nil"/>
              <w:bottom w:val="single" w:color="000000" w:sz="4" w:space="0"/>
              <w:right w:val="single" w:color="000000" w:sz="4" w:space="0"/>
            </w:tcBorders>
            <w:vAlign w:val="center"/>
          </w:tcPr>
          <w:p>
            <w:pPr>
              <w:pStyle w:val="6"/>
            </w:pPr>
            <w:r>
              <w:rPr>
                <w:rFonts w:hint="eastAsia"/>
              </w:rPr>
              <w:t>栽培管理</w:t>
            </w:r>
          </w:p>
        </w:tc>
      </w:tr>
    </w:tbl>
    <w:p>
      <w:pPr>
        <w:pStyle w:val="6"/>
      </w:pPr>
      <w:bookmarkStart w:id="80" w:name="_Toc33887989"/>
      <w:bookmarkStart w:id="81" w:name="_Toc6057"/>
      <w:bookmarkStart w:id="82" w:name="_Toc33887837"/>
      <w:bookmarkStart w:id="83" w:name="_Toc25676"/>
      <w:bookmarkStart w:id="84" w:name="_Toc7969"/>
      <w:bookmarkStart w:id="85" w:name="_Toc4568"/>
      <w:bookmarkStart w:id="86" w:name="_Toc24231"/>
    </w:p>
    <w:p>
      <w:pPr>
        <w:pStyle w:val="8"/>
      </w:pPr>
      <w:r>
        <w:rPr>
          <w:rFonts w:hint="eastAsia"/>
        </w:rPr>
        <w:t>主要工作过程</w:t>
      </w:r>
      <w:bookmarkEnd w:id="80"/>
      <w:bookmarkEnd w:id="81"/>
      <w:bookmarkEnd w:id="82"/>
      <w:bookmarkEnd w:id="83"/>
      <w:bookmarkEnd w:id="84"/>
      <w:bookmarkEnd w:id="85"/>
      <w:bookmarkEnd w:id="86"/>
    </w:p>
    <w:p>
      <w:pPr>
        <w:pStyle w:val="10"/>
        <w:spacing w:before="156" w:after="156"/>
      </w:pPr>
      <w:bookmarkStart w:id="87" w:name="_Toc33887990"/>
      <w:bookmarkStart w:id="88" w:name="_Toc10893"/>
      <w:bookmarkStart w:id="89" w:name="_Toc33887838"/>
      <w:bookmarkStart w:id="90" w:name="_Toc30331"/>
      <w:r>
        <w:rPr>
          <w:rFonts w:hint="eastAsia"/>
        </w:rPr>
        <w:t>工作基础</w:t>
      </w:r>
      <w:bookmarkEnd w:id="87"/>
      <w:bookmarkEnd w:id="88"/>
      <w:bookmarkEnd w:id="89"/>
      <w:bookmarkEnd w:id="90"/>
    </w:p>
    <w:p>
      <w:pPr>
        <w:pStyle w:val="6"/>
        <w:spacing w:line="420" w:lineRule="exact"/>
      </w:pPr>
      <w:r>
        <w:rPr>
          <w:rFonts w:hint="eastAsia"/>
        </w:rPr>
        <w:t>由湖南环境生物职院梁忠厚研究员领衔的林下经济科研创新团队已对刺梨食用、药用、观赏等，进行4余年研究，栽培新技术已日趋成熟，正在申请专利2项，省级以上刊物发表论文1篇。</w:t>
      </w:r>
    </w:p>
    <w:p>
      <w:pPr>
        <w:pStyle w:val="6"/>
        <w:spacing w:line="420" w:lineRule="exact"/>
      </w:pPr>
      <w:r>
        <w:rPr>
          <w:rFonts w:hint="eastAsia"/>
        </w:rPr>
        <w:t>项目主持单位湖南环境生物职院是湖南省林业厅2016年批准的“湖南省林下经济科研示范基地”，现建有面积260余亩的林下经济基地，已种植了3年生、2年生、3年生刺梨2余亩，已建刺梨收集圃，刺梨已收集贵州、云南、湖南等野生及栽培品种5个，刺梨扦插、播种等繁育苗圃1余亩。</w:t>
      </w:r>
    </w:p>
    <w:p>
      <w:pPr>
        <w:pStyle w:val="6"/>
        <w:spacing w:line="420" w:lineRule="exact"/>
      </w:pPr>
      <w:r>
        <w:rPr>
          <w:rFonts w:hint="eastAsia"/>
        </w:rPr>
        <w:t>项目组成员精心挑选，均为相关专业骨干，熟悉业务；同时有若干成员主持或参与过相关地方标准的制订工作，有利于本项目的进行和完成。</w:t>
      </w:r>
    </w:p>
    <w:p>
      <w:pPr>
        <w:pStyle w:val="10"/>
        <w:spacing w:before="156" w:after="156"/>
      </w:pPr>
      <w:bookmarkStart w:id="91" w:name="_Toc22852"/>
      <w:bookmarkStart w:id="92" w:name="_Toc33887839"/>
      <w:bookmarkStart w:id="93" w:name="_Toc33887991"/>
      <w:bookmarkStart w:id="94" w:name="_Toc26728"/>
      <w:r>
        <w:rPr>
          <w:rFonts w:hint="eastAsia"/>
        </w:rPr>
        <w:t>工作方法</w:t>
      </w:r>
      <w:bookmarkEnd w:id="91"/>
      <w:bookmarkEnd w:id="92"/>
      <w:bookmarkEnd w:id="93"/>
      <w:bookmarkEnd w:id="94"/>
    </w:p>
    <w:p>
      <w:pPr>
        <w:pStyle w:val="6"/>
        <w:spacing w:line="420" w:lineRule="exact"/>
      </w:pPr>
      <w:r>
        <w:rPr>
          <w:rFonts w:hint="eastAsia"/>
        </w:rPr>
        <w:t>2021年1月成立了标准制订项目组，确定了建设规范的主要内容和技术指标，并根据工作内容，对人员进行了分工，定岗定责。</w:t>
      </w:r>
    </w:p>
    <w:p>
      <w:pPr>
        <w:pStyle w:val="6"/>
        <w:spacing w:line="420" w:lineRule="exact"/>
      </w:pPr>
      <w:r>
        <w:rPr>
          <w:rFonts w:hint="eastAsia"/>
        </w:rPr>
        <w:t>以行业最新标准为基础，结合刺梨种植的实际情况；根据国家规程编写格式，完成了标准的征求意见稿，并在广泛征求相关单位专家意见的基础上修改完善形成的送审稿。</w:t>
      </w:r>
    </w:p>
    <w:p>
      <w:pPr>
        <w:pStyle w:val="10"/>
        <w:spacing w:before="156" w:after="156" w:line="420" w:lineRule="exact"/>
      </w:pPr>
      <w:bookmarkStart w:id="95" w:name="_Toc8770"/>
      <w:bookmarkStart w:id="96" w:name="_Toc544"/>
      <w:bookmarkStart w:id="97" w:name="_Toc33887992"/>
      <w:bookmarkStart w:id="98" w:name="_Toc33887840"/>
      <w:r>
        <w:rPr>
          <w:rFonts w:hint="eastAsia"/>
        </w:rPr>
        <w:t>主要工作过程</w:t>
      </w:r>
      <w:bookmarkEnd w:id="95"/>
      <w:bookmarkEnd w:id="96"/>
      <w:bookmarkEnd w:id="97"/>
      <w:bookmarkEnd w:id="98"/>
    </w:p>
    <w:p>
      <w:pPr>
        <w:pStyle w:val="6"/>
        <w:spacing w:line="420" w:lineRule="exact"/>
      </w:pPr>
      <w:r>
        <w:t>标准项目下达后，标准起草工作组的主要人员认真学习了《中华人民共和国标准化法》、《标准化工作导则汇编》、标准制定有关文件资料和《湖南省地方标准管理办法》，研究确定了标准编写的原则、技术路线和实施方案，明确了参加单位和人员分工，并有序地开展标准的编制工作。</w:t>
      </w:r>
    </w:p>
    <w:p>
      <w:pPr>
        <w:pStyle w:val="6"/>
        <w:spacing w:line="420" w:lineRule="exact"/>
      </w:pPr>
      <w:r>
        <w:rPr>
          <w:rFonts w:hint="eastAsia"/>
        </w:rPr>
        <w:t>准备阶段:2021年1月成立了标准制订项目组，1月24日召开了第一次项目组会议，制定了工作方案和技术路线，分派了研究与编写任务。</w:t>
      </w:r>
    </w:p>
    <w:p>
      <w:pPr>
        <w:pStyle w:val="6"/>
        <w:spacing w:line="420" w:lineRule="exact"/>
      </w:pPr>
      <w:r>
        <w:rPr>
          <w:rFonts w:hint="eastAsia"/>
        </w:rPr>
        <w:t>收集资料:2021年1-3月，主要收集与刺梨栽培技术相关的技术标准、规程及专业文献资料等。</w:t>
      </w:r>
    </w:p>
    <w:p>
      <w:pPr>
        <w:pStyle w:val="6"/>
        <w:spacing w:line="420" w:lineRule="exact"/>
      </w:pPr>
      <w:r>
        <w:rPr>
          <w:rFonts w:hint="eastAsia"/>
        </w:rPr>
        <w:t>初稿编写阶段:2021年3月-2021年6月，主要采取先分后合的形式即先分工，分派编写任务，再集中讨论进行标准编制与条文编写。经过多次反复研讨，形成初稿后，征求相关专家意见。同时开展刺梨种植、育苗相关研究；在充分研究专家和建议的基础上，对初稿进行了修改、完善，形成了《刺梨栽培技术规程》讨论意见稿。</w:t>
      </w:r>
    </w:p>
    <w:p>
      <w:pPr>
        <w:pStyle w:val="6"/>
        <w:spacing w:line="420" w:lineRule="exact"/>
        <w:rPr>
          <w:rFonts w:hint="eastAsia"/>
        </w:rPr>
      </w:pPr>
      <w:r>
        <w:rPr>
          <w:rFonts w:hint="eastAsia"/>
        </w:rPr>
        <w:t>征求意见稿编写阶段:2019年7月，组织了相关单位专家、种植企业对《规范讨论意见稿》进行认真而充分讨论，标准编制项目组根据其意见和建议做了详细的修改、补充、完善，形成了《规范》（征求意见稿）。</w:t>
      </w: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rPr>
          <w:rFonts w:hint="eastAsia"/>
        </w:rPr>
      </w:pPr>
    </w:p>
    <w:p>
      <w:pPr>
        <w:pStyle w:val="6"/>
        <w:spacing w:line="420" w:lineRule="exact"/>
      </w:pPr>
    </w:p>
    <w:p>
      <w:pPr>
        <w:pStyle w:val="10"/>
        <w:spacing w:before="156" w:after="156"/>
      </w:pPr>
      <w:r>
        <w:t>技术路线</w:t>
      </w:r>
    </w:p>
    <w:p>
      <w:pPr>
        <w:pStyle w:val="9"/>
        <w:numPr>
          <w:ilvl w:val="0"/>
          <w:numId w:val="0"/>
        </w:numPr>
        <w:rPr>
          <w:sz w:val="24"/>
        </w:rPr>
      </w:pPr>
      <w: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116840</wp:posOffset>
                </wp:positionV>
                <wp:extent cx="3657600" cy="3959860"/>
                <wp:effectExtent l="0" t="0" r="19050" b="21590"/>
                <wp:wrapNone/>
                <wp:docPr id="1" name="组合 1"/>
                <wp:cNvGraphicFramePr/>
                <a:graphic xmlns:a="http://schemas.openxmlformats.org/drawingml/2006/main">
                  <a:graphicData uri="http://schemas.microsoft.com/office/word/2010/wordprocessingGroup">
                    <wpg:wgp>
                      <wpg:cNvGrpSpPr/>
                      <wpg:grpSpPr>
                        <a:xfrm>
                          <a:off x="0" y="0"/>
                          <a:ext cx="3657600" cy="3959860"/>
                          <a:chOff x="2858" y="2092"/>
                          <a:chExt cx="5760" cy="6236"/>
                        </a:xfrm>
                      </wpg:grpSpPr>
                      <wpg:grpSp>
                        <wpg:cNvPr id="2" name="组合 154"/>
                        <wpg:cNvGrpSpPr/>
                        <wpg:grpSpPr>
                          <a:xfrm>
                            <a:off x="2858" y="2092"/>
                            <a:ext cx="5760" cy="4234"/>
                            <a:chOff x="2858" y="2092"/>
                            <a:chExt cx="5760" cy="4234"/>
                          </a:xfrm>
                        </wpg:grpSpPr>
                        <wps:wsp>
                          <wps:cNvPr id="3" name="矩形 26"/>
                          <wps:cNvSpPr>
                            <a:spLocks noChangeArrowheads="1"/>
                          </wps:cNvSpPr>
                          <wps:spPr bwMode="auto">
                            <a:xfrm>
                              <a:off x="4838" y="4598"/>
                              <a:ext cx="1620" cy="417"/>
                            </a:xfrm>
                            <a:prstGeom prst="rect">
                              <a:avLst/>
                            </a:prstGeom>
                            <a:solidFill>
                              <a:srgbClr val="FFFFFF"/>
                            </a:solidFill>
                            <a:ln w="9525">
                              <a:solidFill>
                                <a:srgbClr val="000000"/>
                              </a:solidFill>
                              <a:miter lim="800000"/>
                            </a:ln>
                          </wps:spPr>
                          <wps:txbx>
                            <w:txbxContent>
                              <w:p>
                                <w:pPr>
                                  <w:jc w:val="center"/>
                                  <w:rPr>
                                    <w:b/>
                                  </w:rPr>
                                </w:pPr>
                                <w:r>
                                  <w:rPr>
                                    <w:rFonts w:hint="eastAsia"/>
                                    <w:b/>
                                  </w:rPr>
                                  <w:t>草稿</w:t>
                                </w:r>
                              </w:p>
                            </w:txbxContent>
                          </wps:txbx>
                          <wps:bodyPr rot="0" vert="horz" wrap="square" lIns="91440" tIns="45720" rIns="91440" bIns="45720" anchor="t" anchorCtr="0" upright="1">
                            <a:noAutofit/>
                          </wps:bodyPr>
                        </wps:wsp>
                        <wps:wsp>
                          <wps:cNvPr id="4" name="椭圆 29"/>
                          <wps:cNvSpPr>
                            <a:spLocks noChangeArrowheads="1"/>
                          </wps:cNvSpPr>
                          <wps:spPr bwMode="auto">
                            <a:xfrm>
                              <a:off x="4868" y="5392"/>
                              <a:ext cx="1740" cy="557"/>
                            </a:xfrm>
                            <a:prstGeom prst="ellipse">
                              <a:avLst/>
                            </a:prstGeom>
                            <a:solidFill>
                              <a:srgbClr val="FFFFFF"/>
                            </a:solidFill>
                            <a:ln w="9525">
                              <a:solidFill>
                                <a:srgbClr val="000000"/>
                              </a:solidFill>
                              <a:round/>
                            </a:ln>
                          </wps:spPr>
                          <wps:txbx>
                            <w:txbxContent>
                              <w:p>
                                <w:pPr>
                                  <w:jc w:val="center"/>
                                  <w:rPr>
                                    <w:b/>
                                  </w:rPr>
                                </w:pPr>
                                <w:r>
                                  <w:rPr>
                                    <w:rFonts w:hint="eastAsia"/>
                                    <w:b/>
                                  </w:rPr>
                                  <w:t>征求意见</w:t>
                                </w:r>
                              </w:p>
                            </w:txbxContent>
                          </wps:txbx>
                          <wps:bodyPr rot="0" vert="horz" wrap="square" lIns="91440" tIns="45720" rIns="91440" bIns="45720" anchor="t" anchorCtr="0" upright="1">
                            <a:noAutofit/>
                          </wps:bodyPr>
                        </wps:wsp>
                        <wps:wsp>
                          <wps:cNvPr id="5" name="直线 46"/>
                          <wps:cNvCnPr>
                            <a:cxnSpLocks noChangeShapeType="1"/>
                          </wps:cNvCnPr>
                          <wps:spPr bwMode="auto">
                            <a:xfrm>
                              <a:off x="5738" y="4180"/>
                              <a:ext cx="0" cy="418"/>
                            </a:xfrm>
                            <a:prstGeom prst="line">
                              <a:avLst/>
                            </a:prstGeom>
                            <a:noFill/>
                            <a:ln w="9525">
                              <a:solidFill>
                                <a:srgbClr val="000000"/>
                              </a:solidFill>
                              <a:round/>
                              <a:tailEnd type="triangle" w="med" len="med"/>
                            </a:ln>
                          </wps:spPr>
                          <wps:bodyPr/>
                        </wps:wsp>
                        <wpg:grpSp>
                          <wpg:cNvPr id="6" name="组合 147"/>
                          <wpg:cNvGrpSpPr/>
                          <wpg:grpSpPr>
                            <a:xfrm>
                              <a:off x="2858" y="2092"/>
                              <a:ext cx="5760" cy="2088"/>
                              <a:chOff x="2858" y="2092"/>
                              <a:chExt cx="5760" cy="2088"/>
                            </a:xfrm>
                          </wpg:grpSpPr>
                          <wps:wsp>
                            <wps:cNvPr id="7" name="矩形 19"/>
                            <wps:cNvSpPr>
                              <a:spLocks noChangeArrowheads="1"/>
                            </wps:cNvSpPr>
                            <wps:spPr bwMode="auto">
                              <a:xfrm>
                                <a:off x="2858" y="2092"/>
                                <a:ext cx="1680" cy="418"/>
                              </a:xfrm>
                              <a:prstGeom prst="rect">
                                <a:avLst/>
                              </a:prstGeom>
                              <a:solidFill>
                                <a:srgbClr val="FFFFFF"/>
                              </a:solidFill>
                              <a:ln w="9525">
                                <a:solidFill>
                                  <a:srgbClr val="000000"/>
                                </a:solidFill>
                                <a:miter lim="800000"/>
                              </a:ln>
                            </wps:spPr>
                            <wps:txbx>
                              <w:txbxContent>
                                <w:p>
                                  <w:pPr>
                                    <w:jc w:val="center"/>
                                    <w:rPr>
                                      <w:b/>
                                    </w:rPr>
                                  </w:pPr>
                                  <w:r>
                                    <w:rPr>
                                      <w:rFonts w:hint="eastAsia"/>
                                      <w:b/>
                                    </w:rPr>
                                    <w:t>已有研究基础</w:t>
                                  </w:r>
                                </w:p>
                              </w:txbxContent>
                            </wps:txbx>
                            <wps:bodyPr rot="0" vert="horz" wrap="square" lIns="91440" tIns="45720" rIns="91440" bIns="45720" anchor="t" anchorCtr="0" upright="1">
                              <a:noAutofit/>
                            </wps:bodyPr>
                          </wps:wsp>
                          <wps:wsp>
                            <wps:cNvPr id="8" name="矩形 20"/>
                            <wps:cNvSpPr>
                              <a:spLocks noChangeArrowheads="1"/>
                            </wps:cNvSpPr>
                            <wps:spPr bwMode="auto">
                              <a:xfrm>
                                <a:off x="4838" y="2092"/>
                                <a:ext cx="1800" cy="418"/>
                              </a:xfrm>
                              <a:prstGeom prst="rect">
                                <a:avLst/>
                              </a:prstGeom>
                              <a:solidFill>
                                <a:srgbClr val="FFFFFF"/>
                              </a:solidFill>
                              <a:ln w="9525">
                                <a:solidFill>
                                  <a:srgbClr val="000000"/>
                                </a:solidFill>
                                <a:miter lim="800000"/>
                              </a:ln>
                            </wps:spPr>
                            <wps:txbx>
                              <w:txbxContent>
                                <w:p>
                                  <w:pPr>
                                    <w:jc w:val="center"/>
                                    <w:rPr>
                                      <w:b/>
                                    </w:rPr>
                                  </w:pPr>
                                  <w:r>
                                    <w:rPr>
                                      <w:rFonts w:hint="eastAsia"/>
                                      <w:b/>
                                    </w:rPr>
                                    <w:t>已有地方标准</w:t>
                                  </w:r>
                                </w:p>
                              </w:txbxContent>
                            </wps:txbx>
                            <wps:bodyPr rot="0" vert="horz" wrap="square" lIns="91440" tIns="45720" rIns="91440" bIns="45720" anchor="t" anchorCtr="0" upright="1">
                              <a:noAutofit/>
                            </wps:bodyPr>
                          </wps:wsp>
                          <wps:wsp>
                            <wps:cNvPr id="9" name="矩形 21"/>
                            <wps:cNvSpPr>
                              <a:spLocks noChangeArrowheads="1"/>
                            </wps:cNvSpPr>
                            <wps:spPr bwMode="auto">
                              <a:xfrm>
                                <a:off x="6818" y="2092"/>
                                <a:ext cx="1800" cy="418"/>
                              </a:xfrm>
                              <a:prstGeom prst="rect">
                                <a:avLst/>
                              </a:prstGeom>
                              <a:solidFill>
                                <a:srgbClr val="FFFFFF"/>
                              </a:solidFill>
                              <a:ln w="9525">
                                <a:solidFill>
                                  <a:srgbClr val="000000"/>
                                </a:solidFill>
                                <a:miter lim="800000"/>
                              </a:ln>
                            </wps:spPr>
                            <wps:txbx>
                              <w:txbxContent>
                                <w:p>
                                  <w:pPr>
                                    <w:rPr>
                                      <w:b/>
                                    </w:rPr>
                                  </w:pPr>
                                  <w:r>
                                    <w:rPr>
                                      <w:rFonts w:hint="eastAsia"/>
                                      <w:b/>
                                    </w:rPr>
                                    <w:t>刺梨种植基地</w:t>
                                  </w:r>
                                </w:p>
                              </w:txbxContent>
                            </wps:txbx>
                            <wps:bodyPr rot="0" vert="horz" wrap="square" lIns="91440" tIns="45720" rIns="91440" bIns="45720" anchor="t" anchorCtr="0" upright="1">
                              <a:noAutofit/>
                            </wps:bodyPr>
                          </wps:wsp>
                          <wpg:grpSp>
                            <wpg:cNvPr id="10" name="组合 131"/>
                            <wpg:cNvGrpSpPr/>
                            <wpg:grpSpPr>
                              <a:xfrm>
                                <a:off x="3938" y="2499"/>
                                <a:ext cx="3600" cy="150"/>
                                <a:chOff x="3938" y="2499"/>
                                <a:chExt cx="3600" cy="150"/>
                              </a:xfrm>
                            </wpg:grpSpPr>
                            <wps:wsp>
                              <wps:cNvPr id="11" name="直线 36"/>
                              <wps:cNvCnPr>
                                <a:cxnSpLocks noChangeShapeType="1"/>
                              </wps:cNvCnPr>
                              <wps:spPr bwMode="auto">
                                <a:xfrm flipV="1">
                                  <a:off x="3938" y="2510"/>
                                  <a:ext cx="0" cy="139"/>
                                </a:xfrm>
                                <a:prstGeom prst="line">
                                  <a:avLst/>
                                </a:prstGeom>
                                <a:noFill/>
                                <a:ln w="9525">
                                  <a:solidFill>
                                    <a:srgbClr val="000000"/>
                                  </a:solidFill>
                                  <a:round/>
                                </a:ln>
                              </wps:spPr>
                              <wps:bodyPr/>
                            </wps:wsp>
                            <wps:wsp>
                              <wps:cNvPr id="12" name="任意多边形 39"/>
                              <wps:cNvSpPr/>
                              <wps:spPr bwMode="auto">
                                <a:xfrm>
                                  <a:off x="7537" y="2499"/>
                                  <a:ext cx="1" cy="150"/>
                                </a:xfrm>
                                <a:custGeom>
                                  <a:avLst/>
                                  <a:gdLst>
                                    <a:gd name="T0" fmla="*/ 0 w 1"/>
                                    <a:gd name="T1" fmla="*/ 150 h 168"/>
                                    <a:gd name="T2" fmla="*/ 0 w 1"/>
                                    <a:gd name="T3" fmla="*/ 0 h 168"/>
                                    <a:gd name="T4" fmla="*/ 0 60000 65536"/>
                                    <a:gd name="T5" fmla="*/ 0 60000 65536"/>
                                  </a:gdLst>
                                  <a:ahLst/>
                                  <a:cxnLst>
                                    <a:cxn ang="T4">
                                      <a:pos x="T0" y="T1"/>
                                    </a:cxn>
                                    <a:cxn ang="T5">
                                      <a:pos x="T2" y="T3"/>
                                    </a:cxn>
                                  </a:cxnLst>
                                  <a:rect l="0" t="0" r="r" b="b"/>
                                  <a:pathLst>
                                    <a:path w="1" h="168">
                                      <a:moveTo>
                                        <a:pt x="0" y="168"/>
                                      </a:moveTo>
                                      <a:lnTo>
                                        <a:pt x="0" y="0"/>
                                      </a:lnTo>
                                    </a:path>
                                  </a:pathLst>
                                </a:custGeom>
                                <a:noFill/>
                                <a:ln w="9525" cmpd="sng">
                                  <a:solidFill>
                                    <a:srgbClr val="000000"/>
                                  </a:solidFill>
                                  <a:round/>
                                </a:ln>
                              </wps:spPr>
                              <wps:bodyPr rot="0" vert="horz" wrap="square" lIns="91440" tIns="45720" rIns="91440" bIns="45720" anchor="t" anchorCtr="0" upright="1">
                                <a:noAutofit/>
                              </wps:bodyPr>
                            </wps:wsp>
                            <wps:wsp>
                              <wps:cNvPr id="13" name="直线 35"/>
                              <wps:cNvCnPr>
                                <a:cxnSpLocks noChangeShapeType="1"/>
                              </wps:cNvCnPr>
                              <wps:spPr bwMode="auto">
                                <a:xfrm>
                                  <a:off x="3938" y="2649"/>
                                  <a:ext cx="3600" cy="0"/>
                                </a:xfrm>
                                <a:prstGeom prst="line">
                                  <a:avLst/>
                                </a:prstGeom>
                                <a:noFill/>
                                <a:ln w="9525">
                                  <a:solidFill>
                                    <a:srgbClr val="000000"/>
                                  </a:solidFill>
                                  <a:round/>
                                </a:ln>
                              </wps:spPr>
                              <wps:bodyPr/>
                            </wps:wsp>
                          </wpg:grpSp>
                          <wps:wsp>
                            <wps:cNvPr id="14" name="直线 42"/>
                            <wps:cNvCnPr>
                              <a:cxnSpLocks noChangeShapeType="1"/>
                            </wps:cNvCnPr>
                            <wps:spPr bwMode="auto">
                              <a:xfrm>
                                <a:off x="5738" y="2510"/>
                                <a:ext cx="0" cy="417"/>
                              </a:xfrm>
                              <a:prstGeom prst="line">
                                <a:avLst/>
                              </a:prstGeom>
                              <a:noFill/>
                              <a:ln w="9525">
                                <a:solidFill>
                                  <a:srgbClr val="000000"/>
                                </a:solidFill>
                                <a:round/>
                                <a:tailEnd type="triangle" w="med" len="med"/>
                              </a:ln>
                            </wps:spPr>
                            <wps:bodyPr/>
                          </wps:wsp>
                          <wps:wsp>
                            <wps:cNvPr id="15" name="直线 43"/>
                            <wps:cNvCnPr>
                              <a:cxnSpLocks noChangeShapeType="1"/>
                            </wps:cNvCnPr>
                            <wps:spPr bwMode="auto">
                              <a:xfrm>
                                <a:off x="7718" y="2510"/>
                                <a:ext cx="0" cy="417"/>
                              </a:xfrm>
                              <a:prstGeom prst="line">
                                <a:avLst/>
                              </a:prstGeom>
                              <a:noFill/>
                              <a:ln w="9525">
                                <a:solidFill>
                                  <a:srgbClr val="000000"/>
                                </a:solidFill>
                                <a:round/>
                                <a:tailEnd type="triangle" w="med" len="med"/>
                              </a:ln>
                            </wps:spPr>
                            <wps:bodyPr/>
                          </wps:wsp>
                          <wps:wsp>
                            <wps:cNvPr id="16" name="矩形 22"/>
                            <wps:cNvSpPr>
                              <a:spLocks noChangeArrowheads="1"/>
                            </wps:cNvSpPr>
                            <wps:spPr bwMode="auto">
                              <a:xfrm>
                                <a:off x="4838" y="2927"/>
                                <a:ext cx="1500" cy="418"/>
                              </a:xfrm>
                              <a:prstGeom prst="rect">
                                <a:avLst/>
                              </a:prstGeom>
                              <a:solidFill>
                                <a:srgbClr val="FFFFFF"/>
                              </a:solidFill>
                              <a:ln w="9525">
                                <a:solidFill>
                                  <a:srgbClr val="000000"/>
                                </a:solidFill>
                                <a:miter lim="800000"/>
                              </a:ln>
                            </wps:spPr>
                            <wps:txbx>
                              <w:txbxContent>
                                <w:p>
                                  <w:pPr>
                                    <w:jc w:val="center"/>
                                    <w:rPr>
                                      <w:b/>
                                    </w:rPr>
                                  </w:pPr>
                                  <w:r>
                                    <w:rPr>
                                      <w:rFonts w:hint="eastAsia"/>
                                      <w:b/>
                                    </w:rPr>
                                    <w:t>综合分析</w:t>
                                  </w:r>
                                </w:p>
                              </w:txbxContent>
                            </wps:txbx>
                            <wps:bodyPr rot="0" vert="horz" wrap="square" lIns="91440" tIns="45720" rIns="91440" bIns="45720" anchor="t" anchorCtr="0" upright="1">
                              <a:noAutofit/>
                            </wps:bodyPr>
                          </wps:wsp>
                          <wps:wsp>
                            <wps:cNvPr id="17" name="矩形 23"/>
                            <wps:cNvSpPr>
                              <a:spLocks noChangeArrowheads="1"/>
                            </wps:cNvSpPr>
                            <wps:spPr bwMode="auto">
                              <a:xfrm>
                                <a:off x="6818" y="2927"/>
                                <a:ext cx="1800" cy="418"/>
                              </a:xfrm>
                              <a:prstGeom prst="rect">
                                <a:avLst/>
                              </a:prstGeom>
                              <a:solidFill>
                                <a:srgbClr val="FFFFFF"/>
                              </a:solidFill>
                              <a:ln w="9525">
                                <a:solidFill>
                                  <a:srgbClr val="000000"/>
                                </a:solidFill>
                                <a:miter lim="800000"/>
                              </a:ln>
                            </wps:spPr>
                            <wps:txbx>
                              <w:txbxContent>
                                <w:p>
                                  <w:pPr>
                                    <w:jc w:val="center"/>
                                    <w:rPr>
                                      <w:b/>
                                    </w:rPr>
                                  </w:pPr>
                                  <w:r>
                                    <w:rPr>
                                      <w:rFonts w:hint="eastAsia"/>
                                      <w:b/>
                                    </w:rPr>
                                    <w:t>相关试验</w:t>
                                  </w:r>
                                </w:p>
                              </w:txbxContent>
                            </wps:txbx>
                            <wps:bodyPr rot="0" vert="horz" wrap="square" lIns="91440" tIns="45720" rIns="91440" bIns="45720" anchor="t" anchorCtr="0" upright="1">
                              <a:noAutofit/>
                            </wps:bodyPr>
                          </wps:wsp>
                          <wps:wsp>
                            <wps:cNvPr id="18" name="矩形 24"/>
                            <wps:cNvSpPr>
                              <a:spLocks noChangeArrowheads="1"/>
                            </wps:cNvSpPr>
                            <wps:spPr bwMode="auto">
                              <a:xfrm>
                                <a:off x="4838" y="3762"/>
                                <a:ext cx="1500" cy="418"/>
                              </a:xfrm>
                              <a:prstGeom prst="rect">
                                <a:avLst/>
                              </a:prstGeom>
                              <a:solidFill>
                                <a:srgbClr val="FFFFFF"/>
                              </a:solidFill>
                              <a:ln w="9525">
                                <a:solidFill>
                                  <a:srgbClr val="000000"/>
                                </a:solidFill>
                                <a:miter lim="800000"/>
                              </a:ln>
                            </wps:spPr>
                            <wps:txbx>
                              <w:txbxContent>
                                <w:p>
                                  <w:pPr>
                                    <w:jc w:val="center"/>
                                    <w:rPr>
                                      <w:b/>
                                    </w:rPr>
                                  </w:pPr>
                                  <w:r>
                                    <w:rPr>
                                      <w:rFonts w:hint="eastAsia"/>
                                      <w:b/>
                                    </w:rPr>
                                    <w:t>指标和条款</w:t>
                                  </w:r>
                                </w:p>
                              </w:txbxContent>
                            </wps:txbx>
                            <wps:bodyPr rot="0" vert="horz" wrap="square" lIns="91440" tIns="45720" rIns="91440" bIns="45720" anchor="t" anchorCtr="0" upright="1">
                              <a:noAutofit/>
                            </wps:bodyPr>
                          </wps:wsp>
                          <wps:wsp>
                            <wps:cNvPr id="19" name="任意多边形 61"/>
                            <wps:cNvSpPr/>
                            <wps:spPr bwMode="auto">
                              <a:xfrm>
                                <a:off x="6385" y="3064"/>
                                <a:ext cx="433" cy="2"/>
                              </a:xfrm>
                              <a:custGeom>
                                <a:avLst/>
                                <a:gdLst>
                                  <a:gd name="T0" fmla="*/ 433 w 433"/>
                                  <a:gd name="T1" fmla="*/ 2 h 3"/>
                                  <a:gd name="T2" fmla="*/ 0 w 433"/>
                                  <a:gd name="T3" fmla="*/ 0 h 3"/>
                                  <a:gd name="T4" fmla="*/ 0 60000 65536"/>
                                  <a:gd name="T5" fmla="*/ 0 60000 65536"/>
                                </a:gdLst>
                                <a:ahLst/>
                                <a:cxnLst>
                                  <a:cxn ang="T4">
                                    <a:pos x="T0" y="T1"/>
                                  </a:cxn>
                                  <a:cxn ang="T5">
                                    <a:pos x="T2" y="T3"/>
                                  </a:cxn>
                                </a:cxnLst>
                                <a:rect l="0" t="0" r="r" b="b"/>
                                <a:pathLst>
                                  <a:path w="433" h="3">
                                    <a:moveTo>
                                      <a:pt x="433" y="3"/>
                                    </a:moveTo>
                                    <a:lnTo>
                                      <a:pt x="0" y="0"/>
                                    </a:lnTo>
                                  </a:path>
                                </a:pathLst>
                              </a:custGeom>
                              <a:noFill/>
                              <a:ln w="9525" cmpd="sng">
                                <a:solidFill>
                                  <a:srgbClr val="000000"/>
                                </a:solidFill>
                                <a:round/>
                                <a:tailEnd type="triangle" w="med" len="med"/>
                              </a:ln>
                            </wps:spPr>
                            <wps:bodyPr rot="0" vert="horz" wrap="square" lIns="91440" tIns="45720" rIns="91440" bIns="45720" anchor="t" anchorCtr="0" upright="1">
                              <a:noAutofit/>
                            </wps:bodyPr>
                          </wps:wsp>
                          <wpg:grpSp>
                            <wpg:cNvPr id="20" name="组合 132"/>
                            <wpg:cNvGrpSpPr/>
                            <wpg:grpSpPr>
                              <a:xfrm>
                                <a:off x="5598" y="3345"/>
                                <a:ext cx="2293" cy="165"/>
                                <a:chOff x="3938" y="2499"/>
                                <a:chExt cx="3600" cy="150"/>
                              </a:xfrm>
                            </wpg:grpSpPr>
                            <wps:wsp>
                              <wps:cNvPr id="21" name="直线 36"/>
                              <wps:cNvCnPr>
                                <a:cxnSpLocks noChangeShapeType="1"/>
                              </wps:cNvCnPr>
                              <wps:spPr bwMode="auto">
                                <a:xfrm flipV="1">
                                  <a:off x="3938" y="2510"/>
                                  <a:ext cx="0" cy="139"/>
                                </a:xfrm>
                                <a:prstGeom prst="line">
                                  <a:avLst/>
                                </a:prstGeom>
                                <a:noFill/>
                                <a:ln w="9525">
                                  <a:solidFill>
                                    <a:srgbClr val="000000"/>
                                  </a:solidFill>
                                  <a:round/>
                                </a:ln>
                              </wps:spPr>
                              <wps:bodyPr/>
                            </wps:wsp>
                            <wps:wsp>
                              <wps:cNvPr id="22" name="任意多边形 39"/>
                              <wps:cNvSpPr/>
                              <wps:spPr bwMode="auto">
                                <a:xfrm>
                                  <a:off x="7537" y="2499"/>
                                  <a:ext cx="1" cy="150"/>
                                </a:xfrm>
                                <a:custGeom>
                                  <a:avLst/>
                                  <a:gdLst>
                                    <a:gd name="T0" fmla="*/ 0 w 1"/>
                                    <a:gd name="T1" fmla="*/ 150 h 168"/>
                                    <a:gd name="T2" fmla="*/ 0 w 1"/>
                                    <a:gd name="T3" fmla="*/ 0 h 168"/>
                                    <a:gd name="T4" fmla="*/ 0 60000 65536"/>
                                    <a:gd name="T5" fmla="*/ 0 60000 65536"/>
                                  </a:gdLst>
                                  <a:ahLst/>
                                  <a:cxnLst>
                                    <a:cxn ang="T4">
                                      <a:pos x="T0" y="T1"/>
                                    </a:cxn>
                                    <a:cxn ang="T5">
                                      <a:pos x="T2" y="T3"/>
                                    </a:cxn>
                                  </a:cxnLst>
                                  <a:rect l="0" t="0" r="r" b="b"/>
                                  <a:pathLst>
                                    <a:path w="1" h="168">
                                      <a:moveTo>
                                        <a:pt x="0" y="168"/>
                                      </a:moveTo>
                                      <a:lnTo>
                                        <a:pt x="0" y="0"/>
                                      </a:lnTo>
                                    </a:path>
                                  </a:pathLst>
                                </a:custGeom>
                                <a:noFill/>
                                <a:ln w="9525" cmpd="sng">
                                  <a:solidFill>
                                    <a:srgbClr val="000000"/>
                                  </a:solidFill>
                                  <a:round/>
                                </a:ln>
                              </wps:spPr>
                              <wps:bodyPr rot="0" vert="horz" wrap="square" lIns="91440" tIns="45720" rIns="91440" bIns="45720" anchor="t" anchorCtr="0" upright="1">
                                <a:noAutofit/>
                              </wps:bodyPr>
                            </wps:wsp>
                            <wps:wsp>
                              <wps:cNvPr id="23" name="直线 35"/>
                              <wps:cNvCnPr>
                                <a:cxnSpLocks noChangeShapeType="1"/>
                              </wps:cNvCnPr>
                              <wps:spPr bwMode="auto">
                                <a:xfrm>
                                  <a:off x="3938" y="2649"/>
                                  <a:ext cx="3600" cy="0"/>
                                </a:xfrm>
                                <a:prstGeom prst="line">
                                  <a:avLst/>
                                </a:prstGeom>
                                <a:noFill/>
                                <a:ln w="9525">
                                  <a:solidFill>
                                    <a:srgbClr val="000000"/>
                                  </a:solidFill>
                                  <a:round/>
                                </a:ln>
                              </wps:spPr>
                              <wps:bodyPr/>
                            </wps:wsp>
                          </wpg:grpSp>
                          <wpg:grpSp>
                            <wpg:cNvPr id="24" name="组合 144"/>
                            <wpg:cNvGrpSpPr/>
                            <wpg:grpSpPr>
                              <a:xfrm>
                                <a:off x="6350" y="3500"/>
                                <a:ext cx="288" cy="411"/>
                                <a:chOff x="6350" y="3500"/>
                                <a:chExt cx="288" cy="411"/>
                              </a:xfrm>
                            </wpg:grpSpPr>
                            <wps:wsp>
                              <wps:cNvPr id="25" name="自选图形 141"/>
                              <wps:cNvCnPr>
                                <a:cxnSpLocks noChangeShapeType="1"/>
                              </wps:cNvCnPr>
                              <wps:spPr bwMode="auto">
                                <a:xfrm>
                                  <a:off x="6638" y="3500"/>
                                  <a:ext cx="0" cy="400"/>
                                </a:xfrm>
                                <a:prstGeom prst="straightConnector1">
                                  <a:avLst/>
                                </a:prstGeom>
                                <a:noFill/>
                                <a:ln w="9525">
                                  <a:solidFill>
                                    <a:srgbClr val="000000"/>
                                  </a:solidFill>
                                  <a:round/>
                                </a:ln>
                              </wps:spPr>
                              <wps:bodyPr/>
                            </wps:wsp>
                            <wps:wsp>
                              <wps:cNvPr id="26" name="自选图形 143"/>
                              <wps:cNvCnPr>
                                <a:cxnSpLocks noChangeShapeType="1"/>
                              </wps:cNvCnPr>
                              <wps:spPr bwMode="auto">
                                <a:xfrm flipH="1">
                                  <a:off x="6350" y="3910"/>
                                  <a:ext cx="288" cy="1"/>
                                </a:xfrm>
                                <a:prstGeom prst="straightConnector1">
                                  <a:avLst/>
                                </a:prstGeom>
                                <a:noFill/>
                                <a:ln w="9525">
                                  <a:solidFill>
                                    <a:srgbClr val="000000"/>
                                  </a:solidFill>
                                  <a:round/>
                                  <a:tailEnd type="triangle" w="med" len="med"/>
                                </a:ln>
                              </wps:spPr>
                              <wps:bodyPr/>
                            </wps:wsp>
                          </wpg:grpSp>
                        </wpg:grpSp>
                        <wps:wsp>
                          <wps:cNvPr id="27" name="直线 43"/>
                          <wps:cNvCnPr>
                            <a:cxnSpLocks noChangeShapeType="1"/>
                          </wps:cNvCnPr>
                          <wps:spPr bwMode="auto">
                            <a:xfrm>
                              <a:off x="5760" y="5015"/>
                              <a:ext cx="0" cy="417"/>
                            </a:xfrm>
                            <a:prstGeom prst="line">
                              <a:avLst/>
                            </a:prstGeom>
                            <a:noFill/>
                            <a:ln w="9525">
                              <a:solidFill>
                                <a:srgbClr val="000000"/>
                              </a:solidFill>
                              <a:round/>
                              <a:tailEnd type="triangle" w="med" len="med"/>
                            </a:ln>
                          </wps:spPr>
                          <wps:bodyPr/>
                        </wps:wsp>
                        <wps:wsp>
                          <wps:cNvPr id="28" name="直线 43"/>
                          <wps:cNvCnPr>
                            <a:cxnSpLocks noChangeShapeType="1"/>
                          </wps:cNvCnPr>
                          <wps:spPr bwMode="auto">
                            <a:xfrm>
                              <a:off x="5760" y="5949"/>
                              <a:ext cx="0" cy="377"/>
                            </a:xfrm>
                            <a:prstGeom prst="line">
                              <a:avLst/>
                            </a:prstGeom>
                            <a:noFill/>
                            <a:ln w="9525">
                              <a:solidFill>
                                <a:srgbClr val="000000"/>
                              </a:solidFill>
                              <a:round/>
                              <a:tailEnd type="triangle" w="med" len="med"/>
                            </a:ln>
                          </wps:spPr>
                          <wps:bodyPr/>
                        </wps:wsp>
                      </wpg:grpSp>
                      <wpg:grpSp>
                        <wpg:cNvPr id="29" name="组合 153"/>
                        <wpg:cNvGrpSpPr/>
                        <wpg:grpSpPr>
                          <a:xfrm>
                            <a:off x="4968" y="6298"/>
                            <a:ext cx="1620" cy="2030"/>
                            <a:chOff x="4968" y="6298"/>
                            <a:chExt cx="1620" cy="2030"/>
                          </a:xfrm>
                        </wpg:grpSpPr>
                        <wpg:grpSp>
                          <wpg:cNvPr id="30" name="组合 149"/>
                          <wpg:cNvGrpSpPr/>
                          <wpg:grpSpPr>
                            <a:xfrm>
                              <a:off x="5118" y="7065"/>
                              <a:ext cx="1350" cy="1263"/>
                              <a:chOff x="5138" y="6337"/>
                              <a:chExt cx="1350" cy="1263"/>
                            </a:xfrm>
                          </wpg:grpSpPr>
                          <wps:wsp>
                            <wps:cNvPr id="31" name="矩形 30"/>
                            <wps:cNvSpPr>
                              <a:spLocks noChangeArrowheads="1"/>
                            </wps:cNvSpPr>
                            <wps:spPr bwMode="auto">
                              <a:xfrm>
                                <a:off x="5138" y="6337"/>
                                <a:ext cx="1320" cy="418"/>
                              </a:xfrm>
                              <a:prstGeom prst="rect">
                                <a:avLst/>
                              </a:prstGeom>
                              <a:solidFill>
                                <a:srgbClr val="FFFFFF"/>
                              </a:solidFill>
                              <a:ln w="9525">
                                <a:solidFill>
                                  <a:srgbClr val="000000"/>
                                </a:solidFill>
                                <a:miter lim="800000"/>
                              </a:ln>
                            </wps:spPr>
                            <wps:txbx>
                              <w:txbxContent>
                                <w:p>
                                  <w:pPr>
                                    <w:jc w:val="center"/>
                                    <w:rPr>
                                      <w:b/>
                                    </w:rPr>
                                  </w:pPr>
                                  <w:r>
                                    <w:rPr>
                                      <w:rFonts w:hint="eastAsia"/>
                                      <w:b/>
                                    </w:rPr>
                                    <w:t>定稿</w:t>
                                  </w:r>
                                </w:p>
                              </w:txbxContent>
                            </wps:txbx>
                            <wps:bodyPr rot="0" vert="horz" wrap="square" lIns="91440" tIns="45720" rIns="91440" bIns="45720" anchor="t" anchorCtr="0" upright="1">
                              <a:noAutofit/>
                            </wps:bodyPr>
                          </wps:wsp>
                          <wps:wsp>
                            <wps:cNvPr id="32" name="矩形 31"/>
                            <wps:cNvSpPr>
                              <a:spLocks noChangeArrowheads="1"/>
                            </wps:cNvSpPr>
                            <wps:spPr bwMode="auto">
                              <a:xfrm>
                                <a:off x="5168" y="7182"/>
                                <a:ext cx="1320" cy="418"/>
                              </a:xfrm>
                              <a:prstGeom prst="rect">
                                <a:avLst/>
                              </a:prstGeom>
                              <a:solidFill>
                                <a:srgbClr val="FFFFFF"/>
                              </a:solidFill>
                              <a:ln w="9525">
                                <a:solidFill>
                                  <a:srgbClr val="000000"/>
                                </a:solidFill>
                                <a:miter lim="800000"/>
                              </a:ln>
                            </wps:spPr>
                            <wps:txbx>
                              <w:txbxContent>
                                <w:p>
                                  <w:pPr>
                                    <w:jc w:val="center"/>
                                    <w:rPr>
                                      <w:b/>
                                    </w:rPr>
                                  </w:pPr>
                                  <w:r>
                                    <w:rPr>
                                      <w:rFonts w:hint="eastAsia"/>
                                      <w:b/>
                                    </w:rPr>
                                    <w:t>报审</w:t>
                                  </w:r>
                                </w:p>
                              </w:txbxContent>
                            </wps:txbx>
                            <wps:bodyPr rot="0" vert="horz" wrap="square" lIns="91440" tIns="45720" rIns="91440" bIns="45720" anchor="t" anchorCtr="0" upright="1">
                              <a:noAutofit/>
                            </wps:bodyPr>
                          </wps:wsp>
                          <wps:wsp>
                            <wps:cNvPr id="33" name="直线 49"/>
                            <wps:cNvCnPr>
                              <a:cxnSpLocks noChangeShapeType="1"/>
                            </wps:cNvCnPr>
                            <wps:spPr bwMode="auto">
                              <a:xfrm>
                                <a:off x="5780" y="6755"/>
                                <a:ext cx="0" cy="417"/>
                              </a:xfrm>
                              <a:prstGeom prst="line">
                                <a:avLst/>
                              </a:prstGeom>
                              <a:noFill/>
                              <a:ln w="9525">
                                <a:solidFill>
                                  <a:srgbClr val="000000"/>
                                </a:solidFill>
                                <a:round/>
                                <a:tailEnd type="triangle" w="med" len="med"/>
                              </a:ln>
                            </wps:spPr>
                            <wps:bodyPr/>
                          </wps:wsp>
                        </wpg:grpSp>
                        <wps:wsp>
                          <wps:cNvPr id="34" name="矩形 26"/>
                          <wps:cNvSpPr>
                            <a:spLocks noChangeArrowheads="1"/>
                          </wps:cNvSpPr>
                          <wps:spPr bwMode="auto">
                            <a:xfrm>
                              <a:off x="4968" y="6298"/>
                              <a:ext cx="1620" cy="417"/>
                            </a:xfrm>
                            <a:prstGeom prst="rect">
                              <a:avLst/>
                            </a:prstGeom>
                            <a:solidFill>
                              <a:srgbClr val="FFFFFF"/>
                            </a:solidFill>
                            <a:ln w="9525">
                              <a:solidFill>
                                <a:srgbClr val="000000"/>
                              </a:solidFill>
                              <a:miter lim="800000"/>
                            </a:ln>
                          </wps:spPr>
                          <wps:txbx>
                            <w:txbxContent>
                              <w:p>
                                <w:pPr>
                                  <w:jc w:val="center"/>
                                  <w:rPr>
                                    <w:b/>
                                  </w:rPr>
                                </w:pPr>
                                <w:r>
                                  <w:rPr>
                                    <w:rFonts w:hint="eastAsia"/>
                                    <w:b/>
                                  </w:rPr>
                                  <w:t>修改完善</w:t>
                                </w:r>
                              </w:p>
                            </w:txbxContent>
                          </wps:txbx>
                          <wps:bodyPr rot="0" vert="horz" wrap="square" lIns="91440" tIns="45720" rIns="91440" bIns="45720" anchor="t" anchorCtr="0" upright="1">
                            <a:noAutofit/>
                          </wps:bodyPr>
                        </wps:wsp>
                        <wps:wsp>
                          <wps:cNvPr id="35" name="直线 43"/>
                          <wps:cNvCnPr>
                            <a:cxnSpLocks noChangeShapeType="1"/>
                          </wps:cNvCnPr>
                          <wps:spPr bwMode="auto">
                            <a:xfrm>
                              <a:off x="5760" y="6715"/>
                              <a:ext cx="0" cy="377"/>
                            </a:xfrm>
                            <a:prstGeom prst="line">
                              <a:avLst/>
                            </a:prstGeom>
                            <a:noFill/>
                            <a:ln w="9525">
                              <a:solidFill>
                                <a:srgbClr val="000000"/>
                              </a:solidFill>
                              <a:round/>
                              <a:tailEnd type="triangle" w="med" len="med"/>
                            </a:ln>
                          </wps:spPr>
                          <wps:bodyPr/>
                        </wps:wsp>
                      </wpg:grpSp>
                    </wpg:wgp>
                  </a:graphicData>
                </a:graphic>
              </wp:anchor>
            </w:drawing>
          </mc:Choice>
          <mc:Fallback>
            <w:pict>
              <v:group id="_x0000_s1026" o:spid="_x0000_s1026" o:spt="203" style="position:absolute;left:0pt;margin-left:72pt;margin-top:9.2pt;height:311.8pt;width:288pt;z-index:251659264;mso-width-relative:page;mso-height-relative:page;" coordorigin="2858,2092" coordsize="5760,6236" o:gfxdata="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FNhCyTZAAAACgEAAA8AAAAAAAAAAQAgAAAAIgAAAGRycy9k&#10;b3ducmV2LnhtbFBLAQIUABQAAAAIAIdO4kBonkt9IQkAAL9NAAAOAAAAAAAAAAEAIAAAACgBAABk&#10;cnMvZTJvRG9jLnhtbFBLBQYAAAAABgAGAFkBAAC7DAAAAAA=&#10;">
                <o:lock v:ext="edit" aspectratio="f"/>
                <v:group id="组合 154" o:spid="_x0000_s1026" o:spt="203" style="position:absolute;left:2858;top:2092;height:4234;width:5760;" coordorigin="2858,2092" coordsize="5760,42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矩形 26" o:spid="_x0000_s1026" o:spt="1" style="position:absolute;left:4838;top:4598;height:417;width:162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b/>
                            </w:rPr>
                          </w:pPr>
                          <w:r>
                            <w:rPr>
                              <w:rFonts w:hint="eastAsia"/>
                              <w:b/>
                            </w:rPr>
                            <w:t>草稿</w:t>
                          </w:r>
                        </w:p>
                      </w:txbxContent>
                    </v:textbox>
                  </v:rect>
                  <v:shape id="椭圆 29" o:spid="_x0000_s1026" o:spt="3" type="#_x0000_t3" style="position:absolute;left:4868;top:5392;height:557;width:1740;"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b/>
                            </w:rPr>
                          </w:pPr>
                          <w:r>
                            <w:rPr>
                              <w:rFonts w:hint="eastAsia"/>
                              <w:b/>
                            </w:rPr>
                            <w:t>征求意见</w:t>
                          </w:r>
                        </w:p>
                      </w:txbxContent>
                    </v:textbox>
                  </v:shape>
                  <v:line id="直线 46" o:spid="_x0000_s1026" o:spt="20" style="position:absolute;left:5738;top:4180;height:418;width:0;" filled="f" stroked="t" coordsize="21600,21600" o:gfxdata="UEsDBAoAAAAAAIdO4kAAAAAAAAAAAAAAAAAEAAAAZHJzL1BLAwQUAAAACACHTuJABnn+Hb4AAADa&#10;AAAADwAAAGRycy9kb3ducmV2LnhtbEWPT2vCQBTE74V+h+UVvNVNBCW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n+H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47" o:spid="_x0000_s1026" o:spt="203" style="position:absolute;left:2858;top:2092;height:2088;width:5760;" coordorigin="2858,2092" coordsize="5760,208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矩形 19" o:spid="_x0000_s1026" o:spt="1" style="position:absolute;left:2858;top:2092;height:418;width:16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b/>
                              </w:rPr>
                            </w:pPr>
                            <w:r>
                              <w:rPr>
                                <w:rFonts w:hint="eastAsia"/>
                                <w:b/>
                              </w:rPr>
                              <w:t>已有研究基础</w:t>
                            </w:r>
                          </w:p>
                        </w:txbxContent>
                      </v:textbox>
                    </v:rect>
                    <v:rect id="矩形 20" o:spid="_x0000_s1026" o:spt="1" style="position:absolute;left:4838;top:2092;height:418;width:180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b/>
                              </w:rPr>
                            </w:pPr>
                            <w:r>
                              <w:rPr>
                                <w:rFonts w:hint="eastAsia"/>
                                <w:b/>
                              </w:rPr>
                              <w:t>已有地方标准</w:t>
                            </w:r>
                          </w:p>
                        </w:txbxContent>
                      </v:textbox>
                    </v:rect>
                    <v:rect id="矩形 21" o:spid="_x0000_s1026" o:spt="1" style="position:absolute;left:6818;top:2092;height:418;width:180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b/>
                              </w:rPr>
                            </w:pPr>
                            <w:r>
                              <w:rPr>
                                <w:rFonts w:hint="eastAsia"/>
                                <w:b/>
                              </w:rPr>
                              <w:t>刺梨种植基地</w:t>
                            </w:r>
                          </w:p>
                        </w:txbxContent>
                      </v:textbox>
                    </v:rect>
                    <v:group id="组合 131" o:spid="_x0000_s1026" o:spt="203" style="position:absolute;left:3938;top:2499;height:150;width:3600;" coordorigin="3938,2499" coordsize="3600,150"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line id="直线 36" o:spid="_x0000_s1026" o:spt="20" style="position:absolute;left:3938;top:2510;flip:y;height:139;width: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任意多边形 39" o:spid="_x0000_s1026" o:spt="100" style="position:absolute;left:7537;top:2499;height:150;width:1;" filled="f" stroked="t" coordsize="1,168" o:gfxdata="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HwJDtwAAANsAAAAP&#10;AAAAAAAAAAEAIAAAACIAAABkcnMvZG93bnJldi54bWxQSwECFAAUAAAACACHTuJAMy8FnjsAAAA5&#10;AAAAEAAAAAAAAAABACAAAAAGAQAAZHJzL3NoYXBleG1sLnhtbFBLBQYAAAAABgAGAFsBAACwAwAA&#10;AAA=&#10;" path="m0,168l0,0e">
                        <v:path o:connectlocs="0,133;0,0" o:connectangles="0,0"/>
                        <v:fill on="f" focussize="0,0"/>
                        <v:stroke color="#000000" joinstyle="round"/>
                        <v:imagedata o:title=""/>
                        <o:lock v:ext="edit" aspectratio="f"/>
                      </v:shape>
                      <v:line id="直线 35" o:spid="_x0000_s1026" o:spt="20" style="position:absolute;left:3938;top:2649;height:0;width:360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线 42" o:spid="_x0000_s1026" o:spt="20" style="position:absolute;left:5738;top:2510;height:417;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3" o:spid="_x0000_s1026" o:spt="20" style="position:absolute;left:7718;top:2510;height:417;width: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22" o:spid="_x0000_s1026" o:spt="1" style="position:absolute;left:4838;top:2927;height:418;width:150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b/>
                              </w:rPr>
                            </w:pPr>
                            <w:r>
                              <w:rPr>
                                <w:rFonts w:hint="eastAsia"/>
                                <w:b/>
                              </w:rPr>
                              <w:t>综合分析</w:t>
                            </w:r>
                          </w:p>
                        </w:txbxContent>
                      </v:textbox>
                    </v:rect>
                    <v:rect id="矩形 23" o:spid="_x0000_s1026" o:spt="1" style="position:absolute;left:6818;top:2927;height:418;width:1800;"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b/>
                              </w:rPr>
                            </w:pPr>
                            <w:r>
                              <w:rPr>
                                <w:rFonts w:hint="eastAsia"/>
                                <w:b/>
                              </w:rPr>
                              <w:t>相关试验</w:t>
                            </w:r>
                          </w:p>
                        </w:txbxContent>
                      </v:textbox>
                    </v:rect>
                    <v:rect id="矩形 24" o:spid="_x0000_s1026" o:spt="1" style="position:absolute;left:4838;top:3762;height:418;width:1500;"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b/>
                              </w:rPr>
                            </w:pPr>
                            <w:r>
                              <w:rPr>
                                <w:rFonts w:hint="eastAsia"/>
                                <w:b/>
                              </w:rPr>
                              <w:t>指标和条款</w:t>
                            </w:r>
                          </w:p>
                        </w:txbxContent>
                      </v:textbox>
                    </v:rect>
                    <v:shape id="任意多边形 61" o:spid="_x0000_s1026" o:spt="100" style="position:absolute;left:6385;top:3064;height:2;width:433;" filled="f" stroked="t" coordsize="433,3" o:gfxdata="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xSQvQAA&#10;ANsAAAAPAAAAAAAAAAEAIAAAACIAAABkcnMvZG93bnJldi54bWxQSwECFAAUAAAACACHTuJAMy8F&#10;njsAAAA5AAAAEAAAAAAAAAABACAAAAAMAQAAZHJzL3NoYXBleG1sLnhtbFBLBQYAAAAABgAGAFsB&#10;AAC2AwAAAAA=&#10;" path="m433,3l0,0e">
                      <v:path o:connectlocs="433,1;0,0" o:connectangles="0,0"/>
                      <v:fill on="f" focussize="0,0"/>
                      <v:stroke color="#000000" joinstyle="round" endarrow="block"/>
                      <v:imagedata o:title=""/>
                      <o:lock v:ext="edit" aspectratio="f"/>
                    </v:shape>
                    <v:group id="组合 132" o:spid="_x0000_s1026" o:spt="203" style="position:absolute;left:5598;top:3345;height:165;width:2293;" coordorigin="3938,2499" coordsize="3600,150"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line id="直线 36" o:spid="_x0000_s1026" o:spt="20" style="position:absolute;left:3938;top:2510;flip:y;height:139;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39" o:spid="_x0000_s1026" o:spt="100" style="position:absolute;left:7537;top:2499;height:150;width:1;" filled="f" stroked="t" coordsize="1,168" o:gfxdata="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PI/rsAAADb&#10;AAAADwAAAAAAAAABACAAAAAiAAAAZHJzL2Rvd25yZXYueG1sUEsBAhQAFAAAAAgAh07iQDMvBZ47&#10;AAAAOQAAABAAAAAAAAAAAQAgAAAACgEAAGRycy9zaGFwZXhtbC54bWxQSwUGAAAAAAYABgBbAQAA&#10;tAMAAAAA&#10;" path="m0,168l0,0e">
                        <v:path o:connectlocs="0,133;0,0" o:connectangles="0,0"/>
                        <v:fill on="f" focussize="0,0"/>
                        <v:stroke color="#000000" joinstyle="round"/>
                        <v:imagedata o:title=""/>
                        <o:lock v:ext="edit" aspectratio="f"/>
                      </v:shape>
                      <v:line id="直线 35" o:spid="_x0000_s1026" o:spt="20" style="position:absolute;left:3938;top:2649;height:0;width:360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组合 144" o:spid="_x0000_s1026" o:spt="203" style="position:absolute;left:6350;top:3500;height:411;width:288;" coordorigin="6350,3500" coordsize="288,41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自选图形 141" o:spid="_x0000_s1026" o:spt="32" type="#_x0000_t32" style="position:absolute;left:6638;top:3500;height:400;width:0;" filled="f" stroked="t" coordsize="21600,21600" o:gfxdata="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79F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143" o:spid="_x0000_s1026" o:spt="32" type="#_x0000_t32" style="position:absolute;left:6350;top:3910;flip:x;height:1;width:288;" filled="f" stroked="t" coordsize="21600,21600" o:gfxdata="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NEsG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v:line id="直线 43" o:spid="_x0000_s1026" o:spt="20" style="position:absolute;left:5760;top:5015;height:417;width:0;"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3" o:spid="_x0000_s1026" o:spt="20" style="position:absolute;left:5760;top:5949;height:377;width: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id="组合 153" o:spid="_x0000_s1026" o:spt="203" style="position:absolute;left:4968;top:6298;height:2030;width:1620;" coordorigin="4968,6298" coordsize="1620,203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group id="组合 149" o:spid="_x0000_s1026" o:spt="203" style="position:absolute;left:5118;top:7065;height:1263;width:1350;" coordorigin="5138,6337" coordsize="1350,1263"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矩形 30" o:spid="_x0000_s1026" o:spt="1" style="position:absolute;left:5138;top:6337;height:418;width:1320;"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b/>
                              </w:rPr>
                            </w:pPr>
                            <w:r>
                              <w:rPr>
                                <w:rFonts w:hint="eastAsia"/>
                                <w:b/>
                              </w:rPr>
                              <w:t>定稿</w:t>
                            </w:r>
                          </w:p>
                        </w:txbxContent>
                      </v:textbox>
                    </v:rect>
                    <v:rect id="矩形 31" o:spid="_x0000_s1026" o:spt="1" style="position:absolute;left:5168;top:7182;height:418;width:1320;"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b/>
                              </w:rPr>
                            </w:pPr>
                            <w:r>
                              <w:rPr>
                                <w:rFonts w:hint="eastAsia"/>
                                <w:b/>
                              </w:rPr>
                              <w:t>报审</w:t>
                            </w:r>
                          </w:p>
                        </w:txbxContent>
                      </v:textbox>
                    </v:rect>
                    <v:line id="直线 49" o:spid="_x0000_s1026" o:spt="20" style="position:absolute;left:5780;top:6755;height:417;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rect id="矩形 26" o:spid="_x0000_s1026" o:spt="1" style="position:absolute;left:4968;top:6298;height:417;width:1620;"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b/>
                            </w:rPr>
                          </w:pPr>
                          <w:r>
                            <w:rPr>
                              <w:rFonts w:hint="eastAsia"/>
                              <w:b/>
                            </w:rPr>
                            <w:t>修改完善</w:t>
                          </w:r>
                        </w:p>
                      </w:txbxContent>
                    </v:textbox>
                  </v:rect>
                  <v:line id="直线 43" o:spid="_x0000_s1026" o:spt="20" style="position:absolute;left:5760;top:6715;height:377;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w:pict>
          </mc:Fallback>
        </mc:AlternateContent>
      </w: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Pr>
        <w:pStyle w:val="9"/>
        <w:numPr>
          <w:ilvl w:val="0"/>
          <w:numId w:val="0"/>
        </w:numPr>
        <w:rPr>
          <w:rFonts w:hint="eastAsia"/>
        </w:rPr>
      </w:pPr>
    </w:p>
    <w:p>
      <w:pPr>
        <w:pStyle w:val="6"/>
      </w:pPr>
    </w:p>
    <w:p>
      <w:pPr>
        <w:pStyle w:val="9"/>
      </w:pPr>
      <w:bookmarkStart w:id="99" w:name="_Toc31858"/>
      <w:bookmarkStart w:id="100" w:name="_Toc33887841"/>
      <w:bookmarkStart w:id="101" w:name="_Toc17907"/>
      <w:bookmarkStart w:id="102" w:name="_Toc19611"/>
      <w:bookmarkStart w:id="103" w:name="_Toc18667"/>
      <w:bookmarkStart w:id="104" w:name="_Toc33887993"/>
      <w:bookmarkStart w:id="105" w:name="_Toc21327"/>
      <w:r>
        <w:rPr>
          <w:rFonts w:hint="eastAsia"/>
        </w:rPr>
        <w:t>制定的主要内容</w:t>
      </w:r>
      <w:bookmarkEnd w:id="99"/>
      <w:bookmarkEnd w:id="100"/>
      <w:bookmarkEnd w:id="101"/>
      <w:bookmarkEnd w:id="102"/>
      <w:bookmarkEnd w:id="103"/>
      <w:bookmarkEnd w:id="104"/>
      <w:bookmarkEnd w:id="105"/>
      <w:r>
        <w:rPr>
          <w:rFonts w:hint="eastAsia"/>
        </w:rPr>
        <w:t>及技术说明</w:t>
      </w:r>
    </w:p>
    <w:p>
      <w:pPr>
        <w:pStyle w:val="6"/>
        <w:spacing w:line="420" w:lineRule="exact"/>
      </w:pPr>
      <w:r>
        <w:rPr>
          <w:rFonts w:hint="eastAsia"/>
        </w:rPr>
        <w:t xml:space="preserve">本标准根据GB/T 1.1-2009（标准化工作导则第1部分：标准的结构和编写）给出的规则进行起草。规范中的主要技术指标来源于调研、试验和专业文献资料。主要内容包括术语和定义、扦插育苗、建园、田间管理、病虫害防治、采收等技术要求，分别技术说明如下： </w:t>
      </w:r>
    </w:p>
    <w:p>
      <w:pPr>
        <w:pStyle w:val="8"/>
      </w:pPr>
      <w:bookmarkStart w:id="106" w:name="_Toc3829"/>
      <w:bookmarkStart w:id="107" w:name="_Toc33887994"/>
      <w:bookmarkStart w:id="108" w:name="_Toc33887842"/>
      <w:bookmarkStart w:id="109" w:name="_Toc11598"/>
      <w:bookmarkStart w:id="110" w:name="_Toc13321"/>
      <w:bookmarkStart w:id="111" w:name="_Toc2853"/>
      <w:bookmarkStart w:id="112" w:name="_Toc31789"/>
      <w:r>
        <w:rPr>
          <w:rFonts w:hint="eastAsia"/>
        </w:rPr>
        <w:t>插扦育苗技术</w:t>
      </w:r>
      <w:bookmarkEnd w:id="106"/>
      <w:bookmarkEnd w:id="107"/>
      <w:bookmarkEnd w:id="108"/>
      <w:bookmarkEnd w:id="109"/>
      <w:bookmarkEnd w:id="110"/>
      <w:bookmarkEnd w:id="111"/>
      <w:bookmarkEnd w:id="112"/>
    </w:p>
    <w:p>
      <w:pPr>
        <w:pStyle w:val="6"/>
        <w:spacing w:line="420" w:lineRule="exact"/>
        <w:rPr>
          <w:color w:val="000000"/>
        </w:rPr>
      </w:pPr>
      <w:r>
        <w:rPr>
          <w:rFonts w:hint="eastAsia"/>
        </w:rPr>
        <w:t>圃地选择地势平缓、向阳、交通便利地方，疏松肥沃，土层厚度≥60 cm，pH值5.5</w:t>
      </w:r>
      <w:r>
        <w:t>~</w:t>
      </w:r>
      <w:r>
        <w:rPr>
          <w:rFonts w:hint="eastAsia"/>
        </w:rPr>
        <w:t>6.5。按起畦宽100cm，畦宽高20cm，步道宽度30 cm</w:t>
      </w:r>
      <w:r>
        <w:t>~</w:t>
      </w:r>
      <w:r>
        <w:rPr>
          <w:rFonts w:hint="eastAsia"/>
        </w:rPr>
        <w:t>40 cm。从已审定优良品种母株上采条,母株年龄3</w:t>
      </w:r>
      <w:r>
        <w:t>~</w:t>
      </w:r>
      <w:r>
        <w:rPr>
          <w:rFonts w:hint="eastAsia"/>
        </w:rPr>
        <w:t>6年为宜。硬枝扦插：11月至翌年2月，选择直径0.6 cm以上当年生木化质枝条，斜切截取12 cm</w:t>
      </w:r>
      <w:r>
        <w:t>~</w:t>
      </w:r>
      <w:r>
        <w:rPr>
          <w:rFonts w:hint="eastAsia"/>
        </w:rPr>
        <w:t>15 cm的插穗，每个插穗上至少确保3</w:t>
      </w:r>
      <w:r>
        <w:t>~</w:t>
      </w:r>
      <w:r>
        <w:rPr>
          <w:rFonts w:hint="eastAsia"/>
        </w:rPr>
        <w:t>5个芽，扦插前用1000 mg/L ABT生根粉速蘸插穗10 s。</w:t>
      </w:r>
      <w:bookmarkStart w:id="113" w:name="_Toc12643"/>
      <w:r>
        <w:rPr>
          <w:rFonts w:hint="eastAsia"/>
        </w:rPr>
        <w:t>嫩枝扦插</w:t>
      </w:r>
      <w:bookmarkEnd w:id="113"/>
      <w:r>
        <w:rPr>
          <w:rFonts w:hint="eastAsia"/>
        </w:rPr>
        <w:t>：5月下旬至6月中旬，选择生长健壮，直径0.6 cm以上当年生新梢，剪成12 cm</w:t>
      </w:r>
      <w:r>
        <w:t>~</w:t>
      </w:r>
      <w:r>
        <w:rPr>
          <w:rFonts w:hint="eastAsia"/>
        </w:rPr>
        <w:t>15 cm插条，扦插前用500 mg/L</w:t>
      </w:r>
      <w:r>
        <w:t>~</w:t>
      </w:r>
      <w:r>
        <w:rPr>
          <w:rFonts w:hint="eastAsia"/>
        </w:rPr>
        <w:t>600 mg/L ABT生根粉溶液浸泡1 min，株行距8 cm</w:t>
      </w:r>
      <w:r>
        <w:t>~</w:t>
      </w:r>
      <w:r>
        <w:rPr>
          <w:rFonts w:hint="eastAsia"/>
        </w:rPr>
        <w:t>10 cm。一年生裸根苗，地径≥0.8 cm，苗高≥70 cm，具有3个以上分枝，根长≥10 cm，侧根数≥6</w:t>
      </w:r>
      <w:bookmarkStart w:id="114" w:name="_Toc9730"/>
      <w:bookmarkStart w:id="115" w:name="_Toc3589"/>
      <w:bookmarkStart w:id="116" w:name="_Toc15784"/>
      <w:bookmarkStart w:id="117" w:name="_Toc16846"/>
      <w:bookmarkStart w:id="118" w:name="_Toc6763"/>
      <w:bookmarkStart w:id="119" w:name="_Toc2575"/>
      <w:r>
        <w:rPr>
          <w:rFonts w:hint="eastAsia"/>
        </w:rPr>
        <w:t>条，苗木可以出圃</w:t>
      </w:r>
      <w:bookmarkEnd w:id="114"/>
      <w:bookmarkEnd w:id="115"/>
      <w:bookmarkEnd w:id="116"/>
      <w:bookmarkEnd w:id="117"/>
      <w:bookmarkEnd w:id="118"/>
      <w:bookmarkEnd w:id="119"/>
      <w:r>
        <w:rPr>
          <w:rFonts w:hint="eastAsia"/>
        </w:rPr>
        <w:t>。</w:t>
      </w:r>
    </w:p>
    <w:p>
      <w:pPr>
        <w:pStyle w:val="8"/>
      </w:pPr>
      <w:bookmarkStart w:id="120" w:name="_Toc29073"/>
      <w:bookmarkStart w:id="121" w:name="_Toc23446"/>
      <w:bookmarkStart w:id="122" w:name="_Toc8128"/>
      <w:bookmarkStart w:id="123" w:name="_Toc3405"/>
      <w:bookmarkStart w:id="124" w:name="_Toc3245"/>
      <w:bookmarkStart w:id="125" w:name="_Toc26113"/>
      <w:bookmarkStart w:id="126" w:name="_Toc8771"/>
      <w:bookmarkStart w:id="127" w:name="_Toc17299"/>
      <w:bookmarkStart w:id="128" w:name="_Toc16097"/>
      <w:bookmarkStart w:id="129" w:name="_Toc1539"/>
      <w:bookmarkStart w:id="130" w:name="_Toc4595"/>
      <w:bookmarkStart w:id="131" w:name="_Toc33887998"/>
      <w:bookmarkStart w:id="132" w:name="_Toc33887846"/>
      <w:r>
        <w:rPr>
          <w:rFonts w:hint="eastAsia"/>
        </w:rPr>
        <w:t>建园</w:t>
      </w:r>
      <w:bookmarkEnd w:id="120"/>
      <w:bookmarkEnd w:id="121"/>
      <w:bookmarkEnd w:id="122"/>
      <w:bookmarkEnd w:id="123"/>
      <w:bookmarkEnd w:id="124"/>
      <w:bookmarkEnd w:id="125"/>
      <w:bookmarkEnd w:id="126"/>
      <w:bookmarkEnd w:id="127"/>
      <w:bookmarkEnd w:id="128"/>
      <w:bookmarkEnd w:id="129"/>
      <w:bookmarkEnd w:id="130"/>
    </w:p>
    <w:p>
      <w:pPr>
        <w:pStyle w:val="6"/>
        <w:spacing w:line="420" w:lineRule="exact"/>
      </w:pPr>
      <w:r>
        <w:rPr>
          <w:rFonts w:hint="eastAsia"/>
        </w:rPr>
        <w:t>选择南坡或东南坡，土壤肥沃、土层深厚、光照排水良好的山地为园地。清除杂草、树根、石块，深翻改土整地；每亩施有机底肥3000 kg以上。根据产果刺梨冠幅要求，按株行距3 m×3 m</w:t>
      </w:r>
      <w:r>
        <w:t>~</w:t>
      </w:r>
      <w:r>
        <w:rPr>
          <w:rFonts w:hint="eastAsia"/>
        </w:rPr>
        <w:t>3.5 m，定植穴长×宽×深为0.6 m×0.6 m×0.4 m。</w:t>
      </w:r>
    </w:p>
    <w:p>
      <w:pPr>
        <w:pStyle w:val="8"/>
        <w:spacing w:line="420" w:lineRule="exact"/>
      </w:pPr>
      <w:bookmarkStart w:id="133" w:name="_Toc8462"/>
      <w:bookmarkStart w:id="134" w:name="_Toc1083"/>
      <w:bookmarkStart w:id="135" w:name="_Toc10498"/>
      <w:bookmarkStart w:id="136" w:name="_Toc10350"/>
      <w:bookmarkStart w:id="137" w:name="_Toc11536"/>
      <w:bookmarkStart w:id="138" w:name="_Toc16407"/>
      <w:bookmarkStart w:id="139" w:name="_Toc18899"/>
      <w:bookmarkStart w:id="140" w:name="_Toc3617"/>
      <w:bookmarkStart w:id="141" w:name="_Toc14270"/>
      <w:bookmarkStart w:id="142" w:name="_Toc7967"/>
      <w:bookmarkStart w:id="143" w:name="_Toc10607"/>
      <w:r>
        <w:rPr>
          <w:rFonts w:hint="eastAsia"/>
        </w:rPr>
        <w:t>栽植技术</w:t>
      </w:r>
      <w:bookmarkEnd w:id="133"/>
      <w:bookmarkEnd w:id="134"/>
      <w:bookmarkEnd w:id="135"/>
      <w:bookmarkEnd w:id="136"/>
      <w:bookmarkEnd w:id="137"/>
      <w:bookmarkEnd w:id="138"/>
      <w:bookmarkEnd w:id="139"/>
      <w:bookmarkEnd w:id="140"/>
      <w:bookmarkEnd w:id="141"/>
      <w:bookmarkEnd w:id="142"/>
      <w:bookmarkEnd w:id="143"/>
    </w:p>
    <w:p>
      <w:pPr>
        <w:pStyle w:val="6"/>
        <w:spacing w:line="420" w:lineRule="exact"/>
      </w:pPr>
      <w:bookmarkStart w:id="144" w:name="_Toc9317"/>
      <w:bookmarkStart w:id="145" w:name="_Toc2313"/>
      <w:bookmarkStart w:id="146" w:name="_Toc8390"/>
      <w:bookmarkStart w:id="147" w:name="_Toc11877"/>
      <w:bookmarkStart w:id="148" w:name="_Toc26127"/>
      <w:bookmarkStart w:id="149" w:name="_Toc23816"/>
      <w:r>
        <w:rPr>
          <w:rFonts w:hint="eastAsia"/>
        </w:rPr>
        <w:t>栽植时间</w:t>
      </w:r>
      <w:bookmarkEnd w:id="144"/>
      <w:bookmarkEnd w:id="145"/>
      <w:bookmarkEnd w:id="146"/>
      <w:bookmarkEnd w:id="147"/>
      <w:bookmarkEnd w:id="148"/>
      <w:bookmarkStart w:id="150" w:name="_Toc30931"/>
      <w:r>
        <w:t>11月中下旬至</w:t>
      </w:r>
      <w:r>
        <w:rPr>
          <w:rFonts w:hint="eastAsia"/>
        </w:rPr>
        <w:t>翌</w:t>
      </w:r>
      <w:r>
        <w:t>年2月上中旬</w:t>
      </w:r>
      <w:bookmarkEnd w:id="149"/>
      <w:bookmarkEnd w:id="150"/>
      <w:r>
        <w:rPr>
          <w:rFonts w:hint="eastAsia"/>
        </w:rPr>
        <w:t>；</w:t>
      </w:r>
      <w:bookmarkStart w:id="151" w:name="_Toc12822"/>
      <w:r>
        <w:rPr>
          <w:rFonts w:hint="eastAsia"/>
        </w:rPr>
        <w:t>平地以株行距3 m*3.5 m，每亩栽植63株左右；缓坡以株行距3 m*3 m，每亩栽植75株左右；土壤条件优良，适当稀植；坡度大宜密植，坡度缓宜稀植。</w:t>
      </w:r>
      <w:bookmarkEnd w:id="151"/>
    </w:p>
    <w:p>
      <w:pPr>
        <w:pStyle w:val="8"/>
        <w:spacing w:line="420" w:lineRule="exact"/>
      </w:pPr>
      <w:bookmarkStart w:id="152" w:name="_Toc33879214"/>
      <w:bookmarkStart w:id="153" w:name="_Toc30752"/>
      <w:bookmarkStart w:id="154" w:name="_Toc23182"/>
      <w:bookmarkStart w:id="155" w:name="_Toc517359708"/>
      <w:bookmarkStart w:id="156" w:name="_Toc33879325"/>
      <w:bookmarkStart w:id="157" w:name="_Toc10024"/>
      <w:bookmarkStart w:id="158" w:name="_Toc28183"/>
      <w:bookmarkStart w:id="159" w:name="_Toc316"/>
      <w:bookmarkStart w:id="160" w:name="_Toc514854095"/>
      <w:bookmarkStart w:id="161" w:name="_Toc28466"/>
      <w:bookmarkStart w:id="162" w:name="_Toc514853756"/>
      <w:bookmarkStart w:id="163" w:name="_Toc514854710"/>
      <w:bookmarkStart w:id="164" w:name="_Toc33884596"/>
      <w:bookmarkStart w:id="165" w:name="_Toc517359766"/>
      <w:bookmarkStart w:id="166" w:name="_Toc33881173"/>
      <w:bookmarkStart w:id="167" w:name="_Toc33877957"/>
      <w:bookmarkStart w:id="168" w:name="_Toc514853680"/>
      <w:bookmarkStart w:id="169" w:name="_Toc11517"/>
      <w:bookmarkStart w:id="170" w:name="_Toc10450"/>
      <w:bookmarkStart w:id="171" w:name="_Toc514853619"/>
      <w:bookmarkStart w:id="172" w:name="_Toc33879480"/>
      <w:bookmarkStart w:id="173" w:name="_Toc517359810"/>
      <w:bookmarkStart w:id="174" w:name="_Toc28546"/>
      <w:bookmarkStart w:id="175" w:name="_Toc33883584"/>
      <w:bookmarkStart w:id="176" w:name="_Toc27616"/>
      <w:bookmarkStart w:id="177" w:name="_Toc11286"/>
      <w:r>
        <w:rPr>
          <w:rFonts w:hint="eastAsia"/>
        </w:rPr>
        <w:t>田间管理</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6"/>
        <w:spacing w:line="420" w:lineRule="exact"/>
      </w:pPr>
      <w:r>
        <w:rPr>
          <w:rFonts w:hint="eastAsia"/>
        </w:rPr>
        <w:t>栽植当年，施农家肥5 kg/株，每年4</w:t>
      </w:r>
      <w:r>
        <w:t>~</w:t>
      </w:r>
      <w:r>
        <w:rPr>
          <w:rFonts w:hint="eastAsia"/>
        </w:rPr>
        <w:t>6月施1次复合肥，施用量为0.25 kg/株。植株开花前追施复合肥、磷肥各0.5 kg/株。每年除草3次，忌使用除草剂。每隔2年，在冬季进行1次全面翻耕，深度15 cm</w:t>
      </w:r>
      <w:r>
        <w:t>~</w:t>
      </w:r>
      <w:r>
        <w:rPr>
          <w:rFonts w:hint="eastAsia"/>
        </w:rPr>
        <w:t>20 cm。</w:t>
      </w:r>
      <w:bookmarkStart w:id="178" w:name="_Toc29082"/>
      <w:r>
        <w:rPr>
          <w:rFonts w:hint="eastAsia"/>
        </w:rPr>
        <w:t>修剪树型为单杆型或自然丛状型；树高约2 m、冠幅约3 m。</w:t>
      </w:r>
      <w:bookmarkEnd w:id="178"/>
      <w:r>
        <w:rPr>
          <w:rFonts w:hint="eastAsia"/>
        </w:rPr>
        <w:t>幼树以轻剪为主。</w:t>
      </w:r>
      <w:bookmarkStart w:id="179" w:name="_Toc16769"/>
      <w:r>
        <w:rPr>
          <w:rFonts w:hint="eastAsia"/>
        </w:rPr>
        <w:t>初结果树修剪</w:t>
      </w:r>
      <w:bookmarkEnd w:id="179"/>
      <w:r>
        <w:rPr>
          <w:rFonts w:hint="eastAsia"/>
        </w:rPr>
        <w:t>：选留1年生健壮枝条组，培养大型结果母枝群</w:t>
      </w:r>
      <w:bookmarkStart w:id="180" w:name="_Toc24297"/>
      <w:r>
        <w:rPr>
          <w:rFonts w:hint="eastAsia"/>
        </w:rPr>
        <w:t>：盛果期修剪</w:t>
      </w:r>
      <w:bookmarkEnd w:id="180"/>
      <w:r>
        <w:rPr>
          <w:rFonts w:hint="eastAsia"/>
        </w:rPr>
        <w:t>：冬剪时回缩、短剪结果枝组对衰老多年生枝重短截</w:t>
      </w:r>
      <w:bookmarkStart w:id="181" w:name="_Toc27717"/>
      <w:r>
        <w:rPr>
          <w:rFonts w:hint="eastAsia"/>
        </w:rPr>
        <w:t>：衰老树更新修剪</w:t>
      </w:r>
      <w:bookmarkEnd w:id="181"/>
      <w:r>
        <w:rPr>
          <w:rFonts w:hint="eastAsia"/>
        </w:rPr>
        <w:t>：在冬季复壮修剪，每次修剪1/3</w:t>
      </w:r>
      <w:r>
        <w:t>~</w:t>
      </w:r>
      <w:r>
        <w:rPr>
          <w:rFonts w:hint="eastAsia"/>
        </w:rPr>
        <w:t>1/2老枝量：需疏花疏果，每个花序控制坐果10个以内。</w:t>
      </w:r>
    </w:p>
    <w:p>
      <w:pPr>
        <w:pStyle w:val="8"/>
        <w:spacing w:line="420" w:lineRule="exact"/>
      </w:pPr>
      <w:bookmarkStart w:id="182" w:name="_Toc20540"/>
      <w:bookmarkStart w:id="183" w:name="_Toc9144"/>
      <w:bookmarkStart w:id="184" w:name="_Toc27205"/>
      <w:bookmarkStart w:id="185" w:name="_Toc27162"/>
      <w:bookmarkStart w:id="186" w:name="_Toc21348"/>
      <w:bookmarkStart w:id="187" w:name="_Toc4274"/>
      <w:bookmarkStart w:id="188" w:name="_Toc17945"/>
      <w:bookmarkStart w:id="189" w:name="_Toc31159"/>
      <w:bookmarkStart w:id="190" w:name="_Toc17614"/>
      <w:bookmarkStart w:id="191" w:name="_Toc16089"/>
      <w:bookmarkStart w:id="192" w:name="_Toc4254"/>
      <w:r>
        <w:rPr>
          <w:rFonts w:hint="eastAsia"/>
        </w:rPr>
        <w:t>病虫害防治</w:t>
      </w:r>
      <w:bookmarkEnd w:id="182"/>
      <w:bookmarkEnd w:id="183"/>
      <w:bookmarkEnd w:id="184"/>
      <w:bookmarkEnd w:id="185"/>
      <w:bookmarkEnd w:id="186"/>
      <w:bookmarkEnd w:id="187"/>
      <w:bookmarkEnd w:id="188"/>
      <w:bookmarkEnd w:id="189"/>
      <w:bookmarkEnd w:id="190"/>
      <w:bookmarkEnd w:id="191"/>
      <w:bookmarkEnd w:id="192"/>
    </w:p>
    <w:p>
      <w:pPr>
        <w:pStyle w:val="6"/>
        <w:spacing w:line="420" w:lineRule="exact"/>
      </w:pPr>
      <w:r>
        <w:t>坚持“预防为主，综合防治”的原则，开展林业有害生物监测调查，采取生物防治为主、物理防治和化学防治为辅的综合措施，进行预防或无公害防治措施</w:t>
      </w:r>
      <w:r>
        <w:rPr>
          <w:rFonts w:hint="eastAsia"/>
        </w:rPr>
        <w:t>。主要有褐斑病、白粉病、黑斑病、叶斑病、尺蠖、蚜虫和介壳虫等，应重视秋季清园，剪除病虫枯枝、病虫果、翻耕土壤、喷撒药物灭菌杀虫。</w:t>
      </w:r>
    </w:p>
    <w:p>
      <w:pPr>
        <w:pStyle w:val="8"/>
        <w:spacing w:line="420" w:lineRule="exact"/>
      </w:pPr>
      <w:bookmarkStart w:id="193" w:name="_Toc11587"/>
      <w:bookmarkStart w:id="194" w:name="_Toc1293"/>
      <w:bookmarkStart w:id="195" w:name="_Toc31491"/>
      <w:bookmarkStart w:id="196" w:name="_Toc15266"/>
      <w:bookmarkStart w:id="197" w:name="_Toc10413"/>
      <w:r>
        <w:rPr>
          <w:rFonts w:hint="eastAsia"/>
        </w:rPr>
        <w:t>采收</w:t>
      </w:r>
      <w:bookmarkEnd w:id="131"/>
      <w:bookmarkEnd w:id="132"/>
      <w:bookmarkEnd w:id="193"/>
      <w:bookmarkEnd w:id="194"/>
      <w:bookmarkEnd w:id="195"/>
      <w:bookmarkEnd w:id="196"/>
      <w:bookmarkEnd w:id="197"/>
    </w:p>
    <w:p>
      <w:pPr>
        <w:pStyle w:val="6"/>
        <w:spacing w:line="420" w:lineRule="exact"/>
      </w:pPr>
      <w:bookmarkStart w:id="198" w:name="_Toc33888000"/>
      <w:bookmarkStart w:id="199" w:name="_Toc33887848"/>
      <w:r>
        <w:rPr>
          <w:rFonts w:hint="eastAsia"/>
        </w:rPr>
        <w:t>10月中旬至11月中下旬，果皮由绿色转为黄褐色、果肉呈金黄色、花萼败谢时，及时采收；采收时间应选早晚，无雨阴天为宜。戴帆布手套采果，轻摘轻放。</w:t>
      </w:r>
    </w:p>
    <w:p>
      <w:pPr>
        <w:pStyle w:val="9"/>
        <w:spacing w:line="420" w:lineRule="exact"/>
      </w:pPr>
      <w:bookmarkStart w:id="200" w:name="_Toc30037"/>
      <w:bookmarkStart w:id="201" w:name="_Toc18519"/>
      <w:bookmarkStart w:id="202" w:name="_Toc22147"/>
      <w:bookmarkStart w:id="203" w:name="_Toc17447"/>
      <w:bookmarkStart w:id="204" w:name="_Toc13163"/>
      <w:r>
        <w:t>预期的经济效益</w:t>
      </w:r>
    </w:p>
    <w:p>
      <w:pPr>
        <w:pStyle w:val="6"/>
        <w:spacing w:line="420" w:lineRule="exact"/>
      </w:pPr>
      <w:r>
        <w:t>本标准的实施，可改善因林农缺乏技术指导，经营意识淡薄，以及刺梨种植成效低下等现状，为</w:t>
      </w:r>
      <w:r>
        <w:rPr>
          <w:rFonts w:hint="eastAsia"/>
        </w:rPr>
        <w:t>刺梨</w:t>
      </w:r>
      <w:r>
        <w:t>育苗大户、合作社以及企业提供专业的技术指导，提高刺梨经营附加值，辐射带动周边农民收入，实现刺梨产业的可持续发展，为乡村振兴建设以及</w:t>
      </w:r>
      <w:r>
        <w:rPr>
          <w:rFonts w:hint="eastAsia"/>
        </w:rPr>
        <w:t>产</w:t>
      </w:r>
      <w:r>
        <w:t>业旺注入绿色发展动力。</w:t>
      </w:r>
    </w:p>
    <w:p>
      <w:pPr>
        <w:pStyle w:val="9"/>
        <w:spacing w:line="420" w:lineRule="exact"/>
      </w:pPr>
      <w:r>
        <w:rPr>
          <w:rFonts w:hint="eastAsia"/>
        </w:rPr>
        <w:t>与国内外同类标准水平的对比情况</w:t>
      </w:r>
      <w:bookmarkEnd w:id="198"/>
      <w:bookmarkEnd w:id="199"/>
      <w:bookmarkEnd w:id="200"/>
      <w:bookmarkEnd w:id="201"/>
      <w:bookmarkEnd w:id="202"/>
      <w:bookmarkEnd w:id="203"/>
      <w:bookmarkEnd w:id="204"/>
    </w:p>
    <w:p>
      <w:pPr>
        <w:pStyle w:val="6"/>
        <w:spacing w:line="420" w:lineRule="exact"/>
      </w:pPr>
      <w:r>
        <w:t>据文献检索，有关</w:t>
      </w:r>
      <w:r>
        <w:rPr>
          <w:rFonts w:hint="eastAsia"/>
        </w:rPr>
        <w:t>刺梨</w:t>
      </w:r>
      <w:r>
        <w:t>栽培技术标准的制定，国内仅见</w:t>
      </w:r>
      <w:r>
        <w:rPr>
          <w:rFonts w:hint="eastAsia"/>
        </w:rPr>
        <w:t>贵</w:t>
      </w:r>
      <w:r>
        <w:t>州省团体标准</w:t>
      </w:r>
      <w:r>
        <w:rPr>
          <w:rFonts w:hint="eastAsia"/>
        </w:rPr>
        <w:t>Y/GZX 059-2019</w:t>
      </w:r>
      <w:r>
        <w:t>《</w:t>
      </w:r>
      <w:r>
        <w:rPr>
          <w:rFonts w:hint="eastAsia"/>
        </w:rPr>
        <w:t>刺梨</w:t>
      </w:r>
      <w:r>
        <w:t>栽培技术规程》</w:t>
      </w:r>
      <w:r>
        <w:rPr>
          <w:rFonts w:hint="eastAsia"/>
        </w:rPr>
        <w:t>，</w:t>
      </w:r>
      <w:r>
        <w:t>贵州省黔南州地方标准DB522700/T 041.2</w:t>
      </w:r>
      <w:r>
        <w:rPr>
          <w:rFonts w:hint="eastAsia"/>
        </w:rPr>
        <w:t>-</w:t>
      </w:r>
      <w:r>
        <w:t>2013《刺梨扦插育苗技术规程》，</w:t>
      </w:r>
      <w:r>
        <w:rPr>
          <w:color w:val="000000" w:themeColor="text1"/>
          <w14:textFill>
            <w14:solidFill>
              <w14:schemeClr w14:val="tx1"/>
            </w14:solidFill>
          </w14:textFill>
        </w:rPr>
        <w:t>中华人民共</w:t>
      </w:r>
      <w:r>
        <w:rPr>
          <w:rFonts w:hint="eastAsia"/>
          <w:color w:val="000000" w:themeColor="text1"/>
          <w:lang w:eastAsia="zh-CN"/>
          <w14:textFill>
            <w14:solidFill>
              <w14:schemeClr w14:val="tx1"/>
            </w14:solidFill>
          </w14:textFill>
        </w:rPr>
        <w:t>和</w:t>
      </w:r>
      <w:r>
        <w:rPr>
          <w:color w:val="000000" w:themeColor="text1"/>
          <w14:textFill>
            <w14:solidFill>
              <w14:schemeClr w14:val="tx1"/>
            </w14:solidFill>
          </w14:textFill>
        </w:rPr>
        <w:t>国</w:t>
      </w:r>
      <w:r>
        <w:t>林业行业标准</w:t>
      </w:r>
      <w:bookmarkStart w:id="212" w:name="_GoBack"/>
      <w:bookmarkEnd w:id="212"/>
      <w:r>
        <w:rPr>
          <w:rFonts w:hint="eastAsia"/>
        </w:rPr>
        <w:t>LY/T 2838-2017</w:t>
      </w:r>
      <w:r>
        <w:t>《刺梨</w:t>
      </w:r>
      <w:r>
        <w:rPr>
          <w:rFonts w:hint="eastAsia"/>
        </w:rPr>
        <w:t>培育</w:t>
      </w:r>
      <w:r>
        <w:t>技术规程》，</w:t>
      </w:r>
      <w:r>
        <w:rPr>
          <w:rFonts w:hint="eastAsia"/>
        </w:rPr>
        <w:t>贵州省地方标准 DB52/T 1497—2020《刺梨良种栽培技术规程》，</w:t>
      </w:r>
      <w:r>
        <w:t>但根据湖南省</w:t>
      </w:r>
      <w:r>
        <w:rPr>
          <w:rFonts w:hint="eastAsia"/>
        </w:rPr>
        <w:t>刺梨</w:t>
      </w:r>
      <w:r>
        <w:t>适生特性和立地条件，有针对性地编写的《</w:t>
      </w:r>
      <w:r>
        <w:rPr>
          <w:rFonts w:hint="eastAsia"/>
        </w:rPr>
        <w:t>刺梨</w:t>
      </w:r>
      <w:r>
        <w:t>栽培技术规程》，国内外至今尚无相关报道</w:t>
      </w:r>
      <w:r>
        <w:rPr>
          <w:rFonts w:hint="eastAsia"/>
        </w:rPr>
        <w:t>，本标准反映刺梨栽培先进技术，又能具体实施，适应于湖南地区刺梨栽培，达到引领和接地气目的，达到国内领先水平。</w:t>
      </w:r>
    </w:p>
    <w:p>
      <w:pPr>
        <w:pStyle w:val="9"/>
        <w:spacing w:line="420" w:lineRule="exact"/>
      </w:pPr>
      <w:bookmarkStart w:id="205" w:name="_Toc9592"/>
      <w:bookmarkStart w:id="206" w:name="_Toc33888002"/>
      <w:bookmarkStart w:id="207" w:name="_Toc10932"/>
      <w:bookmarkStart w:id="208" w:name="_Toc8410"/>
      <w:bookmarkStart w:id="209" w:name="_Toc8164"/>
      <w:bookmarkStart w:id="210" w:name="_Toc413"/>
      <w:bookmarkStart w:id="211" w:name="_Toc33887850"/>
      <w:r>
        <w:t>贯彻标准的要求和措施建议</w:t>
      </w:r>
    </w:p>
    <w:p>
      <w:pPr>
        <w:pStyle w:val="8"/>
        <w:spacing w:line="420" w:lineRule="exact"/>
      </w:pPr>
      <w:r>
        <w:t>组织措施</w:t>
      </w:r>
    </w:p>
    <w:p>
      <w:pPr>
        <w:pStyle w:val="6"/>
        <w:spacing w:line="420" w:lineRule="exact"/>
      </w:pPr>
      <w:r>
        <w:t>根据标准项目</w:t>
      </w:r>
      <w:r>
        <w:rPr>
          <w:rFonts w:hint="eastAsia"/>
        </w:rPr>
        <w:t>制订</w:t>
      </w:r>
      <w:r>
        <w:t>的要求，本标准为推荐性地方标准，建议湖南省</w:t>
      </w:r>
      <w:r>
        <w:rPr>
          <w:rFonts w:hint="eastAsia"/>
        </w:rPr>
        <w:t>市场</w:t>
      </w:r>
      <w:r>
        <w:t>监督管理局发布与实施该标准时，及时组织有关科研单位和企业等进行宣传、推荐该标准。</w:t>
      </w:r>
    </w:p>
    <w:p>
      <w:pPr>
        <w:pStyle w:val="8"/>
        <w:spacing w:line="420" w:lineRule="exact"/>
      </w:pPr>
      <w:r>
        <w:t>技术措施</w:t>
      </w:r>
    </w:p>
    <w:p>
      <w:pPr>
        <w:pStyle w:val="6"/>
        <w:spacing w:line="420" w:lineRule="exact"/>
      </w:pPr>
      <w:r>
        <w:t>建议由湖南省标准管理部门报请主管部门同意，印发该标准，在湖南省科研和生产单位广为宣传。</w:t>
      </w:r>
    </w:p>
    <w:p>
      <w:pPr>
        <w:pStyle w:val="6"/>
        <w:spacing w:line="420" w:lineRule="exact"/>
      </w:pPr>
      <w:r>
        <w:t>建议定期举办由科研、生产和育苗大户参加的实施该标准的培训班。</w:t>
      </w:r>
    </w:p>
    <w:p>
      <w:pPr>
        <w:pStyle w:val="6"/>
        <w:spacing w:line="420" w:lineRule="exact"/>
      </w:pPr>
      <w:r>
        <w:t>标准项目主持单位</w:t>
      </w:r>
      <w:r>
        <w:rPr>
          <w:rFonts w:hint="eastAsia"/>
        </w:rPr>
        <w:t>湖南</w:t>
      </w:r>
      <w:r>
        <w:t>环境生物职业技术学院编写实施该标准的宣传学习资料。</w:t>
      </w:r>
      <w:bookmarkEnd w:id="205"/>
      <w:bookmarkEnd w:id="206"/>
      <w:bookmarkEnd w:id="207"/>
      <w:bookmarkEnd w:id="208"/>
      <w:bookmarkEnd w:id="209"/>
      <w:bookmarkEnd w:id="210"/>
      <w:bookmarkEnd w:id="2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4F"/>
    <w:rsid w:val="00001626"/>
    <w:rsid w:val="00004D82"/>
    <w:rsid w:val="000073A3"/>
    <w:rsid w:val="000102D2"/>
    <w:rsid w:val="00011F7C"/>
    <w:rsid w:val="00020831"/>
    <w:rsid w:val="00025C82"/>
    <w:rsid w:val="0003174E"/>
    <w:rsid w:val="00033FA6"/>
    <w:rsid w:val="0003572C"/>
    <w:rsid w:val="00035854"/>
    <w:rsid w:val="00044E97"/>
    <w:rsid w:val="000516B2"/>
    <w:rsid w:val="00051913"/>
    <w:rsid w:val="00056C90"/>
    <w:rsid w:val="00056E58"/>
    <w:rsid w:val="00060D9D"/>
    <w:rsid w:val="00074503"/>
    <w:rsid w:val="0008490B"/>
    <w:rsid w:val="00085087"/>
    <w:rsid w:val="000874B1"/>
    <w:rsid w:val="0008767B"/>
    <w:rsid w:val="000917D2"/>
    <w:rsid w:val="00091CC7"/>
    <w:rsid w:val="0009695D"/>
    <w:rsid w:val="000978E2"/>
    <w:rsid w:val="000A5BEB"/>
    <w:rsid w:val="000A60C1"/>
    <w:rsid w:val="000B0D52"/>
    <w:rsid w:val="000B2554"/>
    <w:rsid w:val="000D183E"/>
    <w:rsid w:val="000E0DA0"/>
    <w:rsid w:val="000F197D"/>
    <w:rsid w:val="000F2D64"/>
    <w:rsid w:val="00100282"/>
    <w:rsid w:val="0010188B"/>
    <w:rsid w:val="00103F7A"/>
    <w:rsid w:val="00113258"/>
    <w:rsid w:val="001332FC"/>
    <w:rsid w:val="0013410C"/>
    <w:rsid w:val="001341B5"/>
    <w:rsid w:val="0013485F"/>
    <w:rsid w:val="00136447"/>
    <w:rsid w:val="00145FC5"/>
    <w:rsid w:val="00150838"/>
    <w:rsid w:val="00181974"/>
    <w:rsid w:val="00195FD7"/>
    <w:rsid w:val="001A472F"/>
    <w:rsid w:val="001B0C5B"/>
    <w:rsid w:val="001C78F6"/>
    <w:rsid w:val="001D7CDB"/>
    <w:rsid w:val="001E0952"/>
    <w:rsid w:val="001E6FFC"/>
    <w:rsid w:val="001F0213"/>
    <w:rsid w:val="001F273A"/>
    <w:rsid w:val="001F6634"/>
    <w:rsid w:val="002000E9"/>
    <w:rsid w:val="002037FA"/>
    <w:rsid w:val="002122D5"/>
    <w:rsid w:val="00221AB3"/>
    <w:rsid w:val="00222F1C"/>
    <w:rsid w:val="00226956"/>
    <w:rsid w:val="00232F39"/>
    <w:rsid w:val="002419EF"/>
    <w:rsid w:val="00243EF3"/>
    <w:rsid w:val="00253DB4"/>
    <w:rsid w:val="00263464"/>
    <w:rsid w:val="002726F1"/>
    <w:rsid w:val="00272D72"/>
    <w:rsid w:val="00274729"/>
    <w:rsid w:val="00274A72"/>
    <w:rsid w:val="0027555E"/>
    <w:rsid w:val="00275BAB"/>
    <w:rsid w:val="0029337F"/>
    <w:rsid w:val="002959C0"/>
    <w:rsid w:val="00296C04"/>
    <w:rsid w:val="002A53C1"/>
    <w:rsid w:val="002A5A9A"/>
    <w:rsid w:val="002B0DC2"/>
    <w:rsid w:val="002B54E1"/>
    <w:rsid w:val="002B5616"/>
    <w:rsid w:val="002D40DC"/>
    <w:rsid w:val="002D5D4E"/>
    <w:rsid w:val="002D6088"/>
    <w:rsid w:val="002D7D2C"/>
    <w:rsid w:val="002E0E2C"/>
    <w:rsid w:val="002E77CC"/>
    <w:rsid w:val="002F2C4C"/>
    <w:rsid w:val="002F5A4D"/>
    <w:rsid w:val="002F5E5E"/>
    <w:rsid w:val="00302337"/>
    <w:rsid w:val="00314641"/>
    <w:rsid w:val="00314EC3"/>
    <w:rsid w:val="00315EDC"/>
    <w:rsid w:val="003221D5"/>
    <w:rsid w:val="00324328"/>
    <w:rsid w:val="00330C50"/>
    <w:rsid w:val="003311AE"/>
    <w:rsid w:val="00341804"/>
    <w:rsid w:val="00344D66"/>
    <w:rsid w:val="00353D55"/>
    <w:rsid w:val="003545AA"/>
    <w:rsid w:val="003627DE"/>
    <w:rsid w:val="00365526"/>
    <w:rsid w:val="00367D1B"/>
    <w:rsid w:val="00370865"/>
    <w:rsid w:val="00373E97"/>
    <w:rsid w:val="00375B5B"/>
    <w:rsid w:val="0037607A"/>
    <w:rsid w:val="00383AB3"/>
    <w:rsid w:val="003905D5"/>
    <w:rsid w:val="003956AB"/>
    <w:rsid w:val="00395F91"/>
    <w:rsid w:val="003B07F3"/>
    <w:rsid w:val="003B0B47"/>
    <w:rsid w:val="003B7C05"/>
    <w:rsid w:val="003D4E0C"/>
    <w:rsid w:val="003E4A5C"/>
    <w:rsid w:val="003E7F0D"/>
    <w:rsid w:val="003F5529"/>
    <w:rsid w:val="003F5DBB"/>
    <w:rsid w:val="003F5E14"/>
    <w:rsid w:val="003F7FD5"/>
    <w:rsid w:val="00417372"/>
    <w:rsid w:val="00420D27"/>
    <w:rsid w:val="00422E4A"/>
    <w:rsid w:val="00426361"/>
    <w:rsid w:val="00431196"/>
    <w:rsid w:val="004349F4"/>
    <w:rsid w:val="004418E0"/>
    <w:rsid w:val="0044399A"/>
    <w:rsid w:val="004550A8"/>
    <w:rsid w:val="00462F2B"/>
    <w:rsid w:val="00464B92"/>
    <w:rsid w:val="00465C66"/>
    <w:rsid w:val="00470EFB"/>
    <w:rsid w:val="0047734D"/>
    <w:rsid w:val="00480AA4"/>
    <w:rsid w:val="004934C7"/>
    <w:rsid w:val="00496025"/>
    <w:rsid w:val="004A004F"/>
    <w:rsid w:val="004A54F4"/>
    <w:rsid w:val="004A6260"/>
    <w:rsid w:val="004B0AA1"/>
    <w:rsid w:val="004B0C61"/>
    <w:rsid w:val="004B2C03"/>
    <w:rsid w:val="004E29EF"/>
    <w:rsid w:val="004F0FA2"/>
    <w:rsid w:val="004F1EE2"/>
    <w:rsid w:val="004F58B8"/>
    <w:rsid w:val="004F5EE4"/>
    <w:rsid w:val="0050035D"/>
    <w:rsid w:val="005045AA"/>
    <w:rsid w:val="005058C8"/>
    <w:rsid w:val="00506739"/>
    <w:rsid w:val="005103EE"/>
    <w:rsid w:val="0051155F"/>
    <w:rsid w:val="0051463C"/>
    <w:rsid w:val="00514D68"/>
    <w:rsid w:val="005163EB"/>
    <w:rsid w:val="00521A6E"/>
    <w:rsid w:val="005278DC"/>
    <w:rsid w:val="00527FC8"/>
    <w:rsid w:val="00542111"/>
    <w:rsid w:val="0054397C"/>
    <w:rsid w:val="0055090F"/>
    <w:rsid w:val="0055217E"/>
    <w:rsid w:val="00555170"/>
    <w:rsid w:val="00561E78"/>
    <w:rsid w:val="00571763"/>
    <w:rsid w:val="00573BC1"/>
    <w:rsid w:val="00580794"/>
    <w:rsid w:val="005817B2"/>
    <w:rsid w:val="00582E73"/>
    <w:rsid w:val="00583CD5"/>
    <w:rsid w:val="00586BDC"/>
    <w:rsid w:val="005958B5"/>
    <w:rsid w:val="005A7867"/>
    <w:rsid w:val="005B3C38"/>
    <w:rsid w:val="005B4E29"/>
    <w:rsid w:val="005B71C1"/>
    <w:rsid w:val="005B7E88"/>
    <w:rsid w:val="005C6CCE"/>
    <w:rsid w:val="005D3450"/>
    <w:rsid w:val="005D374A"/>
    <w:rsid w:val="005D6A67"/>
    <w:rsid w:val="005F2454"/>
    <w:rsid w:val="006039A8"/>
    <w:rsid w:val="00605B43"/>
    <w:rsid w:val="006067D8"/>
    <w:rsid w:val="00617820"/>
    <w:rsid w:val="00652D96"/>
    <w:rsid w:val="00661C7B"/>
    <w:rsid w:val="00662090"/>
    <w:rsid w:val="0066321C"/>
    <w:rsid w:val="0066467E"/>
    <w:rsid w:val="0066478C"/>
    <w:rsid w:val="00666EFA"/>
    <w:rsid w:val="006708F8"/>
    <w:rsid w:val="00691F5F"/>
    <w:rsid w:val="006A1D70"/>
    <w:rsid w:val="006A3CC5"/>
    <w:rsid w:val="006B498D"/>
    <w:rsid w:val="006B56BF"/>
    <w:rsid w:val="006B6C8F"/>
    <w:rsid w:val="006B745A"/>
    <w:rsid w:val="006C0DDE"/>
    <w:rsid w:val="006C1403"/>
    <w:rsid w:val="006D24F8"/>
    <w:rsid w:val="006D2B79"/>
    <w:rsid w:val="006E2E67"/>
    <w:rsid w:val="006E72CC"/>
    <w:rsid w:val="007058D6"/>
    <w:rsid w:val="00705913"/>
    <w:rsid w:val="0070631D"/>
    <w:rsid w:val="00712350"/>
    <w:rsid w:val="00714953"/>
    <w:rsid w:val="00714CD7"/>
    <w:rsid w:val="00722726"/>
    <w:rsid w:val="00730760"/>
    <w:rsid w:val="00735D1E"/>
    <w:rsid w:val="007371D6"/>
    <w:rsid w:val="00744EEC"/>
    <w:rsid w:val="00754D6D"/>
    <w:rsid w:val="00755130"/>
    <w:rsid w:val="007574C2"/>
    <w:rsid w:val="0076093D"/>
    <w:rsid w:val="00761865"/>
    <w:rsid w:val="00764981"/>
    <w:rsid w:val="00767974"/>
    <w:rsid w:val="0078082C"/>
    <w:rsid w:val="00780EAC"/>
    <w:rsid w:val="0078149E"/>
    <w:rsid w:val="007919B9"/>
    <w:rsid w:val="007977FF"/>
    <w:rsid w:val="007A2DDE"/>
    <w:rsid w:val="007A3AF2"/>
    <w:rsid w:val="007A6C56"/>
    <w:rsid w:val="007B3CC5"/>
    <w:rsid w:val="007C4B29"/>
    <w:rsid w:val="007D7610"/>
    <w:rsid w:val="007E2861"/>
    <w:rsid w:val="007E3BEF"/>
    <w:rsid w:val="007E5561"/>
    <w:rsid w:val="007E60F2"/>
    <w:rsid w:val="00800A49"/>
    <w:rsid w:val="00801D15"/>
    <w:rsid w:val="0080421F"/>
    <w:rsid w:val="00810E61"/>
    <w:rsid w:val="00812DFE"/>
    <w:rsid w:val="0083161B"/>
    <w:rsid w:val="00834D10"/>
    <w:rsid w:val="00837550"/>
    <w:rsid w:val="00861427"/>
    <w:rsid w:val="00864441"/>
    <w:rsid w:val="008747DF"/>
    <w:rsid w:val="0087590E"/>
    <w:rsid w:val="00881671"/>
    <w:rsid w:val="00883AF1"/>
    <w:rsid w:val="00892364"/>
    <w:rsid w:val="00892CD3"/>
    <w:rsid w:val="00895DE2"/>
    <w:rsid w:val="008A0B33"/>
    <w:rsid w:val="008A0DDF"/>
    <w:rsid w:val="008A4632"/>
    <w:rsid w:val="008A6391"/>
    <w:rsid w:val="008B0300"/>
    <w:rsid w:val="008B5450"/>
    <w:rsid w:val="008B698E"/>
    <w:rsid w:val="008E0997"/>
    <w:rsid w:val="008E3957"/>
    <w:rsid w:val="008F69A1"/>
    <w:rsid w:val="00900840"/>
    <w:rsid w:val="0090384C"/>
    <w:rsid w:val="0091772B"/>
    <w:rsid w:val="00920CCB"/>
    <w:rsid w:val="0092233B"/>
    <w:rsid w:val="00926E98"/>
    <w:rsid w:val="00936121"/>
    <w:rsid w:val="00937834"/>
    <w:rsid w:val="00940292"/>
    <w:rsid w:val="00941BA9"/>
    <w:rsid w:val="0094319F"/>
    <w:rsid w:val="009440FE"/>
    <w:rsid w:val="009443FC"/>
    <w:rsid w:val="00965B8D"/>
    <w:rsid w:val="009714F0"/>
    <w:rsid w:val="009714F1"/>
    <w:rsid w:val="00977AFC"/>
    <w:rsid w:val="009858C3"/>
    <w:rsid w:val="00985B4F"/>
    <w:rsid w:val="00986976"/>
    <w:rsid w:val="009A59A6"/>
    <w:rsid w:val="009A7382"/>
    <w:rsid w:val="009B6179"/>
    <w:rsid w:val="009B6792"/>
    <w:rsid w:val="009C100C"/>
    <w:rsid w:val="009C10E0"/>
    <w:rsid w:val="009C43B2"/>
    <w:rsid w:val="009C5B32"/>
    <w:rsid w:val="009C6EE4"/>
    <w:rsid w:val="009D3DE9"/>
    <w:rsid w:val="009E3129"/>
    <w:rsid w:val="009E3EE1"/>
    <w:rsid w:val="009E45FD"/>
    <w:rsid w:val="009F116A"/>
    <w:rsid w:val="009F4EC7"/>
    <w:rsid w:val="00A055AB"/>
    <w:rsid w:val="00A05EA4"/>
    <w:rsid w:val="00A21E41"/>
    <w:rsid w:val="00A221DF"/>
    <w:rsid w:val="00A323BC"/>
    <w:rsid w:val="00A51BD8"/>
    <w:rsid w:val="00A53EC4"/>
    <w:rsid w:val="00A72BED"/>
    <w:rsid w:val="00A731B7"/>
    <w:rsid w:val="00A7322C"/>
    <w:rsid w:val="00A73F3C"/>
    <w:rsid w:val="00A813A9"/>
    <w:rsid w:val="00A83320"/>
    <w:rsid w:val="00A96BC4"/>
    <w:rsid w:val="00AA69BE"/>
    <w:rsid w:val="00AA6DD5"/>
    <w:rsid w:val="00AB4778"/>
    <w:rsid w:val="00AC1BB8"/>
    <w:rsid w:val="00AC2FCE"/>
    <w:rsid w:val="00AC75C1"/>
    <w:rsid w:val="00AD4F03"/>
    <w:rsid w:val="00AD74B1"/>
    <w:rsid w:val="00AF36BB"/>
    <w:rsid w:val="00AF713C"/>
    <w:rsid w:val="00B033C5"/>
    <w:rsid w:val="00B041CD"/>
    <w:rsid w:val="00B12C33"/>
    <w:rsid w:val="00B30CE0"/>
    <w:rsid w:val="00B4007F"/>
    <w:rsid w:val="00B41B62"/>
    <w:rsid w:val="00B43846"/>
    <w:rsid w:val="00B719B4"/>
    <w:rsid w:val="00B80477"/>
    <w:rsid w:val="00B80BC8"/>
    <w:rsid w:val="00BA5842"/>
    <w:rsid w:val="00BC1ACE"/>
    <w:rsid w:val="00BD2CBF"/>
    <w:rsid w:val="00BE53ED"/>
    <w:rsid w:val="00BE6F94"/>
    <w:rsid w:val="00C00714"/>
    <w:rsid w:val="00C0330D"/>
    <w:rsid w:val="00C13A44"/>
    <w:rsid w:val="00C218D7"/>
    <w:rsid w:val="00C24CDC"/>
    <w:rsid w:val="00C34599"/>
    <w:rsid w:val="00C37586"/>
    <w:rsid w:val="00C43010"/>
    <w:rsid w:val="00C447F2"/>
    <w:rsid w:val="00C70918"/>
    <w:rsid w:val="00C729A3"/>
    <w:rsid w:val="00C836F6"/>
    <w:rsid w:val="00C84AAF"/>
    <w:rsid w:val="00C94273"/>
    <w:rsid w:val="00CB3688"/>
    <w:rsid w:val="00CC5EBB"/>
    <w:rsid w:val="00CD0C1A"/>
    <w:rsid w:val="00CD27C5"/>
    <w:rsid w:val="00CD3C27"/>
    <w:rsid w:val="00CD5721"/>
    <w:rsid w:val="00CE79F2"/>
    <w:rsid w:val="00CF2904"/>
    <w:rsid w:val="00D06FA4"/>
    <w:rsid w:val="00D12A89"/>
    <w:rsid w:val="00D15E01"/>
    <w:rsid w:val="00D16D4A"/>
    <w:rsid w:val="00D23CB0"/>
    <w:rsid w:val="00D25E1E"/>
    <w:rsid w:val="00D27A53"/>
    <w:rsid w:val="00D35992"/>
    <w:rsid w:val="00D36A2E"/>
    <w:rsid w:val="00D43378"/>
    <w:rsid w:val="00D50CC5"/>
    <w:rsid w:val="00D51692"/>
    <w:rsid w:val="00D618B0"/>
    <w:rsid w:val="00D64B94"/>
    <w:rsid w:val="00D66E32"/>
    <w:rsid w:val="00D71C55"/>
    <w:rsid w:val="00D74200"/>
    <w:rsid w:val="00D74689"/>
    <w:rsid w:val="00D92548"/>
    <w:rsid w:val="00D94818"/>
    <w:rsid w:val="00DA0706"/>
    <w:rsid w:val="00DA2568"/>
    <w:rsid w:val="00DB0402"/>
    <w:rsid w:val="00DB1EE4"/>
    <w:rsid w:val="00DB2332"/>
    <w:rsid w:val="00DB3CA8"/>
    <w:rsid w:val="00DC604A"/>
    <w:rsid w:val="00DC7718"/>
    <w:rsid w:val="00DD5373"/>
    <w:rsid w:val="00DE70E6"/>
    <w:rsid w:val="00DF1D99"/>
    <w:rsid w:val="00E13C54"/>
    <w:rsid w:val="00E20745"/>
    <w:rsid w:val="00E2255C"/>
    <w:rsid w:val="00E226A2"/>
    <w:rsid w:val="00E34485"/>
    <w:rsid w:val="00E3744D"/>
    <w:rsid w:val="00E47074"/>
    <w:rsid w:val="00E47EC4"/>
    <w:rsid w:val="00E55340"/>
    <w:rsid w:val="00E61331"/>
    <w:rsid w:val="00E674C9"/>
    <w:rsid w:val="00E90A98"/>
    <w:rsid w:val="00E94382"/>
    <w:rsid w:val="00EA3FD8"/>
    <w:rsid w:val="00EA43BC"/>
    <w:rsid w:val="00EA5FE9"/>
    <w:rsid w:val="00EB01F8"/>
    <w:rsid w:val="00EB07FE"/>
    <w:rsid w:val="00EB359B"/>
    <w:rsid w:val="00EB7AE5"/>
    <w:rsid w:val="00ED48A7"/>
    <w:rsid w:val="00ED4B6A"/>
    <w:rsid w:val="00ED61A7"/>
    <w:rsid w:val="00ED7DF2"/>
    <w:rsid w:val="00EE5009"/>
    <w:rsid w:val="00EF11CA"/>
    <w:rsid w:val="00EF3567"/>
    <w:rsid w:val="00F0046B"/>
    <w:rsid w:val="00F025B0"/>
    <w:rsid w:val="00F2113F"/>
    <w:rsid w:val="00F363CA"/>
    <w:rsid w:val="00F37476"/>
    <w:rsid w:val="00F472B4"/>
    <w:rsid w:val="00F6495C"/>
    <w:rsid w:val="00F64F59"/>
    <w:rsid w:val="00F65298"/>
    <w:rsid w:val="00F838C1"/>
    <w:rsid w:val="00F85353"/>
    <w:rsid w:val="00F928C7"/>
    <w:rsid w:val="00F93E33"/>
    <w:rsid w:val="00FA7650"/>
    <w:rsid w:val="00FB2280"/>
    <w:rsid w:val="00FC7AE4"/>
    <w:rsid w:val="00FE76BD"/>
    <w:rsid w:val="3546750B"/>
    <w:rsid w:val="5120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段"/>
    <w:link w:val="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
    <w:name w:val="段 Char"/>
    <w:link w:val="6"/>
    <w:uiPriority w:val="0"/>
    <w:rPr>
      <w:rFonts w:ascii="宋体" w:hAnsi="Times New Roman" w:eastAsia="宋体" w:cs="Times New Roman"/>
      <w:kern w:val="0"/>
      <w:szCs w:val="20"/>
    </w:rPr>
  </w:style>
  <w:style w:type="paragraph" w:customStyle="1" w:styleId="8">
    <w:name w:val="一级条标题"/>
    <w:next w:val="6"/>
    <w:qFormat/>
    <w:uiPriority w:val="0"/>
    <w:pPr>
      <w:numPr>
        <w:ilvl w:val="1"/>
        <w:numId w:val="1"/>
      </w:numPr>
      <w:spacing w:before="156" w:beforeLines="50" w:after="156" w:afterLines="50"/>
      <w:outlineLvl w:val="2"/>
    </w:pPr>
    <w:rPr>
      <w:rFonts w:ascii="黑体" w:hAnsi="Times New Roman" w:eastAsia="黑体" w:cs="Times New Roman"/>
      <w:kern w:val="0"/>
      <w:sz w:val="21"/>
      <w:szCs w:val="21"/>
      <w:lang w:val="en-US" w:eastAsia="zh-CN" w:bidi="ar-SA"/>
    </w:rPr>
  </w:style>
  <w:style w:type="paragraph" w:customStyle="1" w:styleId="9">
    <w:name w:val="章标题"/>
    <w:next w:val="6"/>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10">
    <w:name w:val="二级条标题"/>
    <w:basedOn w:val="8"/>
    <w:next w:val="6"/>
    <w:qFormat/>
    <w:uiPriority w:val="0"/>
    <w:pPr>
      <w:numPr>
        <w:ilvl w:val="2"/>
      </w:numPr>
      <w:spacing w:before="50" w:after="50"/>
      <w:outlineLvl w:val="3"/>
    </w:pPr>
  </w:style>
  <w:style w:type="paragraph" w:customStyle="1" w:styleId="11">
    <w:name w:val="目次、标准名称标题"/>
    <w:basedOn w:val="1"/>
    <w:next w:val="6"/>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2">
    <w:name w:val="页眉 Char"/>
    <w:basedOn w:val="4"/>
    <w:link w:val="3"/>
    <w:uiPriority w:val="99"/>
    <w:rPr>
      <w:rFonts w:ascii="Times New Roman" w:hAnsi="Times New Roman" w:eastAsia="宋体" w:cs="Times New Roman"/>
      <w:sz w:val="18"/>
      <w:szCs w:val="18"/>
    </w:rPr>
  </w:style>
  <w:style w:type="character" w:customStyle="1" w:styleId="13">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7</Pages>
  <Words>761</Words>
  <Characters>4340</Characters>
  <Lines>36</Lines>
  <Paragraphs>10</Paragraphs>
  <TotalTime>45</TotalTime>
  <ScaleCrop>false</ScaleCrop>
  <LinksUpToDate>false</LinksUpToDate>
  <CharactersWithSpaces>5091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2021-08-22T09:44:00Z</dcterms:created>
  <dc:creator>User</dc:creator>
  <cp:lastModifiedBy>Administrator</cp:lastModifiedBy>
  <dcterms:modified xsi:type="dcterms:W3CDTF">2022-05-09T07:42:55Z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