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67" w:rsidRDefault="009D4E67" w:rsidP="009D4E67">
      <w:pPr>
        <w:pStyle w:val="a8"/>
        <w:spacing w:line="600" w:lineRule="exact"/>
        <w:ind w:firstLineChars="0" w:firstLine="0"/>
        <w:jc w:val="left"/>
        <w:rPr>
          <w:rFonts w:eastAsia="方正黑体_GBK" w:hint="eastAsia"/>
          <w:sz w:val="32"/>
          <w:szCs w:val="32"/>
          <w:lang w:val="en-US"/>
        </w:rPr>
      </w:pPr>
      <w:r w:rsidRPr="00236CE5">
        <w:rPr>
          <w:rFonts w:eastAsia="方正黑体_GBK" w:hint="eastAsia"/>
          <w:sz w:val="32"/>
          <w:szCs w:val="32"/>
          <w:lang w:val="en-US"/>
        </w:rPr>
        <w:t>附件</w:t>
      </w:r>
      <w:r w:rsidRPr="00236CE5">
        <w:rPr>
          <w:rFonts w:eastAsia="方正黑体_GBK" w:hint="eastAsia"/>
          <w:sz w:val="32"/>
          <w:szCs w:val="32"/>
          <w:lang w:val="en-US"/>
        </w:rPr>
        <w:t>7</w:t>
      </w:r>
    </w:p>
    <w:p w:rsidR="009D4E67" w:rsidRPr="00236CE5" w:rsidRDefault="009D4E67" w:rsidP="009D4E67">
      <w:pPr>
        <w:pStyle w:val="a8"/>
        <w:spacing w:line="400" w:lineRule="exact"/>
        <w:ind w:firstLineChars="0" w:firstLine="0"/>
        <w:jc w:val="left"/>
        <w:rPr>
          <w:rFonts w:eastAsia="方正黑体_GBK"/>
          <w:sz w:val="32"/>
          <w:szCs w:val="32"/>
          <w:lang w:val="en-US"/>
        </w:rPr>
      </w:pPr>
    </w:p>
    <w:p w:rsidR="009D4E67" w:rsidRDefault="009D4E67" w:rsidP="009D4E67">
      <w:pPr>
        <w:spacing w:line="600" w:lineRule="exact"/>
        <w:jc w:val="center"/>
        <w:rPr>
          <w:rFonts w:eastAsia="方正小标宋_GBK" w:hint="eastAsia"/>
          <w:bCs/>
          <w:kern w:val="0"/>
          <w:sz w:val="44"/>
          <w:szCs w:val="44"/>
        </w:rPr>
      </w:pPr>
      <w:r w:rsidRPr="00887219">
        <w:rPr>
          <w:rFonts w:eastAsia="方正小标宋_GBK" w:hint="eastAsia"/>
          <w:bCs/>
          <w:kern w:val="0"/>
          <w:sz w:val="44"/>
          <w:szCs w:val="44"/>
        </w:rPr>
        <w:t>2020</w:t>
      </w:r>
      <w:r w:rsidRPr="00887219">
        <w:rPr>
          <w:rFonts w:eastAsia="方正小标宋_GBK" w:hint="eastAsia"/>
          <w:bCs/>
          <w:kern w:val="0"/>
          <w:sz w:val="44"/>
          <w:szCs w:val="44"/>
        </w:rPr>
        <w:t>年度省知识产权战略推进专项资金现场评价项目清单</w:t>
      </w:r>
    </w:p>
    <w:p w:rsidR="009D4E67" w:rsidRPr="00887219" w:rsidRDefault="009D4E67" w:rsidP="009D4E67">
      <w:pPr>
        <w:spacing w:line="400" w:lineRule="exact"/>
        <w:jc w:val="center"/>
        <w:rPr>
          <w:rFonts w:eastAsia="方正小标宋_GBK"/>
          <w:bCs/>
          <w:kern w:val="0"/>
          <w:sz w:val="44"/>
          <w:szCs w:val="44"/>
        </w:rPr>
      </w:pPr>
    </w:p>
    <w:tbl>
      <w:tblPr>
        <w:tblW w:w="14175" w:type="dxa"/>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top w:w="15" w:type="dxa"/>
          <w:left w:w="15" w:type="dxa"/>
          <w:bottom w:w="15" w:type="dxa"/>
          <w:right w:w="15" w:type="dxa"/>
        </w:tblCellMar>
        <w:tblLook w:val="0000"/>
      </w:tblPr>
      <w:tblGrid>
        <w:gridCol w:w="480"/>
        <w:gridCol w:w="1907"/>
        <w:gridCol w:w="1815"/>
        <w:gridCol w:w="3486"/>
        <w:gridCol w:w="910"/>
        <w:gridCol w:w="3079"/>
        <w:gridCol w:w="2498"/>
      </w:tblGrid>
      <w:tr w:rsidR="009D4E67" w:rsidTr="0014580C">
        <w:trPr>
          <w:trHeight w:val="480"/>
          <w:tblHeader/>
          <w:jc w:val="center"/>
        </w:trPr>
        <w:tc>
          <w:tcPr>
            <w:tcW w:w="480" w:type="dxa"/>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序号</w:t>
            </w:r>
          </w:p>
        </w:tc>
        <w:tc>
          <w:tcPr>
            <w:tcW w:w="3722" w:type="dxa"/>
            <w:gridSpan w:val="2"/>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单位</w:t>
            </w:r>
          </w:p>
        </w:tc>
        <w:tc>
          <w:tcPr>
            <w:tcW w:w="3486" w:type="dxa"/>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项目名称</w:t>
            </w:r>
          </w:p>
        </w:tc>
        <w:tc>
          <w:tcPr>
            <w:tcW w:w="910" w:type="dxa"/>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金额</w:t>
            </w:r>
          </w:p>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（万元）</w:t>
            </w:r>
          </w:p>
        </w:tc>
        <w:tc>
          <w:tcPr>
            <w:tcW w:w="3079" w:type="dxa"/>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项目类别</w:t>
            </w:r>
          </w:p>
        </w:tc>
        <w:tc>
          <w:tcPr>
            <w:tcW w:w="2498" w:type="dxa"/>
            <w:vAlign w:val="center"/>
          </w:tcPr>
          <w:p w:rsidR="009D4E67" w:rsidRDefault="009D4E67" w:rsidP="0014580C">
            <w:pPr>
              <w:widowControl/>
              <w:jc w:val="center"/>
              <w:textAlignment w:val="center"/>
              <w:rPr>
                <w:rFonts w:eastAsia="仿宋"/>
                <w:b/>
                <w:bCs/>
                <w:color w:val="000000"/>
                <w:kern w:val="0"/>
                <w:szCs w:val="21"/>
                <w:lang/>
              </w:rPr>
            </w:pPr>
            <w:r>
              <w:rPr>
                <w:rFonts w:eastAsia="仿宋" w:hint="eastAsia"/>
                <w:b/>
                <w:bCs/>
                <w:color w:val="000000"/>
                <w:kern w:val="0"/>
                <w:szCs w:val="21"/>
                <w:lang/>
              </w:rPr>
              <w:t>备注</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省教育厅</w:t>
            </w: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中南大学</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高校知识产权中心建设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高校知识产权中心建设项目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湘潭大学</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高校知识产权中心建设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高校知识产权中心建设项目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湖南大学</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2020</w:t>
            </w:r>
            <w:r>
              <w:rPr>
                <w:rFonts w:eastAsia="仿宋" w:hint="eastAsia"/>
                <w:color w:val="000000"/>
                <w:kern w:val="0"/>
                <w:szCs w:val="21"/>
                <w:lang/>
              </w:rPr>
              <w:t>年专利代理师资格考试服务及</w:t>
            </w:r>
            <w:r>
              <w:rPr>
                <w:rFonts w:eastAsia="仿宋" w:hint="eastAsia"/>
                <w:kern w:val="0"/>
                <w:szCs w:val="21"/>
                <w:lang/>
              </w:rPr>
              <w:t>考前培</w:t>
            </w:r>
            <w:r>
              <w:rPr>
                <w:rFonts w:eastAsia="仿宋" w:hint="eastAsia"/>
                <w:color w:val="000000"/>
                <w:kern w:val="0"/>
                <w:szCs w:val="21"/>
                <w:lang/>
              </w:rPr>
              <w:t>训</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湖南科技大学</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科创型中小企业知识产权市场化融资与财政支持法律问题研究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湖南大学</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湖南与一带一路（非洲）国家知识产权保护研究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6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w:t>
            </w:r>
          </w:p>
        </w:tc>
        <w:tc>
          <w:tcPr>
            <w:tcW w:w="1907"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湖南省质量和标准化研究院</w:t>
            </w: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湖南省质量和标准化研究院</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专利与技术标准融合研究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6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w:t>
            </w:r>
          </w:p>
        </w:tc>
        <w:tc>
          <w:tcPr>
            <w:tcW w:w="1907"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湖南省计量检测研究院</w:t>
            </w: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湖南省计量检测研究院</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计量检测领域标准与专利技术融合发展研究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6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w:t>
            </w:r>
          </w:p>
        </w:tc>
        <w:tc>
          <w:tcPr>
            <w:tcW w:w="1907"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湖南省知识产权维权援助中心</w:t>
            </w: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湖南省知识产权维权援助中心</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知识产权综合服务体系快维能力建设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20.10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6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9</w:t>
            </w:r>
          </w:p>
        </w:tc>
        <w:tc>
          <w:tcPr>
            <w:tcW w:w="1907"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中国致公党湖南省委员会</w:t>
            </w: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中国致公党湖南省委员会</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湖南省知识产权“十四五”规划研究</w:t>
            </w:r>
            <w:r>
              <w:rPr>
                <w:rFonts w:eastAsia="仿宋"/>
                <w:color w:val="000000"/>
                <w:kern w:val="0"/>
                <w:szCs w:val="21"/>
                <w:lang/>
              </w:rPr>
              <w:t xml:space="preserve"> </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发明专利授权资助（含国防专利）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1,058.40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湖南专利奖</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113.00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向国外专利申请资助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150.00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马德里商标国际申请资助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6.50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专利权质押融资评估费补贴</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102.50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国家知识产权示范企业经费支持</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210.00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国家知识产权示范园区经费支持</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 </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澳优乳业知识产权重点企业保护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澳优乳业（中国）有限公司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知识产权保护实施专项</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中机国际工程设计研究院有限责任公司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知识产权重点保护企业</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长沙奥托自动化技术有限公司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惠农网农产品知识产权综合服务平台</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电子商务平台知识产权保护项目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湖南惠农科技有限公司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兴盛优选移动电子商务平台</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电子商务平台知识产权保护项目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湖南兴盛优选电子商务有限公司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22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智能呼吸诊疗装备知识产权密集型产业培育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湖南明康中锦医疗科技发展有限公司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高性能永磁铁氧体材料及器件知识产权密集型产业培育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湖南航天磁电有限责任公司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24</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罗汉果甜产业专利预警与布局</w:t>
            </w:r>
            <w:r>
              <w:rPr>
                <w:rFonts w:eastAsia="仿宋" w:hint="eastAsia"/>
                <w:color w:val="000000"/>
                <w:kern w:val="0"/>
                <w:szCs w:val="21"/>
                <w:lang/>
              </w:rPr>
              <w:t xml:space="preserve"> </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湖南华诚生物资源股份有限公司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可变式多信息复合疏散标志灯具系统知识产权密集型产业培育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湖南汇博电子科技股份有限公司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物联网智能钢琴知识产权密集型产业培育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湖南卡罗德音乐集团有限公司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风电机组大部件在线故障预警技术领域专利检索、分析、挖掘、布局研究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唐智科技湖南发展有限公司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可孚家用智能医疗器械知识产权保护及产业化</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可孚医疗科技股份有限公司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29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基于</w:t>
            </w:r>
            <w:r>
              <w:rPr>
                <w:rFonts w:eastAsia="仿宋" w:hint="eastAsia"/>
                <w:color w:val="000000"/>
                <w:kern w:val="0"/>
                <w:szCs w:val="21"/>
                <w:lang/>
              </w:rPr>
              <w:t>V2X</w:t>
            </w:r>
            <w:r>
              <w:rPr>
                <w:rFonts w:eastAsia="仿宋" w:hint="eastAsia"/>
                <w:color w:val="000000"/>
                <w:kern w:val="0"/>
                <w:szCs w:val="21"/>
                <w:lang/>
              </w:rPr>
              <w:t>的车路协同智能驾驶系统知识产权密集型产业培育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长沙智能驾驶研究院有限公司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糖尿病全病程检测技术知识产权密集型产业培育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三诺生物传感股份有限公司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细胞工程关键技术知识产权密集型产业培育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湖南丰晖生物科技有限公司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高氨氮污水处理专利导航布局</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湖南亿康环保科技有限公司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33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复杂组分体系中钾盐、锂盐</w:t>
            </w:r>
            <w:r>
              <w:rPr>
                <w:rFonts w:eastAsia="仿宋" w:hint="eastAsia"/>
                <w:color w:val="000000"/>
                <w:kern w:val="0"/>
                <w:szCs w:val="21"/>
                <w:lang/>
              </w:rPr>
              <w:t xml:space="preserve"> </w:t>
            </w:r>
            <w:r>
              <w:rPr>
                <w:rFonts w:eastAsia="仿宋" w:hint="eastAsia"/>
                <w:color w:val="000000"/>
                <w:kern w:val="0"/>
                <w:szCs w:val="21"/>
                <w:lang/>
              </w:rPr>
              <w:t>提取技术的密集型产业项目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中蓝长化工程科技有限公司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高温炉渣风淬粒化流化床锅炉余热回收装置知识产权密集型产业培育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湖南思为能源环保工程有限公司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基于</w:t>
            </w:r>
            <w:r>
              <w:rPr>
                <w:rFonts w:eastAsia="仿宋" w:hint="eastAsia"/>
                <w:color w:val="000000"/>
                <w:kern w:val="0"/>
                <w:szCs w:val="21"/>
                <w:lang/>
              </w:rPr>
              <w:t>5G</w:t>
            </w:r>
            <w:r>
              <w:rPr>
                <w:rFonts w:eastAsia="仿宋" w:hint="eastAsia"/>
                <w:color w:val="000000"/>
                <w:kern w:val="0"/>
                <w:szCs w:val="21"/>
                <w:lang/>
              </w:rPr>
              <w:t>环境下的高清自由视角拍摄系统知识产权密集型产业培育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长沙全度影像科技有限公司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海上风电工程技术知识产权密集型培育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中国电建集团中南勘测设计研究院有限公司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37</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风道圈蜗壳焊接关键技术知识产权密集型产业培育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湖南创研智能装备有限公司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智能应急救援装置知识产权密集型产业培育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长沙环康科技有限公司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39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基因检测的知识产权密集型培育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长沙金域医学检验实验室有限公司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锂离子电池正极材料及其前驱体专利导航工程</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湖南长远锂科股份有限公司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软件无线电通信技术产品知识产权密集型产业培育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湖南迈克森伟电子科技有限公司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高端家纺产业链专利布局</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湖南名品实业股份有限公司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轨道交通教学实训设备知识产权密集型产业培育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湖南高铁时代数字化科技有限公司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44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开源社区公共技术云服务平台知识产权密集型产业培育项目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长沙军民先进技术研究有限公司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高性价比卫星姿态控制的反作用飞轮项目</w:t>
            </w:r>
            <w:r>
              <w:rPr>
                <w:rFonts w:eastAsia="仿宋" w:hint="eastAsia"/>
                <w:color w:val="000000"/>
                <w:kern w:val="0"/>
                <w:szCs w:val="21"/>
                <w:lang/>
              </w:rPr>
              <w:t>-</w:t>
            </w:r>
            <w:r>
              <w:rPr>
                <w:rFonts w:eastAsia="仿宋" w:hint="eastAsia"/>
                <w:color w:val="000000"/>
                <w:kern w:val="0"/>
                <w:szCs w:val="21"/>
                <w:lang/>
              </w:rPr>
              <w:t>知识产权密集型企业培育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湖南揽月机电科技有限公司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高端工业视觉表面缺陷检测装备知识产权密集型产业培育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湖南讯目科技有限公司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“铜官陶瓷”地理标志运用</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地理标志运用项目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长沙市望城区市场监督管理局</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沙坪湘绣地理标志促进运用项目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地理标志运用项目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长沙市湘绣协会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49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湖南省知识产权（隆平园）综合服务分中心</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长沙高新技术产业开发区隆平高科技园管理委员会</w:t>
            </w:r>
          </w:p>
        </w:tc>
      </w:tr>
      <w:tr w:rsidR="009D4E67" w:rsidTr="0014580C">
        <w:trPr>
          <w:trHeight w:val="624"/>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50</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湖南省知识产权交易中心优质服务机构建设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湖南省知识产权交易中心有限公司</w:t>
            </w:r>
          </w:p>
        </w:tc>
      </w:tr>
      <w:tr w:rsidR="009D4E67" w:rsidTr="0014580C">
        <w:trPr>
          <w:trHeight w:val="624"/>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w:t>
            </w:r>
            <w:r>
              <w:rPr>
                <w:rFonts w:eastAsia="仿宋" w:hint="eastAsia"/>
                <w:color w:val="000000"/>
                <w:kern w:val="0"/>
                <w:szCs w:val="21"/>
                <w:lang/>
              </w:rPr>
              <w:t>TISC</w:t>
            </w:r>
            <w:r>
              <w:rPr>
                <w:rFonts w:eastAsia="仿宋" w:hint="eastAsia"/>
                <w:color w:val="000000"/>
                <w:kern w:val="0"/>
                <w:szCs w:val="21"/>
                <w:lang/>
              </w:rPr>
              <w:t>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长沙正奇专利事务所有限责任公司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长沙市商标品牌指导服务中心</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长沙天心文化（广告）产业园管理委员会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湖南省知识产权纠纷快速解决机制建设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知识产权优质服务机构建设项目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湖南省知识产权协会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示范学校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湖南师范大学附属小学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长沙市实验中学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56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知识产权“十四五”规划研究</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软课题研究项目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湖南省知识产权协会</w:t>
            </w:r>
          </w:p>
        </w:tc>
      </w:tr>
      <w:tr w:rsidR="009D4E67" w:rsidTr="0014580C">
        <w:trPr>
          <w:trHeight w:val="624"/>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湖南长城银河科技有限公司知识产权军民融合试点企业培育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军民融合试点项目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湖南长城银河科技有限公司</w:t>
            </w:r>
          </w:p>
        </w:tc>
      </w:tr>
      <w:tr w:rsidR="009D4E67" w:rsidTr="0014580C">
        <w:trPr>
          <w:trHeight w:val="624"/>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长沙深之瞳信息科技邮箱公司知识产权军民融合试点企业培育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军民融合试点项目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长沙深之瞳信息科技有限公司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59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蓝思科技（长沙）有限公司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工业废气治理技术及装备专利密集型培育项目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航天凯天环保科技股份有限公司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环保节能知识产权密集型产业培育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湖南迅刻节能科技有限公司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智能液压控制系统知识产权密集型产业培育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湖南鸿辉科技有限公司</w:t>
            </w:r>
          </w:p>
        </w:tc>
      </w:tr>
      <w:tr w:rsidR="009D4E67" w:rsidTr="0014580C">
        <w:trPr>
          <w:trHeight w:val="702"/>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63</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疾控信息化管理及智慧样品处理、供血系统</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长沙迈迪克智能科技有限公司</w:t>
            </w:r>
          </w:p>
        </w:tc>
      </w:tr>
      <w:tr w:rsidR="009D4E67" w:rsidTr="0014580C">
        <w:trPr>
          <w:trHeight w:val="646"/>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智能球磨技术知识产权密集型产业培育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长沙天创粉末技术有限公司</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长沙经开区知识产权综合服务中心</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长沙经济技术开发区管理委员会</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宁乡市</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长沙格力暖通制冷设备有限公司</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67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长沙百川超硬材料工具有限公司</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高空作业平台知识产权密集型产业培育项目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湖南星邦智能装备股份有限公司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69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锂金属负极专利导航</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湖南中科星城石墨有限公司</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高性能难熔金属基复合材料知识产权密集产业培育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长沙微纳坤宸新材料有限公司</w:t>
            </w:r>
          </w:p>
        </w:tc>
      </w:tr>
      <w:tr w:rsidR="009D4E67" w:rsidTr="0014580C">
        <w:trPr>
          <w:trHeight w:val="737"/>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湖南省知识产权（宁乡）综合服务中心</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18.00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宁乡高新技术产业园区管理委员会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示范学校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宁乡市双江口镇双江口初级中学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宁乡市第十一高级中学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74</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发明专利授权资助（含国防专利）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115.60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湖南专利奖</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34.00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向国外专利申请资助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8.50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专利权质押融资评估费补贴</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38.00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78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注册地理标志商标资助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79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知识产权真抓实干地区经费支持</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太阳能光伏光热产品知识产权保护项目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湖南兴业太阳能科技有限公司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大型综合工业泵领域知识产权重点企业保护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利欧集团湖南泵业有限公司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邦泽科技知识产权重点企业保护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湖南邦泽科技有限公司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知识产权侵权纠纷行政裁决试点</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知识产权侵权纠纷行政裁决试点项目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湘潭市市场监督管理局</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金属塑料复合管知识产权密集型产业培育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湖南振辉管业有限公司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湘潭宏大真空技术股份有限公司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新能源汽车动力电池、智控产品与系统知识产权密集型产业培育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湖南海博瑞德电智控制技术有限公司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风电叶片制造领域知识产权密集型产业培育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湖南创一工业新材料股份有限公司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88</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全自动智能化秧盘成型机知识产权密集型产业培育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湖南双环纤维成型设备有限公司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89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“沙子岭猪”地理标志运用项目</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地理标志运用项目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湘潭市家畜育种站（湘潭市饲料监测站）</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湖南省知识产权（湘潭）综合服务中</w:t>
            </w:r>
            <w:r>
              <w:rPr>
                <w:rFonts w:eastAsia="仿宋" w:hint="eastAsia"/>
                <w:color w:val="000000"/>
                <w:kern w:val="0"/>
                <w:szCs w:val="21"/>
                <w:lang/>
              </w:rPr>
              <w:lastRenderedPageBreak/>
              <w:t>心建设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湘潭高新技术产业开发区</w:t>
            </w:r>
            <w:r>
              <w:rPr>
                <w:rFonts w:eastAsia="仿宋" w:hint="eastAsia"/>
                <w:color w:val="000000"/>
                <w:kern w:val="0"/>
                <w:szCs w:val="21"/>
                <w:lang/>
              </w:rPr>
              <w:lastRenderedPageBreak/>
              <w:t>管理委员会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91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湘潭经开区知识产权综合服务平台建设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湘潭经济技术开发区管理委员会</w:t>
            </w:r>
          </w:p>
        </w:tc>
      </w:tr>
      <w:tr w:rsidR="009D4E67" w:rsidTr="0014580C">
        <w:trPr>
          <w:trHeight w:val="566"/>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示范学校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湘潭市雨湖区风车坪学校</w:t>
            </w:r>
          </w:p>
        </w:tc>
      </w:tr>
      <w:tr w:rsidR="009D4E67" w:rsidTr="0014580C">
        <w:trPr>
          <w:trHeight w:val="592"/>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湘潭大学子弟学校</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军民两用气凝胶隔热材料知识产权军民融合试点</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军民融合试点项目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湖南荣岚智能科技有限公司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湘潭县易俗河镇烟塘中心小学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96</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发明专利授权资助（含国防专利）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31.60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23"/>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湖南专利奖</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9.00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39"/>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马德里商标国际申请资助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0.50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39"/>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99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专利权质押融资评估费补贴</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64.70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国家知识产权示范企业经费支持</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30.00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华翔翔能科技知识产权保护与创新发展</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华翔翔能科技股份有限公司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102</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万京源知识产权管理保护体系建设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益阳市万京源电子有限公司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103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履带式拖拉机知识产权重点企业保护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益阳富佳科技有限公司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高频低阻抗铝电解电容器的技术研发及产业化应用与推广</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益阳市鹏程科技发展有限公司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柱形锂离子电池电芯含浸规模化应用知识产权密集型产业培育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湖南华慧新能源股份有限公司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106</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改性</w:t>
            </w:r>
            <w:r>
              <w:rPr>
                <w:rFonts w:eastAsia="仿宋" w:hint="eastAsia"/>
                <w:color w:val="000000"/>
                <w:kern w:val="0"/>
                <w:szCs w:val="21"/>
                <w:lang/>
              </w:rPr>
              <w:t>EVA</w:t>
            </w:r>
            <w:r>
              <w:rPr>
                <w:rFonts w:eastAsia="仿宋" w:hint="eastAsia"/>
                <w:color w:val="000000"/>
                <w:kern w:val="0"/>
                <w:szCs w:val="21"/>
                <w:lang/>
              </w:rPr>
              <w:t>轻质防水卷材知识产权密集型产业培育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湖南盛业土工材料制造有限公司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校服制衣产业知识产权密集型企业培育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湖南旭荣制衣有限公司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益阳市知识产权公共服务平台建设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益阳市高新技术企业协会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109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知识产权综合服务平台建设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湖南益阳长春经济开发区管理委员会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益阳市第三中学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沅江市</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湖南省沅江市第一中学</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桃江县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豪云商城电子商务平台知识产权保护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电子商务平台知识产权保护项目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桃江豪云电子商务有限公司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113</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发明专利授权资助（含国防专利）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4.60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114</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马德里商标国际申请资助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11.50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lastRenderedPageBreak/>
              <w:t>115</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注册地理标志商标资助</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5.00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116</w:t>
            </w:r>
          </w:p>
        </w:tc>
        <w:tc>
          <w:tcPr>
            <w:tcW w:w="1907"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张家界市</w:t>
            </w: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市本级及所辖区</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汽车配件产业知识产权保护与应用</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张家界汽车配件制造有限责任公司</w:t>
            </w:r>
          </w:p>
        </w:tc>
      </w:tr>
      <w:tr w:rsidR="009D4E67" w:rsidTr="0014580C">
        <w:trPr>
          <w:trHeight w:val="675"/>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117</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电商平台知识产权保护体系建设</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电子商务平台知识产权保护项目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张家界湘小伍家贸易有限责任公司</w:t>
            </w:r>
          </w:p>
        </w:tc>
      </w:tr>
      <w:tr w:rsidR="009D4E67" w:rsidTr="0014580C">
        <w:trPr>
          <w:trHeight w:val="706"/>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118</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知识产权侵权纠纷行政裁决试点</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知识产权侵权纠纷行政裁决试点项目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张家界市知识产权局</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119</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湘阿妹菜葛商品化处理知识产权密集型产业培育</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知识产权密集型产业培育项目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张家界湘阿妹食品有限公司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120</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湖南省知识产权（张家界）综合服务分中心</w:t>
            </w:r>
            <w:r>
              <w:rPr>
                <w:rFonts w:eastAsia="仿宋" w:hint="eastAsia"/>
                <w:color w:val="000000"/>
                <w:kern w:val="0"/>
                <w:szCs w:val="21"/>
                <w:lang/>
              </w:rPr>
              <w:t xml:space="preserve"> </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公共服务平台建设项目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张家界高新技术产业开发区管理委员会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121</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桑植县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“桑植蜂蜜”地理标志促进与应用</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20.00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地理标志运用项目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桑植县蜜蜂产业协会</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122</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restart"/>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慈利县</w:t>
            </w: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含碳酸钙复合新材料与采矿加工先进装备知识产权重点企业保护</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知识产权重点企业保护项目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张家界恒亮新材料科技有限公司</w:t>
            </w:r>
          </w:p>
        </w:tc>
      </w:tr>
      <w:tr w:rsidR="009D4E67" w:rsidTr="0014580C">
        <w:trPr>
          <w:trHeight w:val="480"/>
          <w:jc w:val="center"/>
        </w:trPr>
        <w:tc>
          <w:tcPr>
            <w:tcW w:w="48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123</w:t>
            </w:r>
          </w:p>
        </w:tc>
        <w:tc>
          <w:tcPr>
            <w:tcW w:w="1907" w:type="dxa"/>
            <w:vMerge/>
            <w:vAlign w:val="center"/>
          </w:tcPr>
          <w:p w:rsidR="009D4E67" w:rsidRDefault="009D4E67" w:rsidP="0014580C">
            <w:pPr>
              <w:widowControl/>
              <w:jc w:val="center"/>
              <w:textAlignment w:val="center"/>
              <w:rPr>
                <w:rFonts w:eastAsia="仿宋"/>
                <w:color w:val="000000"/>
                <w:kern w:val="0"/>
                <w:szCs w:val="21"/>
                <w:lang/>
              </w:rPr>
            </w:pPr>
          </w:p>
        </w:tc>
        <w:tc>
          <w:tcPr>
            <w:tcW w:w="1815" w:type="dxa"/>
            <w:vMerge/>
            <w:vAlign w:val="center"/>
          </w:tcPr>
          <w:p w:rsidR="009D4E67" w:rsidRDefault="009D4E67" w:rsidP="0014580C">
            <w:pPr>
              <w:widowControl/>
              <w:jc w:val="center"/>
              <w:textAlignment w:val="center"/>
              <w:rPr>
                <w:rFonts w:eastAsia="仿宋"/>
                <w:color w:val="000000"/>
                <w:kern w:val="0"/>
                <w:szCs w:val="21"/>
                <w:lang/>
              </w:rPr>
            </w:pPr>
          </w:p>
        </w:tc>
        <w:tc>
          <w:tcPr>
            <w:tcW w:w="3486"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试点学校</w:t>
            </w: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10.00 </w:t>
            </w:r>
          </w:p>
        </w:tc>
        <w:tc>
          <w:tcPr>
            <w:tcW w:w="3079"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知识产权人才培养项目</w:t>
            </w:r>
          </w:p>
        </w:tc>
        <w:tc>
          <w:tcPr>
            <w:tcW w:w="2498"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慈利县三官寺中小学</w:t>
            </w:r>
          </w:p>
        </w:tc>
      </w:tr>
      <w:tr w:rsidR="009D4E67" w:rsidTr="0014580C">
        <w:trPr>
          <w:trHeight w:val="480"/>
          <w:jc w:val="center"/>
        </w:trPr>
        <w:tc>
          <w:tcPr>
            <w:tcW w:w="4202" w:type="dxa"/>
            <w:gridSpan w:val="3"/>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合计</w:t>
            </w:r>
          </w:p>
        </w:tc>
        <w:tc>
          <w:tcPr>
            <w:tcW w:w="3486" w:type="dxa"/>
            <w:vAlign w:val="center"/>
          </w:tcPr>
          <w:p w:rsidR="009D4E67" w:rsidRDefault="009D4E67" w:rsidP="0014580C">
            <w:pPr>
              <w:widowControl/>
              <w:jc w:val="center"/>
              <w:textAlignment w:val="center"/>
              <w:rPr>
                <w:rFonts w:eastAsia="仿宋"/>
                <w:color w:val="000000"/>
                <w:kern w:val="0"/>
                <w:szCs w:val="21"/>
                <w:lang/>
              </w:rPr>
            </w:pPr>
          </w:p>
        </w:tc>
        <w:tc>
          <w:tcPr>
            <w:tcW w:w="910" w:type="dxa"/>
            <w:vAlign w:val="center"/>
          </w:tcPr>
          <w:p w:rsidR="009D4E67" w:rsidRDefault="009D4E67" w:rsidP="0014580C">
            <w:pPr>
              <w:widowControl/>
              <w:jc w:val="center"/>
              <w:textAlignment w:val="center"/>
              <w:rPr>
                <w:rFonts w:eastAsia="仿宋"/>
                <w:color w:val="000000"/>
                <w:kern w:val="0"/>
                <w:szCs w:val="21"/>
                <w:lang/>
              </w:rPr>
            </w:pPr>
            <w:r>
              <w:rPr>
                <w:rFonts w:eastAsia="仿宋" w:hint="eastAsia"/>
                <w:color w:val="000000"/>
                <w:kern w:val="0"/>
                <w:szCs w:val="21"/>
                <w:lang/>
              </w:rPr>
              <w:t xml:space="preserve">3,431.50 </w:t>
            </w:r>
          </w:p>
        </w:tc>
        <w:tc>
          <w:tcPr>
            <w:tcW w:w="3079" w:type="dxa"/>
            <w:vAlign w:val="center"/>
          </w:tcPr>
          <w:p w:rsidR="009D4E67" w:rsidRDefault="009D4E67" w:rsidP="0014580C">
            <w:pPr>
              <w:widowControl/>
              <w:jc w:val="center"/>
              <w:textAlignment w:val="center"/>
              <w:rPr>
                <w:rFonts w:eastAsia="仿宋"/>
                <w:color w:val="000000"/>
                <w:kern w:val="0"/>
                <w:szCs w:val="21"/>
                <w:lang/>
              </w:rPr>
            </w:pPr>
          </w:p>
        </w:tc>
        <w:tc>
          <w:tcPr>
            <w:tcW w:w="2498" w:type="dxa"/>
            <w:vAlign w:val="center"/>
          </w:tcPr>
          <w:p w:rsidR="009D4E67" w:rsidRDefault="009D4E67" w:rsidP="0014580C">
            <w:pPr>
              <w:widowControl/>
              <w:jc w:val="center"/>
              <w:textAlignment w:val="center"/>
              <w:rPr>
                <w:rFonts w:eastAsia="仿宋"/>
                <w:color w:val="000000"/>
                <w:kern w:val="0"/>
                <w:szCs w:val="21"/>
                <w:lang/>
              </w:rPr>
            </w:pPr>
          </w:p>
        </w:tc>
      </w:tr>
    </w:tbl>
    <w:p w:rsidR="009D4E67" w:rsidRDefault="009D4E67" w:rsidP="009D4E67">
      <w:pPr>
        <w:pStyle w:val="a8"/>
        <w:ind w:firstLine="420"/>
      </w:pPr>
    </w:p>
    <w:p w:rsidR="00A33AAE" w:rsidRDefault="00A33AAE"/>
    <w:sectPr w:rsidR="00A33AAE" w:rsidSect="009D4E6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AAE" w:rsidRDefault="00A33AAE" w:rsidP="009D4E67">
      <w:r>
        <w:separator/>
      </w:r>
    </w:p>
  </w:endnote>
  <w:endnote w:type="continuationSeparator" w:id="1">
    <w:p w:rsidR="00A33AAE" w:rsidRDefault="00A33AAE" w:rsidP="009D4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AAE" w:rsidRDefault="00A33AAE" w:rsidP="009D4E67">
      <w:r>
        <w:separator/>
      </w:r>
    </w:p>
  </w:footnote>
  <w:footnote w:type="continuationSeparator" w:id="1">
    <w:p w:rsidR="00A33AAE" w:rsidRDefault="00A33AAE" w:rsidP="009D4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706756"/>
    <w:multiLevelType w:val="singleLevel"/>
    <w:tmpl w:val="CD706756"/>
    <w:lvl w:ilvl="0">
      <w:start w:val="1"/>
      <w:numFmt w:val="decimal"/>
      <w:suff w:val="nothing"/>
      <w:lvlText w:val="（%1）"/>
      <w:lvlJc w:val="left"/>
    </w:lvl>
  </w:abstractNum>
  <w:abstractNum w:abstractNumId="1">
    <w:nsid w:val="DF632E9D"/>
    <w:multiLevelType w:val="singleLevel"/>
    <w:tmpl w:val="DF632E9D"/>
    <w:lvl w:ilvl="0">
      <w:start w:val="10"/>
      <w:numFmt w:val="decimal"/>
      <w:suff w:val="nothing"/>
      <w:lvlText w:val="%1、"/>
      <w:lvlJc w:val="left"/>
    </w:lvl>
  </w:abstractNum>
  <w:abstractNum w:abstractNumId="2">
    <w:nsid w:val="2C2EB95D"/>
    <w:multiLevelType w:val="singleLevel"/>
    <w:tmpl w:val="2C2EB95D"/>
    <w:lvl w:ilvl="0">
      <w:start w:val="1"/>
      <w:numFmt w:val="decimal"/>
      <w:suff w:val="nothing"/>
      <w:lvlText w:val="%1、"/>
      <w:lvlJc w:val="left"/>
    </w:lvl>
  </w:abstractNum>
  <w:abstractNum w:abstractNumId="3">
    <w:nsid w:val="4CF16250"/>
    <w:multiLevelType w:val="singleLevel"/>
    <w:tmpl w:val="4CF16250"/>
    <w:lvl w:ilvl="0">
      <w:start w:val="1"/>
      <w:numFmt w:val="decimal"/>
      <w:suff w:val="nothing"/>
      <w:lvlText w:val="%1、"/>
      <w:lvlJc w:val="left"/>
    </w:lvl>
  </w:abstractNum>
  <w:abstractNum w:abstractNumId="4">
    <w:nsid w:val="7DF56F41"/>
    <w:multiLevelType w:val="multilevel"/>
    <w:tmpl w:val="7DF56F4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E67"/>
    <w:rsid w:val="009D4E67"/>
    <w:rsid w:val="00A33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67"/>
    <w:pPr>
      <w:widowControl w:val="0"/>
      <w:jc w:val="both"/>
    </w:pPr>
    <w:rPr>
      <w:rFonts w:ascii="Times New Roman" w:eastAsia="宋体" w:hAnsi="Times New Roman" w:cs="Times New Roman"/>
      <w:szCs w:val="24"/>
    </w:rPr>
  </w:style>
  <w:style w:type="paragraph" w:styleId="1">
    <w:name w:val="heading 1"/>
    <w:basedOn w:val="a"/>
    <w:next w:val="a"/>
    <w:link w:val="1Char"/>
    <w:qFormat/>
    <w:rsid w:val="009D4E67"/>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9D4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D4E67"/>
    <w:rPr>
      <w:sz w:val="18"/>
      <w:szCs w:val="18"/>
    </w:rPr>
  </w:style>
  <w:style w:type="paragraph" w:styleId="a4">
    <w:name w:val="footer"/>
    <w:basedOn w:val="a"/>
    <w:link w:val="Char0"/>
    <w:unhideWhenUsed/>
    <w:rsid w:val="009D4E67"/>
    <w:pPr>
      <w:tabs>
        <w:tab w:val="center" w:pos="4153"/>
        <w:tab w:val="right" w:pos="8306"/>
      </w:tabs>
      <w:snapToGrid w:val="0"/>
      <w:jc w:val="left"/>
    </w:pPr>
    <w:rPr>
      <w:sz w:val="18"/>
      <w:szCs w:val="18"/>
    </w:rPr>
  </w:style>
  <w:style w:type="character" w:customStyle="1" w:styleId="Char0">
    <w:name w:val="页脚 Char"/>
    <w:basedOn w:val="a0"/>
    <w:link w:val="a4"/>
    <w:qFormat/>
    <w:rsid w:val="009D4E67"/>
    <w:rPr>
      <w:sz w:val="18"/>
      <w:szCs w:val="18"/>
    </w:rPr>
  </w:style>
  <w:style w:type="character" w:customStyle="1" w:styleId="1Char">
    <w:name w:val="标题 1 Char"/>
    <w:basedOn w:val="a0"/>
    <w:link w:val="1"/>
    <w:qFormat/>
    <w:rsid w:val="009D4E67"/>
    <w:rPr>
      <w:rFonts w:ascii="Calibri" w:eastAsia="宋体" w:hAnsi="Calibri" w:cs="Times New Roman"/>
      <w:b/>
      <w:bCs/>
      <w:kern w:val="44"/>
      <w:sz w:val="44"/>
      <w:szCs w:val="44"/>
    </w:rPr>
  </w:style>
  <w:style w:type="paragraph" w:styleId="a5">
    <w:name w:val="Plain Text"/>
    <w:basedOn w:val="a"/>
    <w:link w:val="Char1"/>
    <w:rsid w:val="009D4E67"/>
    <w:rPr>
      <w:rFonts w:ascii="宋体" w:hAnsi="Courier New" w:cs="Courier New"/>
      <w:szCs w:val="21"/>
    </w:rPr>
  </w:style>
  <w:style w:type="character" w:customStyle="1" w:styleId="Char1">
    <w:name w:val="纯文本 Char"/>
    <w:basedOn w:val="a0"/>
    <w:link w:val="a5"/>
    <w:rsid w:val="009D4E67"/>
    <w:rPr>
      <w:rFonts w:ascii="宋体" w:eastAsia="宋体" w:hAnsi="Courier New" w:cs="Courier New"/>
      <w:szCs w:val="21"/>
    </w:rPr>
  </w:style>
  <w:style w:type="character" w:styleId="a6">
    <w:name w:val="page number"/>
    <w:basedOn w:val="a0"/>
    <w:rsid w:val="009D4E67"/>
  </w:style>
  <w:style w:type="paragraph" w:styleId="a7">
    <w:name w:val="Balloon Text"/>
    <w:basedOn w:val="a"/>
    <w:link w:val="Char2"/>
    <w:rsid w:val="009D4E67"/>
    <w:rPr>
      <w:sz w:val="18"/>
      <w:szCs w:val="18"/>
    </w:rPr>
  </w:style>
  <w:style w:type="character" w:customStyle="1" w:styleId="Char2">
    <w:name w:val="批注框文本 Char"/>
    <w:basedOn w:val="a0"/>
    <w:link w:val="a7"/>
    <w:rsid w:val="009D4E67"/>
    <w:rPr>
      <w:rFonts w:ascii="Times New Roman" w:eastAsia="宋体" w:hAnsi="Times New Roman" w:cs="Times New Roman"/>
      <w:sz w:val="18"/>
      <w:szCs w:val="18"/>
    </w:rPr>
  </w:style>
  <w:style w:type="paragraph" w:customStyle="1" w:styleId="a8">
    <w:name w:val="首行缩进"/>
    <w:basedOn w:val="a"/>
    <w:qFormat/>
    <w:rsid w:val="009D4E67"/>
    <w:pPr>
      <w:ind w:firstLineChars="200" w:firstLine="480"/>
    </w:pPr>
    <w:rPr>
      <w:lang w:val="zh-CN"/>
    </w:rPr>
  </w:style>
  <w:style w:type="table" w:styleId="a9">
    <w:name w:val="Table Grid"/>
    <w:basedOn w:val="a1"/>
    <w:qFormat/>
    <w:rsid w:val="009D4E6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nhideWhenUsed/>
    <w:qFormat/>
    <w:rsid w:val="009D4E67"/>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993</Words>
  <Characters>5661</Characters>
  <Application>Microsoft Office Word</Application>
  <DocSecurity>0</DocSecurity>
  <Lines>47</Lines>
  <Paragraphs>13</Paragraphs>
  <ScaleCrop>false</ScaleCrop>
  <Company>微软中国</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2021-04-21T00:34:00Z</dcterms:created>
  <dcterms:modified xsi:type="dcterms:W3CDTF">2021-04-21T00:34:00Z</dcterms:modified>
</cp:coreProperties>
</file>