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84"/>
        </w:rPr>
      </w:pPr>
    </w:p>
    <w:p>
      <w:pPr>
        <w:jc w:val="center"/>
        <w:rPr>
          <w:b/>
          <w:sz w:val="72"/>
          <w:szCs w:val="84"/>
        </w:rPr>
      </w:pPr>
      <w:r>
        <w:rPr>
          <w:b/>
          <w:sz w:val="72"/>
          <w:szCs w:val="84"/>
        </w:rPr>
        <w:t>湖南省地方标准</w:t>
      </w:r>
    </w:p>
    <w:p>
      <w:pPr>
        <w:jc w:val="center"/>
        <w:rPr>
          <w:sz w:val="52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《</w:t>
      </w:r>
      <w:r>
        <w:rPr>
          <w:rFonts w:hint="eastAsia"/>
          <w:b/>
          <w:sz w:val="52"/>
          <w:szCs w:val="44"/>
        </w:rPr>
        <w:t>邵东玉竹</w:t>
      </w:r>
      <w:r>
        <w:rPr>
          <w:b/>
          <w:sz w:val="52"/>
          <w:szCs w:val="44"/>
        </w:rPr>
        <w:t>》</w:t>
      </w:r>
    </w:p>
    <w:p>
      <w:pPr>
        <w:jc w:val="center"/>
        <w:rPr>
          <w:rFonts w:ascii="Times New Roman" w:hAnsi="Times New Roman" w:cs="Times New Roman"/>
          <w:b/>
          <w:sz w:val="52"/>
          <w:szCs w:val="44"/>
        </w:rPr>
      </w:pPr>
      <w:r>
        <w:rPr>
          <w:rFonts w:hint="eastAsia" w:ascii="Times New Roman" w:hAnsi="Times New Roman" w:cs="Times New Roman"/>
          <w:b/>
          <w:sz w:val="52"/>
          <w:szCs w:val="44"/>
        </w:rPr>
        <w:t>修订</w:t>
      </w:r>
      <w:r>
        <w:rPr>
          <w:rFonts w:ascii="Times New Roman" w:hAnsi="Times New Roman" w:cs="Times New Roman"/>
          <w:b/>
          <w:sz w:val="52"/>
          <w:szCs w:val="44"/>
        </w:rPr>
        <w:t>说明</w:t>
      </w:r>
    </w:p>
    <w:p>
      <w:pPr>
        <w:rPr>
          <w:sz w:val="36"/>
          <w:szCs w:val="44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1680" w:firstLineChars="6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编制单位：邵东玉竹行业协会</w:t>
      </w:r>
    </w:p>
    <w:p>
      <w:pPr>
        <w:ind w:firstLine="3080" w:firstLineChars="11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湖南农业大学</w:t>
      </w:r>
    </w:p>
    <w:p>
      <w:pPr>
        <w:ind w:firstLine="3080" w:firstLineChars="11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湖南中医药大学</w:t>
      </w:r>
    </w:p>
    <w:p>
      <w:pPr>
        <w:ind w:left="1838" w:leftChars="875" w:firstLine="1198" w:firstLineChars="428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湖南中医研究院</w:t>
      </w:r>
    </w:p>
    <w:p>
      <w:pPr>
        <w:ind w:left="1838" w:leftChars="875" w:firstLine="1198" w:firstLineChars="428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湖南农科院</w:t>
      </w:r>
    </w:p>
    <w:p>
      <w:pPr>
        <w:ind w:left="1838" w:leftChars="875" w:firstLine="1198" w:firstLineChars="428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湖南天宏药业有限公司</w:t>
      </w:r>
    </w:p>
    <w:p>
      <w:pPr>
        <w:ind w:left="1838" w:leftChars="875" w:firstLine="1198" w:firstLineChars="428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湖南南国药都中药饮片有限公司</w:t>
      </w:r>
    </w:p>
    <w:p>
      <w:pPr>
        <w:ind w:left="1838" w:leftChars="875" w:firstLine="1198" w:firstLineChars="428"/>
        <w:rPr>
          <w:sz w:val="32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邵阳农科院</w:t>
      </w:r>
    </w:p>
    <w:p>
      <w:pPr>
        <w:ind w:left="1772" w:leftChars="742" w:hanging="214" w:hangingChars="67"/>
        <w:rPr>
          <w:sz w:val="32"/>
          <w:szCs w:val="28"/>
        </w:rPr>
      </w:pPr>
    </w:p>
    <w:p>
      <w:pPr>
        <w:ind w:left="1772" w:leftChars="742" w:hanging="214" w:hangingChars="67"/>
        <w:rPr>
          <w:sz w:val="32"/>
          <w:szCs w:val="28"/>
        </w:rPr>
      </w:pPr>
    </w:p>
    <w:p>
      <w:pPr>
        <w:ind w:left="1772" w:leftChars="742" w:hanging="214" w:hangingChars="67"/>
        <w:rPr>
          <w:sz w:val="32"/>
          <w:szCs w:val="28"/>
        </w:rPr>
      </w:pPr>
    </w:p>
    <w:p>
      <w:pPr>
        <w:ind w:left="1772" w:leftChars="742" w:hanging="214" w:hangingChars="67"/>
        <w:rPr>
          <w:sz w:val="32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编制说明</w:t>
      </w:r>
    </w:p>
    <w:p>
      <w:pPr>
        <w:snapToGrid w:val="0"/>
        <w:spacing w:line="360" w:lineRule="auto"/>
        <w:ind w:firstLine="602" w:firstLineChars="200"/>
        <w:rPr>
          <w:b/>
          <w:sz w:val="30"/>
          <w:szCs w:val="30"/>
        </w:rPr>
      </w:pPr>
      <w:r>
        <w:rPr>
          <w:b/>
          <w:sz w:val="30"/>
          <w:szCs w:val="30"/>
        </w:rPr>
        <w:t>一、工作简</w:t>
      </w:r>
      <w:r>
        <w:rPr>
          <w:rFonts w:hint="eastAsia"/>
          <w:b/>
          <w:sz w:val="30"/>
          <w:szCs w:val="30"/>
        </w:rPr>
        <w:t>况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1.标准</w:t>
      </w:r>
      <w:r>
        <w:rPr>
          <w:rFonts w:hint="eastAsia"/>
          <w:b/>
          <w:sz w:val="28"/>
          <w:szCs w:val="28"/>
        </w:rPr>
        <w:t>修订</w:t>
      </w:r>
      <w:r>
        <w:rPr>
          <w:b/>
          <w:sz w:val="28"/>
          <w:szCs w:val="28"/>
        </w:rPr>
        <w:t>项目的来源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本项目由湖南省邵东玉竹行业协会于2017年10月向湖南省市场监督管理局申请，于2018年8月批准立项，项目起止时间为2017年10月至2019年10月。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近年课题组先后承担了玉竹规范化种植基地及其SOP优化升级研究等项目，对邵东玉竹的科学化栽培、有效成分的分离提取及标准化管理取得了长足进展。为进一步保护好邵东县玉竹原产地认证，加大推广邵东玉竹为药食同源及养生用品产品的推广应用，应对当代社会对邵东玉竹的需求，特对原湖南省</w:t>
      </w:r>
      <w:r>
        <w:rPr>
          <w:rFonts w:hint="eastAsia"/>
          <w:sz w:val="28"/>
          <w:szCs w:val="28"/>
        </w:rPr>
        <w:t>地方标准《邵东玉竹》（</w:t>
      </w:r>
      <w:r>
        <w:rPr>
          <w:sz w:val="28"/>
          <w:szCs w:val="28"/>
        </w:rPr>
        <w:t>DB43/254-2005</w:t>
      </w:r>
      <w:r>
        <w:rPr>
          <w:rFonts w:hint="eastAsia"/>
          <w:sz w:val="28"/>
          <w:szCs w:val="28"/>
        </w:rPr>
        <w:t>）进行修订。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2.起草单位、协作单位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湖南省邵东玉竹行业协会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cs="Times New Roman"/>
          <w:sz w:val="28"/>
          <w:szCs w:val="28"/>
        </w:rPr>
        <w:t>湖南农业大学为该标准修订编制的主要承担单位，整体负责起草。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湖南中医药大学、湖南中医研究院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湖南农科院、湖南天宏药业有限公司、湖南南国药都中药饮片有限公司和邵阳农科院</w:t>
      </w:r>
      <w:r>
        <w:rPr>
          <w:rFonts w:hint="eastAsia" w:ascii="Times New Roman" w:hAnsi="Times New Roman" w:cs="Times New Roman"/>
          <w:sz w:val="28"/>
          <w:szCs w:val="28"/>
        </w:rPr>
        <w:t>为邵东玉竹繁育技术研究和示范推广单位，协助起草本标准，并提出了极其宝贵的意见和建议。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3.主要起草人及分工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项目负责人从事</w:t>
      </w:r>
      <w:r>
        <w:rPr>
          <w:rFonts w:hint="eastAsia"/>
          <w:sz w:val="28"/>
          <w:szCs w:val="28"/>
        </w:rPr>
        <w:t>邵东玉竹</w:t>
      </w:r>
      <w:r>
        <w:rPr>
          <w:sz w:val="28"/>
          <w:szCs w:val="28"/>
        </w:rPr>
        <w:t>种苗生产</w:t>
      </w:r>
      <w:r>
        <w:rPr>
          <w:rFonts w:hint="eastAsia"/>
          <w:sz w:val="28"/>
          <w:szCs w:val="28"/>
        </w:rPr>
        <w:t>和和栽培</w:t>
      </w:r>
      <w:r>
        <w:rPr>
          <w:sz w:val="28"/>
          <w:szCs w:val="28"/>
        </w:rPr>
        <w:t>研究多年，熟悉</w:t>
      </w:r>
      <w:r>
        <w:rPr>
          <w:rFonts w:hint="eastAsia"/>
          <w:sz w:val="28"/>
          <w:szCs w:val="28"/>
        </w:rPr>
        <w:t>邵东玉竹</w:t>
      </w:r>
      <w:r>
        <w:rPr>
          <w:sz w:val="28"/>
          <w:szCs w:val="28"/>
        </w:rPr>
        <w:t>生产的关键技术和环节。项目组成员参与</w:t>
      </w:r>
      <w:r>
        <w:rPr>
          <w:rFonts w:hint="eastAsia"/>
          <w:sz w:val="28"/>
          <w:szCs w:val="28"/>
        </w:rPr>
        <w:t>邵东玉竹</w:t>
      </w:r>
      <w:r>
        <w:rPr>
          <w:sz w:val="28"/>
          <w:szCs w:val="28"/>
        </w:rPr>
        <w:t>种苗繁育技术</w:t>
      </w:r>
      <w:r>
        <w:rPr>
          <w:rFonts w:hint="eastAsia"/>
          <w:sz w:val="28"/>
          <w:szCs w:val="28"/>
        </w:rPr>
        <w:t>和玉竹有效成分提取</w:t>
      </w:r>
      <w:r>
        <w:rPr>
          <w:sz w:val="28"/>
          <w:szCs w:val="28"/>
        </w:rPr>
        <w:t>相关研究，并有参加相关标准编制的经历和工作经验，</w:t>
      </w:r>
      <w:r>
        <w:rPr>
          <w:rFonts w:hint="eastAsia"/>
          <w:sz w:val="28"/>
          <w:szCs w:val="28"/>
        </w:rPr>
        <w:t>能较好地完成邵东玉竹标注修订</w:t>
      </w:r>
      <w:r>
        <w:rPr>
          <w:sz w:val="28"/>
          <w:szCs w:val="28"/>
        </w:rPr>
        <w:t>编制工作。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294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08"/>
        <w:gridCol w:w="3098"/>
        <w:gridCol w:w="1266"/>
        <w:gridCol w:w="146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表1  项目主要参加单位及人员分工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41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彭晓英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湖南农业大学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>物</w:t>
            </w:r>
            <w:r>
              <w:rPr>
                <w:sz w:val="24"/>
                <w:szCs w:val="24"/>
              </w:rPr>
              <w:t>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副教授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标准编制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赵利平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邵东玉竹行业协会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华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湖南农业大学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生物学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标准编制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刘塔斯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湖南中医药大学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中药学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教  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张水寒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湖南中医研究院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中药学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教  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朱校奇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湖南农科院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  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研究员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申安平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湖南天宏药业有限公司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  张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湖南省南国药都中药饮片有限公司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基地管理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王兴辉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邵阳农科院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  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周小云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湖南农业大学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生物学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标准编制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  艳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湖南省南国药都中药饮片有限公司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  韬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湖南天宏药业有限公司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基地管理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刘湘丹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湖南中医药大学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中药学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龙世平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湖南农科院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  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助  研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钟  灿</w:t>
            </w:r>
          </w:p>
        </w:tc>
        <w:tc>
          <w:tcPr>
            <w:tcW w:w="3098" w:type="dxa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湖南中医研究院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中药学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助  研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数据采集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二、制定标准的必要性和意义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玉竹为黄精属多年生草本植物，为常用中药，在《神农本草经》、《本草正义》中均有记载。该药以根状茎入药，在我国有几千年的药用史，性平味甘，具有养阴清热、生津止咳等功效。主治口燥咽干、风湿咳嗽、热病烦渴等症。并可治疗尿频、遗精多汗、腰膝痛疼及糖尿病等症。科学研究证明，玉竹具有降血压、降血脂、改善心肌缺血、缓解动脉粥样硬化斑形成的作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而且对中风病有良好的预防和治疗作用。同时现代药理研究表明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玉竹的醇提物能增强免疫力，煎剂有扩张血管、抗急性心肌缺血、降压、抗衰老、抗菌作用，注射液有降血脂、抗动脉粥样硬化、抗肿瘤作用。除作药用外</w:t>
      </w:r>
      <w:r>
        <w:rPr>
          <w:rFonts w:hint="eastAsia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在沿海一带和东南亚国家还用于食品、饮料、保健品、化妆品与美容。</w:t>
      </w:r>
      <w:r>
        <w:rPr>
          <w:rFonts w:hint="eastAsia" w:ascii="Times New Roman" w:hAnsi="Times New Roman" w:cs="Times New Roman"/>
          <w:sz w:val="28"/>
          <w:szCs w:val="28"/>
        </w:rPr>
        <w:br w:type="textWrapping"/>
      </w:r>
      <w:r>
        <w:rPr>
          <w:rFonts w:hint="eastAsia" w:ascii="Times New Roman" w:hAnsi="Times New Roman" w:cs="Times New Roman"/>
          <w:sz w:val="28"/>
          <w:szCs w:val="28"/>
        </w:rPr>
        <w:t xml:space="preserve">    邵东玉竹种植历史悠久，为中国玉竹之乡。自公元14世纪明代开始，玉竹在邵东广泛种植，公元20世纪初，清末时期，该县种植玉竹达数千亩。目前，玉竹是邵东优势农产品，种植面积已达6万多亩，因其产量大、品质优而享誉海内外，占全国出口第一。从形态上观察，邵东玉竹与其他产区玉竹更为粗壮；从产量角度讲，种植邵东玉竹的亩产量远超其他品种；在炮制方面，邵东玉竹则有着很高的干制率；从成分上讲，湘玉竹的更大优势在于味甜糖质重。《中国药典2015版》中规定，玉竹中玉竹多糖的含量不得少于6.0 %，而邵东产玉竹中的玉竹多糖可高达10.0%，是所有玉竹品种中最好的一种，同时邵东玉竹所含氨基酸种类也较多，并含有丰富的人体必需微量元素Fe、Cu、Zn和 Mn，因此邵东玉竹已得到国家质量技术监督局的原产地域产品保护。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随着玉竹市场的不断扩大，农民玉竹用地轮作的可能性继续变小，许多不良商家以此为商机，以其他地方生长或者自家批量种植的玉竹以次充好，导致市场上出现许多打着邵东玉竹的名头出现的次品，忽悠买家，影响市场平衡。为了市场不被破坏，保护邵东玉竹的特色品牌，同时也为了打响邵东玉竹品牌，使邵东玉竹走向全国，走向世界，从而让更多的人了解邵东玉竹的优势特点及药食用功效，因此对邵东玉竹进行规范化管理势在必行。本项目组特对原湖南省地方标准《邵东玉竹》（DB43/254-2005）进行修订，以适应当代邵东玉竹产业发展和市场需求，从而发展好地方特色产业，增加农民收入，为邵东县域经济做出贡献。</w:t>
      </w:r>
    </w:p>
    <w:p>
      <w:pPr>
        <w:spacing w:before="156" w:beforeLines="50" w:after="156" w:afterLines="50" w:line="480" w:lineRule="exact"/>
        <w:ind w:firstLine="420" w:firstLineChars="200"/>
      </w:pP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三、主要起草过程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2018年8月，经湖南省市场监督局批准立项后，成立标准修订项目组并编制实施方案。2018年3月至2018年9月，进行资料收集和整理，2018年9月至2020年6月，收集样品对邵东玉竹各项理化指标进行检测，并总结多年的邵东玉竹种苗繁育及产品加工研究与实践，根据多年的试验数据和推广示范结果，参考相关文献资料，遵循国家标准GB/T1.1-2009标准化工作导则第1部分：标准的结构和编写规则，经项目组讨论修改，于2020年11月形成标准征求意见稿。2020年12月，征求且回收专家意见。根据意见修改标准，于2020年12月形成标准审查稿。2021年5月进行专家会议审查，按照标准审查意见修改形成标准审定稿。2021年12月报湖南省市场监督局审批并发布实施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标准编制技术路线：前期准备—项目查新—调研项目申报—项目立项—资料采集—数据统计—标准草稿的编写—编写编制说明—征求专家意见—回收专家意见—根据专家意见进行标准修改—形成标准审查稿—专家会议审查—标准再修改—形成标准审定稿—报湖南省市场监督局审批—发布实施。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四、标准编制原则和依据，与现行法律、法规、标准的关系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本文件按照GB/T 1.1-2020《标准化工作导则 第1部分：标准化文件的结构和起草规则》的规则起草。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本标准根据《地理标志产品保护规定》与GB17924 《地理标志产品标准通用要求》对邵东玉竹湖南省地方标准DB43/254 – 2005进行修订。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中国药典2020版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GB 2760   食品添加剂使用卫生标准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GB/T 5009.3  食品中水分的测定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GB/T 5009.34  食品中二氧化硫的测定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GB/T 5009.4  食品中灰分的测定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bookmarkStart w:id="0" w:name="OLE_LINK5"/>
      <w:bookmarkStart w:id="1" w:name="OLE_LINK7"/>
      <w:r>
        <w:rPr>
          <w:rFonts w:hint="eastAsia" w:ascii="Times New Roman" w:hAnsi="Times New Roman" w:cs="Times New Roman"/>
          <w:sz w:val="28"/>
          <w:szCs w:val="28"/>
        </w:rPr>
        <w:t xml:space="preserve">GB 7718 </w:t>
      </w:r>
      <w:bookmarkEnd w:id="0"/>
      <w:bookmarkEnd w:id="1"/>
      <w:bookmarkStart w:id="2" w:name="OLE_LINK10"/>
      <w:r>
        <w:rPr>
          <w:rFonts w:hint="eastAsia" w:ascii="Times New Roman" w:hAnsi="Times New Roman" w:cs="Times New Roman"/>
          <w:sz w:val="28"/>
          <w:szCs w:val="28"/>
        </w:rPr>
        <w:t>预包装食品标签通则</w:t>
      </w:r>
    </w:p>
    <w:bookmarkEnd w:id="2"/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bookmarkStart w:id="3" w:name="OLE_LINK2"/>
      <w:bookmarkStart w:id="4" w:name="OLE_LINK1"/>
      <w:bookmarkStart w:id="5" w:name="OLE_LINK8"/>
      <w:r>
        <w:rPr>
          <w:rFonts w:hint="eastAsia" w:ascii="Times New Roman" w:hAnsi="Times New Roman" w:cs="Times New Roman"/>
          <w:sz w:val="28"/>
          <w:szCs w:val="28"/>
        </w:rPr>
        <w:t>GB/T</w:t>
      </w:r>
      <w:bookmarkEnd w:id="3"/>
      <w:bookmarkEnd w:id="4"/>
      <w:r>
        <w:rPr>
          <w:rFonts w:hint="eastAsia" w:ascii="Times New Roman" w:hAnsi="Times New Roman" w:cs="Times New Roman"/>
          <w:sz w:val="28"/>
          <w:szCs w:val="28"/>
        </w:rPr>
        <w:t xml:space="preserve"> 8855</w:t>
      </w:r>
      <w:bookmarkEnd w:id="5"/>
      <w:r>
        <w:rPr>
          <w:rFonts w:hint="eastAsia" w:ascii="Times New Roman" w:hAnsi="Times New Roman" w:cs="Times New Roman"/>
          <w:sz w:val="28"/>
          <w:szCs w:val="28"/>
        </w:rPr>
        <w:t xml:space="preserve">  新鲜水果和蔬菜的取样方法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bookmarkStart w:id="6" w:name="OLE_LINK4"/>
      <w:bookmarkStart w:id="7" w:name="OLE_LINK3"/>
      <w:r>
        <w:rPr>
          <w:rFonts w:hint="eastAsia" w:ascii="Times New Roman" w:hAnsi="Times New Roman" w:cs="Times New Roman"/>
          <w:sz w:val="28"/>
          <w:szCs w:val="28"/>
        </w:rPr>
        <w:t>GB17924  原产地域产品通用要求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GB/T 18407.1</w:t>
      </w:r>
      <w:bookmarkEnd w:id="6"/>
      <w:bookmarkEnd w:id="7"/>
      <w:r>
        <w:rPr>
          <w:rFonts w:hint="eastAsia" w:ascii="Times New Roman" w:hAnsi="Times New Roman" w:cs="Times New Roman"/>
          <w:sz w:val="28"/>
          <w:szCs w:val="28"/>
        </w:rPr>
        <w:t xml:space="preserve"> 农产品安全质量 无公害蔬菜产地环境要求</w:t>
      </w:r>
    </w:p>
    <w:p>
      <w:pPr>
        <w:snapToGrid w:val="0"/>
        <w:spacing w:line="360" w:lineRule="auto"/>
        <w:ind w:firstLine="560" w:firstLineChars="200"/>
      </w:pPr>
      <w:bookmarkStart w:id="8" w:name="OLE_LINK9"/>
      <w:r>
        <w:rPr>
          <w:rFonts w:hint="eastAsia" w:ascii="Times New Roman" w:hAnsi="Times New Roman" w:cs="Times New Roman"/>
          <w:sz w:val="28"/>
          <w:szCs w:val="28"/>
        </w:rPr>
        <w:t>WM-T2</w:t>
      </w:r>
      <w:bookmarkEnd w:id="8"/>
      <w:r>
        <w:rPr>
          <w:rFonts w:hint="eastAsia" w:ascii="Times New Roman" w:hAnsi="Times New Roman" w:cs="Times New Roman"/>
          <w:sz w:val="28"/>
          <w:szCs w:val="28"/>
        </w:rPr>
        <w:t xml:space="preserve"> 药用植物及制剂进出口绿色行业标准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五、主要条款的说明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本标准主要修订内容：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前言：规范性文件添加GB 2760-96、GB/T 5009.34、GB/T 5009.4、GB17924、GB/T 18407.1、中国药典2020版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(完善标准规范）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3.定义：改为“术语与定义”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（完善)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3.1：将玉竹学名“Fragrant Solomonseal”改为“</w:t>
      </w:r>
      <w:r>
        <w:rPr>
          <w:rFonts w:hint="eastAsia" w:ascii="Times New Roman" w:hAnsi="Times New Roman" w:cs="Times New Roman"/>
          <w:i/>
          <w:iCs/>
          <w:sz w:val="28"/>
          <w:szCs w:val="28"/>
        </w:rPr>
        <w:t>Polygonatum odoratum</w:t>
      </w:r>
      <w:r>
        <w:rPr>
          <w:rFonts w:hint="eastAsia" w:ascii="Times New Roman" w:hAnsi="Times New Roman" w:cs="Times New Roman"/>
          <w:sz w:val="28"/>
          <w:szCs w:val="28"/>
        </w:rPr>
        <w:t xml:space="preserve"> ”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（依照中国药典2020版修改）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3.1：玉竹定义添加花期、果期及根茎肉质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（使其定义更完善）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5.1采收与加工：采收与加工细化，并添加加工后包装与贮藏内容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（使其内容更完善，通俗易懂）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5.3.1感官指标：外观进行了详细述说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（完善外观描述）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5.3.2感官理化指标：添加玉竹根茎性状与理化鉴别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（对玉竹感官更清晰，以及便于更好鉴别玉竹根茎）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5.4.1添加农药残留量指标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（依照《药用植物及制剂外经贸绿色行业标准》）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5.4.2重金属限量：添加铜、镉含量限量标准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（依标准修订要求，添加铜、镉含量限量标准）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5.4.4SO2残留量限量与测定：添加二氧化硫含量标准及含量测定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（依照食品添加剂使用卫生标准，添加二氧化硫含量标准及含量测定）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6.3.2：试验方法中“每500g枝数”改为“每500g相同厚度样品的枝数”、“天平”改为“计量器具”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（取样条件表达更加明确）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6.4.1水分与灰分：添加灰分含量限量和灰分测定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（因新版药典有总灰分含量限制，故添加灰分含量限量和灰分测定）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6.4.3对照品溶液与标准曲线的制备：对比中国药典发现内容有所不同，故依照中国药典2020版修改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（依据《中国药典》2020年版修改）。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6.4.3.1测定方法：最后一句“供试深液”改为“供试溶液”并末尾添加本品按干燥品计算，含玉竹多糖以葡萄糖（C6H12O6）计，不得少于6.0%。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（依据《中国药典》2020年版修改）。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六、重大意见分歧和处理依据和结果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无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七、作为推荐性标准的建议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建议修订后的《邵东玉竹》作为推荐性标准发布实施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八、贯彻标准的措施建议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建议修订本标准的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湖南省农业农村厅</w:t>
      </w:r>
      <w:r>
        <w:rPr>
          <w:rFonts w:hint="eastAsia" w:ascii="Times New Roman" w:hAnsi="Times New Roman" w:cs="Times New Roman"/>
          <w:sz w:val="28"/>
          <w:szCs w:val="28"/>
        </w:rPr>
        <w:t>作为归口管理单位来组织实施标准的贯彻执行。待湖南省市场监督管理局对本次修订</w:t>
      </w:r>
      <w:bookmarkStart w:id="9" w:name="_GoBack"/>
      <w:bookmarkEnd w:id="9"/>
      <w:r>
        <w:rPr>
          <w:rFonts w:hint="eastAsia" w:ascii="Times New Roman" w:hAnsi="Times New Roman" w:cs="Times New Roman"/>
          <w:sz w:val="28"/>
          <w:szCs w:val="28"/>
        </w:rPr>
        <w:t>的标准发布实施后，由归口管理单位组织相关邵东玉竹种苗生产企业和单位，以及下一级管理单位培训，加强标准的宣传推广，定期监督检查和评价。</w:t>
      </w: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九、其他应说明的事情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通过本规程的制定及推广应用，使湖南省邵东玉竹种苗培育、有效成分的分离提取及产品加工、贮藏等有规可循，确保邵东玉竹种苗的质量，为邵东玉竹优质种苗规模化生产提供技术支撑，其经济、社会和生态效益显著，能促进邵东玉竹产业健康发展。</w:t>
      </w:r>
    </w:p>
    <w:p>
      <w:pPr>
        <w:snapToGrid w:val="0"/>
        <w:spacing w:line="360" w:lineRule="auto"/>
        <w:rPr>
          <w:b/>
          <w:sz w:val="28"/>
          <w:szCs w:val="28"/>
        </w:rPr>
      </w:pPr>
    </w:p>
    <w:p>
      <w:pPr>
        <w:snapToGrid w:val="0"/>
        <w:spacing w:line="360" w:lineRule="auto"/>
        <w:rPr>
          <w:b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参考文献：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[1] 孟庆龙,崔文玉,刘雅婧,金莎,潘景芝.玉竹的化学成分及药理作用研究进展[J].上海中医药杂志,2020,54(09):93-98.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[2] 夏光辉. 玉竹二氢高异黄酮分离与抗氧化活性研究[D].沈阳农业大学,2020. 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[3]邵东县质量技术监督局，邵东县农业局，邵东县科技局.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DB 43/254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2005邵东玉竹[S]. 湖南: 湖南省质量技术监督局，2005.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[4]孙君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王路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张丽丽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等.玉竹乳酸发酵饮料加工中糖化工艺研究[J]. 农产品加工(学刊，2013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: 29-31.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[5]潘清平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贺又舜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等．邵东县玉竹种植基地的概况调查[J]．湖南中医学院学报，2003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: 49.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[6]张晓东．玉竹种植模式介绍[J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．湖南农业，2013(6):15.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]贾秀梅. 玉竹常见病害的发生及综合防治[J]. 特种经济动植物，2011,(10):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52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]郑永春，庄倩倩．几种肥料对玉竹栽培的影响研究[J]．北方园艺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2013 (06): 174-176.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]伍贤进，王依清，李胜华，等．南方玉竹规范化栽培技术规程[J]．安徽农业科学，2014，42(6):1669-1670.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 李素红,江明珠,姜晓坤,李天娇,李凤林,程碧君. 玉竹黄酮提取纯化及体外抗氧化研究[J].中国果菜,2020,40(08):45-51.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]毕武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周佳民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黄艳宁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等．湖南地区玉竹根腐病病原鉴定及其生物学特性研究[J]、中国现代中药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16(2)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133.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]王中武，奚广生，战任权．玉竹叶斑病病原鉴定及生物学特性研究[J].北方园艺，2014,(08): 112.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 刘梯楼.邵东玉竹营养成分分析[J].广东化工,2014,41(17):75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79.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]张健夫，赵忠伟．玉竹种子发芽试验初报[J]．种子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33(7): 99.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[15]马尧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林方涛，关爽等．不同药剂处理对玉竹种子发芽的影响研究[J].吉林农业科技学院学报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23(2): 1.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6]钟灿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熊礼平．层积催芽处理对玉竹种茎萌发特性的影响[J]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作物研究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:65.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达,李琳,张霞,陈君诚,李玉婷,夏明威,梁毅,李冰.玉竹多糖的提取工艺优化、结构表征及抗氧化活性的研究[J].食品科技,2020,45(07):200-208.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7]于营,刘亚苓,侯淑丽,欧阳艳飞,侯微,郭靖.玉竹主要农艺性状的相关性及主成分分析[J]. 特产研究,2020,42(03):21-24.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8]刘大伟,王二欢,李岩.不同产地玉竹形态指标、生理指标及组织抗寒性比较[J].山东农业大学学报(自然科学版),2020,51(06):1010-1015.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9]于营,刘亚苓,侯淑丽,欧阳艳飞,侯微,郭靖.玉竹主要农艺性状的相关性及主成分分析[J]. 特产研究,2020,42(03):21-24.</w:t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[20]谢嘉驰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罗纯清,王兴.中药玉竹质量控制研究进展[J].中国中医药科技,2020, 27(02):334-337.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FE"/>
    <w:rsid w:val="000E23D6"/>
    <w:rsid w:val="00104453"/>
    <w:rsid w:val="00136D6D"/>
    <w:rsid w:val="0015350C"/>
    <w:rsid w:val="001637D8"/>
    <w:rsid w:val="00172375"/>
    <w:rsid w:val="001B5315"/>
    <w:rsid w:val="002104FE"/>
    <w:rsid w:val="00252DF2"/>
    <w:rsid w:val="002E0FCA"/>
    <w:rsid w:val="003945B5"/>
    <w:rsid w:val="003A155A"/>
    <w:rsid w:val="003B7B7F"/>
    <w:rsid w:val="003D06E4"/>
    <w:rsid w:val="005A5776"/>
    <w:rsid w:val="00621CFB"/>
    <w:rsid w:val="007E4450"/>
    <w:rsid w:val="008034A3"/>
    <w:rsid w:val="00843E3C"/>
    <w:rsid w:val="0092341B"/>
    <w:rsid w:val="00923ABA"/>
    <w:rsid w:val="00966E64"/>
    <w:rsid w:val="00992168"/>
    <w:rsid w:val="00992C14"/>
    <w:rsid w:val="009B1230"/>
    <w:rsid w:val="009C4816"/>
    <w:rsid w:val="009D2644"/>
    <w:rsid w:val="00A37374"/>
    <w:rsid w:val="00A859F6"/>
    <w:rsid w:val="00AE2BA2"/>
    <w:rsid w:val="00B553D1"/>
    <w:rsid w:val="00BD6669"/>
    <w:rsid w:val="00CD05F5"/>
    <w:rsid w:val="00CE49E9"/>
    <w:rsid w:val="00DC1043"/>
    <w:rsid w:val="00DC407F"/>
    <w:rsid w:val="00DF03D6"/>
    <w:rsid w:val="00E21EA4"/>
    <w:rsid w:val="00ED4F3D"/>
    <w:rsid w:val="00F62D53"/>
    <w:rsid w:val="00FF3E9E"/>
    <w:rsid w:val="01940B7A"/>
    <w:rsid w:val="047A59EA"/>
    <w:rsid w:val="1F1E63EB"/>
    <w:rsid w:val="26C34B18"/>
    <w:rsid w:val="31C5466C"/>
    <w:rsid w:val="478F3B92"/>
    <w:rsid w:val="52533AE4"/>
    <w:rsid w:val="76DD17BE"/>
    <w:rsid w:val="79817162"/>
    <w:rsid w:val="7B0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段 Char"/>
    <w:link w:val="10"/>
    <w:qFormat/>
    <w:uiPriority w:val="0"/>
    <w:rPr>
      <w:rFonts w:ascii="宋体"/>
    </w:rPr>
  </w:style>
  <w:style w:type="paragraph" w:customStyle="1" w:styleId="10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738</Words>
  <Characters>4209</Characters>
  <Lines>35</Lines>
  <Paragraphs>9</Paragraphs>
  <TotalTime>10</TotalTime>
  <ScaleCrop>false</ScaleCrop>
  <LinksUpToDate>false</LinksUpToDate>
  <CharactersWithSpaces>4938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Windows User</dc:creator>
  <cp:lastModifiedBy>lenovo</cp:lastModifiedBy>
  <dcterms:modified xsi:type="dcterms:W3CDTF">2021-04-20T01:08:32Z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EDF93A6185254C8EA7F9C913281D753D</vt:lpwstr>
  </property>
</Properties>
</file>