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8C" w:rsidRPr="003B6B8C" w:rsidRDefault="008713E6" w:rsidP="003B6B8C">
      <w:pPr>
        <w:jc w:val="center"/>
        <w:rPr>
          <w:rFonts w:ascii="黑体" w:eastAsia="黑体" w:hAnsi="黑体" w:hint="eastAsia"/>
          <w:sz w:val="36"/>
        </w:rPr>
      </w:pPr>
      <w:r w:rsidRPr="003B6B8C">
        <w:rPr>
          <w:rFonts w:ascii="黑体" w:eastAsia="黑体" w:hAnsi="黑体" w:hint="eastAsia"/>
          <w:sz w:val="36"/>
        </w:rPr>
        <w:t>湖南省农业技术规程</w:t>
      </w:r>
    </w:p>
    <w:p w:rsidR="00A56454" w:rsidRPr="003B6B8C" w:rsidRDefault="008713E6" w:rsidP="003B6B8C">
      <w:pPr>
        <w:jc w:val="center"/>
        <w:rPr>
          <w:rFonts w:ascii="黑体" w:eastAsia="黑体" w:hAnsi="黑体"/>
          <w:sz w:val="36"/>
        </w:rPr>
      </w:pPr>
      <w:r w:rsidRPr="003B6B8C">
        <w:rPr>
          <w:rFonts w:ascii="黑体" w:eastAsia="黑体" w:hAnsi="黑体" w:hint="eastAsia"/>
          <w:sz w:val="36"/>
        </w:rPr>
        <w:t>“鱼-蛙-稻”立体生态种养模式操作技术规程</w:t>
      </w:r>
    </w:p>
    <w:p w:rsidR="00A56454" w:rsidRPr="003B6B8C" w:rsidRDefault="008713E6" w:rsidP="003B6B8C">
      <w:pPr>
        <w:jc w:val="center"/>
        <w:rPr>
          <w:rFonts w:ascii="黑体" w:eastAsia="黑体" w:hAnsi="黑体"/>
          <w:sz w:val="36"/>
        </w:rPr>
      </w:pPr>
      <w:r w:rsidRPr="003B6B8C">
        <w:rPr>
          <w:rFonts w:ascii="黑体" w:eastAsia="黑体" w:hAnsi="黑体" w:hint="eastAsia"/>
          <w:sz w:val="36"/>
        </w:rPr>
        <w:t>编制说明</w:t>
      </w:r>
    </w:p>
    <w:p w:rsidR="00A56454" w:rsidRPr="00E810E1" w:rsidRDefault="008713E6" w:rsidP="003B6B8C">
      <w:pPr>
        <w:spacing w:before="240" w:line="360" w:lineRule="auto"/>
        <w:rPr>
          <w:rFonts w:ascii="黑体" w:eastAsia="黑体" w:hAnsi="黑体"/>
          <w:sz w:val="28"/>
          <w:szCs w:val="28"/>
        </w:rPr>
      </w:pPr>
      <w:bookmarkStart w:id="0" w:name="_GoBack"/>
      <w:bookmarkEnd w:id="0"/>
      <w:r w:rsidRPr="00E810E1">
        <w:rPr>
          <w:rFonts w:ascii="黑体" w:eastAsia="黑体" w:hAnsi="黑体" w:hint="eastAsia"/>
          <w:sz w:val="28"/>
          <w:szCs w:val="28"/>
        </w:rPr>
        <w:t>一、</w:t>
      </w:r>
      <w:r w:rsidR="00E810E1" w:rsidRPr="00E810E1">
        <w:rPr>
          <w:rFonts w:ascii="黑体" w:eastAsia="黑体" w:hAnsi="黑体" w:hint="eastAsia"/>
          <w:sz w:val="28"/>
          <w:szCs w:val="28"/>
        </w:rPr>
        <w:t>项目背景及</w:t>
      </w:r>
      <w:r w:rsidRPr="00E810E1">
        <w:rPr>
          <w:rFonts w:ascii="黑体" w:eastAsia="黑体" w:hAnsi="黑体" w:hint="eastAsia"/>
          <w:sz w:val="28"/>
          <w:szCs w:val="28"/>
        </w:rPr>
        <w:t>目的意义</w:t>
      </w:r>
    </w:p>
    <w:p w:rsidR="00A56454" w:rsidRDefault="008713E6" w:rsidP="00C55F8C">
      <w:pPr>
        <w:pStyle w:val="a5"/>
        <w:spacing w:line="360" w:lineRule="auto"/>
        <w:ind w:firstLine="576"/>
        <w:rPr>
          <w:rFonts w:ascii="Times New Roman"/>
          <w:spacing w:val="4"/>
          <w:sz w:val="28"/>
          <w:szCs w:val="28"/>
        </w:rPr>
      </w:pPr>
      <w:r>
        <w:rPr>
          <w:rFonts w:ascii="Times New Roman" w:hint="eastAsia"/>
          <w:spacing w:val="4"/>
          <w:sz w:val="28"/>
          <w:szCs w:val="28"/>
        </w:rPr>
        <w:t>随着我国可利用耕地面积的日益减少和粮食单产潜力挖掘难度的增大，环境恶化导致的农产品安全问题日益严重，因地制宜地依靠改进和丰富种植模式来提升单位面积产值将是未来我国增加耕地总产值的一种有效途径。湖南地处长江中游以南，气候主要特点是热量充足、雨量充沛、光热水资源配合较好，为发展新型复合种植模式提供了优越的自然条件。而近年来以稻鱼，稻蛙，稻虾，</w:t>
      </w:r>
      <w:proofErr w:type="gramStart"/>
      <w:r>
        <w:rPr>
          <w:rFonts w:ascii="Times New Roman" w:hint="eastAsia"/>
          <w:spacing w:val="4"/>
          <w:sz w:val="28"/>
          <w:szCs w:val="28"/>
        </w:rPr>
        <w:t>稻鳖为</w:t>
      </w:r>
      <w:proofErr w:type="gramEnd"/>
      <w:r>
        <w:rPr>
          <w:rFonts w:ascii="Times New Roman" w:hint="eastAsia"/>
          <w:spacing w:val="4"/>
          <w:sz w:val="28"/>
          <w:szCs w:val="28"/>
        </w:rPr>
        <w:t>代表的稻田共养模式和技术的日趋成熟，为湖南省以稻鱼共养模式为基础，搭配以稻田复合养蛙以提升田间生物防治能力的新型复合种养模式提供了深厚的技术研究条件。</w:t>
      </w:r>
    </w:p>
    <w:p w:rsidR="00A56454" w:rsidRDefault="008713E6" w:rsidP="00C55F8C">
      <w:pPr>
        <w:pStyle w:val="a5"/>
        <w:spacing w:line="360" w:lineRule="auto"/>
        <w:ind w:firstLine="576"/>
        <w:rPr>
          <w:rFonts w:ascii="Times New Roman"/>
          <w:spacing w:val="4"/>
          <w:sz w:val="28"/>
          <w:szCs w:val="28"/>
        </w:rPr>
      </w:pPr>
      <w:r>
        <w:rPr>
          <w:rFonts w:ascii="Times New Roman" w:hint="eastAsia"/>
          <w:spacing w:val="4"/>
          <w:sz w:val="28"/>
          <w:szCs w:val="28"/>
        </w:rPr>
        <w:t>湖南是高档优质水稻的优势生态区，广大农户种植技术和习惯优良。众多的山地丘陵地区发展绿色农业的产业基础也较好。然而，单一种植水稻比较效益低下，劳动力需求也较大。为了在有限耕地面积的前提下提高水稻种植效益，缓解产值低与适种面积有限的矛盾，摸索以提升稻田绿色农产品产值为目标的“鱼蛙稻”复合种养模式意义重大。起草单位在前期工作和理论研究基础上，优化湘北、湘西丘陵山地地区传统的水稻种植技术，建立了以绿色优质水稻稳产为核心，利用绿色共养青蛙辅助进行生物防治，增收一季稻花鱼</w:t>
      </w:r>
      <w:r>
        <w:rPr>
          <w:rFonts w:ascii="Times New Roman" w:hint="eastAsia"/>
          <w:spacing w:val="4"/>
          <w:sz w:val="28"/>
          <w:szCs w:val="28"/>
        </w:rPr>
        <w:lastRenderedPageBreak/>
        <w:t>的新型立体种养模式，</w:t>
      </w:r>
      <w:r>
        <w:rPr>
          <w:rFonts w:hAnsi="宋体" w:hint="eastAsia"/>
          <w:sz w:val="28"/>
          <w:szCs w:val="28"/>
        </w:rPr>
        <w:t>并在全省适宜区域内进行了多点示范应用，证明了技术规程的实用性、可操作性，产值增值</w:t>
      </w:r>
      <w:r>
        <w:rPr>
          <w:rFonts w:ascii="Times New Roman" w:hint="eastAsia"/>
          <w:spacing w:val="4"/>
          <w:sz w:val="28"/>
          <w:szCs w:val="28"/>
        </w:rPr>
        <w:t>潜力巨大。</w:t>
      </w:r>
    </w:p>
    <w:p w:rsidR="00A56454" w:rsidRDefault="008713E6" w:rsidP="00C55F8C">
      <w:pPr>
        <w:pStyle w:val="a5"/>
        <w:spacing w:line="360" w:lineRule="auto"/>
        <w:ind w:firstLine="576"/>
        <w:rPr>
          <w:rFonts w:ascii="Times New Roman"/>
          <w:spacing w:val="4"/>
          <w:sz w:val="28"/>
          <w:szCs w:val="28"/>
        </w:rPr>
      </w:pPr>
      <w:r>
        <w:rPr>
          <w:rFonts w:ascii="Times New Roman" w:hint="eastAsia"/>
          <w:spacing w:val="4"/>
          <w:sz w:val="28"/>
          <w:szCs w:val="28"/>
        </w:rPr>
        <w:t>但是，由于没有规范性的操作标准，且田间工程改造、鱼蛙投放比例，稻鱼收获、水稻前中后期田间管理技术参数不明确，导致鱼，蛙，</w:t>
      </w:r>
      <w:proofErr w:type="gramStart"/>
      <w:r>
        <w:rPr>
          <w:rFonts w:ascii="Times New Roman" w:hint="eastAsia"/>
          <w:spacing w:val="4"/>
          <w:sz w:val="28"/>
          <w:szCs w:val="28"/>
        </w:rPr>
        <w:t>稻协调</w:t>
      </w:r>
      <w:proofErr w:type="gramEnd"/>
      <w:r>
        <w:rPr>
          <w:rFonts w:ascii="Times New Roman" w:hint="eastAsia"/>
          <w:spacing w:val="4"/>
          <w:sz w:val="28"/>
          <w:szCs w:val="28"/>
        </w:rPr>
        <w:t>增产潜力没有完全发挥出来，影响了该项技术的推广应用。因此，为了优化种养配套技术，确保复合种养模式高产高效，制定湖南省</w:t>
      </w:r>
      <w:r>
        <w:rPr>
          <w:rFonts w:asciiTheme="majorEastAsia" w:eastAsiaTheme="majorEastAsia" w:hAnsiTheme="majorEastAsia" w:cstheme="majorEastAsia" w:hint="eastAsia"/>
          <w:sz w:val="28"/>
          <w:szCs w:val="28"/>
        </w:rPr>
        <w:t>“鱼-蛙-稻”立体生态种养模式</w:t>
      </w:r>
      <w:r>
        <w:rPr>
          <w:rFonts w:ascii="Times New Roman" w:hint="eastAsia"/>
          <w:spacing w:val="4"/>
          <w:sz w:val="28"/>
          <w:szCs w:val="28"/>
        </w:rPr>
        <w:t>技术规程是必要和紧迫的。</w:t>
      </w:r>
    </w:p>
    <w:p w:rsidR="00A56454" w:rsidRPr="00C55F8C" w:rsidRDefault="008713E6">
      <w:pPr>
        <w:spacing w:line="360" w:lineRule="auto"/>
        <w:rPr>
          <w:rFonts w:ascii="黑体" w:eastAsia="黑体" w:hAnsi="黑体"/>
          <w:sz w:val="28"/>
          <w:szCs w:val="28"/>
        </w:rPr>
      </w:pPr>
      <w:r w:rsidRPr="00C55F8C">
        <w:rPr>
          <w:rFonts w:ascii="黑体" w:eastAsia="黑体" w:hAnsi="黑体" w:hint="eastAsia"/>
          <w:sz w:val="28"/>
          <w:szCs w:val="28"/>
        </w:rPr>
        <w:t>二、工作概况</w:t>
      </w:r>
    </w:p>
    <w:p w:rsidR="00FD7270" w:rsidRPr="00AD3B72" w:rsidRDefault="00FD7270" w:rsidP="00C16E00">
      <w:pPr>
        <w:spacing w:line="360" w:lineRule="auto"/>
        <w:ind w:firstLineChars="200" w:firstLine="560"/>
        <w:rPr>
          <w:rFonts w:ascii="黑体" w:eastAsia="黑体" w:hAnsi="黑体"/>
          <w:sz w:val="28"/>
          <w:szCs w:val="28"/>
        </w:rPr>
      </w:pPr>
      <w:r w:rsidRPr="00AD3B72">
        <w:rPr>
          <w:rFonts w:ascii="黑体" w:eastAsia="黑体" w:hAnsi="黑体" w:hint="eastAsia"/>
          <w:sz w:val="28"/>
          <w:szCs w:val="28"/>
        </w:rPr>
        <w:t>（一）任务来源</w:t>
      </w:r>
    </w:p>
    <w:p w:rsidR="00A56454" w:rsidRPr="00C16E00" w:rsidRDefault="008713E6" w:rsidP="002D01DE">
      <w:pPr>
        <w:spacing w:line="360" w:lineRule="auto"/>
        <w:ind w:firstLineChars="200" w:firstLine="560"/>
        <w:rPr>
          <w:rFonts w:asciiTheme="minorEastAsia" w:eastAsiaTheme="minorEastAsia" w:hAnsiTheme="minorEastAsia"/>
          <w:sz w:val="28"/>
          <w:szCs w:val="28"/>
        </w:rPr>
      </w:pPr>
      <w:r w:rsidRPr="00C16E00">
        <w:rPr>
          <w:rFonts w:asciiTheme="minorEastAsia" w:eastAsiaTheme="minorEastAsia" w:hAnsiTheme="minorEastAsia" w:hint="eastAsia"/>
          <w:sz w:val="28"/>
          <w:szCs w:val="28"/>
        </w:rPr>
        <w:t>根据</w:t>
      </w:r>
      <w:r w:rsidR="002D01DE" w:rsidRPr="002D01DE">
        <w:rPr>
          <w:rFonts w:asciiTheme="minorEastAsia" w:eastAsiaTheme="minorEastAsia" w:hAnsiTheme="minorEastAsia" w:hint="eastAsia"/>
          <w:sz w:val="28"/>
          <w:szCs w:val="28"/>
        </w:rPr>
        <w:t>《关于下达2019年湖南省农业技术规程修订项目》</w:t>
      </w:r>
      <w:r w:rsidR="002D01DE">
        <w:rPr>
          <w:rFonts w:asciiTheme="minorEastAsia" w:eastAsiaTheme="minorEastAsia" w:hAnsiTheme="minorEastAsia" w:hint="eastAsia"/>
          <w:sz w:val="28"/>
          <w:szCs w:val="28"/>
        </w:rPr>
        <w:t>要求，以及</w:t>
      </w:r>
      <w:r w:rsidRPr="00C16E00">
        <w:rPr>
          <w:rFonts w:asciiTheme="minorEastAsia" w:eastAsiaTheme="minorEastAsia" w:hAnsiTheme="minorEastAsia" w:hint="eastAsia"/>
          <w:sz w:val="28"/>
          <w:szCs w:val="28"/>
        </w:rPr>
        <w:t>我省“鱼蛙稻”立体种养的生产技术需求，结合本单位研究现状，由湖南省作物研究所为主承担了《</w:t>
      </w:r>
      <w:r w:rsidRPr="00C16E00">
        <w:rPr>
          <w:rFonts w:asciiTheme="minorEastAsia" w:eastAsiaTheme="minorEastAsia" w:hAnsiTheme="minorEastAsia" w:cstheme="majorEastAsia" w:hint="eastAsia"/>
          <w:sz w:val="28"/>
          <w:szCs w:val="28"/>
        </w:rPr>
        <w:t>“鱼-蛙-稻”立体生态种养模式</w:t>
      </w:r>
      <w:r w:rsidRPr="00C16E00">
        <w:rPr>
          <w:rFonts w:asciiTheme="minorEastAsia" w:eastAsiaTheme="minorEastAsia" w:hAnsiTheme="minorEastAsia" w:hint="eastAsia"/>
          <w:spacing w:val="4"/>
          <w:sz w:val="28"/>
          <w:szCs w:val="28"/>
        </w:rPr>
        <w:t>技术规程</w:t>
      </w:r>
      <w:r w:rsidRPr="00C16E00">
        <w:rPr>
          <w:rFonts w:asciiTheme="minorEastAsia" w:eastAsiaTheme="minorEastAsia" w:hAnsiTheme="minorEastAsia" w:hint="eastAsia"/>
          <w:sz w:val="28"/>
          <w:szCs w:val="28"/>
        </w:rPr>
        <w:t>》的编制工作。</w:t>
      </w:r>
    </w:p>
    <w:p w:rsidR="00205E65" w:rsidRPr="00AD3B72" w:rsidRDefault="00205E65" w:rsidP="00C16E00">
      <w:pPr>
        <w:spacing w:line="360" w:lineRule="auto"/>
        <w:ind w:firstLineChars="200" w:firstLine="560"/>
        <w:rPr>
          <w:rFonts w:ascii="黑体" w:eastAsia="黑体" w:hAnsi="黑体"/>
          <w:sz w:val="28"/>
          <w:szCs w:val="28"/>
        </w:rPr>
      </w:pPr>
      <w:r w:rsidRPr="00AD3B72">
        <w:rPr>
          <w:rFonts w:ascii="黑体" w:eastAsia="黑体" w:hAnsi="黑体" w:hint="eastAsia"/>
          <w:sz w:val="28"/>
          <w:szCs w:val="28"/>
        </w:rPr>
        <w:t>（二）编制</w:t>
      </w:r>
      <w:r w:rsidR="006D08F6" w:rsidRPr="00AD3B72">
        <w:rPr>
          <w:rFonts w:ascii="黑体" w:eastAsia="黑体" w:hAnsi="黑体" w:hint="eastAsia"/>
          <w:sz w:val="28"/>
          <w:szCs w:val="28"/>
        </w:rPr>
        <w:t>小组</w:t>
      </w:r>
    </w:p>
    <w:p w:rsidR="00A56454" w:rsidRDefault="008713E6" w:rsidP="00C16E00">
      <w:pPr>
        <w:spacing w:line="360" w:lineRule="auto"/>
        <w:ind w:firstLineChars="200" w:firstLine="560"/>
        <w:rPr>
          <w:rFonts w:asciiTheme="minorEastAsia" w:eastAsiaTheme="minorEastAsia" w:hAnsiTheme="minorEastAsia"/>
          <w:sz w:val="28"/>
          <w:szCs w:val="28"/>
        </w:rPr>
      </w:pPr>
      <w:r w:rsidRPr="00C16E00">
        <w:rPr>
          <w:rFonts w:asciiTheme="minorEastAsia" w:eastAsiaTheme="minorEastAsia" w:hAnsiTheme="minorEastAsia" w:hint="eastAsia"/>
          <w:sz w:val="28"/>
          <w:szCs w:val="28"/>
        </w:rPr>
        <w:t>规程编制小组由湖南省作物研究所和湖南省农业科学</w:t>
      </w:r>
      <w:proofErr w:type="gramStart"/>
      <w:r w:rsidRPr="00C16E00">
        <w:rPr>
          <w:rFonts w:asciiTheme="minorEastAsia" w:eastAsiaTheme="minorEastAsia" w:hAnsiTheme="minorEastAsia" w:hint="eastAsia"/>
          <w:sz w:val="28"/>
          <w:szCs w:val="28"/>
        </w:rPr>
        <w:t>院相关</w:t>
      </w:r>
      <w:proofErr w:type="gramEnd"/>
      <w:r w:rsidRPr="00C16E00">
        <w:rPr>
          <w:rFonts w:asciiTheme="minorEastAsia" w:eastAsiaTheme="minorEastAsia" w:hAnsiTheme="minorEastAsia" w:hint="eastAsia"/>
          <w:sz w:val="28"/>
          <w:szCs w:val="28"/>
        </w:rPr>
        <w:t>长期从事相关研究工作的科研人员以及地方专技人员组成，负责相关研究和规程制修工作。主要起草人包括：刘文祥、刘波、韩叶刚、朱建宇、高自然。</w:t>
      </w:r>
    </w:p>
    <w:p w:rsidR="00205E65" w:rsidRPr="00AD3B72" w:rsidRDefault="00205E65" w:rsidP="00C16E00">
      <w:pPr>
        <w:spacing w:line="360" w:lineRule="auto"/>
        <w:ind w:firstLineChars="200" w:firstLine="560"/>
        <w:rPr>
          <w:rFonts w:ascii="黑体" w:eastAsia="黑体" w:hAnsi="黑体"/>
          <w:sz w:val="28"/>
          <w:szCs w:val="28"/>
        </w:rPr>
      </w:pPr>
      <w:r w:rsidRPr="00AD3B72">
        <w:rPr>
          <w:rFonts w:ascii="黑体" w:eastAsia="黑体" w:hAnsi="黑体" w:hint="eastAsia"/>
          <w:sz w:val="28"/>
          <w:szCs w:val="28"/>
        </w:rPr>
        <w:t>（三）编制过程</w:t>
      </w:r>
    </w:p>
    <w:p w:rsidR="00C35631"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8713E6" w:rsidRPr="00C16E00">
        <w:rPr>
          <w:rFonts w:asciiTheme="minorEastAsia" w:eastAsiaTheme="minorEastAsia" w:hAnsiTheme="minorEastAsia" w:hint="eastAsia"/>
          <w:sz w:val="28"/>
          <w:szCs w:val="28"/>
        </w:rPr>
        <w:t>工作基础</w:t>
      </w:r>
    </w:p>
    <w:p w:rsidR="00A56454" w:rsidRPr="00C16E00" w:rsidRDefault="008713E6" w:rsidP="00C16E00">
      <w:pPr>
        <w:spacing w:line="360" w:lineRule="auto"/>
        <w:ind w:firstLineChars="200" w:firstLine="560"/>
        <w:rPr>
          <w:rFonts w:asciiTheme="minorEastAsia" w:eastAsiaTheme="minorEastAsia" w:hAnsiTheme="minorEastAsia"/>
          <w:sz w:val="28"/>
          <w:szCs w:val="28"/>
        </w:rPr>
      </w:pPr>
      <w:r w:rsidRPr="00C16E00">
        <w:rPr>
          <w:rFonts w:asciiTheme="minorEastAsia" w:eastAsiaTheme="minorEastAsia" w:hAnsiTheme="minorEastAsia" w:hint="eastAsia"/>
          <w:sz w:val="28"/>
          <w:szCs w:val="28"/>
        </w:rPr>
        <w:t>湖南省作物研究所为湖南省农科院下属的科研事业单位，长期从</w:t>
      </w:r>
      <w:r w:rsidRPr="00C16E00">
        <w:rPr>
          <w:rFonts w:asciiTheme="minorEastAsia" w:eastAsiaTheme="minorEastAsia" w:hAnsiTheme="minorEastAsia" w:hint="eastAsia"/>
          <w:sz w:val="28"/>
          <w:szCs w:val="28"/>
        </w:rPr>
        <w:lastRenderedPageBreak/>
        <w:t>事作物新品种选育和配套栽培技术研究。借助湖南省农科院优质水稻研究，湖南农业大学稻田复合种养研究等技术研究基础优势，系统的开展了</w:t>
      </w:r>
      <w:r w:rsidRPr="00C16E00">
        <w:rPr>
          <w:rFonts w:asciiTheme="minorEastAsia" w:eastAsiaTheme="minorEastAsia" w:hAnsiTheme="minorEastAsia" w:cstheme="majorEastAsia" w:hint="eastAsia"/>
          <w:sz w:val="28"/>
          <w:szCs w:val="28"/>
        </w:rPr>
        <w:t>“鱼-蛙-稻”立体生态种养模式的</w:t>
      </w:r>
      <w:r w:rsidRPr="00C16E00">
        <w:rPr>
          <w:rFonts w:asciiTheme="minorEastAsia" w:eastAsiaTheme="minorEastAsia" w:hAnsiTheme="minorEastAsia" w:hint="eastAsia"/>
          <w:sz w:val="28"/>
          <w:szCs w:val="28"/>
        </w:rPr>
        <w:t>技术研究，并通过技术集成与应用，日益完善了配套技术环节，为本规程制定奠定了理论基础。</w:t>
      </w:r>
    </w:p>
    <w:p w:rsidR="00C35631"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2、工作方法</w:t>
      </w:r>
    </w:p>
    <w:p w:rsidR="00A56454" w:rsidRPr="00C16E00" w:rsidRDefault="00433D9F" w:rsidP="00433D9F">
      <w:pPr>
        <w:spacing w:line="360" w:lineRule="auto"/>
        <w:ind w:firstLineChars="200" w:firstLine="576"/>
        <w:rPr>
          <w:rFonts w:asciiTheme="minorEastAsia" w:eastAsiaTheme="minorEastAsia" w:hAnsiTheme="minorEastAsia"/>
          <w:spacing w:val="4"/>
          <w:sz w:val="28"/>
          <w:szCs w:val="28"/>
        </w:rPr>
      </w:pPr>
      <w:r>
        <w:rPr>
          <w:rFonts w:asciiTheme="minorEastAsia" w:eastAsiaTheme="minorEastAsia" w:hAnsiTheme="minorEastAsia" w:hint="eastAsia"/>
          <w:spacing w:val="4"/>
          <w:sz w:val="28"/>
          <w:szCs w:val="28"/>
        </w:rPr>
        <w:t>通过</w:t>
      </w:r>
      <w:r w:rsidR="008713E6" w:rsidRPr="00C16E00">
        <w:rPr>
          <w:rFonts w:asciiTheme="minorEastAsia" w:eastAsiaTheme="minorEastAsia" w:hAnsiTheme="minorEastAsia" w:hint="eastAsia"/>
          <w:sz w:val="28"/>
          <w:szCs w:val="28"/>
        </w:rPr>
        <w:t>调研了解湖南省主要复合</w:t>
      </w:r>
      <w:r w:rsidR="008713E6" w:rsidRPr="00C16E00">
        <w:rPr>
          <w:rFonts w:asciiTheme="minorEastAsia" w:eastAsiaTheme="minorEastAsia" w:hAnsiTheme="minorEastAsia" w:cstheme="majorEastAsia" w:hint="eastAsia"/>
          <w:sz w:val="28"/>
          <w:szCs w:val="28"/>
        </w:rPr>
        <w:t>种养模式的</w:t>
      </w:r>
      <w:r w:rsidR="008713E6" w:rsidRPr="00C16E00">
        <w:rPr>
          <w:rFonts w:asciiTheme="minorEastAsia" w:eastAsiaTheme="minorEastAsia" w:hAnsiTheme="minorEastAsia" w:hint="eastAsia"/>
          <w:spacing w:val="4"/>
          <w:sz w:val="28"/>
          <w:szCs w:val="28"/>
        </w:rPr>
        <w:t>技术需求</w:t>
      </w:r>
      <w:r w:rsidR="008713E6" w:rsidRPr="00C16E00">
        <w:rPr>
          <w:rFonts w:asciiTheme="minorEastAsia" w:eastAsiaTheme="minorEastAsia" w:hAnsiTheme="minorEastAsia" w:hint="eastAsia"/>
          <w:sz w:val="28"/>
          <w:szCs w:val="28"/>
        </w:rPr>
        <w:t>、推广现状以及存在的主要问题，提出</w:t>
      </w:r>
      <w:r w:rsidR="008713E6" w:rsidRPr="00C16E00">
        <w:rPr>
          <w:rFonts w:asciiTheme="minorEastAsia" w:eastAsiaTheme="minorEastAsia" w:hAnsiTheme="minorEastAsia" w:cstheme="majorEastAsia" w:hint="eastAsia"/>
          <w:sz w:val="28"/>
          <w:szCs w:val="28"/>
        </w:rPr>
        <w:t>“鱼-蛙-稻”立体生态种养模式</w:t>
      </w:r>
      <w:r w:rsidR="008713E6" w:rsidRPr="00C16E00">
        <w:rPr>
          <w:rFonts w:asciiTheme="minorEastAsia" w:eastAsiaTheme="minorEastAsia" w:hAnsiTheme="minorEastAsia" w:hint="eastAsia"/>
          <w:spacing w:val="4"/>
          <w:sz w:val="28"/>
          <w:szCs w:val="28"/>
        </w:rPr>
        <w:t>标准化生产技术</w:t>
      </w:r>
      <w:r w:rsidR="00263886">
        <w:rPr>
          <w:rFonts w:asciiTheme="minorEastAsia" w:eastAsiaTheme="minorEastAsia" w:hAnsiTheme="minorEastAsia" w:hint="eastAsia"/>
          <w:spacing w:val="4"/>
          <w:sz w:val="28"/>
          <w:szCs w:val="28"/>
        </w:rPr>
        <w:t>，规范种养过程。</w:t>
      </w:r>
    </w:p>
    <w:p w:rsidR="00C35631"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3、主要工作过程</w:t>
      </w:r>
    </w:p>
    <w:p w:rsidR="00C35631"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（1）成立标准起草小组</w:t>
      </w:r>
    </w:p>
    <w:p w:rsidR="00C35631"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2019年3月，成立</w:t>
      </w:r>
      <w:r w:rsidR="00235F13">
        <w:rPr>
          <w:rFonts w:asciiTheme="minorEastAsia" w:eastAsiaTheme="minorEastAsia" w:hAnsiTheme="minorEastAsia" w:hint="eastAsia"/>
          <w:sz w:val="28"/>
          <w:szCs w:val="28"/>
        </w:rPr>
        <w:t>了</w:t>
      </w:r>
      <w:r>
        <w:rPr>
          <w:rFonts w:asciiTheme="minorEastAsia" w:eastAsiaTheme="minorEastAsia" w:hAnsiTheme="minorEastAsia" w:hint="eastAsia"/>
          <w:sz w:val="28"/>
          <w:szCs w:val="28"/>
        </w:rPr>
        <w:t>标准起草小组</w:t>
      </w:r>
      <w:r w:rsidR="00003F72">
        <w:rPr>
          <w:rFonts w:asciiTheme="minorEastAsia" w:eastAsiaTheme="minorEastAsia" w:hAnsiTheme="minorEastAsia" w:hint="eastAsia"/>
          <w:sz w:val="28"/>
          <w:szCs w:val="28"/>
        </w:rPr>
        <w:t>，并</w:t>
      </w:r>
      <w:r w:rsidR="00235F13">
        <w:rPr>
          <w:rFonts w:asciiTheme="minorEastAsia" w:eastAsiaTheme="minorEastAsia" w:hAnsiTheme="minorEastAsia" w:hint="eastAsia"/>
          <w:sz w:val="28"/>
          <w:szCs w:val="28"/>
        </w:rPr>
        <w:t>制定了标准工作计划，标准制定工作正式启动。</w:t>
      </w:r>
    </w:p>
    <w:p w:rsidR="00C35631"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195DAD">
        <w:rPr>
          <w:rFonts w:asciiTheme="minorEastAsia" w:eastAsiaTheme="minorEastAsia" w:hAnsiTheme="minorEastAsia" w:hint="eastAsia"/>
          <w:sz w:val="28"/>
          <w:szCs w:val="28"/>
        </w:rPr>
        <w:t>开展</w:t>
      </w:r>
      <w:r>
        <w:rPr>
          <w:rFonts w:asciiTheme="minorEastAsia" w:eastAsiaTheme="minorEastAsia" w:hAnsiTheme="minorEastAsia" w:hint="eastAsia"/>
          <w:sz w:val="28"/>
          <w:szCs w:val="28"/>
        </w:rPr>
        <w:t>调研</w:t>
      </w:r>
    </w:p>
    <w:p w:rsidR="00C35631" w:rsidRDefault="00C35631" w:rsidP="00235F13">
      <w:pPr>
        <w:spacing w:line="360" w:lineRule="auto"/>
        <w:ind w:firstLineChars="200" w:firstLine="560"/>
        <w:rPr>
          <w:rFonts w:asciiTheme="minorEastAsia" w:eastAsiaTheme="minorEastAsia" w:hAnsiTheme="minorEastAsia"/>
          <w:sz w:val="28"/>
          <w:szCs w:val="28"/>
        </w:rPr>
      </w:pPr>
      <w:r w:rsidRPr="00C16E00">
        <w:rPr>
          <w:rFonts w:asciiTheme="minorEastAsia" w:eastAsiaTheme="minorEastAsia" w:hAnsiTheme="minorEastAsia" w:hint="eastAsia"/>
          <w:sz w:val="28"/>
          <w:szCs w:val="28"/>
        </w:rPr>
        <w:t>起草单位已经先期开展了相关田间工程改造，种苗投放技术，播种技术、田间管理、病虫害防治、肥料管理、收获管理等方面的研究。2019-2021年连续四年在湖南桃源、安化、武冈、洞口等地布置试验示范，进行技术相关参数获取；为进一步优化参数，于2019-2020年设计对比试验和标准化技术方案，筛选、优化适宜的水稻、鱼蛙品种并开展生态适应性、适宜播期、适宜密度等关键参数的多年多点试验；针对湖南春涝、高温等气候限制问题开展田间空间配置、鱼蛙投放技术、共养农艺融合技术研究，已经系统的摸索出了湖南</w:t>
      </w:r>
      <w:r w:rsidRPr="00C16E00">
        <w:rPr>
          <w:rFonts w:asciiTheme="minorEastAsia" w:eastAsiaTheme="minorEastAsia" w:hAnsiTheme="minorEastAsia" w:cstheme="majorEastAsia" w:hint="eastAsia"/>
          <w:sz w:val="28"/>
          <w:szCs w:val="28"/>
        </w:rPr>
        <w:t>“鱼-蛙-稻”立体生态种养模式的技术体系</w:t>
      </w:r>
      <w:r w:rsidRPr="00C16E00">
        <w:rPr>
          <w:rFonts w:asciiTheme="minorEastAsia" w:eastAsiaTheme="minorEastAsia" w:hAnsiTheme="minorEastAsia" w:hint="eastAsia"/>
          <w:sz w:val="28"/>
          <w:szCs w:val="28"/>
        </w:rPr>
        <w:t>。其中于2019年4月-11月在邵阳洞</w:t>
      </w:r>
      <w:r w:rsidRPr="00C16E00">
        <w:rPr>
          <w:rFonts w:asciiTheme="minorEastAsia" w:eastAsiaTheme="minorEastAsia" w:hAnsiTheme="minorEastAsia" w:hint="eastAsia"/>
          <w:sz w:val="28"/>
          <w:szCs w:val="28"/>
        </w:rPr>
        <w:lastRenderedPageBreak/>
        <w:t>口</w:t>
      </w:r>
      <w:proofErr w:type="gramStart"/>
      <w:r w:rsidRPr="00C16E00">
        <w:rPr>
          <w:rFonts w:asciiTheme="minorEastAsia" w:eastAsiaTheme="minorEastAsia" w:hAnsiTheme="minorEastAsia" w:hint="eastAsia"/>
          <w:sz w:val="28"/>
          <w:szCs w:val="28"/>
        </w:rPr>
        <w:t>桐</w:t>
      </w:r>
      <w:proofErr w:type="gramEnd"/>
      <w:r w:rsidRPr="00C16E00">
        <w:rPr>
          <w:rFonts w:asciiTheme="minorEastAsia" w:eastAsiaTheme="minorEastAsia" w:hAnsiTheme="minorEastAsia" w:hint="eastAsia"/>
          <w:sz w:val="28"/>
          <w:szCs w:val="28"/>
        </w:rPr>
        <w:t>山乡</w:t>
      </w:r>
      <w:proofErr w:type="gramStart"/>
      <w:r w:rsidRPr="00C16E00">
        <w:rPr>
          <w:rFonts w:asciiTheme="minorEastAsia" w:eastAsiaTheme="minorEastAsia" w:hAnsiTheme="minorEastAsia" w:hint="eastAsia"/>
          <w:sz w:val="28"/>
          <w:szCs w:val="28"/>
        </w:rPr>
        <w:t>椒</w:t>
      </w:r>
      <w:proofErr w:type="gramEnd"/>
      <w:r w:rsidRPr="00C16E00">
        <w:rPr>
          <w:rFonts w:asciiTheme="minorEastAsia" w:eastAsiaTheme="minorEastAsia" w:hAnsiTheme="minorEastAsia" w:hint="eastAsia"/>
          <w:sz w:val="28"/>
          <w:szCs w:val="28"/>
        </w:rPr>
        <w:t>林村，山门镇龙岩村进行了</w:t>
      </w:r>
      <w:r w:rsidRPr="00C16E00">
        <w:rPr>
          <w:rFonts w:asciiTheme="minorEastAsia" w:eastAsiaTheme="minorEastAsia" w:hAnsiTheme="minorEastAsia" w:cstheme="majorEastAsia" w:hint="eastAsia"/>
          <w:sz w:val="28"/>
          <w:szCs w:val="28"/>
        </w:rPr>
        <w:t>“鱼-蛙-稻”立体生态种养模式</w:t>
      </w:r>
      <w:r w:rsidRPr="00C16E00">
        <w:rPr>
          <w:rFonts w:asciiTheme="minorEastAsia" w:eastAsiaTheme="minorEastAsia" w:hAnsiTheme="minorEastAsia" w:hint="eastAsia"/>
          <w:sz w:val="28"/>
          <w:szCs w:val="28"/>
        </w:rPr>
        <w:t>标准化生产技术体系的示范，进行相关参数田间实测验证，示范效果良好。</w:t>
      </w:r>
    </w:p>
    <w:p w:rsidR="00C35631" w:rsidRPr="00C35631" w:rsidRDefault="00C35631" w:rsidP="00C3563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（4）确定标准框架及主要内容</w:t>
      </w:r>
    </w:p>
    <w:p w:rsidR="00B8537E" w:rsidRDefault="00C35631"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2020年12月，标准起草小组组织标准起草工作会议，讨论确定了标准框架及内容并明确了各章编写人员。</w:t>
      </w:r>
      <w:r w:rsidR="00B8537E">
        <w:rPr>
          <w:rFonts w:asciiTheme="minorEastAsia" w:eastAsiaTheme="minorEastAsia" w:hAnsiTheme="minorEastAsia" w:hint="eastAsia"/>
          <w:sz w:val="28"/>
          <w:szCs w:val="28"/>
        </w:rPr>
        <w:t>在前期研究的基础上，</w:t>
      </w:r>
      <w:r w:rsidR="00B8537E" w:rsidRPr="00C16E00">
        <w:rPr>
          <w:rFonts w:asciiTheme="minorEastAsia" w:eastAsiaTheme="minorEastAsia" w:hAnsiTheme="minorEastAsia" w:hint="eastAsia"/>
          <w:sz w:val="28"/>
          <w:szCs w:val="28"/>
        </w:rPr>
        <w:t>编制出规程初稿，初稿完成后对有关技术参数进行试验和优化，于2020年5月底形成了《</w:t>
      </w:r>
      <w:r w:rsidR="00B8537E" w:rsidRPr="00C16E00">
        <w:rPr>
          <w:rFonts w:asciiTheme="minorEastAsia" w:eastAsiaTheme="minorEastAsia" w:hAnsiTheme="minorEastAsia" w:cstheme="majorEastAsia" w:hint="eastAsia"/>
          <w:sz w:val="28"/>
          <w:szCs w:val="28"/>
        </w:rPr>
        <w:t>“鱼-蛙-稻”立体生态种养模式</w:t>
      </w:r>
      <w:r w:rsidR="00B8537E" w:rsidRPr="00C16E00">
        <w:rPr>
          <w:rFonts w:asciiTheme="minorEastAsia" w:eastAsiaTheme="minorEastAsia" w:hAnsiTheme="minorEastAsia" w:hint="eastAsia"/>
          <w:spacing w:val="4"/>
          <w:sz w:val="28"/>
          <w:szCs w:val="28"/>
        </w:rPr>
        <w:t>技术规程</w:t>
      </w:r>
      <w:r w:rsidR="00B8537E" w:rsidRPr="00C16E00">
        <w:rPr>
          <w:rFonts w:asciiTheme="minorEastAsia" w:eastAsiaTheme="minorEastAsia" w:hAnsiTheme="minorEastAsia" w:hint="eastAsia"/>
          <w:sz w:val="28"/>
          <w:szCs w:val="28"/>
        </w:rPr>
        <w:t>》初稿。</w:t>
      </w:r>
    </w:p>
    <w:p w:rsidR="00B8537E" w:rsidRDefault="00B8537E" w:rsidP="00C16E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（5）标准征求意见稿编制</w:t>
      </w:r>
    </w:p>
    <w:p w:rsidR="00A56454" w:rsidRDefault="00C16496" w:rsidP="00C16E00">
      <w:pPr>
        <w:spacing w:line="360" w:lineRule="auto"/>
        <w:ind w:firstLineChars="200" w:firstLine="560"/>
        <w:rPr>
          <w:rFonts w:ascii="宋体" w:hAnsi="宋体"/>
          <w:sz w:val="28"/>
          <w:szCs w:val="28"/>
        </w:rPr>
      </w:pPr>
      <w:r w:rsidRPr="00C16496">
        <w:rPr>
          <w:rFonts w:asciiTheme="minorEastAsia" w:eastAsiaTheme="minorEastAsia" w:hAnsiTheme="minorEastAsia" w:hint="eastAsia"/>
          <w:sz w:val="28"/>
          <w:szCs w:val="28"/>
        </w:rPr>
        <w:t>2020年6月至2021年3月</w:t>
      </w:r>
      <w:r w:rsidR="008713E6" w:rsidRPr="00C16496">
        <w:rPr>
          <w:rFonts w:asciiTheme="minorEastAsia" w:eastAsiaTheme="minorEastAsia" w:hAnsiTheme="minorEastAsia" w:hint="eastAsia"/>
          <w:sz w:val="28"/>
          <w:szCs w:val="28"/>
        </w:rPr>
        <w:t>，</w:t>
      </w:r>
      <w:r w:rsidR="00F072BA" w:rsidRPr="00F072BA">
        <w:rPr>
          <w:rFonts w:asciiTheme="minorEastAsia" w:eastAsiaTheme="minorEastAsia" w:hAnsiTheme="minorEastAsia" w:hint="eastAsia"/>
          <w:sz w:val="28"/>
          <w:szCs w:val="28"/>
        </w:rPr>
        <w:t>湖南省作物研究所</w:t>
      </w:r>
      <w:r>
        <w:rPr>
          <w:rFonts w:asciiTheme="minorEastAsia" w:eastAsiaTheme="minorEastAsia" w:hAnsiTheme="minorEastAsia" w:hint="eastAsia"/>
          <w:sz w:val="28"/>
          <w:szCs w:val="28"/>
        </w:rPr>
        <w:t>多次</w:t>
      </w:r>
      <w:r w:rsidR="008713E6" w:rsidRPr="00C16E00">
        <w:rPr>
          <w:rFonts w:asciiTheme="minorEastAsia" w:eastAsiaTheme="minorEastAsia" w:hAnsiTheme="minorEastAsia" w:hint="eastAsia"/>
          <w:sz w:val="28"/>
          <w:szCs w:val="28"/>
        </w:rPr>
        <w:t>组织湖南省农业科学院、湖南农业大学、湖南省农业农村厅等相关专家对规程初稿进行</w:t>
      </w:r>
      <w:r w:rsidR="00F072BA">
        <w:rPr>
          <w:rFonts w:asciiTheme="minorEastAsia" w:eastAsiaTheme="minorEastAsia" w:hAnsiTheme="minorEastAsia" w:hint="eastAsia"/>
          <w:sz w:val="28"/>
          <w:szCs w:val="28"/>
        </w:rPr>
        <w:t>讨论</w:t>
      </w:r>
      <w:r w:rsidR="008713E6" w:rsidRPr="00C16E00">
        <w:rPr>
          <w:rFonts w:asciiTheme="minorEastAsia" w:eastAsiaTheme="minorEastAsia" w:hAnsiTheme="minorEastAsia" w:hint="eastAsia"/>
          <w:sz w:val="28"/>
          <w:szCs w:val="28"/>
        </w:rPr>
        <w:t>，根据</w:t>
      </w:r>
      <w:r w:rsidR="00F072BA">
        <w:rPr>
          <w:rFonts w:asciiTheme="minorEastAsia" w:eastAsiaTheme="minorEastAsia" w:hAnsiTheme="minorEastAsia" w:hint="eastAsia"/>
          <w:sz w:val="28"/>
          <w:szCs w:val="28"/>
        </w:rPr>
        <w:t>各方讨论</w:t>
      </w:r>
      <w:r w:rsidR="008713E6" w:rsidRPr="00C16E00">
        <w:rPr>
          <w:rFonts w:asciiTheme="minorEastAsia" w:eastAsiaTheme="minorEastAsia" w:hAnsiTheme="minorEastAsia" w:hint="eastAsia"/>
          <w:sz w:val="28"/>
          <w:szCs w:val="28"/>
        </w:rPr>
        <w:t>意见对规程材料进一步完善，形成</w:t>
      </w:r>
      <w:r w:rsidR="00F072BA">
        <w:rPr>
          <w:rFonts w:asciiTheme="minorEastAsia" w:eastAsiaTheme="minorEastAsia" w:hAnsiTheme="minorEastAsia" w:hint="eastAsia"/>
          <w:sz w:val="28"/>
          <w:szCs w:val="28"/>
        </w:rPr>
        <w:t>了</w:t>
      </w:r>
      <w:r w:rsidR="00F072BA">
        <w:rPr>
          <w:rFonts w:ascii="宋体" w:hAnsi="宋体" w:hint="eastAsia"/>
          <w:sz w:val="28"/>
          <w:szCs w:val="28"/>
        </w:rPr>
        <w:t>征求意见</w:t>
      </w:r>
      <w:r w:rsidR="008713E6">
        <w:rPr>
          <w:rFonts w:ascii="宋体" w:hAnsi="宋体" w:hint="eastAsia"/>
          <w:sz w:val="28"/>
          <w:szCs w:val="28"/>
        </w:rPr>
        <w:t>稿。</w:t>
      </w:r>
    </w:p>
    <w:p w:rsidR="00A56454" w:rsidRPr="00987083" w:rsidRDefault="0028164C">
      <w:pPr>
        <w:spacing w:line="360" w:lineRule="auto"/>
        <w:rPr>
          <w:rFonts w:ascii="黑体" w:eastAsia="黑体" w:hAnsi="黑体"/>
          <w:sz w:val="28"/>
          <w:szCs w:val="28"/>
        </w:rPr>
      </w:pPr>
      <w:r>
        <w:rPr>
          <w:rFonts w:ascii="黑体" w:eastAsia="黑体" w:hAnsi="黑体" w:hint="eastAsia"/>
          <w:sz w:val="28"/>
          <w:szCs w:val="28"/>
        </w:rPr>
        <w:t>三</w:t>
      </w:r>
      <w:r w:rsidR="008713E6" w:rsidRPr="00987083">
        <w:rPr>
          <w:rFonts w:ascii="黑体" w:eastAsia="黑体" w:hAnsi="黑体" w:hint="eastAsia"/>
          <w:sz w:val="28"/>
          <w:szCs w:val="28"/>
        </w:rPr>
        <w:t>、规程编制原则与依据</w:t>
      </w:r>
    </w:p>
    <w:p w:rsidR="00A56454" w:rsidRDefault="008713E6" w:rsidP="0073091E">
      <w:pPr>
        <w:spacing w:line="360" w:lineRule="auto"/>
        <w:ind w:firstLineChars="200" w:firstLine="560"/>
        <w:rPr>
          <w:rFonts w:ascii="宋体" w:hAnsi="宋体"/>
          <w:sz w:val="28"/>
          <w:szCs w:val="28"/>
        </w:rPr>
      </w:pPr>
      <w:r>
        <w:rPr>
          <w:rFonts w:ascii="宋体" w:hAnsi="宋体" w:hint="eastAsia"/>
          <w:sz w:val="28"/>
          <w:szCs w:val="28"/>
        </w:rPr>
        <w:t>本规程根据《湖南省农业技术规程制定与发布管理规范》和湖南省农业农村厅有关文件要求编制。遵循“先进性、实用性、统一性”的原则，注重规程的可操作性、先进性、前瞻性。各项技术参数主要依据为湖南省作物研究所相关试验研究数据、国家行业标准、生产实践经验总结和公开发表的文献资料。</w:t>
      </w:r>
    </w:p>
    <w:p w:rsidR="00045903" w:rsidRDefault="008713E6">
      <w:pPr>
        <w:spacing w:line="360" w:lineRule="auto"/>
        <w:rPr>
          <w:rFonts w:ascii="黑体" w:eastAsia="黑体" w:hAnsi="黑体"/>
          <w:sz w:val="28"/>
          <w:szCs w:val="28"/>
        </w:rPr>
      </w:pPr>
      <w:r w:rsidRPr="00675B7C">
        <w:rPr>
          <w:rFonts w:ascii="黑体" w:eastAsia="黑体" w:hAnsi="黑体" w:hint="eastAsia"/>
          <w:sz w:val="28"/>
          <w:szCs w:val="28"/>
        </w:rPr>
        <w:t>四、</w:t>
      </w:r>
      <w:r w:rsidR="00045903">
        <w:rPr>
          <w:rFonts w:ascii="黑体" w:eastAsia="黑体" w:hAnsi="黑体" w:hint="eastAsia"/>
          <w:sz w:val="28"/>
          <w:szCs w:val="28"/>
        </w:rPr>
        <w:t>主要条款说明</w:t>
      </w:r>
    </w:p>
    <w:p w:rsidR="00045903" w:rsidRPr="00964966" w:rsidRDefault="00964966" w:rsidP="00964966">
      <w:pPr>
        <w:spacing w:line="360" w:lineRule="auto"/>
        <w:ind w:firstLineChars="200" w:firstLine="560"/>
        <w:rPr>
          <w:rFonts w:ascii="宋体" w:hAnsi="宋体"/>
          <w:sz w:val="28"/>
          <w:szCs w:val="28"/>
        </w:rPr>
      </w:pPr>
      <w:r>
        <w:rPr>
          <w:rFonts w:ascii="宋体" w:hAnsi="宋体" w:hint="eastAsia"/>
          <w:sz w:val="28"/>
          <w:szCs w:val="28"/>
        </w:rPr>
        <w:t>本</w:t>
      </w:r>
      <w:r w:rsidRPr="00964966">
        <w:rPr>
          <w:rFonts w:ascii="宋体" w:hAnsi="宋体" w:hint="eastAsia"/>
          <w:sz w:val="28"/>
          <w:szCs w:val="28"/>
        </w:rPr>
        <w:t>规范中的主要技术指标来源于调研、试验和专业文献资料。主要内容包括</w:t>
      </w:r>
      <w:r w:rsidR="00420F5F">
        <w:rPr>
          <w:rFonts w:ascii="宋体" w:hAnsi="宋体" w:hint="eastAsia"/>
          <w:sz w:val="28"/>
          <w:szCs w:val="28"/>
        </w:rPr>
        <w:t>产地环境、品种选择、田间工程改造、水稻种植、蛙、鱼</w:t>
      </w:r>
      <w:r w:rsidR="00420F5F">
        <w:rPr>
          <w:rFonts w:ascii="宋体" w:hAnsi="宋体" w:hint="eastAsia"/>
          <w:sz w:val="28"/>
          <w:szCs w:val="28"/>
        </w:rPr>
        <w:lastRenderedPageBreak/>
        <w:t>放养、生产废弃物的处理、生产档案</w:t>
      </w:r>
      <w:r w:rsidRPr="00964966">
        <w:rPr>
          <w:rFonts w:ascii="宋体" w:hAnsi="宋体" w:hint="eastAsia"/>
          <w:sz w:val="28"/>
          <w:szCs w:val="28"/>
        </w:rPr>
        <w:t>等</w:t>
      </w:r>
      <w:r w:rsidR="00B34C9A">
        <w:rPr>
          <w:rFonts w:ascii="宋体" w:hAnsi="宋体" w:hint="eastAsia"/>
          <w:sz w:val="28"/>
          <w:szCs w:val="28"/>
        </w:rPr>
        <w:t>。</w:t>
      </w:r>
    </w:p>
    <w:p w:rsidR="00A56454" w:rsidRPr="00263839" w:rsidRDefault="00045903">
      <w:pPr>
        <w:spacing w:line="360" w:lineRule="auto"/>
        <w:rPr>
          <w:rFonts w:ascii="黑体" w:eastAsia="黑体" w:hAnsi="黑体"/>
          <w:sz w:val="28"/>
          <w:szCs w:val="28"/>
        </w:rPr>
      </w:pPr>
      <w:r w:rsidRPr="00263839">
        <w:rPr>
          <w:rFonts w:ascii="黑体" w:eastAsia="黑体" w:hAnsi="黑体" w:hint="eastAsia"/>
          <w:sz w:val="28"/>
          <w:szCs w:val="28"/>
        </w:rPr>
        <w:t>五、</w:t>
      </w:r>
      <w:r w:rsidR="008713E6" w:rsidRPr="00263839">
        <w:rPr>
          <w:rFonts w:ascii="黑体" w:eastAsia="黑体" w:hAnsi="黑体" w:hint="eastAsia"/>
          <w:sz w:val="28"/>
          <w:szCs w:val="28"/>
        </w:rPr>
        <w:t>主要试验结果与分析</w:t>
      </w:r>
    </w:p>
    <w:p w:rsidR="00A56454" w:rsidRPr="00263839" w:rsidRDefault="008713E6">
      <w:pPr>
        <w:spacing w:line="360" w:lineRule="auto"/>
        <w:ind w:firstLineChars="200" w:firstLine="560"/>
        <w:rPr>
          <w:rFonts w:ascii="宋体" w:hAnsi="宋体"/>
          <w:sz w:val="28"/>
          <w:szCs w:val="28"/>
        </w:rPr>
      </w:pPr>
      <w:r w:rsidRPr="00263839">
        <w:rPr>
          <w:rFonts w:ascii="宋体" w:hAnsi="宋体" w:hint="eastAsia"/>
          <w:sz w:val="28"/>
          <w:szCs w:val="28"/>
        </w:rPr>
        <w:t>各项技术参数根据湖南省作物研究所试验研究结果、湖南省旱粮产业技术体系研究新成果及推广应用经验确定，并经多点试验示范验证。</w:t>
      </w:r>
    </w:p>
    <w:p w:rsidR="00A56454" w:rsidRPr="007670CE" w:rsidRDefault="0098104B">
      <w:pPr>
        <w:spacing w:line="360" w:lineRule="auto"/>
        <w:outlineLvl w:val="0"/>
        <w:rPr>
          <w:rFonts w:ascii="黑体" w:eastAsia="黑体" w:hAnsi="黑体"/>
          <w:color w:val="000000"/>
          <w:spacing w:val="5"/>
          <w:sz w:val="28"/>
          <w:szCs w:val="28"/>
        </w:rPr>
      </w:pPr>
      <w:r w:rsidRPr="007670CE">
        <w:rPr>
          <w:rFonts w:ascii="黑体" w:eastAsia="黑体" w:hAnsi="黑体" w:hint="eastAsia"/>
          <w:color w:val="000000"/>
          <w:spacing w:val="5"/>
          <w:sz w:val="28"/>
          <w:szCs w:val="28"/>
        </w:rPr>
        <w:t>六</w:t>
      </w:r>
      <w:r w:rsidR="008713E6" w:rsidRPr="007670CE">
        <w:rPr>
          <w:rFonts w:ascii="黑体" w:eastAsia="黑体" w:hAnsi="黑体"/>
          <w:color w:val="000000"/>
          <w:spacing w:val="5"/>
          <w:sz w:val="28"/>
          <w:szCs w:val="28"/>
        </w:rPr>
        <w:t>、与</w:t>
      </w:r>
      <w:r w:rsidRPr="007670CE">
        <w:rPr>
          <w:rFonts w:ascii="黑体" w:eastAsia="黑体" w:hAnsi="黑体" w:hint="eastAsia"/>
          <w:color w:val="000000"/>
          <w:spacing w:val="5"/>
          <w:sz w:val="28"/>
          <w:szCs w:val="28"/>
        </w:rPr>
        <w:t>现行法律法规及相</w:t>
      </w:r>
      <w:r w:rsidR="00CE4C10">
        <w:rPr>
          <w:rFonts w:ascii="黑体" w:eastAsia="黑体" w:hAnsi="黑体" w:hint="eastAsia"/>
          <w:color w:val="000000"/>
          <w:spacing w:val="5"/>
          <w:sz w:val="28"/>
          <w:szCs w:val="28"/>
        </w:rPr>
        <w:t>关</w:t>
      </w:r>
      <w:r w:rsidRPr="007670CE">
        <w:rPr>
          <w:rFonts w:ascii="黑体" w:eastAsia="黑体" w:hAnsi="黑体" w:hint="eastAsia"/>
          <w:color w:val="000000"/>
          <w:spacing w:val="5"/>
          <w:sz w:val="28"/>
          <w:szCs w:val="28"/>
        </w:rPr>
        <w:t>标准的协调性</w:t>
      </w:r>
    </w:p>
    <w:p w:rsidR="00475C50" w:rsidRDefault="008713E6" w:rsidP="0098104B">
      <w:pPr>
        <w:spacing w:line="360" w:lineRule="auto"/>
        <w:ind w:firstLineChars="200" w:firstLine="560"/>
        <w:rPr>
          <w:rFonts w:hAnsi="宋体"/>
          <w:color w:val="000000"/>
          <w:sz w:val="28"/>
          <w:szCs w:val="28"/>
        </w:rPr>
      </w:pPr>
      <w:r>
        <w:rPr>
          <w:rFonts w:hAnsi="宋体"/>
          <w:color w:val="000000"/>
          <w:sz w:val="28"/>
          <w:szCs w:val="28"/>
        </w:rPr>
        <w:t>本规程与</w:t>
      </w:r>
      <w:r w:rsidR="00475C50">
        <w:rPr>
          <w:rFonts w:hAnsi="宋体" w:hint="eastAsia"/>
          <w:color w:val="000000"/>
          <w:sz w:val="28"/>
          <w:szCs w:val="28"/>
        </w:rPr>
        <w:t>现行的法律</w:t>
      </w:r>
      <w:r>
        <w:rPr>
          <w:rFonts w:hAnsi="宋体"/>
          <w:color w:val="000000"/>
          <w:sz w:val="28"/>
          <w:szCs w:val="28"/>
        </w:rPr>
        <w:t>法规</w:t>
      </w:r>
      <w:r w:rsidR="00475C50">
        <w:rPr>
          <w:rFonts w:hAnsi="宋体" w:hint="eastAsia"/>
          <w:color w:val="000000"/>
          <w:sz w:val="28"/>
          <w:szCs w:val="28"/>
        </w:rPr>
        <w:t>及相关</w:t>
      </w:r>
      <w:r>
        <w:rPr>
          <w:rFonts w:hAnsi="宋体"/>
          <w:color w:val="000000"/>
          <w:sz w:val="28"/>
          <w:szCs w:val="28"/>
        </w:rPr>
        <w:t>标准协调一致。</w:t>
      </w:r>
    </w:p>
    <w:p w:rsidR="00A56454" w:rsidRDefault="00475C50">
      <w:pPr>
        <w:spacing w:line="360" w:lineRule="auto"/>
        <w:ind w:firstLineChars="200" w:firstLine="560"/>
        <w:rPr>
          <w:color w:val="000000"/>
          <w:sz w:val="28"/>
          <w:szCs w:val="28"/>
        </w:rPr>
      </w:pPr>
      <w:r>
        <w:rPr>
          <w:rFonts w:hAnsi="宋体" w:hint="eastAsia"/>
          <w:color w:val="000000"/>
          <w:sz w:val="28"/>
          <w:szCs w:val="28"/>
        </w:rPr>
        <w:t>起草小组在本规程编制前对国际和其它国家标准进行了查阅，</w:t>
      </w:r>
      <w:r w:rsidR="0098104B">
        <w:rPr>
          <w:rFonts w:hAnsi="宋体"/>
          <w:color w:val="000000"/>
          <w:sz w:val="28"/>
          <w:szCs w:val="28"/>
        </w:rPr>
        <w:t>目前无</w:t>
      </w:r>
      <w:r>
        <w:rPr>
          <w:rFonts w:hAnsi="宋体" w:hint="eastAsia"/>
          <w:color w:val="000000"/>
          <w:sz w:val="28"/>
          <w:szCs w:val="28"/>
        </w:rPr>
        <w:t>可采用的国际和其它国家</w:t>
      </w:r>
      <w:r w:rsidR="0098104B">
        <w:rPr>
          <w:rFonts w:hAnsi="宋体"/>
          <w:color w:val="000000"/>
          <w:sz w:val="28"/>
          <w:szCs w:val="28"/>
        </w:rPr>
        <w:t>标准。</w:t>
      </w:r>
    </w:p>
    <w:p w:rsidR="00A56454" w:rsidRPr="009A01E5" w:rsidRDefault="008713E6">
      <w:pPr>
        <w:spacing w:line="360" w:lineRule="auto"/>
        <w:outlineLvl w:val="0"/>
        <w:rPr>
          <w:rFonts w:ascii="黑体" w:eastAsia="黑体" w:hAnsi="黑体"/>
          <w:color w:val="000000"/>
          <w:spacing w:val="5"/>
          <w:sz w:val="28"/>
          <w:szCs w:val="28"/>
        </w:rPr>
      </w:pPr>
      <w:r w:rsidRPr="009A01E5">
        <w:rPr>
          <w:rFonts w:ascii="黑体" w:eastAsia="黑体" w:hAnsi="黑体"/>
          <w:color w:val="000000"/>
          <w:spacing w:val="5"/>
          <w:sz w:val="28"/>
          <w:szCs w:val="28"/>
        </w:rPr>
        <w:t>七、重大分歧意见的处理经过与依据</w:t>
      </w:r>
    </w:p>
    <w:p w:rsidR="00A56454" w:rsidRDefault="00AD67CF">
      <w:pPr>
        <w:spacing w:line="360" w:lineRule="auto"/>
        <w:ind w:firstLineChars="200" w:firstLine="560"/>
        <w:rPr>
          <w:color w:val="000000"/>
          <w:sz w:val="28"/>
          <w:szCs w:val="28"/>
        </w:rPr>
      </w:pPr>
      <w:r>
        <w:rPr>
          <w:rFonts w:hAnsi="宋体" w:hint="eastAsia"/>
          <w:color w:val="000000"/>
          <w:sz w:val="28"/>
          <w:szCs w:val="28"/>
        </w:rPr>
        <w:t>无。</w:t>
      </w:r>
    </w:p>
    <w:p w:rsidR="00A56454" w:rsidRPr="009A01E5" w:rsidRDefault="008713E6">
      <w:pPr>
        <w:spacing w:line="360" w:lineRule="auto"/>
        <w:outlineLvl w:val="0"/>
        <w:rPr>
          <w:rFonts w:ascii="黑体" w:eastAsia="黑体" w:hAnsi="黑体"/>
          <w:color w:val="000000"/>
          <w:spacing w:val="5"/>
          <w:sz w:val="28"/>
          <w:szCs w:val="28"/>
        </w:rPr>
      </w:pPr>
      <w:r w:rsidRPr="009A01E5">
        <w:rPr>
          <w:rFonts w:ascii="黑体" w:eastAsia="黑体" w:hAnsi="黑体"/>
          <w:color w:val="000000"/>
          <w:spacing w:val="5"/>
          <w:sz w:val="28"/>
          <w:szCs w:val="28"/>
        </w:rPr>
        <w:t>八、标准作为强制性标准或推荐标准的建议</w:t>
      </w:r>
    </w:p>
    <w:p w:rsidR="00A56454" w:rsidRDefault="008713E6">
      <w:pPr>
        <w:spacing w:line="360" w:lineRule="auto"/>
        <w:ind w:firstLineChars="200" w:firstLine="560"/>
        <w:rPr>
          <w:color w:val="000000"/>
          <w:sz w:val="28"/>
          <w:szCs w:val="28"/>
        </w:rPr>
      </w:pPr>
      <w:r>
        <w:rPr>
          <w:rFonts w:hAnsi="宋体"/>
          <w:color w:val="000000"/>
          <w:sz w:val="28"/>
          <w:szCs w:val="28"/>
        </w:rPr>
        <w:t>建议作为推荐性规程。</w:t>
      </w:r>
    </w:p>
    <w:p w:rsidR="00A56454" w:rsidRPr="009A01E5" w:rsidRDefault="008713E6">
      <w:pPr>
        <w:spacing w:line="360" w:lineRule="auto"/>
        <w:outlineLvl w:val="0"/>
        <w:rPr>
          <w:rFonts w:ascii="黑体" w:eastAsia="黑体" w:hAnsi="黑体"/>
          <w:color w:val="000000"/>
          <w:spacing w:val="5"/>
          <w:sz w:val="28"/>
          <w:szCs w:val="28"/>
        </w:rPr>
      </w:pPr>
      <w:r w:rsidRPr="009A01E5">
        <w:rPr>
          <w:rFonts w:ascii="黑体" w:eastAsia="黑体" w:hAnsi="黑体"/>
          <w:color w:val="000000"/>
          <w:spacing w:val="5"/>
          <w:sz w:val="28"/>
          <w:szCs w:val="28"/>
        </w:rPr>
        <w:t>九、贯彻标准的要求和措施建议</w:t>
      </w:r>
    </w:p>
    <w:p w:rsidR="00A56454" w:rsidRDefault="00AD67CF">
      <w:pPr>
        <w:spacing w:line="360" w:lineRule="auto"/>
        <w:ind w:firstLineChars="200" w:firstLine="560"/>
        <w:rPr>
          <w:color w:val="000000"/>
          <w:sz w:val="28"/>
          <w:szCs w:val="28"/>
        </w:rPr>
      </w:pPr>
      <w:r>
        <w:rPr>
          <w:rFonts w:hAnsi="宋体" w:hint="eastAsia"/>
          <w:color w:val="000000"/>
          <w:sz w:val="28"/>
          <w:szCs w:val="28"/>
        </w:rPr>
        <w:t>为了使本规程能发挥作用，应尽快在全省范围内开展宣贯活动，</w:t>
      </w:r>
      <w:r w:rsidR="008713E6">
        <w:rPr>
          <w:rFonts w:hAnsi="宋体"/>
          <w:color w:val="000000"/>
          <w:sz w:val="28"/>
          <w:szCs w:val="28"/>
        </w:rPr>
        <w:t>建议</w:t>
      </w:r>
      <w:r>
        <w:rPr>
          <w:rFonts w:hAnsi="宋体" w:hint="eastAsia"/>
          <w:color w:val="000000"/>
          <w:sz w:val="28"/>
          <w:szCs w:val="28"/>
        </w:rPr>
        <w:t>加大宣传，并</w:t>
      </w:r>
      <w:r w:rsidR="008713E6">
        <w:rPr>
          <w:rFonts w:hAnsi="宋体"/>
          <w:color w:val="000000"/>
          <w:sz w:val="28"/>
          <w:szCs w:val="28"/>
        </w:rPr>
        <w:t>推行本规程。</w:t>
      </w:r>
    </w:p>
    <w:p w:rsidR="00A56454" w:rsidRPr="009A01E5" w:rsidRDefault="008713E6">
      <w:pPr>
        <w:spacing w:line="360" w:lineRule="auto"/>
        <w:outlineLvl w:val="0"/>
        <w:rPr>
          <w:rFonts w:ascii="黑体" w:eastAsia="黑体" w:hAnsi="黑体"/>
          <w:color w:val="000000"/>
          <w:spacing w:val="5"/>
          <w:sz w:val="28"/>
          <w:szCs w:val="28"/>
        </w:rPr>
      </w:pPr>
      <w:r w:rsidRPr="009A01E5">
        <w:rPr>
          <w:rFonts w:ascii="黑体" w:eastAsia="黑体" w:hAnsi="黑体"/>
          <w:color w:val="000000"/>
          <w:spacing w:val="5"/>
          <w:sz w:val="28"/>
          <w:szCs w:val="28"/>
        </w:rPr>
        <w:t>十、废止现行有关标准的建议</w:t>
      </w:r>
    </w:p>
    <w:p w:rsidR="00A56454" w:rsidRDefault="008713E6">
      <w:pPr>
        <w:spacing w:line="360" w:lineRule="auto"/>
        <w:ind w:firstLineChars="200" w:firstLine="560"/>
        <w:rPr>
          <w:color w:val="000000"/>
          <w:sz w:val="28"/>
          <w:szCs w:val="28"/>
        </w:rPr>
      </w:pPr>
      <w:r>
        <w:rPr>
          <w:rFonts w:hAnsi="宋体"/>
          <w:color w:val="000000"/>
          <w:sz w:val="28"/>
          <w:szCs w:val="28"/>
        </w:rPr>
        <w:t>无。</w:t>
      </w:r>
    </w:p>
    <w:p w:rsidR="00A56454" w:rsidRPr="009A01E5" w:rsidRDefault="008713E6">
      <w:pPr>
        <w:spacing w:line="360" w:lineRule="auto"/>
        <w:outlineLvl w:val="0"/>
        <w:rPr>
          <w:rFonts w:ascii="黑体" w:eastAsia="黑体" w:hAnsi="黑体"/>
          <w:color w:val="000000"/>
          <w:spacing w:val="5"/>
          <w:sz w:val="28"/>
          <w:szCs w:val="28"/>
        </w:rPr>
      </w:pPr>
      <w:r w:rsidRPr="009A01E5">
        <w:rPr>
          <w:rFonts w:ascii="黑体" w:eastAsia="黑体" w:hAnsi="黑体"/>
          <w:color w:val="000000"/>
          <w:spacing w:val="5"/>
          <w:sz w:val="28"/>
          <w:szCs w:val="28"/>
        </w:rPr>
        <w:t>十一、其他应予说明的地方</w:t>
      </w:r>
    </w:p>
    <w:p w:rsidR="00A56454" w:rsidRDefault="008713E6">
      <w:pPr>
        <w:spacing w:line="360" w:lineRule="auto"/>
        <w:ind w:firstLineChars="200" w:firstLine="560"/>
        <w:rPr>
          <w:rFonts w:hAnsi="宋体"/>
          <w:color w:val="000000"/>
          <w:sz w:val="28"/>
          <w:szCs w:val="28"/>
        </w:rPr>
      </w:pPr>
      <w:r>
        <w:rPr>
          <w:rFonts w:hAnsi="宋体"/>
          <w:color w:val="000000"/>
          <w:sz w:val="28"/>
          <w:szCs w:val="28"/>
        </w:rPr>
        <w:t>无。</w:t>
      </w:r>
    </w:p>
    <w:p w:rsidR="00E810E1" w:rsidRDefault="00E810E1" w:rsidP="00704F84">
      <w:pPr>
        <w:spacing w:line="360" w:lineRule="auto"/>
        <w:jc w:val="right"/>
        <w:rPr>
          <w:rFonts w:ascii="宋体" w:hAnsi="宋体"/>
          <w:b/>
          <w:bCs/>
          <w:color w:val="000000"/>
          <w:sz w:val="28"/>
          <w:szCs w:val="28"/>
        </w:rPr>
      </w:pPr>
      <w:r>
        <w:rPr>
          <w:rFonts w:ascii="宋体" w:hAnsi="宋体" w:hint="eastAsia"/>
          <w:b/>
          <w:bCs/>
          <w:color w:val="000000"/>
          <w:sz w:val="28"/>
          <w:szCs w:val="28"/>
        </w:rPr>
        <w:t>湖南省作物</w:t>
      </w:r>
      <w:r>
        <w:rPr>
          <w:rFonts w:ascii="宋体" w:hAnsi="宋体"/>
          <w:b/>
          <w:bCs/>
          <w:color w:val="000000"/>
          <w:sz w:val="28"/>
          <w:szCs w:val="28"/>
        </w:rPr>
        <w:t>研究所</w:t>
      </w:r>
    </w:p>
    <w:p w:rsidR="00E810E1" w:rsidRDefault="00E810E1" w:rsidP="00704F84">
      <w:pPr>
        <w:spacing w:line="360" w:lineRule="auto"/>
        <w:jc w:val="right"/>
      </w:pPr>
      <w:r>
        <w:rPr>
          <w:rFonts w:ascii="宋体" w:hAnsi="宋体"/>
          <w:b/>
          <w:bCs/>
          <w:color w:val="000000"/>
          <w:sz w:val="28"/>
          <w:szCs w:val="28"/>
        </w:rPr>
        <w:t>20</w:t>
      </w:r>
      <w:r>
        <w:rPr>
          <w:rFonts w:ascii="宋体" w:hAnsi="宋体" w:hint="eastAsia"/>
          <w:b/>
          <w:bCs/>
          <w:color w:val="000000"/>
          <w:sz w:val="28"/>
          <w:szCs w:val="28"/>
        </w:rPr>
        <w:t>21</w:t>
      </w:r>
      <w:r>
        <w:rPr>
          <w:rFonts w:ascii="宋体" w:hAnsi="宋体"/>
          <w:b/>
          <w:bCs/>
          <w:color w:val="000000"/>
          <w:sz w:val="28"/>
          <w:szCs w:val="28"/>
        </w:rPr>
        <w:t>年</w:t>
      </w:r>
      <w:r>
        <w:rPr>
          <w:rFonts w:ascii="宋体" w:hAnsi="宋体" w:hint="eastAsia"/>
          <w:b/>
          <w:bCs/>
          <w:color w:val="000000"/>
          <w:sz w:val="28"/>
          <w:szCs w:val="28"/>
        </w:rPr>
        <w:t>4</w:t>
      </w:r>
      <w:r>
        <w:rPr>
          <w:rFonts w:ascii="宋体" w:hAnsi="宋体"/>
          <w:b/>
          <w:bCs/>
          <w:color w:val="000000"/>
          <w:sz w:val="28"/>
          <w:szCs w:val="28"/>
        </w:rPr>
        <w:t>月</w:t>
      </w:r>
    </w:p>
    <w:sectPr w:rsidR="00E810E1" w:rsidSect="00B8228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3A" w:rsidRDefault="00A35B3A">
      <w:r>
        <w:separator/>
      </w:r>
    </w:p>
  </w:endnote>
  <w:endnote w:type="continuationSeparator" w:id="0">
    <w:p w:rsidR="00A35B3A" w:rsidRDefault="00A3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54" w:rsidRDefault="008713E6">
    <w:pPr>
      <w:pStyle w:val="a3"/>
      <w:framePr w:wrap="around" w:vAnchor="text" w:hAnchor="margin" w:xAlign="center" w:y="1"/>
      <w:rPr>
        <w:rStyle w:val="a4"/>
      </w:rPr>
    </w:pPr>
    <w:r>
      <w:fldChar w:fldCharType="begin"/>
    </w:r>
    <w:r>
      <w:rPr>
        <w:rStyle w:val="a4"/>
      </w:rPr>
      <w:instrText xml:space="preserve">PAGE  </w:instrText>
    </w:r>
    <w:r>
      <w:fldChar w:fldCharType="end"/>
    </w:r>
  </w:p>
  <w:p w:rsidR="00A56454" w:rsidRDefault="00A564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54" w:rsidRDefault="008713E6">
    <w:pPr>
      <w:pStyle w:val="a3"/>
      <w:framePr w:wrap="around" w:vAnchor="text" w:hAnchor="margin" w:xAlign="center" w:y="1"/>
      <w:rPr>
        <w:rStyle w:val="a4"/>
      </w:rPr>
    </w:pPr>
    <w:r>
      <w:fldChar w:fldCharType="begin"/>
    </w:r>
    <w:r>
      <w:rPr>
        <w:rStyle w:val="a4"/>
      </w:rPr>
      <w:instrText xml:space="preserve">PAGE  </w:instrText>
    </w:r>
    <w:r>
      <w:fldChar w:fldCharType="separate"/>
    </w:r>
    <w:r w:rsidR="003B6B8C">
      <w:rPr>
        <w:rStyle w:val="a4"/>
        <w:noProof/>
      </w:rPr>
      <w:t>5</w:t>
    </w:r>
    <w:r>
      <w:fldChar w:fldCharType="end"/>
    </w:r>
  </w:p>
  <w:p w:rsidR="00A56454" w:rsidRDefault="00A564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3A" w:rsidRDefault="00A35B3A">
      <w:r>
        <w:separator/>
      </w:r>
    </w:p>
  </w:footnote>
  <w:footnote w:type="continuationSeparator" w:id="0">
    <w:p w:rsidR="00A35B3A" w:rsidRDefault="00A35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64A9B"/>
    <w:rsid w:val="00003F72"/>
    <w:rsid w:val="00045903"/>
    <w:rsid w:val="00065FB4"/>
    <w:rsid w:val="00095549"/>
    <w:rsid w:val="00195DAD"/>
    <w:rsid w:val="001D4192"/>
    <w:rsid w:val="002054DC"/>
    <w:rsid w:val="00205E65"/>
    <w:rsid w:val="00235F13"/>
    <w:rsid w:val="002626DE"/>
    <w:rsid w:val="00263839"/>
    <w:rsid w:val="00263886"/>
    <w:rsid w:val="0028164C"/>
    <w:rsid w:val="002D01DE"/>
    <w:rsid w:val="0032247D"/>
    <w:rsid w:val="003B4B80"/>
    <w:rsid w:val="003B6B8C"/>
    <w:rsid w:val="00420F5F"/>
    <w:rsid w:val="00433D9F"/>
    <w:rsid w:val="004461DC"/>
    <w:rsid w:val="0046397C"/>
    <w:rsid w:val="00475C50"/>
    <w:rsid w:val="004E07EC"/>
    <w:rsid w:val="005E4C55"/>
    <w:rsid w:val="0062795A"/>
    <w:rsid w:val="00675B7C"/>
    <w:rsid w:val="006D08F6"/>
    <w:rsid w:val="006E75E6"/>
    <w:rsid w:val="00704F84"/>
    <w:rsid w:val="0073091E"/>
    <w:rsid w:val="00763AB8"/>
    <w:rsid w:val="007670CE"/>
    <w:rsid w:val="00816245"/>
    <w:rsid w:val="00826A9C"/>
    <w:rsid w:val="00845E1C"/>
    <w:rsid w:val="0085304B"/>
    <w:rsid w:val="008713E6"/>
    <w:rsid w:val="00964966"/>
    <w:rsid w:val="0098104B"/>
    <w:rsid w:val="00987083"/>
    <w:rsid w:val="009A01E5"/>
    <w:rsid w:val="00A356E3"/>
    <w:rsid w:val="00A35B3A"/>
    <w:rsid w:val="00A56454"/>
    <w:rsid w:val="00AA7E93"/>
    <w:rsid w:val="00AD3B72"/>
    <w:rsid w:val="00AD67CF"/>
    <w:rsid w:val="00B34C9A"/>
    <w:rsid w:val="00B82287"/>
    <w:rsid w:val="00B8537E"/>
    <w:rsid w:val="00C16496"/>
    <w:rsid w:val="00C16E00"/>
    <w:rsid w:val="00C35631"/>
    <w:rsid w:val="00C5580E"/>
    <w:rsid w:val="00C55F8C"/>
    <w:rsid w:val="00CB152F"/>
    <w:rsid w:val="00CE4C10"/>
    <w:rsid w:val="00E31CD2"/>
    <w:rsid w:val="00E810E1"/>
    <w:rsid w:val="00E83119"/>
    <w:rsid w:val="00EB3F9B"/>
    <w:rsid w:val="00EB4A29"/>
    <w:rsid w:val="00EB6F89"/>
    <w:rsid w:val="00F072BA"/>
    <w:rsid w:val="00F10449"/>
    <w:rsid w:val="00FD7270"/>
    <w:rsid w:val="1CC64A9B"/>
    <w:rsid w:val="29AF5F72"/>
    <w:rsid w:val="5059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customStyle="1" w:styleId="a5">
    <w:name w:val="段"/>
    <w:qFormat/>
    <w:pPr>
      <w:autoSpaceDE w:val="0"/>
      <w:autoSpaceDN w:val="0"/>
      <w:ind w:firstLineChars="200" w:firstLine="200"/>
      <w:jc w:val="both"/>
    </w:pPr>
    <w:rPr>
      <w:rFonts w:ascii="宋体" w:hAnsi="Times New Roman"/>
      <w:sz w:val="21"/>
    </w:rPr>
  </w:style>
  <w:style w:type="paragraph" w:styleId="a6">
    <w:name w:val="header"/>
    <w:basedOn w:val="a"/>
    <w:link w:val="Char"/>
    <w:rsid w:val="00003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03F7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customStyle="1" w:styleId="a5">
    <w:name w:val="段"/>
    <w:qFormat/>
    <w:pPr>
      <w:autoSpaceDE w:val="0"/>
      <w:autoSpaceDN w:val="0"/>
      <w:ind w:firstLineChars="200" w:firstLine="200"/>
      <w:jc w:val="both"/>
    </w:pPr>
    <w:rPr>
      <w:rFonts w:ascii="宋体" w:hAnsi="Times New Roman"/>
      <w:sz w:val="21"/>
    </w:rPr>
  </w:style>
  <w:style w:type="paragraph" w:styleId="a6">
    <w:name w:val="header"/>
    <w:basedOn w:val="a"/>
    <w:link w:val="Char"/>
    <w:rsid w:val="00003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03F7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360</Words>
  <Characters>2052</Characters>
  <Application>Microsoft Office Word</Application>
  <DocSecurity>0</DocSecurity>
  <Lines>17</Lines>
  <Paragraphs>4</Paragraphs>
  <ScaleCrop>false</ScaleCrop>
  <Company>P R C</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酒天夜帝</dc:creator>
  <cp:lastModifiedBy>554622952@qq.com</cp:lastModifiedBy>
  <cp:revision>101</cp:revision>
  <dcterms:created xsi:type="dcterms:W3CDTF">2021-04-03T07:31:00Z</dcterms:created>
  <dcterms:modified xsi:type="dcterms:W3CDTF">2021-04-14T07:43:00Z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