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color w:val="000000"/>
          <w:kern w:val="0"/>
          <w:sz w:val="48"/>
          <w:szCs w:val="48"/>
          <w:lang w:bidi="ar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color w:val="000000"/>
          <w:kern w:val="0"/>
          <w:sz w:val="48"/>
          <w:szCs w:val="48"/>
          <w:lang w:bidi="ar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color w:val="000000"/>
          <w:kern w:val="0"/>
          <w:sz w:val="84"/>
          <w:szCs w:val="84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84"/>
          <w:szCs w:val="84"/>
          <w:lang w:bidi="ar"/>
        </w:rPr>
        <w:t>湖南省地方标准</w:t>
      </w:r>
    </w:p>
    <w:p>
      <w:pPr>
        <w:widowControl/>
        <w:jc w:val="center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  <w:lang w:bidi="ar"/>
        </w:rPr>
        <w:t>《江永香柚》</w:t>
      </w:r>
    </w:p>
    <w:p>
      <w:pPr>
        <w:widowControl/>
        <w:jc w:val="center"/>
        <w:rPr>
          <w:rFonts w:hint="default" w:ascii="Times New Roman" w:hAnsi="Times New Roman" w:eastAsia="黑体" w:cs="Times New Roman"/>
          <w:color w:val="000000"/>
          <w:kern w:val="0"/>
          <w:sz w:val="48"/>
          <w:szCs w:val="48"/>
          <w:lang w:bidi="ar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color w:val="000000"/>
          <w:kern w:val="0"/>
          <w:sz w:val="48"/>
          <w:szCs w:val="48"/>
          <w:lang w:bidi="ar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color w:val="000000"/>
          <w:kern w:val="0"/>
          <w:sz w:val="48"/>
          <w:szCs w:val="48"/>
          <w:lang w:bidi="ar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color w:val="000000"/>
          <w:kern w:val="0"/>
          <w:sz w:val="48"/>
          <w:szCs w:val="48"/>
          <w:lang w:bidi="ar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72"/>
          <w:szCs w:val="72"/>
          <w:lang w:bidi="ar"/>
        </w:rPr>
        <w:t>编制说明</w:t>
      </w:r>
    </w:p>
    <w:p>
      <w:pPr>
        <w:widowControl/>
        <w:ind w:firstLine="960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 w:val="48"/>
          <w:szCs w:val="48"/>
          <w:lang w:bidi="ar"/>
        </w:rPr>
      </w:pPr>
    </w:p>
    <w:p>
      <w:pPr>
        <w:widowControl/>
        <w:ind w:firstLine="960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 w:val="48"/>
          <w:szCs w:val="48"/>
          <w:lang w:bidi="ar"/>
        </w:rPr>
      </w:pPr>
    </w:p>
    <w:p>
      <w:pPr>
        <w:widowControl/>
        <w:ind w:firstLine="960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 w:val="48"/>
          <w:szCs w:val="48"/>
          <w:lang w:bidi="ar"/>
        </w:rPr>
      </w:pPr>
    </w:p>
    <w:p>
      <w:pPr>
        <w:widowControl/>
        <w:ind w:firstLine="960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 w:val="48"/>
          <w:szCs w:val="48"/>
          <w:lang w:bidi="ar"/>
        </w:rPr>
      </w:pPr>
    </w:p>
    <w:p>
      <w:pPr>
        <w:widowControl/>
        <w:ind w:firstLine="960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 w:val="48"/>
          <w:szCs w:val="48"/>
          <w:lang w:bidi="ar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</w:pPr>
    </w:p>
    <w:p>
      <w:pPr>
        <w:widowControl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标准起草工作组</w:t>
      </w:r>
    </w:p>
    <w:p>
      <w:pPr>
        <w:widowControl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2021 年 2 月</w:t>
      </w:r>
    </w:p>
    <w:p>
      <w:pPr>
        <w:widowControl/>
        <w:jc w:val="center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</w:pPr>
    </w:p>
    <w:p>
      <w:pPr>
        <w:widowControl/>
        <w:jc w:val="center"/>
        <w:rPr>
          <w:rFonts w:hint="default" w:ascii="Times New Roman" w:hAnsi="Times New Roman" w:eastAsia="黑体" w:cs="Times New Roman"/>
          <w:color w:val="000000"/>
          <w:kern w:val="0"/>
          <w:sz w:val="40"/>
          <w:szCs w:val="40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40"/>
          <w:szCs w:val="40"/>
          <w:lang w:bidi="ar"/>
        </w:rPr>
        <w:t>编制说明</w:t>
      </w:r>
    </w:p>
    <w:p>
      <w:pPr>
        <w:widowControl/>
        <w:spacing w:line="360" w:lineRule="auto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4"/>
          <w:lang w:bidi="ar"/>
        </w:rPr>
        <w:t>一、工作简况（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包括任务来源、标准制订的意义、主要工作过程等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4"/>
          <w:lang w:bidi="ar"/>
        </w:rPr>
        <w:t xml:space="preserve">） </w:t>
      </w:r>
    </w:p>
    <w:p>
      <w:pPr>
        <w:widowControl/>
        <w:spacing w:line="360" w:lineRule="auto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4"/>
          <w:lang w:bidi="ar"/>
        </w:rPr>
        <w:t xml:space="preserve">（一）任务来源 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本标准的制定任务来源于供销合作行业标准制修订计划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项目名称为《江永香柚》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项目编号为：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highlight w:val="yellow"/>
          <w:lang w:bidi="ar"/>
        </w:rPr>
        <w:t>2020GH-XD-06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。本标准由湖南省市场监督管理局提出并归口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湖南省农产品加工研究所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eastAsia="zh-CN" w:bidi="ar"/>
        </w:rPr>
        <w:t>、湖南省食品测试分析中心、湖南省江永县桃川洞名特优新产品开发区管理委员会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 xml:space="preserve">负责起草。 </w:t>
      </w:r>
    </w:p>
    <w:p>
      <w:pPr>
        <w:widowControl/>
        <w:spacing w:line="360" w:lineRule="auto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（二）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4"/>
          <w:lang w:bidi="ar"/>
        </w:rPr>
        <w:t xml:space="preserve">标准制订的意义 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湖南省是全国柑橘产业发展优势区域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生态、气候、土壤均适宜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资源条件良好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比较优势突出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柑橘种植面积约占全省水果总面积的75%。2020年柑橘种植面积达40万公顷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产量560.47万吨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面积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eastAsia="zh-CN" w:bidi="ar"/>
        </w:rPr>
        <w:t>和产量均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居生产柑橘的省（直辖市、自治区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eastAsia="zh-CN" w:bidi="ar"/>
        </w:rPr>
        <w:t>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第二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湖南省江永县为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全国九大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eastAsia="zh-CN" w:bidi="ar"/>
        </w:rPr>
        <w:t>“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柚类之乡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eastAsia="zh-CN" w:bidi="ar"/>
        </w:rPr>
        <w:t>”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之一，是全国沙田柚类最大种植区域，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有“中国香柚之乡”的美誉。江永县环境条件十分有利于江永香柚生长。江永县地处中亚热带季风气候区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气候温和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冬暖夏凉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雨量充沛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无霜期长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日照、降水充足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湿度适中；土壤以河流冲积土和黄泥土为主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pH值为5.5-6.5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土壤肥沃（有机质含量2-2.5%）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富含硒等微量元素；水资源十分丰富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共有河流211条。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江永香柚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eastAsia="zh-CN" w:bidi="ar"/>
        </w:rPr>
        <w:t>属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沙田柚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eastAsia="zh-CN" w:bidi="ar"/>
        </w:rPr>
        <w:t>品系，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由于江永特殊的地理环境，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在江永种植的香柚品质好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果实形似葫芦或梨形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单果生1-2公斤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成熟后色泽金黄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光泽鲜亮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散发芳香气味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果底有独特的铜钱般的圆圈印环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称之为“金钱花”；营养价值高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果肉晶莹似玉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厚实汁多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清香嫩脆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带有蜜味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甜酸适度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天然富硒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锶、钼含量是广西、广东沙田柚的3-4倍，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维生素C和可溶性固形物属柚类之冠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eastAsia="zh-CN" w:bidi="ar"/>
        </w:rPr>
        <w:t>；果实可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久贮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eastAsia="zh-CN" w:bidi="ar"/>
        </w:rPr>
        <w:t>保质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“天然罐头”之称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。经常食用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eastAsia="zh-CN" w:bidi="ar"/>
        </w:rPr>
        <w:t>香柚，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可维持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人体的正常生理活动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具有消食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化痰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润肺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止咳和醒酒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、降血糖等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功能。香柚全身都是宝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柚皮可制柚皮糖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柚皮菜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柚核可做中药和提炼工业用油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在国内外具有广阔的市场前景。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江永香柚是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国家生态原产地保护产品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，是湖南省农业区域公共品牌，在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江永县的桃川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粗石江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源口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、兰溪、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夏层铺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潇浦等多个乡镇均有种植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，全县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已建成万亩香柚基地3个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，千亩连片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eastAsia="zh-CN" w:bidi="ar"/>
        </w:rPr>
        <w:t>香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柚园18个，香柚总种植面积达10.5万亩，总产量40万吨，香柚及其相关产业产值可达10亿元。香柚已成为江永农村经济的第一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eastAsia="zh-CN" w:bidi="ar"/>
        </w:rPr>
        <w:t>主导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产业，成为农民增收的主渠道。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制定湖南省地方标准《江永香柚》，规范香柚品质指标，保护和应用江永香柚品牌，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支撑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江永香柚全产业链发展和香柚产业生态高值、乡村产业振兴。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eastAsia="宋体" w:cs="Times New Roman"/>
          <w:b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4"/>
          <w:lang w:bidi="ar"/>
        </w:rPr>
        <w:t xml:space="preserve">主要工作过程 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b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4"/>
          <w:lang w:bidi="ar"/>
        </w:rPr>
        <w:t>1、制定工作计划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① 2020年8月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成立江永香柚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标准编制小组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主要由湖南省农产品加工研究所、湖南省食品测试分析中心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eastAsia="zh-CN" w:bidi="ar"/>
          <w14:textFill>
            <w14:solidFill>
              <w14:schemeClr w14:val="tx1"/>
            </w14:solidFill>
          </w14:textFill>
        </w:rPr>
        <w:t>、江永县桃川洞名特优新产品开发区管理委员会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相关科研和从业人员组成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明确江永香柚标准编制的重要性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并组织进行标准申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 xml:space="preserve">报。 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② 2020年8月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-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2020年12月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起草组系统收集国内柑橘相关质量标准及管理法规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收集了江永县粗石江、桃川、潇浦、允山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eastAsia="zh-CN" w:bidi="ar"/>
          <w14:textFill>
            <w14:solidFill>
              <w14:schemeClr w14:val="tx1"/>
            </w14:solidFill>
          </w14:textFill>
        </w:rPr>
        <w:t>、源口等乡镇的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多个村种植的江永香柚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并对其感官、理化指标等项目全面检测和数</w:t>
      </w:r>
      <w:r>
        <w:rPr>
          <w:rFonts w:hint="default" w:ascii="Times New Roman" w:hAnsi="Times New Roman" w:cs="Times New Roman"/>
          <w:sz w:val="24"/>
          <w:szCs w:val="24"/>
        </w:rPr>
        <w:t>据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整理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与相关从业人员进行技术交流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对标准的结构、要求、检验方法等进行全面探讨。采集不同产地、不同批次的样品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对各技术、质量指标进行实验检测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验证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确定各个指标参数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形成标准草稿。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③ 2020年1月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标准编制小组进一步讨论本标准的结构、术语与定义、主要技术指标等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与相关技术人员充分讨论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交流意见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 xml:space="preserve">对标准草稿进行了修改 </w:t>
      </w:r>
    </w:p>
    <w:p>
      <w:pPr>
        <w:widowControl/>
        <w:spacing w:line="360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完善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 xml:space="preserve">形成标准征求意见稿。 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④ 2021年2月-2021年3月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将《江永香柚》（征求意见稿）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 xml:space="preserve">先后发 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给相关专家和相关企业及有关行业人员征求意见。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b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4"/>
          <w:lang w:bidi="ar"/>
        </w:rPr>
        <w:t>2、国内相关标准检索查新工作情况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color w:val="auto"/>
          <w:kern w:val="0"/>
          <w:sz w:val="24"/>
          <w:lang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lang w:bidi="ar"/>
        </w:rPr>
        <w:t>在已有资料的基础上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bidi="ar"/>
        </w:rPr>
        <w:t>进一步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eastAsia="zh-CN" w:bidi="ar"/>
        </w:rPr>
        <w:t>搜集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bidi="ar"/>
        </w:rPr>
        <w:t>国内关于柑橘质量标准和研究等方面的资料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bidi="ar"/>
        </w:rPr>
        <w:t>具体统计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lang w:val="en-US" w:eastAsia="zh-CN" w:bidi="ar"/>
        </w:rPr>
        <w:t>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bidi="ar"/>
        </w:rPr>
        <w:t>表1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lang w:eastAsia="zh-CN" w:bidi="ar"/>
        </w:rPr>
        <w:t>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b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4"/>
          <w:lang w:bidi="ar"/>
        </w:rPr>
        <w:t>3、检测数据收集情况</w:t>
      </w:r>
    </w:p>
    <w:p>
      <w:pPr>
        <w:tabs>
          <w:tab w:val="left" w:pos="945"/>
        </w:tabs>
        <w:spacing w:line="360" w:lineRule="auto"/>
        <w:ind w:firstLine="420"/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cs="Times New Roman"/>
          <w:sz w:val="24"/>
        </w:rPr>
        <w:t>通过以</w:t>
      </w:r>
      <w:r>
        <w:rPr>
          <w:rFonts w:hint="default" w:ascii="Times New Roman" w:hAnsi="Times New Roman" w:cs="Times New Roman"/>
          <w:color w:val="000000"/>
          <w:sz w:val="24"/>
        </w:rPr>
        <w:t>下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/>
          <w:sz w:val="24"/>
        </w:rPr>
        <w:t>种途径进行</w:t>
      </w:r>
      <w:r>
        <w:rPr>
          <w:rFonts w:hint="default" w:ascii="Times New Roman" w:hAnsi="Times New Roman" w:cs="Times New Roman"/>
          <w:color w:val="auto"/>
          <w:sz w:val="24"/>
        </w:rPr>
        <w:t>数据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搜集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包括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近三年</w:t>
      </w:r>
      <w:r>
        <w:rPr>
          <w:rFonts w:hint="default" w:ascii="Times New Roman" w:hAnsi="Times New Roman" w:cs="Times New Roman"/>
          <w:color w:val="auto"/>
          <w:sz w:val="24"/>
        </w:rPr>
        <w:t>本中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心收集的江永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>香柚检测数据、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近三年江永县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桃川洞名特优新产品开发区管理委员会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的香柚检测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>数据和2021年采集的江永当地种植的江</w:t>
      </w:r>
      <w:r>
        <w:rPr>
          <w:rFonts w:hint="default" w:ascii="Times New Roman" w:hAnsi="Times New Roman" w:cs="Times New Roman"/>
          <w:color w:val="000000"/>
          <w:sz w:val="24"/>
        </w:rPr>
        <w:t>永香柚样本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>检测数据</w:t>
      </w:r>
      <w:r>
        <w:rPr>
          <w:rFonts w:hint="default" w:ascii="Times New Roman" w:hAnsi="Times New Roman" w:cs="Times New Roman"/>
          <w:color w:val="000000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 w:val="24"/>
        </w:rPr>
        <w:t>共涉及江永香柚样品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>数80余份、指标10余项。以上</w:t>
      </w:r>
      <w:r>
        <w:rPr>
          <w:rFonts w:hint="default" w:ascii="Times New Roman" w:hAnsi="Times New Roman" w:cs="Times New Roman"/>
          <w:sz w:val="24"/>
        </w:rPr>
        <w:t>统计数据为本标准中各项指标的制定提供参考依据。</w:t>
      </w:r>
    </w:p>
    <w:p>
      <w:pPr>
        <w:tabs>
          <w:tab w:val="left" w:pos="945"/>
        </w:tabs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表 1  标准资料统计表</w:t>
      </w:r>
    </w:p>
    <w:tbl>
      <w:tblPr>
        <w:tblStyle w:val="4"/>
        <w:tblW w:w="8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8"/>
        <w:gridCol w:w="5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4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</w:rPr>
              <w:t>标准代号</w:t>
            </w:r>
          </w:p>
        </w:tc>
        <w:tc>
          <w:tcPr>
            <w:tcW w:w="563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</w:rPr>
              <w:t>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4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GB 2762-2017</w:t>
            </w:r>
          </w:p>
        </w:tc>
        <w:tc>
          <w:tcPr>
            <w:tcW w:w="563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食品安全国家标准  食品中污染物限量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4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GB 2763-2019</w:t>
            </w:r>
          </w:p>
        </w:tc>
        <w:tc>
          <w:tcPr>
            <w:tcW w:w="563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食品安全国家标准  食品中农药最大残留限量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4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NY/T 426</w:t>
            </w:r>
          </w:p>
        </w:tc>
        <w:tc>
          <w:tcPr>
            <w:tcW w:w="563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绿色食品 柑橘类水果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4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NY/T 868-2004</w:t>
            </w:r>
          </w:p>
        </w:tc>
        <w:tc>
          <w:tcPr>
            <w:tcW w:w="563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沙田柚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4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NY/T 1190</w:t>
            </w:r>
          </w:p>
        </w:tc>
        <w:tc>
          <w:tcPr>
            <w:tcW w:w="563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柑橘等级规格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4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NY/T 1265-2007</w:t>
            </w:r>
          </w:p>
        </w:tc>
        <w:tc>
          <w:tcPr>
            <w:tcW w:w="563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香柚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4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AGI2008-04-00018</w:t>
            </w:r>
          </w:p>
        </w:tc>
        <w:tc>
          <w:tcPr>
            <w:tcW w:w="563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中华人民共和国农产品地理标志质量控制技术规范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江永香柚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4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DB36/T 243-2019</w:t>
            </w:r>
          </w:p>
        </w:tc>
        <w:tc>
          <w:tcPr>
            <w:tcW w:w="563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地理标志产品  南康甜柚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4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DB44/T 864-2011</w:t>
            </w:r>
          </w:p>
        </w:tc>
        <w:tc>
          <w:tcPr>
            <w:tcW w:w="563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地理标志产品 长坝沙田柚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4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DB45/T 210-201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3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地理标志产品　容县沙田柚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4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DB50/T 266-2007</w:t>
            </w:r>
          </w:p>
        </w:tc>
        <w:tc>
          <w:tcPr>
            <w:tcW w:w="563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长寿沙田柚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4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DB4414/T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563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地理标志产品 梅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4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T/MXJY 00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-2020</w:t>
            </w:r>
          </w:p>
        </w:tc>
        <w:tc>
          <w:tcPr>
            <w:tcW w:w="563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梅县金柚地理标志证明商标</w:t>
            </w:r>
          </w:p>
        </w:tc>
      </w:tr>
    </w:tbl>
    <w:p>
      <w:pPr>
        <w:widowControl/>
        <w:spacing w:line="360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4"/>
          <w:lang w:bidi="ar"/>
        </w:rPr>
        <w:t xml:space="preserve">二、标准编制原则和确定标准主要内容的依据 </w:t>
      </w:r>
    </w:p>
    <w:p>
      <w:pPr>
        <w:widowControl/>
        <w:spacing w:line="360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4"/>
          <w:lang w:bidi="ar"/>
        </w:rPr>
        <w:t xml:space="preserve">（一）编制原则 </w:t>
      </w:r>
    </w:p>
    <w:p>
      <w:pPr>
        <w:widowControl/>
        <w:spacing w:line="360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4"/>
          <w:lang w:bidi="ar"/>
        </w:rPr>
        <w:t xml:space="preserve">1、遵从实际原则 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标准起草过程中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多次到江永香柚种植基地进行调研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充分听取当地香柚生产企业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和柚农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意见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在标准内容上认真研究实际生产情况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在满足食品安全的前提下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充分反映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应用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实际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做到标准为江永香柚产业服务。</w:t>
      </w:r>
    </w:p>
    <w:p>
      <w:pPr>
        <w:widowControl/>
        <w:spacing w:line="360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4"/>
          <w:lang w:bidi="ar"/>
        </w:rPr>
        <w:t>2、坚持先进性、科学性、可操作性、实用性相统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 xml:space="preserve">一 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严格执行 GB/T 1.1-2020《标准化工作导则 第1部分：标准化文件的结构和起草规则》中有关标准编写方面的标准。本标准的编写制定过程中以规范江永香柚鲜果的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术语与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定义、要求、检验方法、检验规则、标志、标签、包装、运输和贮存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eastAsia="zh-CN" w:bidi="ar"/>
        </w:rPr>
        <w:t>为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总原则。遵循了标准制定过程中的先进性、经济性和适用性原则。在标准的制定过程中严格遵循国家有关方针、政策、法规和规章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 xml:space="preserve">严格执行强制性国家标准和行业标准。在标准制定过程中力求做到：技术内容的叙述正确无误；文字表达准确、简明、易懂；标准的构成严谨合理；内容编排、层次划分等符合逻辑与规定。 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 xml:space="preserve">标准主要技术内容确定依据 </w:t>
      </w:r>
    </w:p>
    <w:p>
      <w:pPr>
        <w:spacing w:line="46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1、关于《江永香柚》中规范性引用文件的制订情况</w:t>
      </w:r>
    </w:p>
    <w:p>
      <w:pPr>
        <w:spacing w:line="46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对《江永香柚》中规范性引用文件进行了规定。具体见表2。</w:t>
      </w:r>
    </w:p>
    <w:p>
      <w:pPr>
        <w:widowControl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bidi="ar"/>
        </w:rPr>
        <w:t>表2  规范性引用文件汇总表</w:t>
      </w:r>
    </w:p>
    <w:tbl>
      <w:tblPr>
        <w:tblStyle w:val="4"/>
        <w:tblW w:w="8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5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67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bookmarkStart w:id="6" w:name="_GoBack"/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标准代号</w:t>
            </w:r>
          </w:p>
        </w:tc>
        <w:tc>
          <w:tcPr>
            <w:tcW w:w="536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67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GB/T 191</w:t>
            </w:r>
          </w:p>
        </w:tc>
        <w:tc>
          <w:tcPr>
            <w:tcW w:w="536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包装储运图示标志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67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GB 2762</w:t>
            </w:r>
          </w:p>
        </w:tc>
        <w:tc>
          <w:tcPr>
            <w:tcW w:w="536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食品安全国家标准  食品中污染物限量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67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GB 2763</w:t>
            </w:r>
          </w:p>
        </w:tc>
        <w:tc>
          <w:tcPr>
            <w:tcW w:w="536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食品安全国家标准  食品中农药最大残留限量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67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GB 7718</w:t>
            </w:r>
          </w:p>
        </w:tc>
        <w:tc>
          <w:tcPr>
            <w:tcW w:w="53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食品安全国家标准  预包装食品标签通则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67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GB/T 8210</w:t>
            </w:r>
          </w:p>
        </w:tc>
        <w:tc>
          <w:tcPr>
            <w:tcW w:w="536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Hlk61421082"/>
            <w:r>
              <w:rPr>
                <w:rFonts w:hint="default" w:ascii="Times New Roman" w:hAnsi="Times New Roman" w:cs="Times New Roman"/>
                <w:sz w:val="24"/>
                <w:szCs w:val="24"/>
              </w:rPr>
              <w:t>柑桔鲜果检验方法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67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GB/T 12947</w:t>
            </w:r>
          </w:p>
        </w:tc>
        <w:tc>
          <w:tcPr>
            <w:tcW w:w="536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鲜柑橘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67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GB/T 13607</w:t>
            </w:r>
          </w:p>
        </w:tc>
        <w:tc>
          <w:tcPr>
            <w:tcW w:w="536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苹果、柑桔包装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67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JJF 1070</w:t>
            </w:r>
          </w:p>
        </w:tc>
        <w:tc>
          <w:tcPr>
            <w:tcW w:w="536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定量包装商品净含量计量检验规则</w:t>
            </w:r>
          </w:p>
        </w:tc>
      </w:tr>
      <w:bookmarkEnd w:id="6"/>
    </w:tbl>
    <w:p>
      <w:pPr>
        <w:spacing w:line="46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2、关于《江永香柚》中范围的规定</w:t>
      </w:r>
    </w:p>
    <w:p>
      <w:pPr>
        <w:pStyle w:val="7"/>
        <w:spacing w:line="460" w:lineRule="exact"/>
        <w:ind w:firstLine="480"/>
        <w:rPr>
          <w:rFonts w:hint="default" w:ascii="Times New Roman" w:hAnsi="Times New Roman" w:cs="Times New Roman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参考农业行业标准《香柚》（NY/T 1265-2007）</w:t>
      </w:r>
      <w:r>
        <w:rPr>
          <w:rFonts w:hint="eastAsia" w:ascii="Times New Roman" w:cs="Times New Roman"/>
          <w:sz w:val="24"/>
          <w:szCs w:val="24"/>
          <w:lang w:eastAsia="zh-CN"/>
        </w:rPr>
        <w:t>、中华人民共和国农产品地理标志质量控制技术规范《江永香柚》（AGI2008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-</w:t>
      </w:r>
      <w:r>
        <w:rPr>
          <w:rFonts w:hint="eastAsia" w:ascii="Times New Roman" w:cs="Times New Roman"/>
          <w:sz w:val="24"/>
          <w:szCs w:val="24"/>
          <w:lang w:eastAsia="zh-CN"/>
        </w:rPr>
        <w:t>04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-</w:t>
      </w:r>
      <w:r>
        <w:rPr>
          <w:rFonts w:hint="eastAsia" w:ascii="Times New Roman" w:cs="Times New Roman"/>
          <w:sz w:val="24"/>
          <w:szCs w:val="24"/>
          <w:lang w:eastAsia="zh-CN"/>
        </w:rPr>
        <w:t>00018）</w:t>
      </w:r>
      <w:r>
        <w:rPr>
          <w:rFonts w:hint="default" w:ascii="Times New Roman" w:hAnsi="Times New Roman" w:cs="Times New Roman"/>
          <w:sz w:val="24"/>
          <w:szCs w:val="24"/>
        </w:rPr>
        <w:t>的适用范围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建议《江永香柚》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适用范围</w:t>
      </w:r>
      <w:r>
        <w:rPr>
          <w:rFonts w:hint="default" w:ascii="Times New Roman" w:hAnsi="Times New Roman" w:cs="Times New Roman"/>
          <w:sz w:val="24"/>
          <w:szCs w:val="24"/>
        </w:rPr>
        <w:t>为江永香柚鲜果。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>3、标准内容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 xml:space="preserve">本标准规定了江永香柚的术语和定义、要求、检验方法、检验规则及标志、标签、包装、贮运等技术内容。 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 xml:space="preserve">4、关键内容提出依据 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eastAsia="zh-CN" w:bidi="ar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eastAsia="zh-CN" w:bidi="ar"/>
        </w:rPr>
        <w:t>）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val="en-US" w:eastAsia="zh-CN" w:bidi="ar"/>
        </w:rPr>
        <w:t>基本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 xml:space="preserve">要求  </w:t>
      </w:r>
    </w:p>
    <w:p>
      <w:pPr>
        <w:spacing w:line="420" w:lineRule="exact"/>
        <w:jc w:val="center"/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参照GB 2762《食品安全国家标准 食品中污染物限量》、GB 2763《食品安全国家标准 食品中农药最大残留限量》和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农业行业标准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NY/T 1265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-2007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《香柚》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eastAsia="zh-CN" w:bidi="ar"/>
        </w:rPr>
        <w:t>、中华人民共和国农产品地理标志质量控制技术规范AGI2008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-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eastAsia="zh-CN" w:bidi="ar"/>
        </w:rPr>
        <w:t>04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-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eastAsia="zh-CN" w:bidi="ar"/>
        </w:rPr>
        <w:t>00018《江永香柚》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对江永香柚卫生安全进行了规定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要求江永香柚新鲜、无萎蔫现象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果面洁</w:t>
      </w:r>
    </w:p>
    <w:p>
      <w:pPr>
        <w:spacing w:line="420" w:lineRule="exact"/>
        <w:jc w:val="center"/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</w:pPr>
    </w:p>
    <w:p>
      <w:pPr>
        <w:spacing w:line="420" w:lineRule="exact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表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柚类相关的国家、行业标准及本标准拟设定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单果重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指标</w:t>
      </w:r>
    </w:p>
    <w:tbl>
      <w:tblPr>
        <w:tblStyle w:val="4"/>
        <w:tblW w:w="7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2277"/>
        <w:gridCol w:w="1062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标准号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标准名称</w:t>
            </w: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单果重（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g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6" w:colFirst="2" w:colLast="2"/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NY/T 1265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-2007</w:t>
            </w:r>
          </w:p>
        </w:tc>
        <w:tc>
          <w:tcPr>
            <w:tcW w:w="22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香柚</w:t>
            </w: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特级1250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单果重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一级1000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单果重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二级750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单果重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NY/T 868-2004</w:t>
            </w:r>
          </w:p>
        </w:tc>
        <w:tc>
          <w:tcPr>
            <w:tcW w:w="2277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沙田柚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特级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一级1100~1299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二级900~1099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特级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一级1100~1299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二级900~1099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DB45/T 210-201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容县沙田柚</w:t>
            </w: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特级（优级果）1100~1300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一级果1300~1600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2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二级果900~1100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DB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/T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-200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重庆市地方标准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长寿沙田柚</w:t>
            </w: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特级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优等品900~1100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合格品 750~900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DB44/T 864-2011</w:t>
            </w:r>
          </w:p>
        </w:tc>
        <w:tc>
          <w:tcPr>
            <w:tcW w:w="2277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地理标志产品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长坝沙田柚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特级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一级1000~1249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6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二级900~999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特级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6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一级1000~1249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6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二级900~999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DB4414/T 1-2020</w:t>
            </w:r>
          </w:p>
        </w:tc>
        <w:tc>
          <w:tcPr>
            <w:tcW w:w="22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地理标志产品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梅州金柚</w:t>
            </w: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一级1200～1400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二级1000～1500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T/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MXJY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00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—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2020</w:t>
            </w:r>
          </w:p>
        </w:tc>
        <w:tc>
          <w:tcPr>
            <w:tcW w:w="2277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</w:pPr>
            <w:bookmarkStart w:id="2" w:name="YZBS"/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梅县金柚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地理标志证明商标</w:t>
            </w:r>
            <w:bookmarkEnd w:id="2"/>
          </w:p>
        </w:tc>
        <w:tc>
          <w:tcPr>
            <w:tcW w:w="3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一级1200～1400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2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二级1000～1500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DB36/T 243-2019</w:t>
            </w:r>
          </w:p>
        </w:tc>
        <w:tc>
          <w:tcPr>
            <w:tcW w:w="22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地理标志产品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南康甜柚</w:t>
            </w: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特级1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100~1300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一级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≥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二级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≥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本标准</w:t>
            </w:r>
          </w:p>
        </w:tc>
        <w:tc>
          <w:tcPr>
            <w:tcW w:w="22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湖南地方标准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江永香柚</w:t>
            </w: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特级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单果重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一级1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300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＜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单果重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二级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750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≤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单果重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＜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1100</w:t>
            </w:r>
          </w:p>
        </w:tc>
      </w:tr>
    </w:tbl>
    <w:p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表4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-1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江永香柚样品单果重检测数据</w:t>
      </w:r>
    </w:p>
    <w:tbl>
      <w:tblPr>
        <w:tblStyle w:val="4"/>
        <w:tblW w:w="8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071"/>
        <w:gridCol w:w="917"/>
        <w:gridCol w:w="919"/>
        <w:gridCol w:w="917"/>
        <w:gridCol w:w="919"/>
        <w:gridCol w:w="917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20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样品</w:t>
            </w:r>
          </w:p>
        </w:tc>
        <w:tc>
          <w:tcPr>
            <w:tcW w:w="5513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单果重/（g）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  <w:jc w:val="center"/>
        </w:trPr>
        <w:tc>
          <w:tcPr>
            <w:tcW w:w="6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0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1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实测值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实测值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实测值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实测值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实测值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highlight w:val="none"/>
                <w:lang w:val="en-US" w:eastAsia="zh-CN"/>
              </w:rPr>
              <w:t>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桃川镇所城村1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981.82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816.52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954.55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984.55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1066.06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特级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≤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单果重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≤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一级1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300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＜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单果重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val="en-US" w:eastAsia="zh-CN"/>
              </w:rPr>
              <w:t>1500；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ajorEastAsia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二级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750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单果重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＜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1"/>
                <w:szCs w:val="21"/>
                <w:lang w:val="en-US" w:eastAsia="zh-CN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桃川镇所城村2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966.72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1036.1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993.17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1024.91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914.64</w:t>
            </w:r>
          </w:p>
        </w:tc>
        <w:tc>
          <w:tcPr>
            <w:tcW w:w="9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桃川镇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eastAsia="zh-CN" w:bidi="ar"/>
              </w:rPr>
              <w:t>朱塘铺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村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1200.91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1313.6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1349.94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1174.40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1014.50</w:t>
            </w:r>
          </w:p>
        </w:tc>
        <w:tc>
          <w:tcPr>
            <w:tcW w:w="9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桃川镇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石枧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村1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1453.43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963.88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1274.79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1107.41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1100.60</w:t>
            </w:r>
          </w:p>
        </w:tc>
        <w:tc>
          <w:tcPr>
            <w:tcW w:w="9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桃川镇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 w:bidi="ar"/>
              </w:rPr>
              <w:t>石枧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村2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1321.31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1112.37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1060.55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963.82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1082.62</w:t>
            </w:r>
          </w:p>
        </w:tc>
        <w:tc>
          <w:tcPr>
            <w:tcW w:w="9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桃川镇邑口村1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976.20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985.09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1019.97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1054.80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1097.48</w:t>
            </w:r>
          </w:p>
        </w:tc>
        <w:tc>
          <w:tcPr>
            <w:tcW w:w="9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桃川镇邑口村2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960.78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1065.47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1115.41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1078.76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1199.88</w:t>
            </w:r>
          </w:p>
        </w:tc>
        <w:tc>
          <w:tcPr>
            <w:tcW w:w="9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粗石江镇宋村1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771.18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961.36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1119.54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870.00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964.14</w:t>
            </w:r>
          </w:p>
        </w:tc>
        <w:tc>
          <w:tcPr>
            <w:tcW w:w="9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粗石江镇宋村2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970.52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892.34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1006.90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945.23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1051.69</w:t>
            </w:r>
          </w:p>
        </w:tc>
        <w:tc>
          <w:tcPr>
            <w:tcW w:w="9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粗石江镇叠楼村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1068.87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1000.84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1162.12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992.79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891.91</w:t>
            </w:r>
          </w:p>
        </w:tc>
        <w:tc>
          <w:tcPr>
            <w:tcW w:w="9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粗石江镇道塘村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818.02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953.95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1117.98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866.28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965.89</w:t>
            </w:r>
          </w:p>
        </w:tc>
        <w:tc>
          <w:tcPr>
            <w:tcW w:w="9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粗石江镇道塘村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1020.04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858.96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1021.94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1159.59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978.23</w:t>
            </w:r>
          </w:p>
        </w:tc>
        <w:tc>
          <w:tcPr>
            <w:tcW w:w="9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粗石江镇槐木村1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776.61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960.31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888.95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1004.11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960.38</w:t>
            </w:r>
          </w:p>
        </w:tc>
        <w:tc>
          <w:tcPr>
            <w:tcW w:w="9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粗石江镇槐木村2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901.00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1019.73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887.05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812.69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797.74</w:t>
            </w:r>
          </w:p>
        </w:tc>
        <w:tc>
          <w:tcPr>
            <w:tcW w:w="9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粗石江镇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罗家村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952.12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1060.41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953.33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853.86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1051.38</w:t>
            </w:r>
          </w:p>
        </w:tc>
        <w:tc>
          <w:tcPr>
            <w:tcW w:w="9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粗石江镇下禾洞村1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970.81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5B9BD5" w:themeColor="accen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t>739.14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856.86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798.49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1139.72</w:t>
            </w:r>
          </w:p>
        </w:tc>
        <w:tc>
          <w:tcPr>
            <w:tcW w:w="9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粗石江镇下禾洞村2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876.17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1086.84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1017.57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968.06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799.70</w:t>
            </w:r>
          </w:p>
        </w:tc>
        <w:tc>
          <w:tcPr>
            <w:tcW w:w="9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粗石江镇粗石江村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1098.46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1132.69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802.42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1305.40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750.64</w:t>
            </w:r>
          </w:p>
        </w:tc>
        <w:tc>
          <w:tcPr>
            <w:tcW w:w="9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粗石江镇竹根塘村1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973.53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1087.52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967.88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1044.07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1258.37</w:t>
            </w:r>
          </w:p>
        </w:tc>
        <w:tc>
          <w:tcPr>
            <w:tcW w:w="92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  <w:t>粗石江镇竹根塘村2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921.74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1048.45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900.61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876.24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1067.71</w:t>
            </w:r>
          </w:p>
        </w:tc>
        <w:tc>
          <w:tcPr>
            <w:tcW w:w="9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  <w:t>达标率</w:t>
            </w:r>
          </w:p>
        </w:tc>
        <w:tc>
          <w:tcPr>
            <w:tcW w:w="5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特级果15%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5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一级果5%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7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5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二级果 7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%</w:t>
            </w:r>
          </w:p>
        </w:tc>
      </w:tr>
    </w:tbl>
    <w:p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eastAsia="zh-CN" w:bidi="ar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净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达到基本成熟度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无检疫性病虫害、无严重的机械伤及其他斑块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具有该品种固有的香气和风味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从源头保证产品的品质与安全。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eastAsia="zh-CN" w:bidi="ar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eastAsia="zh-CN" w:bidi="ar"/>
        </w:rPr>
        <w:t>）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>质量等级指标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质量等级指标是江永香柚质量好坏最直观的因素。收集了江永县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粗石江镇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仙姑塘村、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罗家村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、下禾洞村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粗石江村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竹根塘村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桂阳村、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鸡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咀营村、槐木村、道塘村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叠楼村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宋村、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新合村、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城下村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，源口瑶族乡锦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eastAsia="zh-CN" w:bidi="ar"/>
        </w:rPr>
        <w:t>堂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村、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白美村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古调村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，桃川镇周棠村、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富美村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、朱塘铺村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、新宅村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邑口村、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石枧村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、茅草地村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所城村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，潇浦镇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和兴村、古宅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新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村等多地种植的江永香柚样品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通过对这些样品的调研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参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val="en-US" w:eastAsia="zh-CN" w:bidi="ar"/>
        </w:rPr>
        <w:t>考农业行业标准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bidi="ar"/>
        </w:rPr>
        <w:t>NY/T 1265-2007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val="en-US" w:eastAsia="zh-CN" w:bidi="ar"/>
        </w:rPr>
        <w:t>《香柚》、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eastAsia="zh-CN" w:bidi="ar"/>
        </w:rPr>
        <w:t>NY/T 868-2004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《沙田柚》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及等其他柚类地方标准（见表3）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并结合GB/T 8210《柑桔鲜果检验方法》中对感官质量的要求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，对单果重（见表4-1和表4-2）等指标进行检验。结果发现，江永香柚单果重为1100~1300g时，口感最好，单果重超过1300 g，其口感会有影响。因此我们将单果重为1100~1300g江永香柚定为特级果。拟定的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江永香柚的质量等级指标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要求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见表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4-1、表4-2和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表5。</w:t>
      </w: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</w:rPr>
        <w:t>表4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 w:eastAsia="zh-CN"/>
        </w:rPr>
        <w:t>-2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</w:rPr>
        <w:t xml:space="preserve">  江永香柚样品单果重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 w:eastAsia="zh-CN"/>
        </w:rPr>
        <w:t>及可食率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</w:rPr>
        <w:t>检测数据</w:t>
      </w:r>
    </w:p>
    <w:tbl>
      <w:tblPr>
        <w:tblStyle w:val="4"/>
        <w:tblW w:w="849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6"/>
        <w:gridCol w:w="1192"/>
        <w:gridCol w:w="1049"/>
        <w:gridCol w:w="988"/>
        <w:gridCol w:w="820"/>
        <w:gridCol w:w="843"/>
        <w:gridCol w:w="12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样</w:t>
            </w:r>
            <w:r>
              <w:rPr>
                <w:rFonts w:hint="default"/>
                <w:b/>
                <w:bCs/>
                <w:lang w:val="en-US" w:eastAsia="zh-CN"/>
              </w:rPr>
              <w:t>品</w:t>
            </w:r>
            <w:r>
              <w:rPr>
                <w:rFonts w:hint="default"/>
                <w:b/>
                <w:bCs/>
              </w:rPr>
              <w:t>来源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/>
                <w:bCs/>
                <w:lang w:val="zh-CN" w:eastAsia="zh-CN"/>
              </w:rPr>
            </w:pPr>
            <w:r>
              <w:rPr>
                <w:rFonts w:hint="default"/>
                <w:b/>
                <w:bCs/>
              </w:rPr>
              <w:t>果皮色泽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单果重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/>
                <w:bCs/>
                <w:lang w:val="zh-CN" w:eastAsia="zh-CN"/>
              </w:rPr>
            </w:pPr>
            <w:r>
              <w:rPr>
                <w:rFonts w:hint="default"/>
                <w:b/>
                <w:bCs/>
              </w:rPr>
              <w:t>（g）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/>
                <w:bCs/>
                <w:lang w:val="zh-CN" w:eastAsia="zh-CN"/>
              </w:rPr>
            </w:pPr>
            <w:r>
              <w:rPr>
                <w:rFonts w:hint="default"/>
                <w:b/>
                <w:bCs/>
              </w:rPr>
              <w:t>果皮厚(mm)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种子数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/>
                <w:bCs/>
                <w:lang w:val="zh-CN" w:eastAsia="zh-CN"/>
              </w:rPr>
            </w:pPr>
            <w:r>
              <w:rPr>
                <w:rFonts w:hint="default"/>
                <w:b/>
                <w:bCs/>
              </w:rPr>
              <w:t>（粒）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/>
                <w:bCs/>
              </w:rPr>
            </w:pPr>
            <w:r>
              <w:rPr>
                <w:rFonts w:hint="default"/>
                <w:b/>
                <w:bCs/>
              </w:rPr>
              <w:t>可食率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/>
                <w:bCs/>
                <w:lang w:val="zh-CN" w:eastAsia="zh-CN"/>
              </w:rPr>
            </w:pPr>
            <w:r>
              <w:rPr>
                <w:rFonts w:hint="default"/>
                <w:b/>
                <w:bCs/>
              </w:rPr>
              <w:t>（%）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b/>
                <w:bCs/>
                <w:lang w:val="zh-CN" w:eastAsia="zh-CN"/>
              </w:rPr>
            </w:pPr>
            <w:r>
              <w:rPr>
                <w:rFonts w:hint="default"/>
                <w:b/>
                <w:bCs/>
              </w:rPr>
              <w:t>口感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平均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1158.7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17.0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129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44.22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lang w:eastAsia="zh-CN"/>
              </w:rPr>
            </w:pPr>
            <w:r>
              <w:rPr>
                <w:rFonts w:hint="default"/>
              </w:rPr>
              <w:t>化渣</w:t>
            </w:r>
            <w:r>
              <w:rPr>
                <w:rFonts w:hint="default"/>
                <w:lang w:eastAsia="zh-CN"/>
              </w:rPr>
              <w:t>、</w:t>
            </w:r>
            <w:r>
              <w:rPr>
                <w:rFonts w:hint="default"/>
              </w:rPr>
              <w:t>甜</w:t>
            </w:r>
            <w:r>
              <w:rPr>
                <w:rFonts w:hint="default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蜜回味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何茂林桃川镇茅草地村右干渠边香柚园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橙黄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1092.7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119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45.02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lang w:eastAsia="zh-CN"/>
              </w:rPr>
            </w:pPr>
            <w:r>
              <w:rPr>
                <w:rFonts w:hint="default"/>
              </w:rPr>
              <w:t>甜脆</w:t>
            </w:r>
            <w:r>
              <w:rPr>
                <w:rFonts w:hint="default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无回味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何浩成桃川镇周棠分场香柚园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黄绿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297</w:t>
            </w:r>
            <w:r>
              <w:rPr>
                <w:rFonts w:hint="eastAsia" w:asciiTheme="minorEastAsia" w:hAnsiTheme="minorEastAsia" w:eastAsiaTheme="minorEastAsia" w:cstheme="minorEastAsia"/>
              </w:rPr>
              <w:t>.7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19.5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164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5B9BD5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38.22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lang w:eastAsia="zh-CN"/>
              </w:rPr>
            </w:pPr>
            <w:r>
              <w:rPr>
                <w:rFonts w:hint="default"/>
              </w:rPr>
              <w:t>较化渣</w:t>
            </w:r>
            <w:r>
              <w:rPr>
                <w:rFonts w:hint="default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苦味浓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何茂林桃川镇茅草地村右干渠边香柚园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橙黄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1001.1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19.5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94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5B9BD5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39.94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较化渣、甜</w:t>
            </w:r>
            <w:r>
              <w:rPr>
                <w:rFonts w:hint="default"/>
                <w:lang w:eastAsia="zh-CN"/>
              </w:rPr>
              <w:t>、</w:t>
            </w:r>
            <w:r>
              <w:rPr>
                <w:rFonts w:hint="default"/>
              </w:rPr>
              <w:t>无回味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毛荣祥源口瑶族乡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锦</w:t>
            </w:r>
            <w:r>
              <w:rPr>
                <w:rFonts w:hint="eastAsia"/>
                <w:lang w:eastAsia="zh-CN"/>
              </w:rPr>
              <w:t>堂</w:t>
            </w:r>
            <w:r>
              <w:rPr>
                <w:rFonts w:hint="default"/>
              </w:rPr>
              <w:t>村红塘香柚园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黄淡绿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1312.</w:t>
            </w: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173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44.18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lang w:eastAsia="zh-CN"/>
              </w:rPr>
            </w:pPr>
            <w:r>
              <w:rPr>
                <w:rFonts w:hint="default"/>
              </w:rPr>
              <w:t>化渣差</w:t>
            </w:r>
            <w:r>
              <w:rPr>
                <w:rFonts w:hint="default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略苦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何誉飞源口瑶族乡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白美村白象岗香柚园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橙黄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1099.8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14.5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107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51.32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化渣</w:t>
            </w:r>
            <w:r>
              <w:rPr>
                <w:rFonts w:hint="default"/>
                <w:lang w:eastAsia="zh-CN"/>
              </w:rPr>
              <w:t>、</w:t>
            </w:r>
            <w:r>
              <w:rPr>
                <w:rFonts w:hint="default"/>
              </w:rPr>
              <w:t>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毛福德源口瑶族乡锦</w:t>
            </w:r>
            <w:r>
              <w:rPr>
                <w:rFonts w:hint="eastAsia"/>
                <w:lang w:eastAsia="zh-CN"/>
              </w:rPr>
              <w:t>堂</w:t>
            </w:r>
            <w:r>
              <w:rPr>
                <w:rFonts w:hint="default"/>
              </w:rPr>
              <w:t>村断尾屋香柚园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橙黄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1124.</w:t>
            </w: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17.5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143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40.97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lang w:eastAsia="zh-CN"/>
              </w:rPr>
            </w:pPr>
            <w:r>
              <w:rPr>
                <w:rFonts w:hint="default"/>
              </w:rPr>
              <w:t>化渣一般</w:t>
            </w:r>
            <w:r>
              <w:rPr>
                <w:rFonts w:hint="default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“百家香柚园” 参评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样品果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绿带黄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1096.5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41.49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化渣、略苦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潇湘食品公司城下分场瞭望台旁香柚园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黄略带绿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1388.7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18.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73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49.77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甜脆、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无回味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何春生源口瑶族乡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白美村白象岗香柚园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橙黄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1002.2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167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47.23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化渣、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甜有回味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何贵友粗石江槐木村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渠道边香柚基地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橙黄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1239.</w:t>
            </w:r>
            <w:r>
              <w:rPr>
                <w:rFonts w:hint="eastAsia" w:asciiTheme="minorEastAsia" w:hAnsiTheme="minorEastAsia" w:eastAsiaTheme="minorEastAsia" w:cstheme="minorEastAsia"/>
              </w:rPr>
              <w:t>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17.5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86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47.39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淡甜</w:t>
            </w:r>
            <w:r>
              <w:rPr>
                <w:rFonts w:hint="default"/>
                <w:lang w:eastAsia="zh-CN"/>
              </w:rPr>
              <w:t>、</w:t>
            </w:r>
            <w:r>
              <w:rPr>
                <w:rFonts w:hint="default"/>
              </w:rPr>
              <w:t>较脆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lang w:eastAsia="zh-CN"/>
              </w:rPr>
            </w:pPr>
            <w:r>
              <w:rPr>
                <w:rFonts w:hint="default"/>
              </w:rPr>
              <w:t>李军潇浦</w:t>
            </w:r>
            <w:r>
              <w:rPr>
                <w:rFonts w:hint="default"/>
                <w:lang w:eastAsia="zh-CN"/>
              </w:rPr>
              <w:t>古宅新村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怡昌公司猪场旁香柚园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黄略有绿斑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1107.8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18.5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132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46.63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化渣一般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苦味浓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涩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周辉云雾山产业园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周棠分场香柚园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黄色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1129.6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20.5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163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42.39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化渣一般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淡甜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何盛明粗石江镇桂阳村旱地基地香柚园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黄色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1122.4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118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45.24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化渣一般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甜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略苦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周朋军源口瑶族乡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古调村背后山香柚园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黄色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1075.5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16.5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44.70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化渣一般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淡甜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略苦涩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周水莲粗石江镇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鸡咀营村黄牛塘香柚园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黄色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1137.9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177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44.37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化渣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淡甜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邓有宣粗石江镇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鸡咀营村背后山香柚园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黄色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1306.7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123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42.82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较化渣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淡甜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邓有宣粗石江镇鸡咀营村背后山60年生香柚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绿黄色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1692.3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18.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152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46.45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化渣差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淡甜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涩麻重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李国平桃管委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茅草地基地香柚园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橙黄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991.1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40.88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化渣、淡甜、微涩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尹年富桃川镇邑口村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白芒山香柚园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橙黄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1100.4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14.5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148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43.91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化渣、淡甜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陈小忠桃川镇富美村前稻田香柚园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黄淡绿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1388.0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18.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149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44.08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较化渣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肉软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淡甜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黄绿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838.2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16.5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136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5B9BD5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34.99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较化渣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淡甜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苦味浓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余彦华粗石江新合村牛形岗香柚园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黄色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1143.</w:t>
            </w: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50.57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淡甜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较脆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肉较硬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盛昌叙粗石江镇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周棠分场香柚园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黄色有绿斑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1068.8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41.46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淡甜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化渣一般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盛昌叙粗石江镇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周棠分场香柚园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橙黄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1064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103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48.61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化渣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淡甜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涩麻味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盛昌叙粗石江镇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周棠分场香柚园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黄绿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1156.</w:t>
            </w:r>
            <w:r>
              <w:rPr>
                <w:rFonts w:hint="eastAsia" w:asciiTheme="minorEastAsia" w:hAnsiTheme="minorEastAsia" w:eastAsiaTheme="minorEastAsia" w:cstheme="minorEastAsia"/>
              </w:rPr>
              <w:t>9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13.5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168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51.86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较化渣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淡甜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果</w:t>
            </w:r>
            <w:r>
              <w:rPr>
                <w:rFonts w:hint="eastAsia" w:asciiTheme="minorEastAsia" w:hAnsiTheme="minorEastAsia" w:eastAsiaTheme="minorEastAsia" w:cstheme="minorEastAsia"/>
              </w:rPr>
              <w:t>汁一般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陈翔桃川镇新宅村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香柚园矮颈型香柚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  <w:t>绿黄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1291.1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105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46.65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化渣差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淡甜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略酸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陈翔桃川镇新宅村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香柚园高</w:t>
            </w:r>
            <w:r>
              <w:rPr>
                <w:rFonts w:hint="default"/>
              </w:rPr>
              <w:t>颈型香柚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黄绿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1119.1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16.5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124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5B9BD5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38.57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化渣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淡甜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有涩味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曾文云雾山香柚产业园周棠分场香柚园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黄色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960.2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45.21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化渣差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淡甜、涩辣味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何浩成云雾山香柚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</w:rPr>
            </w:pPr>
            <w:r>
              <w:rPr>
                <w:rFonts w:hint="default"/>
              </w:rPr>
              <w:t>产业园周棠分场香柚园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橙黄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263</w:t>
            </w:r>
            <w:r>
              <w:rPr>
                <w:rFonts w:hint="eastAsia" w:asciiTheme="minorEastAsia" w:hAnsiTheme="minorEastAsia" w:eastAsiaTheme="minorEastAsia" w:cstheme="minorEastAsia"/>
              </w:rPr>
              <w:t>.5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21.5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5B9BD5" w:themeColor="accent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36.38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化渣差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淡甜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橙黄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1149.4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.0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122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45.33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化渣一般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淡甜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/>
                <w:b/>
                <w:bCs/>
                <w:lang w:val="zh-CN" w:eastAsia="zh-CN"/>
              </w:rPr>
              <w:t>达标率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特级果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36.67</w:t>
            </w:r>
            <w:r>
              <w:rPr>
                <w:rFonts w:hint="default"/>
                <w:color w:val="auto"/>
                <w:lang w:val="en-US" w:eastAsia="zh-CN"/>
              </w:rPr>
              <w:t>%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  <w:lang w:val="en-US" w:eastAsia="zh-CN"/>
              </w:rPr>
              <w:t>特级果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63.33</w:t>
            </w:r>
            <w:r>
              <w:rPr>
                <w:rFonts w:hint="default"/>
                <w:color w:val="auto"/>
                <w:lang w:val="en-US" w:eastAsia="zh-CN"/>
              </w:rPr>
              <w:t>%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color w:val="auto"/>
              </w:rPr>
            </w:pP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color w:val="auto"/>
              </w:rPr>
            </w:pP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hint="default"/>
                <w:color w:val="auto"/>
                <w:lang w:val="en-US" w:eastAsia="zh-CN"/>
              </w:rPr>
              <w:t>3.33%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 xml:space="preserve">一级果 </w:t>
            </w:r>
            <w:r>
              <w:rPr>
                <w:rFonts w:hint="eastAsia"/>
                <w:color w:val="auto"/>
                <w:lang w:val="en-US" w:eastAsia="zh-CN"/>
              </w:rPr>
              <w:t xml:space="preserve"> 30</w:t>
            </w:r>
            <w:r>
              <w:rPr>
                <w:rFonts w:hint="default"/>
                <w:color w:val="auto"/>
                <w:lang w:val="en-US" w:eastAsia="zh-CN"/>
              </w:rPr>
              <w:t>%</w:t>
            </w:r>
          </w:p>
        </w:tc>
        <w:tc>
          <w:tcPr>
            <w:tcW w:w="10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 xml:space="preserve">一级果 </w:t>
            </w:r>
            <w:r>
              <w:rPr>
                <w:rFonts w:hint="eastAsia"/>
                <w:color w:val="auto"/>
                <w:lang w:val="en-US" w:eastAsia="zh-CN"/>
              </w:rPr>
              <w:t xml:space="preserve"> 13.33</w:t>
            </w:r>
            <w:r>
              <w:rPr>
                <w:rFonts w:hint="default"/>
                <w:color w:val="auto"/>
                <w:lang w:val="en-US" w:eastAsia="zh-CN"/>
              </w:rPr>
              <w:t>%</w:t>
            </w:r>
          </w:p>
        </w:tc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color w:val="FF0000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 xml:space="preserve">二级果 </w:t>
            </w:r>
            <w:r>
              <w:rPr>
                <w:rFonts w:hint="eastAsia"/>
                <w:color w:val="auto"/>
                <w:lang w:val="en-US" w:eastAsia="zh-CN"/>
              </w:rPr>
              <w:t xml:space="preserve"> 23.33</w:t>
            </w:r>
            <w:r>
              <w:rPr>
                <w:rFonts w:hint="default"/>
                <w:color w:val="auto"/>
                <w:lang w:val="en-US" w:eastAsia="zh-CN"/>
              </w:rPr>
              <w:t>%</w:t>
            </w:r>
          </w:p>
        </w:tc>
        <w:tc>
          <w:tcPr>
            <w:tcW w:w="10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 xml:space="preserve">二级果 </w:t>
            </w:r>
            <w:r>
              <w:rPr>
                <w:rFonts w:hint="eastAsia"/>
                <w:color w:val="auto"/>
                <w:lang w:val="en-US" w:eastAsia="zh-CN"/>
              </w:rPr>
              <w:t xml:space="preserve"> 36.67</w:t>
            </w:r>
            <w:r>
              <w:rPr>
                <w:rFonts w:hint="default"/>
                <w:color w:val="auto"/>
                <w:lang w:val="en-US" w:eastAsia="zh-CN"/>
              </w:rPr>
              <w:t>%</w:t>
            </w:r>
          </w:p>
        </w:tc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2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color w:val="auto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eastAsia="zh-CN" w:bidi="ar"/>
        </w:rPr>
      </w:pP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eastAsia="zh-CN" w:bidi="ar"/>
        </w:rPr>
      </w:pP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eastAsia="zh-CN" w:bidi="ar"/>
        </w:rPr>
      </w:pPr>
    </w:p>
    <w:p>
      <w:pPr>
        <w:spacing w:line="360" w:lineRule="auto"/>
        <w:ind w:firstLine="241" w:firstLineChars="100"/>
        <w:jc w:val="center"/>
        <w:rPr>
          <w:rFonts w:hint="default" w:ascii="Times New Roman" w:hAnsi="Times New Roman" w:cs="Times New Roman"/>
          <w:b/>
          <w:bCs/>
          <w:sz w:val="24"/>
          <w:szCs w:val="32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</w:rPr>
        <w:t>表</w:t>
      </w: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sz w:val="24"/>
          <w:szCs w:val="32"/>
        </w:rPr>
        <w:t xml:space="preserve"> 果品质量等级要求</w:t>
      </w:r>
    </w:p>
    <w:tbl>
      <w:tblPr>
        <w:tblStyle w:val="4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2456"/>
        <w:gridCol w:w="2465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项目</w:t>
            </w:r>
          </w:p>
        </w:tc>
        <w:tc>
          <w:tcPr>
            <w:tcW w:w="245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特级果</w:t>
            </w:r>
          </w:p>
        </w:tc>
        <w:tc>
          <w:tcPr>
            <w:tcW w:w="24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一级果</w:t>
            </w:r>
          </w:p>
        </w:tc>
        <w:tc>
          <w:tcPr>
            <w:tcW w:w="248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二级果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果形</w:t>
            </w:r>
          </w:p>
        </w:tc>
        <w:tc>
          <w:tcPr>
            <w:tcW w:w="492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</w:rPr>
              <w:t>具有江永香柚典型特征，果形端正，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val="en-US" w:eastAsia="zh-CN"/>
              </w:rPr>
              <w:t>无畸形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</w:rPr>
              <w:t>具有江永香柚典型特征，果形端正，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val="en-US" w:eastAsia="zh-CN"/>
              </w:rPr>
              <w:t>无畸形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色泽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黄色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着色均匀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</w:rPr>
              <w:t>黄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色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</w:rPr>
              <w:t>至橙黄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色，初采时呈淡黄色。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黄色或浅黄色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着色均匀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，初采时允许绿色面积不超过5%。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黄色或绿黄色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着色较均匀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，初采时允许绿色面积不超过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果面</w:t>
            </w:r>
          </w:p>
        </w:tc>
        <w:tc>
          <w:tcPr>
            <w:tcW w:w="492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</w:rPr>
              <w:t>果面光滑，新鲜饱满，匀整洁净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</w:rPr>
              <w:t>果面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</w:rPr>
              <w:t>光滑，新鲜饱满，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较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</w:rPr>
              <w:t>匀整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、较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</w:rPr>
              <w:t>洁净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缺陷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无机械伤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无明显的日灼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伤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无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裂果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症状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。无影响外观的旧伤痕及病虫斑，其分布面积合并计算不超过单个果皮总面积的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%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</w:rPr>
              <w:t>无油胞压伤果，无缺陷果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无腐烂果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无机械伤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无明显的日灼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伤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无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裂果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症状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。无影响外观的旧伤痕及病虫斑，其分布面积合并计算不超过单个果皮总面积的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%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</w:rPr>
              <w:t>无油胞压伤果，无缺陷果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无腐烂果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无新的机械伤。无影响外观的旧伤痕及病虫斑，其分布面积合并计算不超过单个果皮总面积的15%，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</w:rPr>
              <w:t>无缺陷果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无腐烂果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风味</w:t>
            </w:r>
          </w:p>
        </w:tc>
        <w:tc>
          <w:tcPr>
            <w:tcW w:w="740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果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肉清甜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爽口不溢汁，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细嫩化渣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，无汁胞木栓化（干枯、粒化）现象，有香蜜味，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无异味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单果重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g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00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≤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单果重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≤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0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  <w:lang w:val="en-US" w:eastAsia="zh-CN"/>
              </w:rPr>
              <w:t>300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＜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单果重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</w:rPr>
              <w:t>≤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  <w:lang w:val="en-US" w:eastAsia="zh-CN"/>
              </w:rPr>
              <w:t>500</w:t>
            </w:r>
          </w:p>
        </w:tc>
        <w:tc>
          <w:tcPr>
            <w:tcW w:w="24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  <w:lang w:val="en-US" w:eastAsia="zh-CN"/>
              </w:rPr>
              <w:t>750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</w:rPr>
              <w:t>≤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单果重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  <w:lang w:eastAsia="zh-CN"/>
              </w:rPr>
              <w:t>＜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584" w:type="dxa"/>
            <w:gridSpan w:val="4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4"/>
                <w:highlight w:val="none"/>
              </w:rPr>
              <w:t>注：果品质量等级同时达到方可认定为该等级果品。</w:t>
            </w:r>
          </w:p>
        </w:tc>
      </w:tr>
    </w:tbl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</w:pP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eastAsia="zh-CN" w:bidi="ar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eastAsia="zh-CN" w:bidi="ar"/>
        </w:rPr>
        <w:t>）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>理化指标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理化指标是决定江永香柚质量的重要因素。收集了江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bidi="ar"/>
        </w:rPr>
        <w:t>永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lang w:eastAsia="zh-CN" w:bidi="ar"/>
        </w:rPr>
        <w:t>县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bidi="ar"/>
        </w:rPr>
        <w:t>不同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乡镇种植的江永香柚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对可溶性固形物、可滴定酸、固酸比、可食率等指标进行了相应检测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同时参考了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eastAsia="zh-CN" w:bidi="ar"/>
          <w14:textFill>
            <w14:solidFill>
              <w14:schemeClr w14:val="tx1"/>
            </w14:solidFill>
          </w14:textFill>
        </w:rPr>
        <w:t>，《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绿色食品 柑橘类水果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eastAsia="zh-CN" w:bidi="ar"/>
          <w14:textFill>
            <w14:solidFill>
              <w14:schemeClr w14:val="tx1"/>
            </w14:solidFill>
          </w14:textFill>
        </w:rPr>
        <w:t>》（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NY/T 426-2012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eastAsia="zh-CN" w:bidi="ar"/>
          <w14:textFill>
            <w14:solidFill>
              <w14:schemeClr w14:val="tx1"/>
            </w14:solidFill>
          </w14:textFill>
        </w:rPr>
        <w:t>）、《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沙田柚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eastAsia="zh-CN" w:bidi="ar"/>
          <w14:textFill>
            <w14:solidFill>
              <w14:schemeClr w14:val="tx1"/>
            </w14:solidFill>
          </w14:textFill>
        </w:rPr>
        <w:t>》（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NY/T 868-2004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eastAsia="zh-CN" w:bidi="ar"/>
          <w14:textFill>
            <w14:solidFill>
              <w14:schemeClr w14:val="tx1"/>
            </w14:solidFill>
          </w14:textFill>
        </w:rPr>
        <w:t>）、《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地理标志产品　容县沙田柚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eastAsia="zh-CN" w:bidi="ar"/>
          <w14:textFill>
            <w14:solidFill>
              <w14:schemeClr w14:val="tx1"/>
            </w14:solidFill>
          </w14:textFill>
        </w:rPr>
        <w:t>》（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DB45/T 210-201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地理标志产品 梅州金柚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DB4414/T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2020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地理标志产品 长坝沙田柚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DB44/T 864-2011</w:t>
      </w: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、《中华人民共和国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农产品地理标志质量控制技术规范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江永香柚》（AGI2008-04-00018）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标准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制标单位检测数据以及文献中对理化指标的要求和范围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最终确定了江永香柚的理化指标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按GB/T 8210《出口柑桔鲜果检验方法》及GB/T 12947《鲜柑橘》的要求执行。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</w:pPr>
    </w:p>
    <w:p>
      <w:pPr>
        <w:spacing w:line="420" w:lineRule="exact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表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柚类相关的国家、行业标准及本标准拟设定可溶性固形物指标</w:t>
      </w:r>
    </w:p>
    <w:tbl>
      <w:tblPr>
        <w:tblStyle w:val="4"/>
        <w:tblW w:w="7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3156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  <w:t>标准号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  <w:t>标准名称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  <w:t>可溶性固形物/</w:t>
            </w:r>
            <w:r>
              <w:rPr>
                <w:rFonts w:hint="default" w:ascii="Times New Roman" w:hAnsi="Times New Roman" w:cs="Times New Roman"/>
                <w:sz w:val="24"/>
                <w:szCs w:val="32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  <w:t>%</w:t>
            </w:r>
            <w:r>
              <w:rPr>
                <w:rFonts w:hint="default" w:ascii="Times New Roman" w:hAnsi="Times New Roman" w:cs="Times New Roman"/>
                <w:sz w:val="24"/>
                <w:szCs w:val="3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NY/T 426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绿色食品 柑橘类水果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4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NY/T 868-2004</w:t>
            </w:r>
          </w:p>
        </w:tc>
        <w:tc>
          <w:tcPr>
            <w:tcW w:w="315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沙田柚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DB 36/T 243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  <w:tc>
          <w:tcPr>
            <w:tcW w:w="315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地理标志产品 南康甜柚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DB44/T 864-2011</w:t>
            </w:r>
          </w:p>
        </w:tc>
        <w:tc>
          <w:tcPr>
            <w:tcW w:w="315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地理标志产品 长坝沙田柚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DB45/T 210-201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156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地理标志产品　容县沙田柚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DB4414/T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315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地理标志产品 梅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金柚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4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AGI2008-04-00018</w:t>
            </w:r>
          </w:p>
        </w:tc>
        <w:tc>
          <w:tcPr>
            <w:tcW w:w="315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中华人民共和国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农产品地理标志质量控制技术规范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江永香柚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本标准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地方标准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江永香柚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</w:tbl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val="en-US" w:eastAsia="zh-CN"/>
        </w:rPr>
        <w:t xml:space="preserve">①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</w:rPr>
        <w:t xml:space="preserve">可溶性固形物 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</w:rPr>
      </w:pPr>
      <w:bookmarkStart w:id="3" w:name="_Hlk61430271"/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可溶性固形物</w:t>
      </w:r>
      <w:bookmarkEnd w:id="3"/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主要是可溶性糖类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包括单糖、双糖、多糖（淀粉、纤维素、几丁质、半纤维素）等。可溶性固形物是柑橘质量中最基本的指标之一。参考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《绿色食品 柑橘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类水果》（NY/T 426）、沙田柚（NY/T 868-2004）和相关地方标准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/>
        </w:rPr>
        <w:t>对沙田柚类的可溶性固形物限量值的规定（见表6），同时通过对采样数据的统计分析，检测结果在9.23%~15.87 %范围内（见表10）。当限定可溶性固形物指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标为</w:t>
      </w:r>
      <w:r>
        <w:rPr>
          <w:rFonts w:hint="eastAsia" w:ascii="仿宋" w:hAnsi="仿宋" w:eastAsia="仿宋" w:cs="仿宋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11%时，抽样检测的产品合格率达到89.36%。故建议限定可溶性固形物指标为</w:t>
      </w:r>
      <w:r>
        <w:rPr>
          <w:rFonts w:hint="eastAsia" w:ascii="仿宋" w:hAnsi="仿宋" w:eastAsia="仿宋" w:cs="仿宋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11%。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val="en-US" w:eastAsia="zh-CN"/>
        </w:rPr>
        <w:t xml:space="preserve">②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</w:rPr>
        <w:t>可滴定酸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可滴定酸是植物品质的重要构成性状之一，是影响果实风味品质的重要因素。参考《绿色食品 柑橘类水果》（NY/T 426）和相</w:t>
      </w:r>
      <w:r>
        <w:rPr>
          <w:rFonts w:hint="default" w:ascii="Times New Roman" w:hAnsi="Times New Roman" w:eastAsia="宋体" w:cs="Times New Roman"/>
          <w:color w:val="auto"/>
          <w:sz w:val="24"/>
          <w:szCs w:val="32"/>
          <w:lang w:val="en-US" w:eastAsia="zh-CN"/>
        </w:rPr>
        <w:t>关地方标准对沙田柚类的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可滴定酸限量值的规定（见表7），同时通过对采样数据的统计分析，检测结果在0.18%~0.66%范围内（见表10）。当限定可滴定酸指标为</w:t>
      </w:r>
      <w:r>
        <w:rPr>
          <w:rFonts w:hint="eastAsia" w:ascii="仿宋" w:hAnsi="仿宋" w:eastAsia="仿宋" w:cs="仿宋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≤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0.5%时，抽样检测的产品合格率达到85.10%。故建议限定可滴定酸指标为</w:t>
      </w:r>
      <w:r>
        <w:rPr>
          <w:rFonts w:hint="eastAsia" w:ascii="仿宋" w:hAnsi="仿宋" w:eastAsia="仿宋" w:cs="仿宋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≤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0.5%。</w:t>
      </w:r>
    </w:p>
    <w:p>
      <w:pPr>
        <w:spacing w:line="420" w:lineRule="exact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表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柚类相关的国家、行业标准及本标准拟设定</w:t>
      </w:r>
      <w:r>
        <w:rPr>
          <w:rFonts w:hint="default" w:ascii="Times New Roman" w:hAnsi="Times New Roman" w:cs="Times New Roman"/>
          <w:b/>
          <w:bCs/>
          <w:sz w:val="24"/>
          <w:szCs w:val="32"/>
        </w:rPr>
        <w:t>可滴定酸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指标</w:t>
      </w:r>
    </w:p>
    <w:tbl>
      <w:tblPr>
        <w:tblStyle w:val="4"/>
        <w:tblW w:w="8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3156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  <w:t>标准号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  <w:t>标准名称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可滴定酸/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NY/T 426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绿色食品 柑橘类水果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1.0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NY/T 868-2004</w:t>
            </w:r>
          </w:p>
        </w:tc>
        <w:tc>
          <w:tcPr>
            <w:tcW w:w="315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沙田柚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DB 36/T 243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  <w:tc>
          <w:tcPr>
            <w:tcW w:w="315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地理标志产品 南康甜柚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DB44/T 864-2011</w:t>
            </w:r>
          </w:p>
        </w:tc>
        <w:tc>
          <w:tcPr>
            <w:tcW w:w="315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地理标志产品 长坝沙田柚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本标准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湖南地方标准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江永香柚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≤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</w:tbl>
    <w:p>
      <w:pPr>
        <w:spacing w:line="420" w:lineRule="exact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val="en-US" w:eastAsia="zh-CN"/>
        </w:rPr>
        <w:t xml:space="preserve">③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</w:rPr>
        <w:t>固酸比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/>
        </w:rPr>
        <w:t>固酸比是可溶性固形物和可滴定酸含量的比值，植物品质的重要构成性状之一，常用来评价水果果实风味和成熟程度。参考《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沙田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/>
        </w:rPr>
        <w:t>柚》（NY/T 868-2004）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、《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/>
        </w:rPr>
        <w:t>地理标志产品 梅州金柚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》（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/>
        </w:rPr>
        <w:t>DB4414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/>
        </w:rPr>
        <w:t>T 1-2020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/>
        </w:rPr>
        <w:t>等相关标准对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沙田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/>
        </w:rPr>
        <w:t>柚类的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固酸比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/>
        </w:rPr>
        <w:t>限量值的规定（见表8），同时通过对采样数据的统计分析，检测结果在19.22~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66.11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/>
        </w:rPr>
        <w:t>范围内（见表10）。当限定固酸比指标为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≥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/>
        </w:rPr>
        <w:t>22时，抽样检测的产品合格率达到89.36%。故建议限定固酸比指标为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≥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/>
        </w:rPr>
        <w:t>22。</w:t>
      </w:r>
    </w:p>
    <w:p>
      <w:pPr>
        <w:spacing w:line="420" w:lineRule="exact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表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柚类相关的国家、行业标准及本标准拟设定</w:t>
      </w:r>
      <w:r>
        <w:rPr>
          <w:rFonts w:hint="default" w:ascii="Times New Roman" w:hAnsi="Times New Roman" w:cs="Times New Roman"/>
          <w:b/>
          <w:bCs/>
          <w:sz w:val="24"/>
          <w:szCs w:val="32"/>
        </w:rPr>
        <w:t>固酸比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指标</w:t>
      </w:r>
    </w:p>
    <w:tbl>
      <w:tblPr>
        <w:tblStyle w:val="4"/>
        <w:tblW w:w="7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3156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  <w:t>标准号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  <w:t>标准名称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  <w:t>固酸比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NY/T 868-2004</w:t>
            </w:r>
          </w:p>
        </w:tc>
        <w:tc>
          <w:tcPr>
            <w:tcW w:w="315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沙田柚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4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DB 36/T 243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  <w:tc>
          <w:tcPr>
            <w:tcW w:w="315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地理标志产品 南康甜柚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10：0.9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4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DB44/T 864-2011</w:t>
            </w:r>
          </w:p>
        </w:tc>
        <w:tc>
          <w:tcPr>
            <w:tcW w:w="315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地理标志产品 长坝沙田柚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DB4414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 1-2020</w:t>
            </w:r>
          </w:p>
        </w:tc>
        <w:tc>
          <w:tcPr>
            <w:tcW w:w="3156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地理标志产品 梅州金柚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一级≥27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FF0000"/>
                <w:sz w:val="24"/>
                <w:szCs w:val="32"/>
              </w:rPr>
            </w:pPr>
          </w:p>
        </w:tc>
        <w:tc>
          <w:tcPr>
            <w:tcW w:w="31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FF0000"/>
                <w:sz w:val="24"/>
                <w:szCs w:val="32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二级≥24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4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AGI2008-04-00018</w:t>
            </w:r>
          </w:p>
        </w:tc>
        <w:tc>
          <w:tcPr>
            <w:tcW w:w="315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中华人民共和国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农产品地理标志质量控制技术规范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江永香柚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≥2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本标准</w:t>
            </w:r>
          </w:p>
        </w:tc>
        <w:tc>
          <w:tcPr>
            <w:tcW w:w="3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湖南地方标准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江永香柚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≥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32"/>
                <w:lang w:val="en-US" w:eastAsia="zh-CN"/>
              </w:rPr>
              <w:t>22</w:t>
            </w:r>
          </w:p>
        </w:tc>
      </w:tr>
    </w:tbl>
    <w:p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val="en-US" w:eastAsia="zh-CN"/>
        </w:rPr>
        <w:t>④ 可食率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可食率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val="en-US" w:eastAsia="zh-CN" w:bidi="ar"/>
        </w:rPr>
        <w:t>是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bidi="ar"/>
        </w:rPr>
        <w:t>可食部分与总量的百分比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eastAsia="zh-CN" w:bidi="ar"/>
        </w:rPr>
        <w:t>，是柚子品质好坏的重要标准。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</w:rPr>
        <w:t>参考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bidi="ar"/>
        </w:rPr>
        <w:t>《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lang w:eastAsia="zh-CN" w:bidi="ar"/>
        </w:rPr>
        <w:t>沙田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bidi="ar"/>
        </w:rPr>
        <w:t>柚》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</w:rPr>
        <w:t>（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NY/T 868-2004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</w:rPr>
        <w:t>）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lang w:eastAsia="zh-CN"/>
        </w:rPr>
        <w:t>、《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中华人民共和国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农产品地理标志质量控制技术规范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江永香柚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lang w:eastAsia="zh-CN"/>
        </w:rPr>
        <w:t>》（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AGI2008-04-00018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val="en-US" w:eastAsia="zh-CN"/>
        </w:rPr>
        <w:t>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val="en-US" w:eastAsia="zh-CN" w:bidi="ar"/>
        </w:rPr>
        <w:t>相关标准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bidi="ar"/>
        </w:rPr>
        <w:t>对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lang w:eastAsia="zh-CN" w:bidi="ar"/>
        </w:rPr>
        <w:t>沙田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bidi="ar"/>
        </w:rPr>
        <w:t>柚类的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</w:rPr>
        <w:t>的可食率限量值（</w:t>
      </w: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≥40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val="en-US" w:eastAsia="zh-CN"/>
        </w:rPr>
        <w:t>%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</w:rPr>
        <w:t>）的规定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val="en-US" w:eastAsia="zh-CN"/>
        </w:rPr>
        <w:t>见表9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eastAsia="zh-CN"/>
        </w:rPr>
        <w:t>），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</w:rPr>
        <w:t>同时通过对采样数据的统计分析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val="en-US" w:eastAsia="zh-CN"/>
        </w:rPr>
        <w:t>，检测结果在范围内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lang w:val="en-US" w:eastAsia="zh-CN"/>
        </w:rPr>
        <w:t>34.99%～51.86%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val="en-US" w:eastAsia="zh-CN"/>
        </w:rPr>
        <w:t>（见表4-2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lang w:val="en-US" w:eastAsia="zh-CN"/>
        </w:rPr>
        <w:t>）和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val="en-US" w:eastAsia="zh-CN"/>
        </w:rPr>
        <w:t>36.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val="en-US" w:eastAsia="zh-CN"/>
        </w:rPr>
        <w:t>%~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lang w:val="en-US" w:eastAsia="zh-CN"/>
        </w:rPr>
        <w:t>66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val="en-US" w:eastAsia="zh-CN"/>
        </w:rPr>
        <w:t>%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lang w:val="en-US" w:eastAsia="zh-CN"/>
        </w:rPr>
        <w:t>（见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val="en-US" w:eastAsia="zh-CN"/>
        </w:rPr>
        <w:t>表10）。当限定可食率指标为</w:t>
      </w: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≥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lang w:val="en-US" w:eastAsia="zh-CN"/>
        </w:rPr>
        <w:t>40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val="en-US" w:eastAsia="zh-CN"/>
        </w:rPr>
        <w:t>%时，抽样检测的产品合格率超过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lang w:val="en-US" w:eastAsia="zh-CN"/>
        </w:rPr>
        <w:t>67.57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val="en-US" w:eastAsia="zh-CN"/>
        </w:rPr>
        <w:t>%（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lang w:val="en-US" w:eastAsia="zh-CN"/>
        </w:rPr>
        <w:t>83.33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val="en-US" w:eastAsia="zh-CN"/>
        </w:rPr>
        <w:t>%和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lang w:val="en-US" w:eastAsia="zh-CN"/>
        </w:rPr>
        <w:t>67.57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val="en-US" w:eastAsia="zh-CN"/>
        </w:rPr>
        <w:t>%）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lang w:val="en-US" w:eastAsia="zh-CN"/>
        </w:rPr>
        <w:t>。若江永香柚预贮适度，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val="en-US" w:eastAsia="zh-CN"/>
        </w:rPr>
        <w:t>产品合格率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lang w:val="en-US" w:eastAsia="zh-CN"/>
        </w:rPr>
        <w:t>67.57%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val="en-US" w:eastAsia="zh-CN"/>
        </w:rPr>
        <w:t>。故建议限定可食率指标为</w:t>
      </w:r>
      <w:r>
        <w:rPr>
          <w:rFonts w:hint="eastAsia" w:ascii="仿宋" w:hAnsi="仿宋" w:eastAsia="仿宋" w:cs="仿宋"/>
          <w:color w:val="auto"/>
          <w:sz w:val="24"/>
          <w:szCs w:val="32"/>
          <w:lang w:val="en-US" w:eastAsia="zh-CN"/>
        </w:rPr>
        <w:t>≥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lang w:val="en-US" w:eastAsia="zh-CN"/>
        </w:rPr>
        <w:t>40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lang w:val="en-US" w:eastAsia="zh-CN"/>
        </w:rPr>
        <w:t>%。</w:t>
      </w:r>
    </w:p>
    <w:p>
      <w:pPr>
        <w:spacing w:line="420" w:lineRule="exact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表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柚类相关的国家、行业标准及本标准拟设定</w:t>
      </w:r>
      <w:r>
        <w:rPr>
          <w:rFonts w:hint="default" w:ascii="Times New Roman" w:hAnsi="Times New Roman" w:cs="Times New Roman"/>
          <w:b/>
          <w:bCs/>
          <w:sz w:val="24"/>
          <w:szCs w:val="32"/>
        </w:rPr>
        <w:t>可食率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指标</w:t>
      </w:r>
    </w:p>
    <w:tbl>
      <w:tblPr>
        <w:tblStyle w:val="4"/>
        <w:tblW w:w="8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3308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  <w:t>标准号</w:t>
            </w:r>
          </w:p>
        </w:tc>
        <w:tc>
          <w:tcPr>
            <w:tcW w:w="3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  <w:t>标准名称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  <w:t>可食率/</w:t>
            </w:r>
            <w:r>
              <w:rPr>
                <w:rFonts w:hint="default" w:ascii="Times New Roman" w:hAnsi="Times New Roman" w:cs="Times New Roman"/>
                <w:sz w:val="24"/>
                <w:szCs w:val="32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  <w:t>%</w:t>
            </w:r>
            <w:r>
              <w:rPr>
                <w:rFonts w:hint="default" w:ascii="Times New Roman" w:hAnsi="Times New Roman" w:cs="Times New Roman"/>
                <w:sz w:val="24"/>
                <w:szCs w:val="3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5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NY/T 868-2004</w:t>
            </w:r>
          </w:p>
        </w:tc>
        <w:tc>
          <w:tcPr>
            <w:tcW w:w="3308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沙田柚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DB 36/T 243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  <w:tc>
          <w:tcPr>
            <w:tcW w:w="330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地理标志产品 南康甜柚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DB44/T 864-2011</w:t>
            </w:r>
          </w:p>
        </w:tc>
        <w:tc>
          <w:tcPr>
            <w:tcW w:w="330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地理标志产品 长坝沙田柚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DB45/T 210-201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30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地理标志产品　容县沙田柚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DB4414/T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3308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地理标志产品 梅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金柚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5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AGI2008-04-00018</w:t>
            </w:r>
          </w:p>
        </w:tc>
        <w:tc>
          <w:tcPr>
            <w:tcW w:w="330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中华人民共和国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农产品地理标志质量控制技术规范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江永香柚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T/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MXJY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00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33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梅县金柚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地理标志证明商标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本标准</w:t>
            </w:r>
          </w:p>
        </w:tc>
        <w:tc>
          <w:tcPr>
            <w:tcW w:w="3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湖南地方标准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江永香柚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32"/>
                <w:lang w:val="en-US" w:eastAsia="zh-CN"/>
              </w:rPr>
              <w:t>40</w:t>
            </w:r>
          </w:p>
        </w:tc>
      </w:tr>
    </w:tbl>
    <w:p>
      <w:pPr>
        <w:widowControl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</w:rPr>
        <w:t>表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val="en-US" w:eastAsia="zh-CN"/>
        </w:rPr>
        <w:t xml:space="preserve">10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</w:rPr>
        <w:t xml:space="preserve"> 江永香柚样品理化指标检测数据</w:t>
      </w:r>
    </w:p>
    <w:tbl>
      <w:tblPr>
        <w:tblStyle w:val="5"/>
        <w:tblW w:w="8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896"/>
        <w:gridCol w:w="772"/>
        <w:gridCol w:w="816"/>
        <w:gridCol w:w="704"/>
        <w:gridCol w:w="707"/>
        <w:gridCol w:w="706"/>
        <w:gridCol w:w="706"/>
        <w:gridCol w:w="703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8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样品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可溶性固形物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%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可滴定酸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%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固酸比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可食率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%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实测值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标准值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实测值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标准值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实测值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标准值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实测值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桃川镇所城村1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10.85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0.28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38.75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44.5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桃川镇所城村2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9.23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0.21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43.95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47.2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桃川镇所城村3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15.81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0.58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27.26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46.5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桃川镇所城村4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11.53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0.60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19.22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43.4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桃川镇所城村5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14.26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0.46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31.00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5B9BD5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B9BD5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39.6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桃川镇所城村6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12.31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0.47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26.19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5B9BD5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B9BD5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38.7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桃川镇朱塘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铺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村1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12.11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0.29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41.76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5B9BD5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B9BD5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38.0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桃川镇朱塘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铺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村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14.86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0.42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35.38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45.3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桃川镇朱塘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铺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村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13.61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0.32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42.53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5B9BD5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B9BD5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38.2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桃川镇石枧村1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11.83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0.26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45.50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5B9BD5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B9BD5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39.0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桃川镇石枧村2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11.58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0.27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42.89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40.5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桃川镇石枧村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13.16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0.40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32.90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B9BD5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37.2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桃川镇邑口村1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13.31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0.22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60.50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42.9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桃川镇邑口村2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12.11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0.19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63.74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B9BD5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36.4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桃川镇邑口村3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12.03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0.31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38.81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46.1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粗石江镇宋村1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13.41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0.29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46.24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47.3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粗石江镇宋村2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11.78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0.19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62.00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49.8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粗石江镇宋村3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13.56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0.40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33.90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48.6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粗石江镇宋村4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15.56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0.43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36.19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B9BD5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36.8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粗石江镇宋村5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13.81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0.66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20.92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48.9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粗石江镇叠楼村1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12.56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0.27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46.52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45.1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粗石江镇叠楼村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13.81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0.30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46.03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42.7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粗石江镇道塘村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12.31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0.24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51.29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40.3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粗石江镇道塘村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13.06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0.29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45.03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43.8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粗石江镇道塘村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13.81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0.42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32.88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B9BD5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39.3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粗石江镇槐木村1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10.33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0.19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54.37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41.4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粗石江镇槐木村2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12.56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0.19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66.11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45.5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粗石江镇槐木村3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15.06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0.31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48.58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41.6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pacing w:val="-1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-11"/>
                <w:sz w:val="21"/>
                <w:szCs w:val="21"/>
              </w:rPr>
              <w:t>粗石江镇下禾洞村1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12.03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0.24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50.13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41.4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pacing w:val="-1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-11"/>
                <w:sz w:val="21"/>
                <w:szCs w:val="21"/>
              </w:rPr>
              <w:t>粗石江镇下禾洞村2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13.06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0.21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62.19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43.1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pacing w:val="-1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-11"/>
                <w:sz w:val="21"/>
                <w:szCs w:val="21"/>
              </w:rPr>
              <w:t>粗石江镇下禾洞村3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14.36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0.47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30.55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42.3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pacing w:val="-1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-11"/>
                <w:sz w:val="21"/>
                <w:szCs w:val="21"/>
              </w:rPr>
              <w:t>粗石江镇下禾洞村4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13.11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0.30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43.70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5B9BD5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B9BD5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39.5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pacing w:val="-1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-11"/>
                <w:sz w:val="21"/>
                <w:szCs w:val="21"/>
              </w:rPr>
              <w:t>粗石江镇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11"/>
                <w:sz w:val="21"/>
                <w:szCs w:val="21"/>
                <w:lang w:eastAsia="zh-CN"/>
              </w:rPr>
              <w:t>罗家村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11.33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0.22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51.50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5B9BD5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B9BD5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39.7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pacing w:val="-1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-11"/>
                <w:sz w:val="21"/>
                <w:szCs w:val="21"/>
              </w:rPr>
              <w:t>粗石江镇粗石江村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10.58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0.18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58.78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47.6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pacing w:val="-1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-11"/>
                <w:sz w:val="21"/>
                <w:szCs w:val="21"/>
              </w:rPr>
              <w:t>粗石江镇竹根塘村1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14.81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0.33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44.88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47.4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pacing w:val="-1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-11"/>
                <w:sz w:val="21"/>
                <w:szCs w:val="21"/>
              </w:rPr>
              <w:t>粗石江镇竹根塘村2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12.56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0.27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46.52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5B9BD5" w:themeColor="accen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37.6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-11"/>
                <w:sz w:val="21"/>
                <w:szCs w:val="21"/>
              </w:rPr>
              <w:t>粗石江镇竹根塘村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-11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15.01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0.36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41.69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40.3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粗石江镇仙姑塘村百年老树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1号1枝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12.50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0.45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27.78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粗石江镇矮寨村百年老树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1号2枝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10.40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0.54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19.26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粗石江镇矮寨村百年老树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2号1枝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11.60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0.48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24.17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粗石江镇矮寨村百年老树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2号2枝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12.20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24.40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粗石江镇仙姑塘村百年老树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4号1枝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13.40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0.51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26.27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粗石江镇仙姑塘村百年老树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4号2枝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13.60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0.45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30.22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粗石江镇仙姑塘村百年老树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5号1枝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13.20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0.48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27.50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粗石江镇仙姑塘村百年老树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6号1枝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11.20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0.54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20.74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粗石江镇仙姑塘村百年老树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6号2枝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11.00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0.55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20.00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粗石江镇仙姑塘村百年老树7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号1枝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11.20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0.46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24.35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24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达标率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89.36%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bookmarkStart w:id="4" w:name="OLE_LINK3"/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85.10%</w:t>
            </w:r>
            <w:bookmarkEnd w:id="4"/>
          </w:p>
        </w:tc>
        <w:tc>
          <w:tcPr>
            <w:tcW w:w="1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89.36%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67.57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%</w:t>
            </w:r>
          </w:p>
        </w:tc>
      </w:tr>
    </w:tbl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</w:rPr>
        <w:t xml:space="preserve">）卫生安全要求 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重金属对人体危害大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可导致人体内酶活性下降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 xml:space="preserve">抑制人体正常的生理代谢 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活动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我国食品安全标准中都规定了严格的限量指标。制定本标准时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制标单位的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eastAsia="zh-CN"/>
        </w:rPr>
        <w:t>江永香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柚检测3年数据显示：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eastAsia="zh-CN"/>
        </w:rPr>
        <w:t>果实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的污染物、农药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eastAsia="zh-CN"/>
        </w:rPr>
        <w:t>均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未发现超标现象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/>
        </w:rPr>
        <w:t>因此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本标准对卫生安全指标不作另外规定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与国家标准要求一致。本标准中卫生安全要求限量设定参考中华人民共和国标准GB 2762《食品安全国家标准 食品中污染物限量》、GB 2763《食品安全国家标准 食品中农药最大残留限量》规定。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eastAsia="zh-CN"/>
        </w:rPr>
        <w:t>）标志、标签、包装、运输和贮存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包装是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江永香柚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进入市场流通环节时所进行的一项措施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良好的包装可以保证产品品质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方便贮运。贮存和运输是影响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江永香柚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质量品质的因素之一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贮藏与运输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不当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会影响产品的风味与色泽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因此结合生产实际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对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江永香柚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贮存与运输进行了相应的规定。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本标准要求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产品销售包装的标签应符合GB 7718的规则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；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运输包装图示标志应符合GB/T 191的规则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；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包装符合GB/T 13607的要求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内包装应采用符合食品安全的包装材料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；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贮存与运输应符合GB/T 12947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的要求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。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</w:rPr>
        <w:t>关于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val="en-US" w:eastAsia="zh-CN"/>
        </w:rPr>
        <w:t>湖南省地方标准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</w:rPr>
        <w:t>《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val="en-US" w:eastAsia="zh-CN"/>
        </w:rPr>
        <w:t>江永香柚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</w:rPr>
        <w:t>》中文本格式的制定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为了使标准版式更简洁明朗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本标准的制定参考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柑橘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产品标准编制说明的编写要求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按照“范围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规范性引用文件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术语与定义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要求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检验方法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检验规则及标志、标签、包装、运输和贮存”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个部分来完成。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</w:rPr>
        <w:t>关于检验方法成熟性的验证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本标准中涉及到的指标的检验方法都是国家标准方法。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我们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对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val="en-US" w:eastAsia="zh-CN" w:bidi="ar"/>
        </w:rPr>
        <w:t>江永香柚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产品进行了全项检验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检测结果稳定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方法可行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重复性好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可直接引用。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</w:rPr>
        <w:t>、采用国际标准和国外先进标准的程度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</w:rPr>
        <w:t xml:space="preserve">以及与国际、国外同类标准水平的 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</w:rPr>
        <w:t>对比情况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</w:rPr>
        <w:t xml:space="preserve">或者与测试的国外样品、样机的有关数据对比情况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沙田柚为中国特有的中国柚种之一，未发现中国柚国际标准或沙田柚国际标准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国际标准由联合国粮农组织(FAO)和世界卫生组织(WHO)共同组建的食品法典委员会(CAC)于1999年以214号法典标准发布实施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，规定了柚的产品定义、质量规定、大小规定、允许度规定、呈示规定、标志或标签、污染物、卫生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。2002年6月，CAC下属的新鲜水果和蔬菜委员会(CCFFV)召开的第10届会议上讨论确定了鲜抽的大小规格，共分8个级别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</w:rPr>
        <w:t xml:space="preserve"> 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</w:rPr>
        <w:t xml:space="preserve">、与有关的现行法律、法规和强制性标准的关系 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 xml:space="preserve">本标准按照《食品安全法》和《食品安全法实施条例》关于食品安全标准的 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规定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充分考虑江永香柚产业发展现状和实际需求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严格贯彻国家有关方针、政策、法律和规章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 xml:space="preserve">严格执行强制性国家标准和行业标准。 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本标准引用或参考现行的国家标准GB 2762《食品安全国家标准 食品中污染物限量》、GB 2763《食品安全国家标准 食品中农药最大残留限量》、GB 7718《</w:t>
      </w:r>
      <w:bookmarkStart w:id="5" w:name="_Hlk61423872"/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食品安全国家标准</w:t>
      </w:r>
      <w:bookmarkEnd w:id="5"/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 xml:space="preserve"> 预包装食品标签通则》、GB/T 8210《柑桔鲜果检验方法》、GB/T 12947《鲜柑橘》、GB/T 13607《苹果、柑桔包装》等。在标准的制定过程中与相关的各种基础标准相衔接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遵循了政策性和协调同一性的原则。标准的名称、内容及指标与现行的国家标准、行业标准之间不存在包含、重复、交叉问题。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</w:rPr>
        <w:t xml:space="preserve">、重大分歧意见的处理经过和依据 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 xml:space="preserve">无 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</w:rPr>
        <w:t xml:space="preserve">、 作为强制性标准或者推荐性标准的建议 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 xml:space="preserve">建议本标准作为推荐性湖南省地方标准颁布实施。 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</w:rPr>
        <w:t>七、贯彻标准的要求、措施和建议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</w:rPr>
        <w:t xml:space="preserve">包括组织措施、技术措施、过渡办法等内 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</w:rPr>
        <w:t xml:space="preserve">容 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本标准对江永香柚产品品质进行了一般性规定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可操作性强。</w:t>
      </w:r>
      <w:r>
        <w:rPr>
          <w:rFonts w:hint="eastAsia" w:ascii="Times New Roman" w:hAnsi="Times New Roman" w:eastAsia="宋体" w:cs="Times New Roman"/>
          <w:color w:val="FF0000"/>
          <w:kern w:val="0"/>
          <w:sz w:val="24"/>
          <w:lang w:eastAsia="zh-CN"/>
        </w:rPr>
        <w:t>本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标准发布实施后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建议首先在地方标准合作企业进行示范实施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从而带动相关企业和农户普遍应用。本标准对规范和指导江永香柚的鲜果产品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 xml:space="preserve">提高产品品质有积极作用。 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val="en-US" w:eastAsia="zh-CN"/>
        </w:rPr>
        <w:t>八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</w:rPr>
        <w:t xml:space="preserve">、废止现行有关标准的建议 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 xml:space="preserve">无 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val="en-US" w:eastAsia="zh-CN"/>
        </w:rPr>
        <w:t>九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</w:rPr>
        <w:t xml:space="preserve">、其他应当予说明的事项 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A22ED4"/>
    <w:multiLevelType w:val="singleLevel"/>
    <w:tmpl w:val="FFA22ED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B6D514A"/>
    <w:multiLevelType w:val="singleLevel"/>
    <w:tmpl w:val="3B6D514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0A"/>
    <w:rsid w:val="0004615E"/>
    <w:rsid w:val="000638C3"/>
    <w:rsid w:val="000C046E"/>
    <w:rsid w:val="000C5BDE"/>
    <w:rsid w:val="000E40EE"/>
    <w:rsid w:val="0011342A"/>
    <w:rsid w:val="0012471D"/>
    <w:rsid w:val="00157A96"/>
    <w:rsid w:val="001B6CFF"/>
    <w:rsid w:val="00214D98"/>
    <w:rsid w:val="00233806"/>
    <w:rsid w:val="0023648C"/>
    <w:rsid w:val="002373CD"/>
    <w:rsid w:val="002813F2"/>
    <w:rsid w:val="0029581C"/>
    <w:rsid w:val="002D226E"/>
    <w:rsid w:val="002F0598"/>
    <w:rsid w:val="002F1966"/>
    <w:rsid w:val="00315FC3"/>
    <w:rsid w:val="003312B2"/>
    <w:rsid w:val="003453F5"/>
    <w:rsid w:val="003652A1"/>
    <w:rsid w:val="00371495"/>
    <w:rsid w:val="00395E90"/>
    <w:rsid w:val="003A1391"/>
    <w:rsid w:val="003A5135"/>
    <w:rsid w:val="003A5B0C"/>
    <w:rsid w:val="00430827"/>
    <w:rsid w:val="004836A7"/>
    <w:rsid w:val="004973CB"/>
    <w:rsid w:val="00505688"/>
    <w:rsid w:val="00516B84"/>
    <w:rsid w:val="00545F7C"/>
    <w:rsid w:val="00587143"/>
    <w:rsid w:val="005B32E9"/>
    <w:rsid w:val="005D05CF"/>
    <w:rsid w:val="005E04C7"/>
    <w:rsid w:val="006076F7"/>
    <w:rsid w:val="006170A0"/>
    <w:rsid w:val="00657C4D"/>
    <w:rsid w:val="006A080A"/>
    <w:rsid w:val="006B0EE9"/>
    <w:rsid w:val="006C1730"/>
    <w:rsid w:val="006D4710"/>
    <w:rsid w:val="00755104"/>
    <w:rsid w:val="007C3EC2"/>
    <w:rsid w:val="007F3A18"/>
    <w:rsid w:val="00810314"/>
    <w:rsid w:val="00810D0C"/>
    <w:rsid w:val="00857CFB"/>
    <w:rsid w:val="0088062B"/>
    <w:rsid w:val="008A6B24"/>
    <w:rsid w:val="008A744F"/>
    <w:rsid w:val="008C5EBD"/>
    <w:rsid w:val="008D4D86"/>
    <w:rsid w:val="008F1E02"/>
    <w:rsid w:val="009046CD"/>
    <w:rsid w:val="009112C8"/>
    <w:rsid w:val="009759B4"/>
    <w:rsid w:val="009906EE"/>
    <w:rsid w:val="009D5DB8"/>
    <w:rsid w:val="009F0E0A"/>
    <w:rsid w:val="00A14697"/>
    <w:rsid w:val="00A548F6"/>
    <w:rsid w:val="00A81F54"/>
    <w:rsid w:val="00A856FF"/>
    <w:rsid w:val="00A86349"/>
    <w:rsid w:val="00B46046"/>
    <w:rsid w:val="00B64421"/>
    <w:rsid w:val="00B772ED"/>
    <w:rsid w:val="00B8743C"/>
    <w:rsid w:val="00B92365"/>
    <w:rsid w:val="00BC3125"/>
    <w:rsid w:val="00BC394D"/>
    <w:rsid w:val="00C0163D"/>
    <w:rsid w:val="00C06ABF"/>
    <w:rsid w:val="00C20484"/>
    <w:rsid w:val="00C47DA1"/>
    <w:rsid w:val="00C854F9"/>
    <w:rsid w:val="00C96789"/>
    <w:rsid w:val="00D74BB5"/>
    <w:rsid w:val="00D811A6"/>
    <w:rsid w:val="00DD2C1D"/>
    <w:rsid w:val="00DE062B"/>
    <w:rsid w:val="00DF2960"/>
    <w:rsid w:val="00E07DFD"/>
    <w:rsid w:val="00E64F09"/>
    <w:rsid w:val="00F83AB7"/>
    <w:rsid w:val="01DC7D41"/>
    <w:rsid w:val="01FF3049"/>
    <w:rsid w:val="02441CAC"/>
    <w:rsid w:val="02857F10"/>
    <w:rsid w:val="0294372A"/>
    <w:rsid w:val="02B34E26"/>
    <w:rsid w:val="02E94134"/>
    <w:rsid w:val="03F8137C"/>
    <w:rsid w:val="04786FC0"/>
    <w:rsid w:val="05040952"/>
    <w:rsid w:val="05DC7309"/>
    <w:rsid w:val="064932A2"/>
    <w:rsid w:val="06C07E99"/>
    <w:rsid w:val="07184B34"/>
    <w:rsid w:val="07207EC5"/>
    <w:rsid w:val="0857206B"/>
    <w:rsid w:val="09930FA1"/>
    <w:rsid w:val="0A082A38"/>
    <w:rsid w:val="0A0E15B1"/>
    <w:rsid w:val="0A2F0D9D"/>
    <w:rsid w:val="0A516408"/>
    <w:rsid w:val="0B5B6A40"/>
    <w:rsid w:val="0B6D27FC"/>
    <w:rsid w:val="0CEF15A3"/>
    <w:rsid w:val="0D51069D"/>
    <w:rsid w:val="0D771A2E"/>
    <w:rsid w:val="0FA1592D"/>
    <w:rsid w:val="115941B8"/>
    <w:rsid w:val="12AB4C99"/>
    <w:rsid w:val="13A22C75"/>
    <w:rsid w:val="1496481F"/>
    <w:rsid w:val="15637368"/>
    <w:rsid w:val="157A05E4"/>
    <w:rsid w:val="159C7968"/>
    <w:rsid w:val="15AF2F38"/>
    <w:rsid w:val="15FF7082"/>
    <w:rsid w:val="1605086A"/>
    <w:rsid w:val="1635582D"/>
    <w:rsid w:val="16A71FA1"/>
    <w:rsid w:val="16A96F52"/>
    <w:rsid w:val="17224313"/>
    <w:rsid w:val="181E081D"/>
    <w:rsid w:val="19064E74"/>
    <w:rsid w:val="19812A11"/>
    <w:rsid w:val="19994DC6"/>
    <w:rsid w:val="1A6550D0"/>
    <w:rsid w:val="1A805DD0"/>
    <w:rsid w:val="1AC545AA"/>
    <w:rsid w:val="1C6354EE"/>
    <w:rsid w:val="1C807CF3"/>
    <w:rsid w:val="1C905580"/>
    <w:rsid w:val="1C910082"/>
    <w:rsid w:val="1D9D2670"/>
    <w:rsid w:val="1E2E4330"/>
    <w:rsid w:val="1E630316"/>
    <w:rsid w:val="1EDE02F4"/>
    <w:rsid w:val="2059687D"/>
    <w:rsid w:val="213E030B"/>
    <w:rsid w:val="2146062C"/>
    <w:rsid w:val="21733501"/>
    <w:rsid w:val="22E304C0"/>
    <w:rsid w:val="22ED6BF8"/>
    <w:rsid w:val="23292839"/>
    <w:rsid w:val="24B95EFB"/>
    <w:rsid w:val="24C846B5"/>
    <w:rsid w:val="26530F0B"/>
    <w:rsid w:val="266E57FF"/>
    <w:rsid w:val="268D2A9B"/>
    <w:rsid w:val="2755740F"/>
    <w:rsid w:val="27EC2D48"/>
    <w:rsid w:val="281C4F4E"/>
    <w:rsid w:val="285A287C"/>
    <w:rsid w:val="2876364C"/>
    <w:rsid w:val="289A664C"/>
    <w:rsid w:val="29075304"/>
    <w:rsid w:val="292167B0"/>
    <w:rsid w:val="29CA6541"/>
    <w:rsid w:val="2A4E5D3C"/>
    <w:rsid w:val="2C24121D"/>
    <w:rsid w:val="2C2B6A73"/>
    <w:rsid w:val="2C636922"/>
    <w:rsid w:val="2CC10528"/>
    <w:rsid w:val="2CE80E29"/>
    <w:rsid w:val="2D05753A"/>
    <w:rsid w:val="2D18381D"/>
    <w:rsid w:val="2D2419B5"/>
    <w:rsid w:val="2D2B02F9"/>
    <w:rsid w:val="2D5D3A68"/>
    <w:rsid w:val="2E1B492B"/>
    <w:rsid w:val="2EBD41A3"/>
    <w:rsid w:val="30567093"/>
    <w:rsid w:val="30A67136"/>
    <w:rsid w:val="30C6582B"/>
    <w:rsid w:val="30EB4A6F"/>
    <w:rsid w:val="313E4BB0"/>
    <w:rsid w:val="32355E83"/>
    <w:rsid w:val="32744E17"/>
    <w:rsid w:val="3335710E"/>
    <w:rsid w:val="345B2621"/>
    <w:rsid w:val="34E9204F"/>
    <w:rsid w:val="35107BD6"/>
    <w:rsid w:val="355303FC"/>
    <w:rsid w:val="36A46C0F"/>
    <w:rsid w:val="390E0FC7"/>
    <w:rsid w:val="391B60A3"/>
    <w:rsid w:val="39480CA2"/>
    <w:rsid w:val="39C15BE5"/>
    <w:rsid w:val="3A05600A"/>
    <w:rsid w:val="3AC66B89"/>
    <w:rsid w:val="3B414BED"/>
    <w:rsid w:val="3BB52254"/>
    <w:rsid w:val="3EA253ED"/>
    <w:rsid w:val="3EFB31EC"/>
    <w:rsid w:val="3F50010C"/>
    <w:rsid w:val="3FF0240C"/>
    <w:rsid w:val="41DE68C9"/>
    <w:rsid w:val="42947A5F"/>
    <w:rsid w:val="42BF33EC"/>
    <w:rsid w:val="42ED01B1"/>
    <w:rsid w:val="434519D9"/>
    <w:rsid w:val="43954E07"/>
    <w:rsid w:val="43C07B47"/>
    <w:rsid w:val="44462F86"/>
    <w:rsid w:val="44AE3ED5"/>
    <w:rsid w:val="44D5241C"/>
    <w:rsid w:val="45513797"/>
    <w:rsid w:val="45D34364"/>
    <w:rsid w:val="485E06C6"/>
    <w:rsid w:val="48755100"/>
    <w:rsid w:val="49F014DB"/>
    <w:rsid w:val="4A2D20DD"/>
    <w:rsid w:val="4AD41C87"/>
    <w:rsid w:val="4B550E3B"/>
    <w:rsid w:val="4B5E1820"/>
    <w:rsid w:val="4BCD16F5"/>
    <w:rsid w:val="4D9B4D0C"/>
    <w:rsid w:val="4DC84174"/>
    <w:rsid w:val="4E77405E"/>
    <w:rsid w:val="4E996DF7"/>
    <w:rsid w:val="4ECE7CBB"/>
    <w:rsid w:val="4F1833FB"/>
    <w:rsid w:val="503F031E"/>
    <w:rsid w:val="512B647F"/>
    <w:rsid w:val="51826109"/>
    <w:rsid w:val="51FC716B"/>
    <w:rsid w:val="522E2A3F"/>
    <w:rsid w:val="524D5FBF"/>
    <w:rsid w:val="52B922AD"/>
    <w:rsid w:val="52B93283"/>
    <w:rsid w:val="532222F7"/>
    <w:rsid w:val="534062BE"/>
    <w:rsid w:val="53A47EE1"/>
    <w:rsid w:val="54657AB3"/>
    <w:rsid w:val="5486678A"/>
    <w:rsid w:val="54A43DD1"/>
    <w:rsid w:val="55017BE7"/>
    <w:rsid w:val="55051A3E"/>
    <w:rsid w:val="56382F03"/>
    <w:rsid w:val="57BE446F"/>
    <w:rsid w:val="57F36519"/>
    <w:rsid w:val="599D04E6"/>
    <w:rsid w:val="59AC47F1"/>
    <w:rsid w:val="5A154B16"/>
    <w:rsid w:val="5AE853FB"/>
    <w:rsid w:val="5B81373D"/>
    <w:rsid w:val="5BCD3FC0"/>
    <w:rsid w:val="5BED22B5"/>
    <w:rsid w:val="5C6F43A7"/>
    <w:rsid w:val="5D0F5BBD"/>
    <w:rsid w:val="5D81158F"/>
    <w:rsid w:val="5E532787"/>
    <w:rsid w:val="5EB8659E"/>
    <w:rsid w:val="5EFB5ABD"/>
    <w:rsid w:val="5F081835"/>
    <w:rsid w:val="5F150173"/>
    <w:rsid w:val="5F19307B"/>
    <w:rsid w:val="60585F02"/>
    <w:rsid w:val="60C342B8"/>
    <w:rsid w:val="617072A4"/>
    <w:rsid w:val="62DA1BBD"/>
    <w:rsid w:val="63465B07"/>
    <w:rsid w:val="63836C42"/>
    <w:rsid w:val="63890917"/>
    <w:rsid w:val="63E80142"/>
    <w:rsid w:val="64213605"/>
    <w:rsid w:val="649914A3"/>
    <w:rsid w:val="64FE7D3D"/>
    <w:rsid w:val="65232265"/>
    <w:rsid w:val="655B5D73"/>
    <w:rsid w:val="65A6174F"/>
    <w:rsid w:val="65B859FE"/>
    <w:rsid w:val="664C13D0"/>
    <w:rsid w:val="66EA2208"/>
    <w:rsid w:val="674431B0"/>
    <w:rsid w:val="67F16891"/>
    <w:rsid w:val="683F2BF8"/>
    <w:rsid w:val="68A65AE1"/>
    <w:rsid w:val="68C66454"/>
    <w:rsid w:val="68E675F8"/>
    <w:rsid w:val="68FD4898"/>
    <w:rsid w:val="695356C6"/>
    <w:rsid w:val="6AF23648"/>
    <w:rsid w:val="6B063E9C"/>
    <w:rsid w:val="6B256F44"/>
    <w:rsid w:val="6B4806F2"/>
    <w:rsid w:val="6B506E6D"/>
    <w:rsid w:val="6BE57796"/>
    <w:rsid w:val="6C4F5789"/>
    <w:rsid w:val="6C7C4606"/>
    <w:rsid w:val="6DB04FEC"/>
    <w:rsid w:val="6DC97FE1"/>
    <w:rsid w:val="6DE97B43"/>
    <w:rsid w:val="6E7C0403"/>
    <w:rsid w:val="6EA156B2"/>
    <w:rsid w:val="6EB943EC"/>
    <w:rsid w:val="6EC75F78"/>
    <w:rsid w:val="6EDA621E"/>
    <w:rsid w:val="6FEC7D57"/>
    <w:rsid w:val="70161A37"/>
    <w:rsid w:val="70261888"/>
    <w:rsid w:val="70D6693D"/>
    <w:rsid w:val="723620A7"/>
    <w:rsid w:val="72B70DC4"/>
    <w:rsid w:val="72C71E66"/>
    <w:rsid w:val="737E3E86"/>
    <w:rsid w:val="73887D5E"/>
    <w:rsid w:val="73DB6748"/>
    <w:rsid w:val="744B2631"/>
    <w:rsid w:val="75010494"/>
    <w:rsid w:val="754E524A"/>
    <w:rsid w:val="757D3808"/>
    <w:rsid w:val="758112D5"/>
    <w:rsid w:val="75D27D92"/>
    <w:rsid w:val="763929B5"/>
    <w:rsid w:val="768B3E6C"/>
    <w:rsid w:val="76B40718"/>
    <w:rsid w:val="770208E5"/>
    <w:rsid w:val="777A67C1"/>
    <w:rsid w:val="78A6759E"/>
    <w:rsid w:val="78E84C38"/>
    <w:rsid w:val="797109AF"/>
    <w:rsid w:val="79E36D08"/>
    <w:rsid w:val="79ED3292"/>
    <w:rsid w:val="7A5B5F41"/>
    <w:rsid w:val="7A915AF7"/>
    <w:rsid w:val="7AEC68C5"/>
    <w:rsid w:val="7B1D6401"/>
    <w:rsid w:val="7BE72838"/>
    <w:rsid w:val="7C1A037D"/>
    <w:rsid w:val="7C814364"/>
    <w:rsid w:val="7E2654D6"/>
    <w:rsid w:val="7E352CE2"/>
    <w:rsid w:val="7E3C32E2"/>
    <w:rsid w:val="7E690D9D"/>
    <w:rsid w:val="7EE26865"/>
    <w:rsid w:val="7F92128C"/>
    <w:rsid w:val="7F9D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_Style 29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1">
    <w:name w:val="Table Paragraph"/>
    <w:basedOn w:val="1"/>
    <w:qFormat/>
    <w:uiPriority w:val="1"/>
    <w:pPr>
      <w:spacing w:before="140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7C30F4-BFB1-4C9F-822B-6A09E02DB4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1128</Words>
  <Characters>6431</Characters>
  <Lines>53</Lines>
  <Paragraphs>15</Paragraphs>
  <TotalTime>2</TotalTime>
  <ScaleCrop>false</ScaleCrop>
  <LinksUpToDate>false</LinksUpToDate>
  <CharactersWithSpaces>7544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2021-01-12T01:58:00Z</dcterms:created>
  <dc:creator>sunsh</dc:creator>
  <cp:lastModifiedBy>sunsh</cp:lastModifiedBy>
  <cp:lastPrinted>2021-01-12T02:01:00Z</cp:lastPrinted>
  <dcterms:modified xsi:type="dcterms:W3CDTF">2021-03-12T01:16:49Z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