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Segoe UI" w:hAnsi="Segoe UI" w:cs="Segoe UI"/>
          <w:color w:val="3E474C"/>
          <w:sz w:val="15"/>
          <w:szCs w:val="15"/>
          <w:shd w:val="clear" w:color="auto" w:fill="FFFFFF"/>
        </w:rPr>
      </w:pPr>
      <w:r>
        <w:rPr>
          <w:rFonts w:ascii="Segoe UI" w:hAnsi="Segoe UI" w:cs="Segoe UI"/>
          <w:color w:val="3E474C"/>
          <w:sz w:val="15"/>
          <w:szCs w:val="15"/>
          <w:shd w:val="clear" w:color="auto" w:fill="FFFFFF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Segoe UI" w:hAnsi="Segoe UI" w:cs="Segoe UI"/>
          <w:color w:val="3E474C"/>
          <w:sz w:val="15"/>
          <w:szCs w:val="15"/>
          <w:shd w:val="clear" w:color="auto" w:fill="FFFFFF"/>
        </w:rPr>
        <w:instrText xml:space="preserve">ADDIN CNKISM.UserStyle</w:instrText>
      </w:r>
      <w:r>
        <w:rPr>
          <w:rFonts w:ascii="Segoe UI" w:hAnsi="Segoe UI" w:cs="Segoe UI"/>
          <w:color w:val="3E474C"/>
          <w:sz w:val="15"/>
          <w:szCs w:val="15"/>
          <w:shd w:val="clear" w:color="auto" w:fill="FFFFFF"/>
        </w:rPr>
        <w:fldChar w:fldCharType="end"/>
      </w:r>
      <w:r>
        <w:rPr>
          <w:rFonts w:ascii="Segoe UI" w:hAnsi="Segoe UI" w:cs="Segoe UI"/>
          <w:color w:val="3E474C"/>
          <w:sz w:val="15"/>
          <w:szCs w:val="15"/>
          <w:shd w:val="clear" w:color="auto" w:fill="FFFFFF"/>
        </w:rPr>
        <w:pict>
          <v:shape id="_x0000_s1028" o:spid="_x0000_s1028" o:spt="202" type="#_x0000_t202" style="position:absolute;left:0pt;margin-left:-0.2pt;margin-top:3.75pt;height:39.4pt;width:105.8pt;z-index:251663360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color w:val="3E474C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3E474C"/>
                      <w:sz w:val="28"/>
                      <w:szCs w:val="28"/>
                      <w:shd w:val="clear" w:color="auto" w:fill="FFFFFF"/>
                    </w:rPr>
                    <w:t>ICS03.080.30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3E474C"/>
                      <w:sz w:val="28"/>
                      <w:szCs w:val="28"/>
                      <w:shd w:val="clear" w:color="auto" w:fill="FFFFFF"/>
                    </w:rPr>
                    <w:t>A 20</w:t>
                  </w:r>
                </w:p>
              </w:txbxContent>
            </v:textbox>
          </v:shape>
        </w:pict>
      </w:r>
    </w:p>
    <w:p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DB</w:t>
      </w:r>
      <w:r>
        <w:rPr>
          <w:rFonts w:hint="eastAsia"/>
          <w:b/>
          <w:sz w:val="52"/>
          <w:szCs w:val="52"/>
        </w:rPr>
        <w:t>43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湖</w:t>
      </w:r>
      <w:r>
        <w:rPr>
          <w:rFonts w:hint="eastAsia"/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>南</w:t>
      </w:r>
      <w:r>
        <w:rPr>
          <w:rFonts w:hint="eastAsia"/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>省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地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方</w:t>
      </w:r>
      <w:r>
        <w:rPr>
          <w:rFonts w:hint="eastAsia"/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>标</w:t>
      </w:r>
      <w:r>
        <w:rPr>
          <w:rFonts w:hint="eastAsia"/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>准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DB </w:t>
      </w:r>
      <w:r>
        <w:rPr>
          <w:rFonts w:hint="eastAsia"/>
          <w:sz w:val="28"/>
          <w:szCs w:val="28"/>
        </w:rPr>
        <w:t>43/T</w:t>
      </w:r>
      <w:r>
        <w:rPr>
          <w:sz w:val="28"/>
          <w:szCs w:val="28"/>
        </w:rPr>
        <w:t xml:space="preserve">  XXXX</w:t>
      </w:r>
      <w:r>
        <w:rPr>
          <w:rFonts w:hint="eastAsia"/>
          <w:sz w:val="28"/>
          <w:szCs w:val="28"/>
        </w:rPr>
        <w:t>-2021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line id="直接连接符 1" o:spid="_x0000_s1026" o:spt="20" style="position:absolute;left:0pt;flip:y;margin-left:-0.2pt;margin-top:14.1pt;height:3.1pt;width:447.2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研学实践教育研学导师职业能力等级评价规范</w:t>
      </w:r>
    </w:p>
    <w:p>
      <w:pPr>
        <w:ind w:left="-141" w:leftChars="-64" w:right="-216" w:rightChars="-98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Specification for capability</w:t>
      </w:r>
      <w:r>
        <w:rPr>
          <w:rFonts w:hint="eastAsia"/>
          <w:sz w:val="30"/>
          <w:szCs w:val="30"/>
        </w:rPr>
        <w:t xml:space="preserve"> of r</w:t>
      </w:r>
      <w:r>
        <w:rPr>
          <w:sz w:val="30"/>
          <w:szCs w:val="30"/>
        </w:rPr>
        <w:t>esearch-based learning mentor</w:t>
      </w:r>
      <w:r>
        <w:rPr>
          <w:rFonts w:hint="eastAsia"/>
          <w:sz w:val="30"/>
          <w:szCs w:val="30"/>
        </w:rPr>
        <w:t xml:space="preserve"> appraise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征求意见</w:t>
      </w:r>
      <w:r>
        <w:rPr>
          <w:b/>
          <w:sz w:val="28"/>
          <w:szCs w:val="28"/>
        </w:rPr>
        <w:t>稿）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line id="直接连接符 2" o:spid="_x0000_s1027" o:spt="20" style="position:absolute;left:0pt;flip:y;margin-left:-0.35pt;margin-top:17.15pt;height:3.1pt;width:447.2pt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2020-00-00</w:t>
      </w:r>
      <w:r>
        <w:rPr>
          <w:sz w:val="28"/>
          <w:szCs w:val="28"/>
        </w:rPr>
        <w:t>发布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>
        <w:rPr>
          <w:rFonts w:hint="eastAsia" w:ascii="黑体" w:eastAsia="黑体"/>
          <w:sz w:val="28"/>
        </w:rPr>
        <w:t>2020-00-00</w:t>
      </w:r>
      <w:r>
        <w:rPr>
          <w:rFonts w:hint="eastAsia"/>
          <w:sz w:val="28"/>
          <w:szCs w:val="28"/>
        </w:rPr>
        <w:t>实施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sectPr>
          <w:footerReference r:id="rId3" w:type="default"/>
          <w:pgSz w:w="11900" w:h="16840"/>
          <w:pgMar w:top="1440" w:right="1440" w:bottom="941" w:left="1320" w:header="0" w:footer="0" w:gutter="0"/>
          <w:cols w:equalWidth="0" w:num="1">
            <w:col w:w="9140"/>
          </w:cols>
        </w:sectPr>
      </w:pPr>
      <w:r>
        <w:rPr>
          <w:b/>
          <w:sz w:val="30"/>
          <w:szCs w:val="30"/>
        </w:rPr>
        <w:t>湖南省</w:t>
      </w:r>
      <w:r>
        <w:rPr>
          <w:rFonts w:hint="eastAsia"/>
          <w:b/>
          <w:sz w:val="30"/>
          <w:szCs w:val="30"/>
        </w:rPr>
        <w:t>市场监督管理</w:t>
      </w:r>
      <w:r>
        <w:rPr>
          <w:b/>
          <w:sz w:val="30"/>
          <w:szCs w:val="30"/>
        </w:rPr>
        <w:t>局</w:t>
      </w:r>
      <w:r>
        <w:rPr>
          <w:rFonts w:hint="eastAsia"/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发 布</w:t>
      </w:r>
      <w:r>
        <w:rPr>
          <w:rFonts w:hint="eastAsia"/>
        </w:rPr>
        <w:t xml:space="preserve">     </w:t>
      </w:r>
    </w:p>
    <w:p>
      <w:pPr>
        <w:jc w:val="center"/>
        <w:rPr>
          <w:rFonts w:ascii="宋体" w:hAnsi="宋体" w:eastAsia="宋体" w:cs="宋体"/>
          <w:sz w:val="27"/>
          <w:szCs w:val="27"/>
        </w:rPr>
      </w:pPr>
    </w:p>
    <w:sdt>
      <w:sdtPr>
        <w:rPr>
          <w:rFonts w:ascii="Times New Roman" w:hAnsi="Times New Roman" w:cs="Times New Roman" w:eastAsiaTheme="minorEastAsia"/>
          <w:color w:val="auto"/>
          <w:sz w:val="22"/>
          <w:szCs w:val="22"/>
          <w:lang w:val="zh-CN"/>
        </w:rPr>
        <w:id w:val="1493220246"/>
      </w:sdtPr>
      <w:sdtEndPr>
        <w:rPr>
          <w:rFonts w:ascii="Times New Roman" w:hAnsi="Times New Roman" w:cs="Times New Roman" w:eastAsiaTheme="minorEastAsia"/>
          <w:b/>
          <w:bCs/>
          <w:color w:val="auto"/>
          <w:sz w:val="22"/>
          <w:szCs w:val="22"/>
          <w:lang w:val="zh-CN"/>
        </w:rPr>
      </w:sdtEndPr>
      <w:sdtContent>
        <w:p>
          <w:pPr>
            <w:pStyle w:val="24"/>
            <w:jc w:val="center"/>
            <w:rPr>
              <w:color w:val="auto"/>
            </w:rPr>
          </w:pPr>
          <w:r>
            <w:rPr>
              <w:rFonts w:hint="eastAsia" w:ascii="宋体" w:hAnsi="宋体" w:eastAsia="宋体" w:cs="宋体"/>
              <w:color w:val="auto"/>
              <w:sz w:val="27"/>
              <w:szCs w:val="27"/>
            </w:rPr>
            <w:t>目 次</w:t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cstheme="minorBidi"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"_Toc65167174" </w:instrText>
          </w:r>
          <w:r>
            <w:fldChar w:fldCharType="separate"/>
          </w:r>
          <w:r>
            <w:rPr>
              <w:rStyle w:val="16"/>
              <w:rFonts w:hint="eastAsia" w:ascii="黑体" w:hAnsi="黑体" w:eastAsia="黑体"/>
            </w:rPr>
            <w:t>前言</w:t>
          </w:r>
          <w:r>
            <w:tab/>
          </w:r>
          <w:r>
            <w:fldChar w:fldCharType="begin"/>
          </w:r>
          <w:r>
            <w:instrText xml:space="preserve"> PAGEREF _Toc65167174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"_Toc65167175" </w:instrText>
          </w:r>
          <w:r>
            <w:fldChar w:fldCharType="separate"/>
          </w:r>
          <w:r>
            <w:rPr>
              <w:rStyle w:val="16"/>
              <w:rFonts w:ascii="黑体" w:hAnsi="黑体" w:eastAsia="黑体"/>
            </w:rPr>
            <w:t xml:space="preserve">1 </w:t>
          </w:r>
          <w:r>
            <w:rPr>
              <w:rStyle w:val="16"/>
              <w:rFonts w:hint="eastAsia" w:ascii="黑体" w:hAnsi="黑体" w:eastAsia="黑体"/>
            </w:rPr>
            <w:t>范围</w:t>
          </w:r>
          <w:r>
            <w:tab/>
          </w:r>
          <w:r>
            <w:fldChar w:fldCharType="begin"/>
          </w:r>
          <w:r>
            <w:instrText xml:space="preserve"> PAGEREF _Toc65167175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"_Toc65167176" </w:instrText>
          </w:r>
          <w:r>
            <w:fldChar w:fldCharType="separate"/>
          </w:r>
          <w:r>
            <w:rPr>
              <w:rStyle w:val="16"/>
              <w:rFonts w:ascii="黑体" w:hAnsi="黑体" w:eastAsia="黑体"/>
            </w:rPr>
            <w:t xml:space="preserve">2 </w:t>
          </w:r>
          <w:r>
            <w:rPr>
              <w:rStyle w:val="16"/>
              <w:rFonts w:hint="eastAsia" w:ascii="黑体" w:hAnsi="黑体" w:eastAsia="黑体"/>
            </w:rPr>
            <w:t>规范性引用文件</w:t>
          </w:r>
          <w:r>
            <w:tab/>
          </w:r>
          <w:r>
            <w:fldChar w:fldCharType="begin"/>
          </w:r>
          <w:r>
            <w:instrText xml:space="preserve"> PAGEREF _Toc65167176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"_Toc65167177" </w:instrText>
          </w:r>
          <w:r>
            <w:fldChar w:fldCharType="separate"/>
          </w:r>
          <w:r>
            <w:rPr>
              <w:rStyle w:val="16"/>
              <w:rFonts w:ascii="黑体" w:hAnsi="黑体" w:eastAsia="黑体"/>
            </w:rPr>
            <w:t xml:space="preserve">3 </w:t>
          </w:r>
          <w:r>
            <w:rPr>
              <w:rStyle w:val="16"/>
              <w:rFonts w:hint="eastAsia" w:ascii="黑体" w:hAnsi="黑体" w:eastAsia="黑体"/>
            </w:rPr>
            <w:t>术语和定义</w:t>
          </w:r>
          <w:r>
            <w:tab/>
          </w:r>
          <w:r>
            <w:fldChar w:fldCharType="begin"/>
          </w:r>
          <w:r>
            <w:instrText xml:space="preserve"> PAGEREF _Toc65167177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"_Toc65167178" </w:instrText>
          </w:r>
          <w:r>
            <w:fldChar w:fldCharType="separate"/>
          </w:r>
          <w:r>
            <w:rPr>
              <w:rStyle w:val="16"/>
              <w:rFonts w:ascii="黑体" w:hAnsi="黑体" w:eastAsia="黑体"/>
            </w:rPr>
            <w:t xml:space="preserve">4 </w:t>
          </w:r>
          <w:r>
            <w:rPr>
              <w:rStyle w:val="16"/>
              <w:rFonts w:hint="eastAsia" w:ascii="黑体" w:hAnsi="黑体" w:eastAsia="黑体"/>
            </w:rPr>
            <w:t>研学导师职业能力要求</w:t>
          </w:r>
          <w:r>
            <w:tab/>
          </w:r>
          <w:r>
            <w:fldChar w:fldCharType="begin"/>
          </w:r>
          <w:r>
            <w:instrText xml:space="preserve"> PAGEREF _Toc65167178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"_Toc65167179" </w:instrText>
          </w:r>
          <w:r>
            <w:fldChar w:fldCharType="separate"/>
          </w:r>
          <w:r>
            <w:rPr>
              <w:rStyle w:val="16"/>
              <w:rFonts w:ascii="黑体" w:hAnsi="黑体" w:eastAsia="黑体"/>
            </w:rPr>
            <w:t xml:space="preserve">5 </w:t>
          </w:r>
          <w:r>
            <w:rPr>
              <w:rStyle w:val="16"/>
              <w:rFonts w:hint="eastAsia" w:ascii="黑体" w:hAnsi="黑体" w:eastAsia="黑体"/>
            </w:rPr>
            <w:t>研学导师职业能力等级划分</w:t>
          </w:r>
          <w:r>
            <w:tab/>
          </w:r>
          <w:r>
            <w:fldChar w:fldCharType="begin"/>
          </w:r>
          <w:r>
            <w:instrText xml:space="preserve"> PAGEREF _Toc65167179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"_Toc65167180" </w:instrText>
          </w:r>
          <w:r>
            <w:fldChar w:fldCharType="separate"/>
          </w:r>
          <w:r>
            <w:rPr>
              <w:rStyle w:val="16"/>
              <w:rFonts w:ascii="黑体" w:hAnsi="黑体" w:eastAsia="黑体"/>
            </w:rPr>
            <w:t xml:space="preserve">6 </w:t>
          </w:r>
          <w:r>
            <w:rPr>
              <w:rStyle w:val="16"/>
              <w:rFonts w:hint="eastAsia" w:ascii="黑体" w:hAnsi="黑体" w:eastAsia="黑体"/>
            </w:rPr>
            <w:t>研学导师职业能力等级评定</w:t>
          </w:r>
          <w:r>
            <w:tab/>
          </w:r>
          <w:r>
            <w:fldChar w:fldCharType="begin"/>
          </w:r>
          <w:r>
            <w:instrText xml:space="preserve"> PAGEREF _Toc65167180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"_Toc65167181" </w:instrText>
          </w:r>
          <w:r>
            <w:fldChar w:fldCharType="separate"/>
          </w:r>
          <w:r>
            <w:rPr>
              <w:rStyle w:val="16"/>
              <w:rFonts w:hint="eastAsia" w:ascii="黑体" w:hAnsi="黑体" w:eastAsia="黑体"/>
            </w:rPr>
            <w:t>附录</w:t>
          </w:r>
          <w:r>
            <w:rPr>
              <w:rStyle w:val="16"/>
              <w:rFonts w:ascii="黑体" w:hAnsi="黑体" w:eastAsia="黑体"/>
            </w:rPr>
            <w:t>A</w:t>
          </w:r>
          <w:r>
            <w:tab/>
          </w:r>
          <w:r>
            <w:fldChar w:fldCharType="begin"/>
          </w:r>
          <w:r>
            <w:instrText xml:space="preserve"> PAGEREF _Toc65167181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rPr>
          <w:rFonts w:ascii="宋体" w:hAnsi="宋体" w:eastAsia="宋体" w:cs="宋体"/>
          <w:sz w:val="27"/>
          <w:szCs w:val="27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sz w:val="27"/>
          <w:szCs w:val="27"/>
        </w:rPr>
        <w:br w:type="page"/>
      </w:r>
    </w:p>
    <w:p>
      <w:pPr>
        <w:pStyle w:val="2"/>
        <w:jc w:val="center"/>
        <w:rPr>
          <w:rFonts w:ascii="黑体" w:hAnsi="黑体" w:eastAsia="黑体"/>
          <w:sz w:val="32"/>
          <w:szCs w:val="32"/>
        </w:rPr>
      </w:pPr>
      <w:bookmarkStart w:id="0" w:name="_Toc65167174"/>
      <w:r>
        <w:rPr>
          <w:rFonts w:ascii="黑体" w:hAnsi="黑体" w:eastAsia="黑体"/>
          <w:sz w:val="32"/>
          <w:szCs w:val="32"/>
        </w:rPr>
        <w:t>前言</w:t>
      </w:r>
      <w:bookmarkEnd w:id="0"/>
    </w:p>
    <w:p>
      <w:pPr>
        <w:spacing w:line="40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本文件按照GB/T1.1-20</w:t>
      </w:r>
      <w:r>
        <w:rPr>
          <w:rFonts w:hint="eastAsia"/>
          <w:sz w:val="21"/>
          <w:szCs w:val="21"/>
        </w:rPr>
        <w:t>20</w:t>
      </w:r>
      <w:r>
        <w:rPr>
          <w:sz w:val="21"/>
          <w:szCs w:val="21"/>
        </w:rPr>
        <w:t>给出的规则起草。</w:t>
      </w:r>
    </w:p>
    <w:p>
      <w:pPr>
        <w:spacing w:line="40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本文件由湖南省</w:t>
      </w:r>
      <w:r>
        <w:rPr>
          <w:rFonts w:hint="eastAsia"/>
          <w:sz w:val="21"/>
          <w:szCs w:val="21"/>
        </w:rPr>
        <w:t>教育</w:t>
      </w:r>
      <w:r>
        <w:rPr>
          <w:sz w:val="21"/>
          <w:szCs w:val="21"/>
        </w:rPr>
        <w:t>厅提出</w:t>
      </w:r>
      <w:r>
        <w:rPr>
          <w:rFonts w:hint="eastAsia"/>
          <w:sz w:val="21"/>
          <w:szCs w:val="21"/>
        </w:rPr>
        <w:t>并</w:t>
      </w:r>
      <w:r>
        <w:rPr>
          <w:sz w:val="21"/>
          <w:szCs w:val="21"/>
        </w:rPr>
        <w:t>归口</w:t>
      </w:r>
      <w:r>
        <w:rPr>
          <w:rFonts w:hint="eastAsia"/>
          <w:sz w:val="21"/>
          <w:szCs w:val="21"/>
        </w:rPr>
        <w:t>。</w:t>
      </w:r>
    </w:p>
    <w:p>
      <w:pPr>
        <w:spacing w:line="40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本文件起草单位：湖南省民办教育协会、湖南孩真友趣成长教育有限公司、湖南师范大学研学旅行研究院、湖南师范大学旅游学院、长沙市天心区圣吉心智模式研究中心。</w:t>
      </w:r>
    </w:p>
    <w:p>
      <w:pPr>
        <w:spacing w:line="40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本文件主要起草人</w:t>
      </w:r>
      <w:r>
        <w:rPr>
          <w:rFonts w:hint="eastAsia"/>
          <w:sz w:val="21"/>
          <w:szCs w:val="21"/>
        </w:rPr>
        <w:t>：</w:t>
      </w:r>
    </w:p>
    <w:p>
      <w:pPr>
        <w:spacing w:line="400" w:lineRule="exact"/>
        <w:rPr>
          <w:sz w:val="24"/>
          <w:szCs w:val="24"/>
        </w:rPr>
      </w:pP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研学实践教育研学导师职业能力等级评价规范</w:t>
      </w:r>
    </w:p>
    <w:p>
      <w:pPr>
        <w:pStyle w:val="2"/>
        <w:rPr>
          <w:rFonts w:ascii="黑体" w:hAnsi="黑体" w:eastAsia="黑体"/>
          <w:sz w:val="21"/>
          <w:szCs w:val="21"/>
        </w:rPr>
      </w:pPr>
      <w:bookmarkStart w:id="1" w:name="_Toc65167175"/>
      <w:r>
        <w:rPr>
          <w:rFonts w:hint="eastAsia" w:ascii="黑体" w:hAnsi="黑体" w:eastAsia="黑体"/>
          <w:sz w:val="21"/>
          <w:szCs w:val="21"/>
        </w:rPr>
        <w:t xml:space="preserve">1 </w:t>
      </w:r>
      <w:r>
        <w:rPr>
          <w:rFonts w:ascii="黑体" w:hAnsi="黑体" w:eastAsia="黑体"/>
          <w:sz w:val="21"/>
          <w:szCs w:val="21"/>
        </w:rPr>
        <w:t>范围</w:t>
      </w:r>
      <w:bookmarkEnd w:id="1"/>
    </w:p>
    <w:p>
      <w:pPr>
        <w:spacing w:line="400" w:lineRule="exact"/>
        <w:ind w:firstLine="44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</w:t>
      </w:r>
      <w:r>
        <w:rPr>
          <w:rFonts w:asciiTheme="minorEastAsia" w:hAnsiTheme="minorEastAsia"/>
          <w:sz w:val="21"/>
          <w:szCs w:val="21"/>
        </w:rPr>
        <w:t>文件</w:t>
      </w:r>
      <w:r>
        <w:rPr>
          <w:rFonts w:hint="eastAsia" w:ascii="宋体" w:hAnsi="宋体"/>
          <w:bCs/>
          <w:szCs w:val="21"/>
        </w:rPr>
        <w:t>规定了研学实践教育研学导师职业技能的等级、工作要求及职业技能要求。</w:t>
      </w:r>
    </w:p>
    <w:p>
      <w:pPr>
        <w:spacing w:line="400" w:lineRule="exact"/>
        <w:ind w:firstLine="44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本标准适用于研学实践教育研学导师职业技能等级的培训、考核与评价，研学实践教育研学导师的聘用、教育和职业培训可参照使用。</w:t>
      </w:r>
    </w:p>
    <w:p>
      <w:pPr>
        <w:pStyle w:val="2"/>
        <w:rPr>
          <w:rFonts w:ascii="黑体" w:hAnsi="黑体" w:eastAsia="黑体"/>
          <w:sz w:val="21"/>
          <w:szCs w:val="21"/>
        </w:rPr>
      </w:pPr>
      <w:bookmarkStart w:id="2" w:name="_Toc65167176"/>
      <w:r>
        <w:rPr>
          <w:rFonts w:ascii="黑体" w:hAnsi="黑体" w:eastAsia="黑体"/>
          <w:sz w:val="21"/>
          <w:szCs w:val="21"/>
        </w:rPr>
        <w:t>2 规范性引用文件</w:t>
      </w:r>
      <w:bookmarkEnd w:id="2"/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下列文件对于本文件的应用是必不可少的。凡是注日期的引用文件，仅所注日期的版本适用于本文件。凡是不注日期的引用文件，其最新版本适用于本文件。</w:t>
      </w:r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LB/T </w:t>
      </w:r>
      <w:r>
        <w:rPr>
          <w:rFonts w:hint="eastAsia" w:asciiTheme="minorEastAsia" w:hAnsiTheme="minor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>054 研学旅行服务规范</w:t>
      </w:r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DB43/T 1959 研学产品设计与评价规范</w:t>
      </w:r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DB43/T 1792 研学旅游基地评价规范</w:t>
      </w:r>
    </w:p>
    <w:p>
      <w:pPr>
        <w:pStyle w:val="2"/>
        <w:rPr>
          <w:rFonts w:ascii="黑体" w:hAnsi="黑体" w:eastAsia="黑体"/>
          <w:sz w:val="21"/>
          <w:szCs w:val="21"/>
        </w:rPr>
      </w:pPr>
      <w:bookmarkStart w:id="3" w:name="_Toc65167177"/>
      <w:r>
        <w:rPr>
          <w:rFonts w:ascii="黑体" w:hAnsi="黑体" w:eastAsia="黑体"/>
          <w:sz w:val="21"/>
          <w:szCs w:val="21"/>
        </w:rPr>
        <w:t>3 术语和定义</w:t>
      </w:r>
      <w:bookmarkEnd w:id="3"/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下列术语和定义适用于本文件。</w:t>
      </w:r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3</w:t>
      </w:r>
      <w:r>
        <w:rPr>
          <w:rFonts w:asciiTheme="minorEastAsia" w:hAnsiTheme="minorEastAsia"/>
          <w:b/>
          <w:sz w:val="21"/>
          <w:szCs w:val="21"/>
        </w:rPr>
        <w:t>.1</w:t>
      </w:r>
      <w:r>
        <w:rPr>
          <w:rFonts w:hint="eastAsia" w:asciiTheme="minorEastAsia" w:hAnsiTheme="minorEastAsia"/>
          <w:b/>
          <w:sz w:val="21"/>
          <w:szCs w:val="21"/>
        </w:rPr>
        <w:t xml:space="preserve"> </w:t>
      </w:r>
      <w:r>
        <w:rPr>
          <w:rFonts w:asciiTheme="minorEastAsia" w:hAnsiTheme="minorEastAsia"/>
          <w:b/>
          <w:sz w:val="21"/>
          <w:szCs w:val="21"/>
        </w:rPr>
        <w:t>研学</w:t>
      </w:r>
      <w:r>
        <w:rPr>
          <w:rFonts w:hint="eastAsia" w:asciiTheme="minorEastAsia" w:hAnsiTheme="minorEastAsia"/>
          <w:b/>
          <w:sz w:val="21"/>
          <w:szCs w:val="21"/>
        </w:rPr>
        <w:t>实践教育研学导师</w:t>
      </w:r>
    </w:p>
    <w:p>
      <w:pPr>
        <w:spacing w:line="400" w:lineRule="exact"/>
        <w:ind w:firstLine="420"/>
        <w:rPr>
          <w:rFonts w:asciiTheme="minorEastAsia" w:hAnsiTheme="minorEastAsia"/>
          <w:sz w:val="21"/>
          <w:szCs w:val="21"/>
        </w:rPr>
      </w:pPr>
      <w:r>
        <w:rPr>
          <w:rStyle w:val="30"/>
          <w:rFonts w:hint="default"/>
        </w:rPr>
        <w:t>在研学实践教育的过程中，具体制定或实施研学实践教育方案，指导学生开展各类活动的专业人员，以下简称研学导师。</w:t>
      </w:r>
    </w:p>
    <w:p>
      <w:pPr>
        <w:pStyle w:val="2"/>
        <w:rPr>
          <w:rFonts w:ascii="黑体" w:hAnsi="黑体" w:eastAsia="黑体"/>
          <w:sz w:val="21"/>
          <w:szCs w:val="21"/>
        </w:rPr>
      </w:pPr>
      <w:bookmarkStart w:id="4" w:name="_Toc65167178"/>
      <w:r>
        <w:rPr>
          <w:rFonts w:hint="eastAsia" w:ascii="黑体" w:hAnsi="黑体" w:eastAsia="黑体"/>
          <w:sz w:val="21"/>
          <w:szCs w:val="21"/>
        </w:rPr>
        <w:t>4 研学导师职业能力要求</w:t>
      </w:r>
      <w:bookmarkEnd w:id="4"/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4.1 思想政治素养</w:t>
      </w:r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以立德树人为根本，遵纪守法、爱岗敬业、关爱学生、以培养社会主义建设者和接班人为教育目标。</w:t>
      </w:r>
      <w:r>
        <w:rPr>
          <w:rFonts w:asciiTheme="minorEastAsia" w:hAnsiTheme="minorEastAsia"/>
          <w:color w:val="FF0000"/>
          <w:sz w:val="21"/>
          <w:szCs w:val="21"/>
        </w:rPr>
        <w:t xml:space="preserve">  </w:t>
      </w:r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4.2 职业基础知识和通用能力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4.2.1 专业知识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      具备教育学、心理学、旅游学等专业知识，熟悉所承担的研学实践活动相关领域专业知识。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4.2.2 语言表达能力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      具备良好的语言表达能力，应能够准确表述研学实践活动主题内容，可以针对不同类型学生实施差异化教学。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4.2.3 沟通协调能力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      能够与研学实践活动中各相关主体顺利沟通协作，实现既定目标。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4.2.4 安全管理能力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      能够制定并执行安全应急预案，做好安全防范工作，遇到突发事件时能够正确处理问题。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4.2.5 团队组织能力</w:t>
      </w:r>
    </w:p>
    <w:p>
      <w:pPr>
        <w:spacing w:line="400" w:lineRule="exact"/>
        <w:rPr>
          <w:color w:val="FF0000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       能够组织教学团队和学生团体，调动各方资源，处理人际关系，实现教学目标。</w:t>
      </w:r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4.3 职业行为要求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4.3.1 职业形象要求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      </w:t>
      </w:r>
      <w:r>
        <w:rPr>
          <w:rFonts w:asciiTheme="minorEastAsia" w:hAnsiTheme="minorEastAsia"/>
          <w:sz w:val="21"/>
          <w:szCs w:val="21"/>
        </w:rPr>
        <w:t>衣着仪表</w:t>
      </w:r>
      <w:r>
        <w:rPr>
          <w:rFonts w:hint="eastAsia" w:asciiTheme="minorEastAsia" w:hAnsiTheme="minorEastAsia"/>
          <w:sz w:val="21"/>
          <w:szCs w:val="21"/>
        </w:rPr>
        <w:t>得体，</w:t>
      </w:r>
      <w:r>
        <w:rPr>
          <w:rFonts w:asciiTheme="minorEastAsia" w:hAnsiTheme="minorEastAsia"/>
          <w:sz w:val="21"/>
          <w:szCs w:val="21"/>
        </w:rPr>
        <w:t>符合教育职业和场景的要求，有显著标识</w:t>
      </w:r>
      <w:r>
        <w:rPr>
          <w:rFonts w:hint="eastAsia" w:asciiTheme="minorEastAsia" w:hAnsiTheme="minorEastAsia"/>
          <w:sz w:val="21"/>
          <w:szCs w:val="21"/>
        </w:rPr>
        <w:t>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4.3.2 职业动作要求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      行为动作干练，具有亲和力和感染力，能够为学生提供行为表率。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4.3.3 职业语言要求</w:t>
      </w:r>
    </w:p>
    <w:p>
      <w:pPr>
        <w:spacing w:line="400" w:lineRule="exact"/>
        <w:ind w:firstLine="630" w:firstLineChars="300"/>
        <w:rPr>
          <w:rFonts w:hint="eastAsia"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讲普通话，普通话二级乙等及以上</w:t>
      </w:r>
      <w:r>
        <w:rPr>
          <w:rFonts w:hint="eastAsia" w:asciiTheme="minorEastAsia" w:hAnsiTheme="minorEastAsia"/>
          <w:sz w:val="21"/>
          <w:szCs w:val="21"/>
        </w:rPr>
        <w:t>。应运用职业化语言实施研学实践教育。</w:t>
      </w:r>
    </w:p>
    <w:p>
      <w:pPr>
        <w:pStyle w:val="2"/>
        <w:rPr>
          <w:rFonts w:ascii="黑体" w:hAnsi="黑体" w:eastAsia="黑体"/>
          <w:sz w:val="21"/>
          <w:szCs w:val="21"/>
        </w:rPr>
      </w:pPr>
      <w:bookmarkStart w:id="5" w:name="_Toc65167179"/>
      <w:r>
        <w:rPr>
          <w:rFonts w:hint="eastAsia" w:ascii="黑体" w:hAnsi="黑体" w:eastAsia="黑体"/>
          <w:sz w:val="21"/>
          <w:szCs w:val="21"/>
        </w:rPr>
        <w:t>5</w:t>
      </w:r>
      <w:r>
        <w:rPr>
          <w:rFonts w:ascii="黑体" w:hAnsi="黑体" w:eastAsia="黑体"/>
          <w:sz w:val="21"/>
          <w:szCs w:val="21"/>
        </w:rPr>
        <w:t xml:space="preserve"> </w:t>
      </w:r>
      <w:r>
        <w:rPr>
          <w:rFonts w:hint="eastAsia" w:ascii="黑体" w:hAnsi="黑体" w:eastAsia="黑体"/>
          <w:sz w:val="21"/>
          <w:szCs w:val="21"/>
        </w:rPr>
        <w:t>研学导师职业能力等级划分</w:t>
      </w:r>
      <w:bookmarkEnd w:id="5"/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5</w:t>
      </w:r>
      <w:r>
        <w:rPr>
          <w:rFonts w:asciiTheme="minorEastAsia" w:hAnsiTheme="minorEastAsia"/>
          <w:b/>
          <w:sz w:val="21"/>
          <w:szCs w:val="21"/>
        </w:rPr>
        <w:t xml:space="preserve">.1 </w:t>
      </w:r>
      <w:r>
        <w:rPr>
          <w:rFonts w:hint="eastAsia" w:asciiTheme="minorEastAsia" w:hAnsiTheme="minorEastAsia"/>
          <w:b/>
          <w:sz w:val="21"/>
          <w:szCs w:val="21"/>
        </w:rPr>
        <w:t>职业能力等级划分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 xml:space="preserve">     </w:t>
      </w:r>
      <w:r>
        <w:rPr>
          <w:rFonts w:hint="eastAsia" w:asciiTheme="minorEastAsia" w:hAnsiTheme="minorEastAsia"/>
          <w:sz w:val="21"/>
          <w:szCs w:val="21"/>
        </w:rPr>
        <w:t>依据岗位职责及技能要求，将研学导师职业能力划分为三个等级，初级、中级和高级，一般应依次递进，高级别涵盖低级别要求。</w:t>
      </w:r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5</w:t>
      </w:r>
      <w:r>
        <w:rPr>
          <w:rFonts w:asciiTheme="minorEastAsia" w:hAnsiTheme="minorEastAsia"/>
          <w:b/>
          <w:sz w:val="21"/>
          <w:szCs w:val="21"/>
        </w:rPr>
        <w:t>.</w:t>
      </w:r>
      <w:r>
        <w:rPr>
          <w:rFonts w:hint="eastAsia" w:asciiTheme="minorEastAsia" w:hAnsiTheme="minorEastAsia"/>
          <w:b/>
          <w:sz w:val="21"/>
          <w:szCs w:val="21"/>
        </w:rPr>
        <w:t>2面向对象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5.2.1初级 </w:t>
      </w:r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教育学、心理学、旅游管理类专业中职在校生、毕业生及以上学历从业人员，经初级培训考试合格者。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5.2.2中级 </w:t>
      </w:r>
    </w:p>
    <w:p>
      <w:pPr>
        <w:spacing w:line="400" w:lineRule="exact"/>
        <w:ind w:firstLine="315" w:firstLineChars="15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教育学、心理学、旅游管理类专业大学专科在校生、毕业生及以上学历从业人员，经中级培训考试合格者。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5.2.3高级 </w:t>
      </w:r>
    </w:p>
    <w:p>
      <w:pPr>
        <w:spacing w:line="400" w:lineRule="exact"/>
        <w:ind w:firstLine="315" w:firstLineChars="15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教育学、心理学、旅游管理类专业大学本科在校生、毕业生及以上学历从业人员，经高级培训考试合格者。</w:t>
      </w:r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5.3面向工作岗位（群）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5.3.1初级</w:t>
      </w:r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主要面向中小学校、研学承办机构、研学基地、研学相关企事业单位从事研学实践教育工作的初级人员。职位包括但不限于：研学实践教育老师、研学课程研发人员等。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5.3.2中级</w:t>
      </w:r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主要面向中小学校、研学承办机构、研学基地、研学相关企事业单位从事研学实践教育工作的初级人员。职位包括但不限于：研学实践教育老师、研学实践教育管理人员。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5.3.3高级</w:t>
      </w:r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主要面向中小学校、研学承办机构、研学基地、研学相关企事业单位从事研学实践教育工作的初级人员。职位包括但不限于：研学实践教育专家、研学实践教育高级管理人员。</w:t>
      </w:r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5.4研学导师职业技能等级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5</w:t>
      </w:r>
      <w:r>
        <w:rPr>
          <w:rFonts w:asciiTheme="minorEastAsia" w:hAnsiTheme="minorEastAsia"/>
          <w:sz w:val="21"/>
          <w:szCs w:val="21"/>
        </w:rPr>
        <w:t>.</w:t>
      </w:r>
      <w:r>
        <w:rPr>
          <w:rFonts w:hint="eastAsia" w:asciiTheme="minorEastAsia" w:hAnsiTheme="minorEastAsia"/>
          <w:sz w:val="21"/>
          <w:szCs w:val="21"/>
        </w:rPr>
        <w:t>4.1 初级研学导师</w:t>
      </w:r>
    </w:p>
    <w:p>
      <w:pPr>
        <w:spacing w:line="400" w:lineRule="exact"/>
        <w:ind w:firstLine="48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掌握研学导师基础知识和基本技能，能够组织实施研学实践活动，实现教学目标。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5</w:t>
      </w:r>
      <w:r>
        <w:rPr>
          <w:rFonts w:asciiTheme="minorEastAsia" w:hAnsiTheme="minorEastAsia"/>
          <w:sz w:val="21"/>
          <w:szCs w:val="21"/>
        </w:rPr>
        <w:t>.</w:t>
      </w:r>
      <w:r>
        <w:rPr>
          <w:rFonts w:hint="eastAsia" w:asciiTheme="minorEastAsia" w:hAnsiTheme="minorEastAsia"/>
          <w:sz w:val="21"/>
          <w:szCs w:val="21"/>
        </w:rPr>
        <w:t>4.2 中级研学导师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 xml:space="preserve">    </w:t>
      </w:r>
      <w:r>
        <w:rPr>
          <w:rFonts w:hint="eastAsia" w:asciiTheme="minorEastAsia" w:hAnsiTheme="minorEastAsia"/>
          <w:sz w:val="21"/>
          <w:szCs w:val="21"/>
        </w:rPr>
        <w:t>熟练掌握研学导师专业知识和专业技能，能够基于研学目标和主题进行研学实践教育活动策划和课程设计，具备组织管理能力，在研学实践教育中领导教学团队和支持团队完成研学实践教学任务。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5</w:t>
      </w:r>
      <w:r>
        <w:rPr>
          <w:rFonts w:asciiTheme="minorEastAsia" w:hAnsiTheme="minorEastAsia"/>
          <w:sz w:val="21"/>
          <w:szCs w:val="21"/>
        </w:rPr>
        <w:t>.</w:t>
      </w:r>
      <w:r>
        <w:rPr>
          <w:rFonts w:hint="eastAsia" w:asciiTheme="minorEastAsia" w:hAnsiTheme="minorEastAsia"/>
          <w:sz w:val="21"/>
          <w:szCs w:val="21"/>
        </w:rPr>
        <w:t>4.3 高级研学导师</w:t>
      </w:r>
    </w:p>
    <w:p>
      <w:pPr>
        <w:spacing w:line="400" w:lineRule="exact"/>
        <w:ind w:firstLine="315" w:firstLineChars="150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精通研学导师专业知识和专业技能，能够创造性解决问题，不断创新研学实践教育活动策划和课程设计，能够总领全局，具备战略管理能力，组织协调各方资源保证研学项目的不断发展。</w:t>
      </w:r>
    </w:p>
    <w:p>
      <w:pPr>
        <w:pStyle w:val="2"/>
        <w:rPr>
          <w:rFonts w:ascii="黑体" w:hAnsi="黑体" w:eastAsia="黑体"/>
          <w:sz w:val="21"/>
          <w:szCs w:val="21"/>
        </w:rPr>
      </w:pPr>
      <w:bookmarkStart w:id="6" w:name="_Toc65167180"/>
      <w:r>
        <w:rPr>
          <w:rFonts w:hint="eastAsia" w:ascii="黑体" w:hAnsi="黑体" w:eastAsia="黑体"/>
          <w:sz w:val="21"/>
          <w:szCs w:val="21"/>
        </w:rPr>
        <w:t>6 研学导师职业能力等级评定</w:t>
      </w:r>
      <w:bookmarkEnd w:id="6"/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6.</w:t>
      </w:r>
      <w:r>
        <w:rPr>
          <w:rFonts w:asciiTheme="minorEastAsia" w:hAnsiTheme="minorEastAsia"/>
          <w:b/>
          <w:sz w:val="21"/>
          <w:szCs w:val="21"/>
        </w:rPr>
        <w:t>1</w:t>
      </w:r>
      <w:r>
        <w:rPr>
          <w:rFonts w:hint="eastAsia" w:asciiTheme="minorEastAsia" w:hAnsiTheme="minorEastAsia"/>
          <w:b/>
          <w:sz w:val="21"/>
          <w:szCs w:val="21"/>
        </w:rPr>
        <w:t>评价指标</w:t>
      </w:r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6</w:t>
      </w:r>
      <w:r>
        <w:rPr>
          <w:rFonts w:asciiTheme="minorEastAsia" w:hAnsiTheme="minorEastAsia"/>
          <w:b/>
          <w:sz w:val="21"/>
          <w:szCs w:val="21"/>
        </w:rPr>
        <w:t xml:space="preserve">.1.1 </w:t>
      </w:r>
      <w:r>
        <w:rPr>
          <w:rFonts w:hint="eastAsia" w:asciiTheme="minorEastAsia" w:hAnsiTheme="minorEastAsia"/>
          <w:sz w:val="21"/>
          <w:szCs w:val="21"/>
        </w:rPr>
        <w:t>评价指标包含了评价内容和标准、标准分值等，具体内容见附录</w:t>
      </w:r>
      <w:r>
        <w:rPr>
          <w:rFonts w:asciiTheme="minorEastAsia" w:hAnsiTheme="minorEastAsia"/>
          <w:sz w:val="21"/>
          <w:szCs w:val="21"/>
        </w:rPr>
        <w:t>。</w:t>
      </w:r>
    </w:p>
    <w:p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6.1.2</w:t>
      </w:r>
      <w:r>
        <w:rPr>
          <w:rFonts w:asciiTheme="minorEastAsia" w:hAnsiTheme="minorEastAsia"/>
          <w:sz w:val="21"/>
          <w:szCs w:val="21"/>
        </w:rPr>
        <w:t xml:space="preserve"> </w:t>
      </w:r>
      <w:r>
        <w:rPr>
          <w:rFonts w:hint="eastAsia" w:asciiTheme="minorEastAsia" w:hAnsiTheme="minorEastAsia"/>
          <w:sz w:val="21"/>
          <w:szCs w:val="21"/>
        </w:rPr>
        <w:t>评价指标包含一级指标和二级指标，每项一级指标包含若干二级指标评价内容。</w:t>
      </w:r>
      <w:r>
        <w:rPr>
          <w:rFonts w:asciiTheme="minorEastAsia" w:hAnsiTheme="minorEastAsia"/>
          <w:sz w:val="21"/>
          <w:szCs w:val="21"/>
        </w:rPr>
        <w:t xml:space="preserve"> </w:t>
      </w:r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6.2</w:t>
      </w:r>
      <w:r>
        <w:rPr>
          <w:rFonts w:asciiTheme="minorEastAsia" w:hAnsi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/>
          <w:b/>
          <w:sz w:val="21"/>
          <w:szCs w:val="21"/>
        </w:rPr>
        <w:t>评价方法</w:t>
      </w:r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研学导师评定由第三方专业机构实施，采用评分法对研学导师进行分项评价，将各项得分加总获得最终评分。</w:t>
      </w:r>
    </w:p>
    <w:p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6.3等级划分</w:t>
      </w:r>
    </w:p>
    <w:p>
      <w:pPr>
        <w:spacing w:line="400" w:lineRule="exact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依据评分的结果划分等级，具体评分细则见附录A。</w:t>
      </w:r>
    </w:p>
    <w:p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br w:type="page"/>
      </w:r>
    </w:p>
    <w:p>
      <w:pPr>
        <w:pStyle w:val="2"/>
        <w:jc w:val="center"/>
        <w:rPr>
          <w:rFonts w:ascii="黑体" w:hAnsi="黑体" w:eastAsia="黑体"/>
          <w:sz w:val="21"/>
          <w:szCs w:val="21"/>
        </w:rPr>
      </w:pPr>
      <w:bookmarkStart w:id="7" w:name="_bookmark12"/>
      <w:bookmarkEnd w:id="7"/>
      <w:bookmarkStart w:id="8" w:name="_Toc65167181"/>
      <w:r>
        <w:rPr>
          <w:rFonts w:ascii="黑体" w:hAnsi="黑体" w:eastAsia="黑体"/>
          <w:sz w:val="21"/>
          <w:szCs w:val="21"/>
        </w:rPr>
        <w:t>附录A</w:t>
      </w:r>
      <w:bookmarkEnd w:id="8"/>
    </w:p>
    <w:p>
      <w:pPr>
        <w:pStyle w:val="7"/>
        <w:spacing w:line="360" w:lineRule="auto"/>
        <w:ind w:left="1102" w:right="1312"/>
        <w:jc w:val="center"/>
        <w:rPr>
          <w:rFonts w:ascii="宋体" w:hAnsi="宋体" w:eastAsia="宋体"/>
          <w:b/>
          <w:bCs/>
          <w:lang w:eastAsia="zh-CN"/>
        </w:rPr>
      </w:pPr>
      <w:r>
        <w:rPr>
          <w:rFonts w:ascii="宋体" w:hAnsi="宋体" w:eastAsia="宋体"/>
          <w:b/>
          <w:bCs/>
          <w:lang w:eastAsia="zh-CN"/>
        </w:rPr>
        <w:t>（规范性附录）</w:t>
      </w:r>
    </w:p>
    <w:p>
      <w:pPr>
        <w:pStyle w:val="7"/>
        <w:spacing w:line="360" w:lineRule="auto"/>
        <w:ind w:left="1102" w:right="1314"/>
        <w:jc w:val="center"/>
        <w:rPr>
          <w:rFonts w:ascii="宋体" w:hAnsi="宋体" w:eastAsia="宋体"/>
          <w:b/>
          <w:bCs/>
          <w:lang w:eastAsia="zh-CN"/>
        </w:rPr>
      </w:pPr>
      <w:r>
        <w:rPr>
          <w:rFonts w:ascii="宋体" w:hAnsi="宋体" w:eastAsia="宋体"/>
          <w:b/>
          <w:bCs/>
          <w:lang w:eastAsia="zh-CN"/>
        </w:rPr>
        <w:t>研学导师</w:t>
      </w:r>
      <w:r>
        <w:rPr>
          <w:rFonts w:hint="eastAsia" w:ascii="宋体" w:hAnsi="宋体" w:eastAsia="宋体"/>
          <w:b/>
          <w:bCs/>
          <w:lang w:eastAsia="zh-CN"/>
        </w:rPr>
        <w:t>职业能力等级评价</w:t>
      </w:r>
      <w:r>
        <w:rPr>
          <w:rFonts w:ascii="宋体" w:hAnsi="宋体" w:eastAsia="宋体"/>
          <w:b/>
          <w:bCs/>
          <w:lang w:eastAsia="zh-CN"/>
        </w:rPr>
        <w:t>表</w:t>
      </w:r>
    </w:p>
    <w:p>
      <w:pPr>
        <w:pStyle w:val="34"/>
        <w:numPr>
          <w:ilvl w:val="1"/>
          <w:numId w:val="1"/>
        </w:numPr>
        <w:tabs>
          <w:tab w:val="left" w:pos="744"/>
          <w:tab w:val="left" w:pos="745"/>
        </w:tabs>
        <w:spacing w:before="171" w:line="360" w:lineRule="auto"/>
        <w:rPr>
          <w:rFonts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3"/>
          <w:sz w:val="21"/>
          <w:szCs w:val="21"/>
        </w:rPr>
        <w:t>检查和评分说明</w:t>
      </w:r>
    </w:p>
    <w:p>
      <w:pPr>
        <w:pStyle w:val="34"/>
        <w:numPr>
          <w:ilvl w:val="2"/>
          <w:numId w:val="1"/>
        </w:numPr>
        <w:tabs>
          <w:tab w:val="left" w:pos="850"/>
        </w:tabs>
        <w:spacing w:line="360" w:lineRule="auto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-3"/>
          <w:sz w:val="21"/>
          <w:szCs w:val="21"/>
          <w:lang w:eastAsia="zh-CN"/>
        </w:rPr>
        <w:t xml:space="preserve"> 研学导师评分表满分为</w:t>
      </w:r>
      <w:r>
        <w:rPr>
          <w:rFonts w:ascii="宋体" w:hAnsi="宋体" w:eastAsia="宋体"/>
          <w:sz w:val="21"/>
          <w:szCs w:val="21"/>
          <w:lang w:eastAsia="zh-CN"/>
        </w:rPr>
        <w:t>100分；</w:t>
      </w:r>
    </w:p>
    <w:p>
      <w:pPr>
        <w:pStyle w:val="34"/>
        <w:numPr>
          <w:ilvl w:val="2"/>
          <w:numId w:val="1"/>
        </w:numPr>
        <w:tabs>
          <w:tab w:val="left" w:pos="850"/>
        </w:tabs>
        <w:spacing w:before="16" w:line="360" w:lineRule="auto"/>
        <w:ind w:left="218" w:right="426" w:firstLine="0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pacing w:val="-8"/>
          <w:sz w:val="21"/>
          <w:szCs w:val="21"/>
          <w:lang w:eastAsia="zh-CN"/>
        </w:rPr>
        <w:t xml:space="preserve"> </w:t>
      </w:r>
      <w:r>
        <w:rPr>
          <w:rFonts w:ascii="宋体" w:hAnsi="宋体" w:eastAsia="宋体"/>
          <w:spacing w:val="-8"/>
          <w:sz w:val="21"/>
          <w:szCs w:val="21"/>
          <w:lang w:eastAsia="zh-CN"/>
        </w:rPr>
        <w:t>研学导师按评价项目分类评分，总分</w:t>
      </w:r>
      <w:r>
        <w:rPr>
          <w:rFonts w:ascii="宋体" w:hAnsi="宋体" w:eastAsia="宋体"/>
          <w:sz w:val="21"/>
          <w:szCs w:val="21"/>
          <w:lang w:eastAsia="zh-CN"/>
        </w:rPr>
        <w:t>60</w:t>
      </w:r>
      <w:r>
        <w:rPr>
          <w:rFonts w:hint="eastAsia" w:ascii="宋体" w:hAnsi="宋体" w:eastAsia="宋体"/>
          <w:sz w:val="21"/>
          <w:szCs w:val="21"/>
          <w:lang w:eastAsia="zh-CN"/>
        </w:rPr>
        <w:t>-70分为初级，71-80分为中级，81</w:t>
      </w:r>
      <w:r>
        <w:rPr>
          <w:rFonts w:ascii="宋体" w:hAnsi="宋体" w:eastAsia="宋体"/>
          <w:spacing w:val="-3"/>
          <w:sz w:val="21"/>
          <w:szCs w:val="21"/>
          <w:lang w:eastAsia="zh-CN"/>
        </w:rPr>
        <w:t>分以上者</w:t>
      </w:r>
      <w:r>
        <w:rPr>
          <w:rFonts w:hint="eastAsia" w:ascii="宋体" w:hAnsi="宋体" w:eastAsia="宋体"/>
          <w:spacing w:val="-3"/>
          <w:sz w:val="21"/>
          <w:szCs w:val="21"/>
          <w:lang w:eastAsia="zh-CN"/>
        </w:rPr>
        <w:t>为高级</w:t>
      </w:r>
      <w:r>
        <w:rPr>
          <w:rFonts w:ascii="宋体" w:hAnsi="宋体" w:eastAsia="宋体"/>
          <w:spacing w:val="-3"/>
          <w:sz w:val="21"/>
          <w:szCs w:val="21"/>
          <w:lang w:eastAsia="zh-CN"/>
        </w:rPr>
        <w:t>；</w:t>
      </w:r>
    </w:p>
    <w:p>
      <w:pPr>
        <w:pStyle w:val="34"/>
        <w:numPr>
          <w:ilvl w:val="2"/>
          <w:numId w:val="1"/>
        </w:numPr>
        <w:tabs>
          <w:tab w:val="left" w:pos="865"/>
        </w:tabs>
        <w:spacing w:line="360" w:lineRule="auto"/>
        <w:ind w:left="864" w:hanging="647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 xml:space="preserve"> </w:t>
      </w:r>
      <w:r>
        <w:rPr>
          <w:rFonts w:ascii="宋体" w:hAnsi="宋体" w:eastAsia="宋体"/>
          <w:sz w:val="21"/>
          <w:szCs w:val="21"/>
          <w:lang w:eastAsia="zh-CN"/>
        </w:rPr>
        <w:t>表A.1</w:t>
      </w:r>
      <w:r>
        <w:rPr>
          <w:rFonts w:hint="eastAsia" w:ascii="宋体" w:hAnsi="宋体" w:eastAsia="宋体"/>
          <w:sz w:val="21"/>
          <w:szCs w:val="21"/>
          <w:lang w:eastAsia="zh-CN"/>
        </w:rPr>
        <w:t>为</w:t>
      </w:r>
      <w:r>
        <w:rPr>
          <w:rFonts w:ascii="宋体" w:hAnsi="宋体" w:eastAsia="宋体"/>
          <w:spacing w:val="-3"/>
          <w:sz w:val="21"/>
          <w:szCs w:val="21"/>
          <w:lang w:eastAsia="zh-CN"/>
        </w:rPr>
        <w:t>研学导师</w:t>
      </w:r>
      <w:r>
        <w:rPr>
          <w:rFonts w:hint="eastAsia" w:ascii="宋体" w:hAnsi="宋体" w:eastAsia="宋体"/>
          <w:spacing w:val="-3"/>
          <w:sz w:val="21"/>
          <w:szCs w:val="21"/>
          <w:lang w:eastAsia="zh-CN"/>
        </w:rPr>
        <w:t>职业能力等级</w:t>
      </w:r>
      <w:r>
        <w:rPr>
          <w:rFonts w:ascii="宋体" w:hAnsi="宋体" w:eastAsia="宋体"/>
          <w:spacing w:val="-3"/>
          <w:sz w:val="21"/>
          <w:szCs w:val="21"/>
          <w:lang w:eastAsia="zh-CN"/>
        </w:rPr>
        <w:t>评</w:t>
      </w:r>
      <w:r>
        <w:rPr>
          <w:rFonts w:hint="eastAsia" w:ascii="宋体" w:hAnsi="宋体" w:eastAsia="宋体"/>
          <w:spacing w:val="-3"/>
          <w:sz w:val="21"/>
          <w:szCs w:val="21"/>
          <w:lang w:eastAsia="zh-CN"/>
        </w:rPr>
        <w:t>价</w:t>
      </w:r>
      <w:r>
        <w:rPr>
          <w:rFonts w:ascii="宋体" w:hAnsi="宋体" w:eastAsia="宋体"/>
          <w:spacing w:val="-3"/>
          <w:sz w:val="21"/>
          <w:szCs w:val="21"/>
          <w:lang w:eastAsia="zh-CN"/>
        </w:rPr>
        <w:t>表。</w:t>
      </w:r>
    </w:p>
    <w:p>
      <w:pPr>
        <w:pStyle w:val="7"/>
        <w:spacing w:line="360" w:lineRule="auto"/>
        <w:ind w:left="3109"/>
        <w:rPr>
          <w:rFonts w:ascii="宋体" w:hAnsi="宋体" w:eastAsia="宋体"/>
          <w:b/>
          <w:bCs/>
          <w:lang w:eastAsia="zh-CN"/>
        </w:rPr>
      </w:pPr>
      <w:r>
        <w:rPr>
          <w:rFonts w:ascii="宋体" w:hAnsi="宋体" w:eastAsia="宋体"/>
          <w:b/>
          <w:bCs/>
          <w:lang w:eastAsia="zh-CN"/>
        </w:rPr>
        <w:t>表 A.</w:t>
      </w:r>
      <w:r>
        <w:rPr>
          <w:rFonts w:hint="eastAsia" w:ascii="宋体" w:hAnsi="宋体" w:eastAsia="宋体"/>
          <w:b/>
          <w:bCs/>
          <w:lang w:eastAsia="zh-CN"/>
        </w:rPr>
        <w:t xml:space="preserve">1 </w:t>
      </w:r>
      <w:r>
        <w:rPr>
          <w:rFonts w:ascii="宋体" w:hAnsi="宋体" w:eastAsia="宋体"/>
          <w:b/>
          <w:bCs/>
          <w:lang w:eastAsia="zh-CN"/>
        </w:rPr>
        <w:t>研学导师</w:t>
      </w:r>
      <w:r>
        <w:rPr>
          <w:rFonts w:hint="eastAsia" w:ascii="宋体" w:hAnsi="宋体" w:eastAsia="宋体"/>
          <w:b/>
          <w:bCs/>
          <w:lang w:eastAsia="zh-CN"/>
        </w:rPr>
        <w:t>职业能力等级评价表</w:t>
      </w:r>
    </w:p>
    <w:tbl>
      <w:tblPr>
        <w:tblStyle w:val="32"/>
        <w:tblW w:w="10697" w:type="dxa"/>
        <w:tblInd w:w="-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4"/>
        <w:gridCol w:w="6906"/>
        <w:gridCol w:w="941"/>
        <w:gridCol w:w="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054" w:type="dxa"/>
          </w:tcPr>
          <w:p>
            <w:pPr>
              <w:pStyle w:val="35"/>
              <w:ind w:left="204" w:right="19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评价项目</w:t>
            </w:r>
          </w:p>
        </w:tc>
        <w:tc>
          <w:tcPr>
            <w:tcW w:w="6906" w:type="dxa"/>
          </w:tcPr>
          <w:p>
            <w:pPr>
              <w:pStyle w:val="35"/>
              <w:ind w:left="2744" w:right="2736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评分项目</w:t>
            </w:r>
          </w:p>
        </w:tc>
        <w:tc>
          <w:tcPr>
            <w:tcW w:w="941" w:type="dxa"/>
          </w:tcPr>
          <w:p>
            <w:pPr>
              <w:pStyle w:val="35"/>
              <w:ind w:left="187" w:right="178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796" w:type="dxa"/>
          </w:tcPr>
          <w:p>
            <w:pPr>
              <w:pStyle w:val="35"/>
              <w:ind w:left="296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计分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54" w:type="dxa"/>
            <w:vMerge w:val="restart"/>
          </w:tcPr>
          <w:p>
            <w:pPr>
              <w:pStyle w:val="3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35"/>
              <w:spacing w:before="1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35"/>
              <w:spacing w:before="1"/>
              <w:ind w:left="223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基础条件</w:t>
            </w:r>
          </w:p>
          <w:p>
            <w:pPr>
              <w:pStyle w:val="35"/>
              <w:spacing w:before="1"/>
              <w:ind w:left="223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遵守国家法律法规和相关政策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796" w:type="dxa"/>
            <w:vMerge w:val="restart"/>
          </w:tcPr>
          <w:p>
            <w:pPr>
              <w:pStyle w:val="35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坚守岗位，不擅离职守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面向全体学生，公平公正地对待学生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身心健康，与学生相处融洽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热爱本职工作，能够全身心投入教学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讲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普通话，普通话二级乙等及以上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具有一年以上教学实践经验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具有和研学实践教育主题相关背景知识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持有《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中华</w:t>
            </w:r>
            <w:bookmarkStart w:id="10" w:name="_GoBack"/>
            <w:bookmarkEnd w:id="10"/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人民共和国教师资格证书》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参与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指定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机构研学旅行课程培训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合格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并获得《研学实践教育研学导师证书》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054" w:type="dxa"/>
            <w:vMerge w:val="restart"/>
          </w:tcPr>
          <w:p>
            <w:pPr>
              <w:pStyle w:val="35"/>
              <w:ind w:left="288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职业行为</w:t>
            </w:r>
          </w:p>
          <w:p>
            <w:pPr>
              <w:pStyle w:val="35"/>
              <w:ind w:left="288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衣着仪表符合教育职业和场景的要求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6" w:type="dxa"/>
            <w:vMerge w:val="restart"/>
          </w:tcPr>
          <w:p>
            <w:pPr>
              <w:pStyle w:val="35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举止文明，亲切，自然，得体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言语清晰，层次分明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</w:rPr>
              <w:t>声音洪亮，语速适宜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语言有亲和力，感染力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5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善于倾听、交流，尊重对方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054" w:type="dxa"/>
            <w:vMerge w:val="restart"/>
          </w:tcPr>
          <w:p>
            <w:pPr>
              <w:pStyle w:val="3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35"/>
              <w:spacing w:before="1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35"/>
              <w:spacing w:before="1"/>
              <w:ind w:left="288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课程设计</w:t>
            </w:r>
          </w:p>
          <w:p>
            <w:pPr>
              <w:pStyle w:val="35"/>
              <w:spacing w:before="1"/>
              <w:ind w:left="288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15分</w:t>
            </w: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根据学生特点和需求有针对性设计教学目标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796" w:type="dxa"/>
            <w:vMerge w:val="restart"/>
          </w:tcPr>
          <w:p>
            <w:pPr>
              <w:pStyle w:val="35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了解研学资源情况，选择合适的研学基地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基于教学目标选择恰当的研学方式和教学方法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掌握研学课程评价方法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根据具体情况设计完整的研学实践教育方案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54" w:type="dxa"/>
            <w:vMerge w:val="restart"/>
          </w:tcPr>
          <w:p>
            <w:pPr>
              <w:pStyle w:val="3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3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35"/>
              <w:spacing w:before="1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35"/>
              <w:ind w:left="288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课程实施</w:t>
            </w:r>
          </w:p>
          <w:p>
            <w:pPr>
              <w:pStyle w:val="35"/>
              <w:ind w:left="288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50分</w:t>
            </w: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准备充分，有专题指导方案或讲义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796" w:type="dxa"/>
            <w:vMerge w:val="restart"/>
          </w:tcPr>
          <w:p>
            <w:pPr>
              <w:pStyle w:val="35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了解学生年龄、心理、认知等的特点，有针对性地选择教育教学方式方法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了解研学旅行课程的特点，注重引导全体学生的深度参与和体验，注重集体、团队意识的培养</w:t>
            </w:r>
          </w:p>
        </w:tc>
        <w:tc>
          <w:tcPr>
            <w:tcW w:w="941" w:type="dxa"/>
          </w:tcPr>
          <w:p>
            <w:pPr>
              <w:pStyle w:val="35"/>
              <w:ind w:left="187" w:right="17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发挥自我职业特长或优势，拓展学生的学习与生活视野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活动内容、时间、进度、节奏安排合理，注重激发学生的参与兴趣，启发性强</w:t>
            </w:r>
          </w:p>
        </w:tc>
        <w:tc>
          <w:tcPr>
            <w:tcW w:w="941" w:type="dxa"/>
          </w:tcPr>
          <w:p>
            <w:pPr>
              <w:pStyle w:val="35"/>
              <w:ind w:left="187" w:right="17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活动形式多样，有创意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充分体现了研学旅行课程的价值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及时收集与评价学生研学旅行成果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54" w:type="dxa"/>
            <w:vMerge w:val="restart"/>
          </w:tcPr>
          <w:p>
            <w:pPr>
              <w:pStyle w:val="3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35"/>
              <w:spacing w:before="1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35"/>
              <w:spacing w:before="1"/>
              <w:ind w:left="288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组织管理</w:t>
            </w:r>
          </w:p>
          <w:p>
            <w:pPr>
              <w:pStyle w:val="35"/>
              <w:spacing w:before="1"/>
              <w:ind w:left="288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15分</w:t>
            </w: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遵循安全第一的原则，有详细的安全预案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6" w:type="dxa"/>
            <w:vMerge w:val="restart"/>
          </w:tcPr>
          <w:p>
            <w:pPr>
              <w:pStyle w:val="35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及时提醒或讲解安全，注意事项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积极化解、处理突发事件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注重活动推进过程中的每一个细节的设计与管理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  <w:tc>
          <w:tcPr>
            <w:tcW w:w="6906" w:type="dxa"/>
          </w:tcPr>
          <w:p>
            <w:pPr>
              <w:pStyle w:val="35"/>
              <w:ind w:left="107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严格要求，分工明确，责任意识强</w:t>
            </w:r>
          </w:p>
        </w:tc>
        <w:tc>
          <w:tcPr>
            <w:tcW w:w="941" w:type="dxa"/>
          </w:tcPr>
          <w:p>
            <w:pPr>
              <w:pStyle w:val="35"/>
              <w:ind w:left="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54" w:type="dxa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合 计</w:t>
            </w:r>
          </w:p>
        </w:tc>
        <w:tc>
          <w:tcPr>
            <w:tcW w:w="8643" w:type="dxa"/>
            <w:gridSpan w:val="3"/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54" w:type="dxa"/>
            <w:tcBorders>
              <w:top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评定结果</w:t>
            </w:r>
          </w:p>
        </w:tc>
        <w:tc>
          <w:tcPr>
            <w:tcW w:w="8643" w:type="dxa"/>
            <w:gridSpan w:val="3"/>
          </w:tcPr>
          <w:p>
            <w:pPr>
              <w:widowControl w:val="0"/>
              <w:autoSpaceDE w:val="0"/>
              <w:autoSpaceDN w:val="0"/>
              <w:rPr>
                <w:rFonts w:ascii="宋体" w:hAnsi="宋体" w:eastAsia="宋体"/>
                <w:sz w:val="21"/>
                <w:szCs w:val="21"/>
                <w:lang w:eastAsia="en-US"/>
              </w:rPr>
            </w:pPr>
          </w:p>
        </w:tc>
      </w:tr>
    </w:tbl>
    <w:p>
      <w:pPr>
        <w:pStyle w:val="7"/>
        <w:spacing w:line="360" w:lineRule="auto"/>
        <w:ind w:left="3109"/>
        <w:rPr>
          <w:rFonts w:ascii="宋体" w:hAnsi="宋体" w:eastAsia="宋体"/>
          <w:b/>
          <w:bCs/>
          <w:sz w:val="24"/>
          <w:szCs w:val="24"/>
          <w:lang w:eastAsia="zh-CN"/>
        </w:rPr>
        <w:sectPr>
          <w:footerReference r:id="rId5" w:type="default"/>
          <w:pgSz w:w="11910" w:h="16840"/>
          <w:pgMar w:top="1580" w:right="700" w:bottom="1320" w:left="1200" w:header="0" w:footer="1132" w:gutter="0"/>
          <w:cols w:space="720" w:num="1"/>
        </w:sectPr>
      </w:pPr>
      <w:r>
        <w:rPr>
          <w:rFonts w:ascii="宋体" w:hAnsi="宋体" w:eastAsia="宋体"/>
          <w:b/>
          <w:bCs/>
          <w:sz w:val="24"/>
          <w:szCs w:val="24"/>
          <w:lang w:eastAsia="zh-CN"/>
        </w:rPr>
        <w:pict>
          <v:group id="_x0000_s1045" o:spid="_x0000_s1045" o:spt="203" style="position:absolute;left:0pt;margin-left:136.65pt;margin-top:17.85pt;height:0.45pt;width:173.5pt;z-index:251667456;mso-width-relative:page;mso-height-relative:page;" coordsize="3470,9">
            <o:lock v:ext="edit"/>
            <v:line id="_x0000_s1046" o:spid="_x0000_s1046" o:spt="20" style="position:absolute;left:0;top:4;height:0;width:3469;" coordsize="21600,21600">
              <v:path arrowok="t"/>
              <v:fill focussize="0,0"/>
              <v:stroke weight="0.42pt"/>
              <v:imagedata o:title=""/>
              <o:lock v:ext="edit"/>
            </v:line>
          </v:group>
        </w:pict>
      </w:r>
    </w:p>
    <w:p>
      <w:pPr>
        <w:pStyle w:val="7"/>
        <w:spacing w:line="360" w:lineRule="auto"/>
        <w:ind w:left="1102" w:right="1312"/>
        <w:jc w:val="center"/>
        <w:rPr>
          <w:rFonts w:ascii="宋体" w:hAnsi="宋体" w:eastAsia="宋体"/>
          <w:b/>
          <w:bCs/>
          <w:sz w:val="24"/>
          <w:szCs w:val="24"/>
          <w:lang w:eastAsia="zh-CN"/>
        </w:rPr>
      </w:pPr>
    </w:p>
    <w:p>
      <w:pPr>
        <w:pStyle w:val="7"/>
        <w:spacing w:line="360" w:lineRule="auto"/>
        <w:ind w:left="1102" w:right="1312"/>
        <w:jc w:val="center"/>
        <w:rPr>
          <w:rFonts w:ascii="宋体" w:hAnsi="宋体" w:eastAsia="宋体"/>
          <w:b/>
          <w:bCs/>
          <w:sz w:val="24"/>
          <w:szCs w:val="24"/>
          <w:lang w:eastAsia="zh-CN"/>
        </w:rPr>
      </w:pPr>
    </w:p>
    <w:p>
      <w:pPr>
        <w:pStyle w:val="7"/>
        <w:spacing w:line="360" w:lineRule="auto"/>
        <w:rPr>
          <w:rFonts w:asciiTheme="minorEastAsia" w:hAnsiTheme="minorEastAsia" w:eastAsiaTheme="minorEastAsia"/>
          <w:sz w:val="24"/>
          <w:szCs w:val="24"/>
          <w:lang w:eastAsia="zh-CN"/>
        </w:rPr>
      </w:pPr>
      <w:bookmarkStart w:id="9" w:name="_bookmark13"/>
      <w:bookmarkEnd w:id="9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Mono CJK JP Bold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4431088"/>
    </w:sdtPr>
    <w:sdtContent>
      <w:p>
        <w:pPr>
          <w:pStyle w:val="1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5A16"/>
    <w:multiLevelType w:val="multilevel"/>
    <w:tmpl w:val="50645A16"/>
    <w:lvl w:ilvl="0" w:tentative="0">
      <w:start w:val="1"/>
      <w:numFmt w:val="upperLetter"/>
      <w:lvlText w:val="%1"/>
      <w:lvlJc w:val="left"/>
      <w:pPr>
        <w:ind w:left="744" w:hanging="526"/>
        <w:jc w:val="left"/>
      </w:pPr>
      <w:rPr>
        <w:rFonts w:hint="default"/>
        <w:lang w:val="en-US" w:eastAsia="en-US" w:bidi="ar-SA"/>
      </w:rPr>
    </w:lvl>
    <w:lvl w:ilvl="1" w:tentative="0">
      <w:start w:val="1"/>
      <w:numFmt w:val="decimal"/>
      <w:lvlText w:val="%1.%2"/>
      <w:lvlJc w:val="left"/>
      <w:pPr>
        <w:ind w:left="744" w:hanging="526"/>
        <w:jc w:val="left"/>
      </w:pPr>
      <w:rPr>
        <w:rFonts w:hint="default" w:ascii="宋体" w:hAnsi="宋体" w:eastAsia="宋体" w:cs="Noto Sans Mono CJK JP Bold"/>
        <w:w w:val="100"/>
        <w:sz w:val="24"/>
        <w:szCs w:val="24"/>
        <w:lang w:val="en-US" w:eastAsia="en-US" w:bidi="ar-SA"/>
      </w:rPr>
    </w:lvl>
    <w:lvl w:ilvl="2" w:tentative="0">
      <w:start w:val="1"/>
      <w:numFmt w:val="decimal"/>
      <w:lvlText w:val="%1.%2.%3"/>
      <w:lvlJc w:val="left"/>
      <w:pPr>
        <w:ind w:left="850" w:hanging="632"/>
        <w:jc w:val="left"/>
      </w:pPr>
      <w:rPr>
        <w:rFonts w:hint="default" w:ascii="宋体" w:hAnsi="宋体" w:eastAsia="宋体" w:cs="Noto Sans Mono CJK JP Bold"/>
        <w:b/>
        <w:bCs/>
        <w:w w:val="100"/>
        <w:sz w:val="24"/>
        <w:szCs w:val="24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892" w:hanging="63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908" w:hanging="63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925" w:hanging="63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41" w:hanging="63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957" w:hanging="63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73" w:hanging="6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A70"/>
    <w:rsid w:val="00003531"/>
    <w:rsid w:val="0000418B"/>
    <w:rsid w:val="0000608C"/>
    <w:rsid w:val="00010627"/>
    <w:rsid w:val="000106AC"/>
    <w:rsid w:val="00021118"/>
    <w:rsid w:val="000334F5"/>
    <w:rsid w:val="00044CE2"/>
    <w:rsid w:val="00050860"/>
    <w:rsid w:val="0007449A"/>
    <w:rsid w:val="00074644"/>
    <w:rsid w:val="00077426"/>
    <w:rsid w:val="000777D2"/>
    <w:rsid w:val="00080B42"/>
    <w:rsid w:val="00080DBB"/>
    <w:rsid w:val="00081A25"/>
    <w:rsid w:val="00081E2C"/>
    <w:rsid w:val="000857E4"/>
    <w:rsid w:val="00094029"/>
    <w:rsid w:val="00094DD5"/>
    <w:rsid w:val="00096BAF"/>
    <w:rsid w:val="00097D4D"/>
    <w:rsid w:val="000A2697"/>
    <w:rsid w:val="000A56C6"/>
    <w:rsid w:val="000A7F2B"/>
    <w:rsid w:val="000C229B"/>
    <w:rsid w:val="000C3254"/>
    <w:rsid w:val="000C3D3F"/>
    <w:rsid w:val="000D612A"/>
    <w:rsid w:val="000E08E3"/>
    <w:rsid w:val="000E2D73"/>
    <w:rsid w:val="000E4217"/>
    <w:rsid w:val="000E54F9"/>
    <w:rsid w:val="00100B83"/>
    <w:rsid w:val="001038FB"/>
    <w:rsid w:val="001045FD"/>
    <w:rsid w:val="0010655A"/>
    <w:rsid w:val="00114FBD"/>
    <w:rsid w:val="001361BF"/>
    <w:rsid w:val="00136676"/>
    <w:rsid w:val="001459D2"/>
    <w:rsid w:val="00156ABE"/>
    <w:rsid w:val="00164CFC"/>
    <w:rsid w:val="00167069"/>
    <w:rsid w:val="001717B5"/>
    <w:rsid w:val="00176165"/>
    <w:rsid w:val="00177656"/>
    <w:rsid w:val="0018470B"/>
    <w:rsid w:val="00185D05"/>
    <w:rsid w:val="0018615D"/>
    <w:rsid w:val="001A3A88"/>
    <w:rsid w:val="001B51BE"/>
    <w:rsid w:val="001C7C90"/>
    <w:rsid w:val="001D5842"/>
    <w:rsid w:val="001D614D"/>
    <w:rsid w:val="001E1D02"/>
    <w:rsid w:val="001E31D5"/>
    <w:rsid w:val="001F4309"/>
    <w:rsid w:val="00201ABF"/>
    <w:rsid w:val="00201E69"/>
    <w:rsid w:val="00207E8C"/>
    <w:rsid w:val="00213418"/>
    <w:rsid w:val="002178BD"/>
    <w:rsid w:val="00221655"/>
    <w:rsid w:val="002357F1"/>
    <w:rsid w:val="0023768A"/>
    <w:rsid w:val="00237F93"/>
    <w:rsid w:val="00245269"/>
    <w:rsid w:val="002466D3"/>
    <w:rsid w:val="00250906"/>
    <w:rsid w:val="00253F97"/>
    <w:rsid w:val="00261979"/>
    <w:rsid w:val="00262CEF"/>
    <w:rsid w:val="002678B0"/>
    <w:rsid w:val="0027285D"/>
    <w:rsid w:val="00276C8D"/>
    <w:rsid w:val="00276DAC"/>
    <w:rsid w:val="00284300"/>
    <w:rsid w:val="002959E1"/>
    <w:rsid w:val="002A09D1"/>
    <w:rsid w:val="002A1DC7"/>
    <w:rsid w:val="002A23DF"/>
    <w:rsid w:val="002C6C11"/>
    <w:rsid w:val="002C6E1A"/>
    <w:rsid w:val="002E7165"/>
    <w:rsid w:val="002F324F"/>
    <w:rsid w:val="002F5BFA"/>
    <w:rsid w:val="003007ED"/>
    <w:rsid w:val="00301D7B"/>
    <w:rsid w:val="003031C1"/>
    <w:rsid w:val="00317C1B"/>
    <w:rsid w:val="00325246"/>
    <w:rsid w:val="003434FB"/>
    <w:rsid w:val="003477CD"/>
    <w:rsid w:val="0035182B"/>
    <w:rsid w:val="003553C0"/>
    <w:rsid w:val="00372379"/>
    <w:rsid w:val="003745AF"/>
    <w:rsid w:val="00375AA9"/>
    <w:rsid w:val="0039228A"/>
    <w:rsid w:val="003936F4"/>
    <w:rsid w:val="003970CA"/>
    <w:rsid w:val="003A1241"/>
    <w:rsid w:val="003B045C"/>
    <w:rsid w:val="003C0FB2"/>
    <w:rsid w:val="003C1FBB"/>
    <w:rsid w:val="003C5894"/>
    <w:rsid w:val="003E1C60"/>
    <w:rsid w:val="003E6780"/>
    <w:rsid w:val="00401BB7"/>
    <w:rsid w:val="00413E1C"/>
    <w:rsid w:val="004171BB"/>
    <w:rsid w:val="00432717"/>
    <w:rsid w:val="00440CA8"/>
    <w:rsid w:val="00455945"/>
    <w:rsid w:val="004576B4"/>
    <w:rsid w:val="0046141D"/>
    <w:rsid w:val="00472314"/>
    <w:rsid w:val="00476AFF"/>
    <w:rsid w:val="00477FB1"/>
    <w:rsid w:val="00487E3C"/>
    <w:rsid w:val="00492998"/>
    <w:rsid w:val="00495657"/>
    <w:rsid w:val="00497BD3"/>
    <w:rsid w:val="004A4291"/>
    <w:rsid w:val="004B3EEB"/>
    <w:rsid w:val="004B5707"/>
    <w:rsid w:val="004C2898"/>
    <w:rsid w:val="004C2A61"/>
    <w:rsid w:val="004C5B25"/>
    <w:rsid w:val="004C6842"/>
    <w:rsid w:val="004D2749"/>
    <w:rsid w:val="004D3B38"/>
    <w:rsid w:val="004E6E0C"/>
    <w:rsid w:val="004F17D7"/>
    <w:rsid w:val="004F39D5"/>
    <w:rsid w:val="004F3FAE"/>
    <w:rsid w:val="00521F93"/>
    <w:rsid w:val="00525671"/>
    <w:rsid w:val="00526A29"/>
    <w:rsid w:val="00536F9F"/>
    <w:rsid w:val="005464AA"/>
    <w:rsid w:val="00546F06"/>
    <w:rsid w:val="00553532"/>
    <w:rsid w:val="00553D30"/>
    <w:rsid w:val="005747BA"/>
    <w:rsid w:val="005757A5"/>
    <w:rsid w:val="005828FA"/>
    <w:rsid w:val="005843A0"/>
    <w:rsid w:val="005919BC"/>
    <w:rsid w:val="00591CB9"/>
    <w:rsid w:val="005A0F5E"/>
    <w:rsid w:val="005A1CF7"/>
    <w:rsid w:val="005B3622"/>
    <w:rsid w:val="005C63EE"/>
    <w:rsid w:val="005C7927"/>
    <w:rsid w:val="005D0500"/>
    <w:rsid w:val="005D49EE"/>
    <w:rsid w:val="005F7C73"/>
    <w:rsid w:val="00601EAE"/>
    <w:rsid w:val="00602CF3"/>
    <w:rsid w:val="00605A1F"/>
    <w:rsid w:val="0061493E"/>
    <w:rsid w:val="006163EF"/>
    <w:rsid w:val="00616A5E"/>
    <w:rsid w:val="006347C4"/>
    <w:rsid w:val="00634ABE"/>
    <w:rsid w:val="00641DFC"/>
    <w:rsid w:val="006458F0"/>
    <w:rsid w:val="00653BAC"/>
    <w:rsid w:val="00653F3A"/>
    <w:rsid w:val="00657B33"/>
    <w:rsid w:val="00671EBB"/>
    <w:rsid w:val="0067259F"/>
    <w:rsid w:val="006732C7"/>
    <w:rsid w:val="0068001A"/>
    <w:rsid w:val="00685416"/>
    <w:rsid w:val="0068565D"/>
    <w:rsid w:val="00693A88"/>
    <w:rsid w:val="006968F2"/>
    <w:rsid w:val="006969A3"/>
    <w:rsid w:val="006A0ED1"/>
    <w:rsid w:val="006A3A12"/>
    <w:rsid w:val="006A545A"/>
    <w:rsid w:val="006A642E"/>
    <w:rsid w:val="006B3F89"/>
    <w:rsid w:val="006C2071"/>
    <w:rsid w:val="006C4E60"/>
    <w:rsid w:val="006C5EFE"/>
    <w:rsid w:val="006D2B39"/>
    <w:rsid w:val="006D56E1"/>
    <w:rsid w:val="006D64B5"/>
    <w:rsid w:val="006E2CD1"/>
    <w:rsid w:val="006E4D1F"/>
    <w:rsid w:val="006F08F3"/>
    <w:rsid w:val="006F5755"/>
    <w:rsid w:val="0071449E"/>
    <w:rsid w:val="00715798"/>
    <w:rsid w:val="007612D4"/>
    <w:rsid w:val="00761371"/>
    <w:rsid w:val="007670BD"/>
    <w:rsid w:val="00771709"/>
    <w:rsid w:val="00790D4D"/>
    <w:rsid w:val="00797A9C"/>
    <w:rsid w:val="007A68C6"/>
    <w:rsid w:val="007B3CE5"/>
    <w:rsid w:val="007B5C68"/>
    <w:rsid w:val="007D511D"/>
    <w:rsid w:val="007F04E1"/>
    <w:rsid w:val="00816874"/>
    <w:rsid w:val="008235B2"/>
    <w:rsid w:val="00832786"/>
    <w:rsid w:val="0083447C"/>
    <w:rsid w:val="00836B4B"/>
    <w:rsid w:val="00841A70"/>
    <w:rsid w:val="00844A02"/>
    <w:rsid w:val="00845DB2"/>
    <w:rsid w:val="00851821"/>
    <w:rsid w:val="00851ABE"/>
    <w:rsid w:val="0086061D"/>
    <w:rsid w:val="00873DAF"/>
    <w:rsid w:val="008873DD"/>
    <w:rsid w:val="0089230A"/>
    <w:rsid w:val="008B726C"/>
    <w:rsid w:val="008C18D4"/>
    <w:rsid w:val="008C3BFE"/>
    <w:rsid w:val="008E0A39"/>
    <w:rsid w:val="008E15EE"/>
    <w:rsid w:val="008E220A"/>
    <w:rsid w:val="0091339C"/>
    <w:rsid w:val="0091501A"/>
    <w:rsid w:val="00923545"/>
    <w:rsid w:val="00925056"/>
    <w:rsid w:val="0092783A"/>
    <w:rsid w:val="00932143"/>
    <w:rsid w:val="00935179"/>
    <w:rsid w:val="00936244"/>
    <w:rsid w:val="009622C0"/>
    <w:rsid w:val="00966983"/>
    <w:rsid w:val="0097399E"/>
    <w:rsid w:val="00974F84"/>
    <w:rsid w:val="009766F7"/>
    <w:rsid w:val="009834DC"/>
    <w:rsid w:val="0098751D"/>
    <w:rsid w:val="009A1010"/>
    <w:rsid w:val="009B2684"/>
    <w:rsid w:val="009B5651"/>
    <w:rsid w:val="009C3647"/>
    <w:rsid w:val="009C466B"/>
    <w:rsid w:val="009D2E17"/>
    <w:rsid w:val="009E1D11"/>
    <w:rsid w:val="009E3349"/>
    <w:rsid w:val="009F01DE"/>
    <w:rsid w:val="009F46A7"/>
    <w:rsid w:val="00A027DF"/>
    <w:rsid w:val="00A03CD4"/>
    <w:rsid w:val="00A03D09"/>
    <w:rsid w:val="00A14309"/>
    <w:rsid w:val="00A23909"/>
    <w:rsid w:val="00A25B4B"/>
    <w:rsid w:val="00A3553C"/>
    <w:rsid w:val="00A37F4F"/>
    <w:rsid w:val="00A41754"/>
    <w:rsid w:val="00A43706"/>
    <w:rsid w:val="00A45CC2"/>
    <w:rsid w:val="00A52D4E"/>
    <w:rsid w:val="00A53D5B"/>
    <w:rsid w:val="00A540EB"/>
    <w:rsid w:val="00A545F8"/>
    <w:rsid w:val="00A56467"/>
    <w:rsid w:val="00A57EF9"/>
    <w:rsid w:val="00A70A90"/>
    <w:rsid w:val="00A84FB8"/>
    <w:rsid w:val="00A86596"/>
    <w:rsid w:val="00A9170E"/>
    <w:rsid w:val="00A9253F"/>
    <w:rsid w:val="00A953B9"/>
    <w:rsid w:val="00AA4352"/>
    <w:rsid w:val="00AB40A5"/>
    <w:rsid w:val="00AC1E31"/>
    <w:rsid w:val="00AC580E"/>
    <w:rsid w:val="00AD1CEA"/>
    <w:rsid w:val="00AD3B99"/>
    <w:rsid w:val="00AD41E5"/>
    <w:rsid w:val="00AE252F"/>
    <w:rsid w:val="00AF7122"/>
    <w:rsid w:val="00B01F5E"/>
    <w:rsid w:val="00B03D56"/>
    <w:rsid w:val="00B1040C"/>
    <w:rsid w:val="00B10FC8"/>
    <w:rsid w:val="00B13954"/>
    <w:rsid w:val="00B21786"/>
    <w:rsid w:val="00B233D2"/>
    <w:rsid w:val="00B25A6B"/>
    <w:rsid w:val="00B4752A"/>
    <w:rsid w:val="00B5531E"/>
    <w:rsid w:val="00B70A0A"/>
    <w:rsid w:val="00B72EA1"/>
    <w:rsid w:val="00B80BCF"/>
    <w:rsid w:val="00B80DFF"/>
    <w:rsid w:val="00B97601"/>
    <w:rsid w:val="00BA063B"/>
    <w:rsid w:val="00BA08EF"/>
    <w:rsid w:val="00BA4A6A"/>
    <w:rsid w:val="00BA53BE"/>
    <w:rsid w:val="00BB25EC"/>
    <w:rsid w:val="00BB3E35"/>
    <w:rsid w:val="00BC3C38"/>
    <w:rsid w:val="00BC5756"/>
    <w:rsid w:val="00BE04EB"/>
    <w:rsid w:val="00BE1ECD"/>
    <w:rsid w:val="00BE39B1"/>
    <w:rsid w:val="00BE77C0"/>
    <w:rsid w:val="00BF19F8"/>
    <w:rsid w:val="00BF32AC"/>
    <w:rsid w:val="00BF3BB2"/>
    <w:rsid w:val="00BF5C6B"/>
    <w:rsid w:val="00C00B47"/>
    <w:rsid w:val="00C044C0"/>
    <w:rsid w:val="00C06104"/>
    <w:rsid w:val="00C2125C"/>
    <w:rsid w:val="00C22B52"/>
    <w:rsid w:val="00C23682"/>
    <w:rsid w:val="00C30FCE"/>
    <w:rsid w:val="00C52009"/>
    <w:rsid w:val="00C622BF"/>
    <w:rsid w:val="00C72A30"/>
    <w:rsid w:val="00C82672"/>
    <w:rsid w:val="00C831DE"/>
    <w:rsid w:val="00C847CE"/>
    <w:rsid w:val="00C85F89"/>
    <w:rsid w:val="00C8656F"/>
    <w:rsid w:val="00C9501B"/>
    <w:rsid w:val="00CA18E0"/>
    <w:rsid w:val="00CC11CF"/>
    <w:rsid w:val="00CD22A2"/>
    <w:rsid w:val="00CE0D30"/>
    <w:rsid w:val="00CE148F"/>
    <w:rsid w:val="00CE391E"/>
    <w:rsid w:val="00CF0698"/>
    <w:rsid w:val="00CF5563"/>
    <w:rsid w:val="00D05532"/>
    <w:rsid w:val="00D12AF4"/>
    <w:rsid w:val="00D13349"/>
    <w:rsid w:val="00D17CD4"/>
    <w:rsid w:val="00D23A89"/>
    <w:rsid w:val="00D30109"/>
    <w:rsid w:val="00D30DC9"/>
    <w:rsid w:val="00D35E31"/>
    <w:rsid w:val="00D41319"/>
    <w:rsid w:val="00D416D4"/>
    <w:rsid w:val="00D41D26"/>
    <w:rsid w:val="00D50814"/>
    <w:rsid w:val="00D631BD"/>
    <w:rsid w:val="00D66632"/>
    <w:rsid w:val="00D86EEA"/>
    <w:rsid w:val="00D9545F"/>
    <w:rsid w:val="00DA713E"/>
    <w:rsid w:val="00DB6DBA"/>
    <w:rsid w:val="00DC418E"/>
    <w:rsid w:val="00DD7339"/>
    <w:rsid w:val="00DE2CA0"/>
    <w:rsid w:val="00DF722A"/>
    <w:rsid w:val="00E00E1E"/>
    <w:rsid w:val="00E01CB5"/>
    <w:rsid w:val="00E126EE"/>
    <w:rsid w:val="00E1750B"/>
    <w:rsid w:val="00E2285C"/>
    <w:rsid w:val="00E25033"/>
    <w:rsid w:val="00E43578"/>
    <w:rsid w:val="00E452F4"/>
    <w:rsid w:val="00E50B36"/>
    <w:rsid w:val="00E513DF"/>
    <w:rsid w:val="00E5281F"/>
    <w:rsid w:val="00E54086"/>
    <w:rsid w:val="00E67F9C"/>
    <w:rsid w:val="00E801BA"/>
    <w:rsid w:val="00E86B4D"/>
    <w:rsid w:val="00E8767C"/>
    <w:rsid w:val="00E90B3C"/>
    <w:rsid w:val="00E94195"/>
    <w:rsid w:val="00E95CA7"/>
    <w:rsid w:val="00E968D5"/>
    <w:rsid w:val="00EA297A"/>
    <w:rsid w:val="00EB01D9"/>
    <w:rsid w:val="00EB5D3A"/>
    <w:rsid w:val="00EC04CC"/>
    <w:rsid w:val="00EC3846"/>
    <w:rsid w:val="00ED3D74"/>
    <w:rsid w:val="00EE6916"/>
    <w:rsid w:val="00EF2AF4"/>
    <w:rsid w:val="00F01D80"/>
    <w:rsid w:val="00F10869"/>
    <w:rsid w:val="00F1134F"/>
    <w:rsid w:val="00F11F75"/>
    <w:rsid w:val="00F13856"/>
    <w:rsid w:val="00F151C5"/>
    <w:rsid w:val="00F22C0D"/>
    <w:rsid w:val="00F235E3"/>
    <w:rsid w:val="00F25DDE"/>
    <w:rsid w:val="00F46136"/>
    <w:rsid w:val="00F627FE"/>
    <w:rsid w:val="00F64CBD"/>
    <w:rsid w:val="00F66345"/>
    <w:rsid w:val="00F66F56"/>
    <w:rsid w:val="00F70060"/>
    <w:rsid w:val="00F723CD"/>
    <w:rsid w:val="00F72598"/>
    <w:rsid w:val="00F740C7"/>
    <w:rsid w:val="00F75499"/>
    <w:rsid w:val="00F77015"/>
    <w:rsid w:val="00F773C9"/>
    <w:rsid w:val="00F935C6"/>
    <w:rsid w:val="00FA6261"/>
    <w:rsid w:val="00FB473B"/>
    <w:rsid w:val="00FB6283"/>
    <w:rsid w:val="00FB6477"/>
    <w:rsid w:val="00FC2323"/>
    <w:rsid w:val="00FD0559"/>
    <w:rsid w:val="00FE4641"/>
    <w:rsid w:val="64B0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8"/>
    <w:unhideWhenUsed/>
    <w:qFormat/>
    <w:uiPriority w:val="99"/>
    <w:rPr>
      <w:b/>
      <w:bCs/>
    </w:rPr>
  </w:style>
  <w:style w:type="paragraph" w:styleId="5">
    <w:name w:val="annotation text"/>
    <w:basedOn w:val="1"/>
    <w:link w:val="27"/>
    <w:unhideWhenUsed/>
    <w:qFormat/>
    <w:uiPriority w:val="99"/>
  </w:style>
  <w:style w:type="paragraph" w:styleId="6">
    <w:name w:val="Document Map"/>
    <w:basedOn w:val="1"/>
    <w:link w:val="36"/>
    <w:unhideWhenUsed/>
    <w:uiPriority w:val="99"/>
    <w:rPr>
      <w:rFonts w:ascii="宋体" w:eastAsia="宋体"/>
      <w:sz w:val="18"/>
      <w:szCs w:val="18"/>
    </w:rPr>
  </w:style>
  <w:style w:type="paragraph" w:styleId="7">
    <w:name w:val="Body Text"/>
    <w:basedOn w:val="1"/>
    <w:link w:val="33"/>
    <w:qFormat/>
    <w:uiPriority w:val="1"/>
    <w:pPr>
      <w:widowControl w:val="0"/>
      <w:autoSpaceDE w:val="0"/>
      <w:autoSpaceDN w:val="0"/>
    </w:pPr>
    <w:rPr>
      <w:rFonts w:ascii="Noto Sans Mono CJK JP Bold" w:hAnsi="Noto Sans Mono CJK JP Bold" w:eastAsia="Noto Sans Mono CJK JP Bold" w:cs="Noto Sans Mono CJK JP Bold"/>
      <w:sz w:val="21"/>
      <w:szCs w:val="21"/>
      <w:lang w:eastAsia="en-US"/>
    </w:rPr>
  </w:style>
  <w:style w:type="paragraph" w:styleId="8">
    <w:name w:val="Date"/>
    <w:basedOn w:val="1"/>
    <w:next w:val="1"/>
    <w:link w:val="29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5"/>
    <w:unhideWhenUsed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uiPriority w:val="39"/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5">
    <w:name w:val="Emphasis"/>
    <w:basedOn w:val="14"/>
    <w:qFormat/>
    <w:uiPriority w:val="20"/>
    <w:rPr>
      <w:i/>
      <w:iCs/>
    </w:rPr>
  </w:style>
  <w:style w:type="character" w:styleId="16">
    <w:name w:val="Hyperlink"/>
    <w:basedOn w:val="14"/>
    <w:unhideWhenUsed/>
    <w:qFormat/>
    <w:uiPriority w:val="99"/>
    <w:rPr>
      <w:color w:val="0563C1" w:themeColor="hyperlink"/>
      <w:u w:val="single"/>
    </w:rPr>
  </w:style>
  <w:style w:type="character" w:styleId="17">
    <w:name w:val="annotation reference"/>
    <w:basedOn w:val="14"/>
    <w:unhideWhenUsed/>
    <w:uiPriority w:val="99"/>
    <w:rPr>
      <w:sz w:val="21"/>
      <w:szCs w:val="21"/>
    </w:rPr>
  </w:style>
  <w:style w:type="table" w:styleId="19">
    <w:name w:val="Table Grid"/>
    <w:basedOn w:val="1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页眉 Char"/>
    <w:basedOn w:val="14"/>
    <w:link w:val="11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21">
    <w:name w:val="页脚 Char"/>
    <w:basedOn w:val="14"/>
    <w:link w:val="10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22">
    <w:name w:val="标题 1 Char"/>
    <w:basedOn w:val="1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标题 2 Char"/>
    <w:basedOn w:val="14"/>
    <w:link w:val="3"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customStyle="1" w:styleId="24">
    <w:name w:val="TOC Heading"/>
    <w:basedOn w:val="2"/>
    <w:next w:val="1"/>
    <w:unhideWhenUsed/>
    <w:qFormat/>
    <w:uiPriority w:val="3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25">
    <w:name w:val="批注框文本 Char"/>
    <w:basedOn w:val="14"/>
    <w:link w:val="9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customStyle="1" w:styleId="26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7">
    <w:name w:val="批注文字 Char"/>
    <w:basedOn w:val="14"/>
    <w:link w:val="5"/>
    <w:semiHidden/>
    <w:qFormat/>
    <w:uiPriority w:val="99"/>
    <w:rPr>
      <w:rFonts w:ascii="Times New Roman" w:hAnsi="Times New Roman" w:cs="Times New Roman"/>
      <w:kern w:val="0"/>
      <w:sz w:val="22"/>
    </w:rPr>
  </w:style>
  <w:style w:type="character" w:customStyle="1" w:styleId="28">
    <w:name w:val="批注主题 Char"/>
    <w:basedOn w:val="27"/>
    <w:link w:val="4"/>
    <w:semiHidden/>
    <w:uiPriority w:val="99"/>
    <w:rPr>
      <w:rFonts w:ascii="Times New Roman" w:hAnsi="Times New Roman" w:cs="Times New Roman"/>
      <w:b/>
      <w:bCs/>
      <w:kern w:val="0"/>
      <w:sz w:val="22"/>
    </w:rPr>
  </w:style>
  <w:style w:type="character" w:customStyle="1" w:styleId="29">
    <w:name w:val="日期 Char"/>
    <w:basedOn w:val="14"/>
    <w:link w:val="8"/>
    <w:semiHidden/>
    <w:uiPriority w:val="99"/>
    <w:rPr>
      <w:rFonts w:ascii="Times New Roman" w:hAnsi="Times New Roman" w:cs="Times New Roman"/>
      <w:kern w:val="0"/>
      <w:sz w:val="22"/>
    </w:rPr>
  </w:style>
  <w:style w:type="character" w:customStyle="1" w:styleId="30">
    <w:name w:val="fontstyle01"/>
    <w:basedOn w:val="14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31">
    <w:name w:val="keyword"/>
    <w:basedOn w:val="14"/>
    <w:qFormat/>
    <w:uiPriority w:val="0"/>
  </w:style>
  <w:style w:type="table" w:customStyle="1" w:styleId="32">
    <w:name w:val="Table Normal"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正文文本 Char"/>
    <w:basedOn w:val="14"/>
    <w:link w:val="7"/>
    <w:uiPriority w:val="1"/>
    <w:rPr>
      <w:rFonts w:ascii="Noto Sans Mono CJK JP Bold" w:hAnsi="Noto Sans Mono CJK JP Bold" w:eastAsia="Noto Sans Mono CJK JP Bold" w:cs="Noto Sans Mono CJK JP Bold"/>
      <w:kern w:val="0"/>
      <w:szCs w:val="21"/>
      <w:lang w:eastAsia="en-US"/>
    </w:rPr>
  </w:style>
  <w:style w:type="paragraph" w:customStyle="1" w:styleId="34">
    <w:name w:val="List Paragraph"/>
    <w:basedOn w:val="1"/>
    <w:qFormat/>
    <w:uiPriority w:val="1"/>
    <w:pPr>
      <w:widowControl w:val="0"/>
      <w:autoSpaceDE w:val="0"/>
      <w:autoSpaceDN w:val="0"/>
      <w:spacing w:line="359" w:lineRule="exact"/>
      <w:ind w:left="744" w:hanging="527"/>
    </w:pPr>
    <w:rPr>
      <w:rFonts w:ascii="Noto Sans Mono CJK JP Bold" w:hAnsi="Noto Sans Mono CJK JP Bold" w:eastAsia="Noto Sans Mono CJK JP Bold" w:cs="Noto Sans Mono CJK JP Bold"/>
      <w:lang w:eastAsia="en-US"/>
    </w:rPr>
  </w:style>
  <w:style w:type="paragraph" w:customStyle="1" w:styleId="35">
    <w:name w:val="Table Paragraph"/>
    <w:basedOn w:val="1"/>
    <w:qFormat/>
    <w:uiPriority w:val="1"/>
    <w:pPr>
      <w:widowControl w:val="0"/>
      <w:autoSpaceDE w:val="0"/>
      <w:autoSpaceDN w:val="0"/>
    </w:pPr>
    <w:rPr>
      <w:rFonts w:ascii="Noto Sans Mono CJK JP Bold" w:hAnsi="Noto Sans Mono CJK JP Bold" w:eastAsia="Noto Sans Mono CJK JP Bold" w:cs="Noto Sans Mono CJK JP Bold"/>
      <w:lang w:eastAsia="en-US"/>
    </w:rPr>
  </w:style>
  <w:style w:type="character" w:customStyle="1" w:styleId="36">
    <w:name w:val="文档结构图 Char"/>
    <w:basedOn w:val="14"/>
    <w:link w:val="6"/>
    <w:semiHidden/>
    <w:uiPriority w:val="99"/>
    <w:rPr>
      <w:rFonts w:ascii="宋体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6"/>
    <customShpInfo spid="_x0000_s1027"/>
    <customShpInfo spid="_x0000_s1046"/>
    <customShpInfo spid="_x0000_s10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F8B50-FAC0-4D8E-86D2-219BF48818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wimxt.com</Company>
  <Pages>9</Pages>
  <Words>587</Words>
  <Characters>3352</Characters>
  <Lines>27</Lines>
  <Paragraphs>7</Paragraphs>
  <TotalTime>40</TotalTime>
  <ScaleCrop>false</ScaleCrop>
  <LinksUpToDate>false</LinksUpToDate>
  <CharactersWithSpaces>3932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2021-02-25T09:03:00Z</dcterms:created>
  <dc:creator>Administrator</dc:creator>
  <cp:lastModifiedBy>Administrator</cp:lastModifiedBy>
  <cp:lastPrinted>2021-01-19T14:43:00Z</cp:lastPrinted>
  <dcterms:modified xsi:type="dcterms:W3CDTF">2023-01-03T00:35:52Z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