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84" w:rsidRDefault="000F219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《硬臂抓斗清淤车》地方标准</w:t>
      </w:r>
    </w:p>
    <w:p w:rsidR="00235384" w:rsidRDefault="000F219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编制说明</w:t>
      </w:r>
    </w:p>
    <w:p w:rsidR="00235384" w:rsidRDefault="000F219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一、任务来源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硬臂抓斗清淤车也叫挖掏式</w:t>
      </w:r>
      <w:proofErr w:type="gramEnd"/>
      <w:r>
        <w:rPr>
          <w:rFonts w:asciiTheme="minorEastAsia" w:hAnsiTheme="minorEastAsia" w:hint="eastAsia"/>
          <w:sz w:val="28"/>
          <w:szCs w:val="28"/>
        </w:rPr>
        <w:t>管道疏通车、深井</w:t>
      </w:r>
      <w:proofErr w:type="gramStart"/>
      <w:r>
        <w:rPr>
          <w:rFonts w:asciiTheme="minorEastAsia" w:hAnsiTheme="minorEastAsia" w:hint="eastAsia"/>
          <w:sz w:val="28"/>
          <w:szCs w:val="28"/>
        </w:rPr>
        <w:t>清淤抓</w:t>
      </w:r>
      <w:proofErr w:type="gramEnd"/>
      <w:r>
        <w:rPr>
          <w:rFonts w:asciiTheme="minorEastAsia" w:hAnsiTheme="minorEastAsia" w:hint="eastAsia"/>
          <w:sz w:val="28"/>
          <w:szCs w:val="28"/>
        </w:rPr>
        <w:t>斗车，是指装备定型道路底盘、</w:t>
      </w:r>
      <w:proofErr w:type="gramStart"/>
      <w:r>
        <w:rPr>
          <w:rFonts w:asciiTheme="minorEastAsia" w:hAnsiTheme="minorEastAsia" w:hint="eastAsia"/>
          <w:sz w:val="28"/>
          <w:szCs w:val="28"/>
        </w:rPr>
        <w:t>机械化挖掏装置</w:t>
      </w:r>
      <w:proofErr w:type="gramEnd"/>
      <w:r>
        <w:rPr>
          <w:rFonts w:asciiTheme="minorEastAsia" w:hAnsiTheme="minorEastAsia" w:hint="eastAsia"/>
          <w:sz w:val="28"/>
          <w:szCs w:val="28"/>
        </w:rPr>
        <w:t>和智能化控制系统，采用污泥抓斗将窨井、雨水井里的淤塞物抓取至淤泥运送车箱并运离现场，用于城市排水管网清淤的特种结构专用作业汽车。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为了规范深井</w:t>
      </w:r>
      <w:proofErr w:type="gramStart"/>
      <w:r>
        <w:rPr>
          <w:rFonts w:asciiTheme="minorEastAsia" w:hAnsiTheme="minorEastAsia" w:hint="eastAsia"/>
          <w:sz w:val="28"/>
          <w:szCs w:val="28"/>
        </w:rPr>
        <w:t>清淤抓</w:t>
      </w:r>
      <w:proofErr w:type="gramEnd"/>
      <w:r>
        <w:rPr>
          <w:rFonts w:asciiTheme="minorEastAsia" w:hAnsiTheme="minorEastAsia" w:hint="eastAsia"/>
          <w:sz w:val="28"/>
          <w:szCs w:val="28"/>
        </w:rPr>
        <w:t>斗车的设计、生产等环节，湖南奇思环保设备制造有限公司提出了《深井清淤抓斗车》地方标准编制申请，并获得湖南省市场监督管理局地方标准立项（</w:t>
      </w:r>
      <w:r w:rsidR="00373C7D">
        <w:rPr>
          <w:rFonts w:asciiTheme="minorEastAsia" w:hAnsiTheme="minorEastAsia" w:hint="eastAsia"/>
          <w:sz w:val="28"/>
          <w:szCs w:val="28"/>
        </w:rPr>
        <w:t>文件见</w:t>
      </w:r>
      <w:r w:rsidR="00373C7D" w:rsidRPr="00373C7D">
        <w:rPr>
          <w:rFonts w:asciiTheme="minorEastAsia" w:hAnsiTheme="minorEastAsia"/>
          <w:sz w:val="28"/>
          <w:szCs w:val="28"/>
        </w:rPr>
        <w:t xml:space="preserve"> 2020</w:t>
      </w:r>
      <w:r w:rsidR="00373C7D">
        <w:rPr>
          <w:rFonts w:asciiTheme="minorEastAsia" w:hAnsiTheme="minorEastAsia" w:hint="eastAsia"/>
          <w:sz w:val="28"/>
          <w:szCs w:val="28"/>
        </w:rPr>
        <w:t>年</w:t>
      </w:r>
      <w:r w:rsidR="00373C7D" w:rsidRPr="00373C7D">
        <w:rPr>
          <w:rFonts w:asciiTheme="minorEastAsia" w:hAnsiTheme="minorEastAsia"/>
          <w:sz w:val="28"/>
          <w:szCs w:val="28"/>
        </w:rPr>
        <w:t>04</w:t>
      </w:r>
      <w:r w:rsidR="00373C7D">
        <w:rPr>
          <w:rFonts w:asciiTheme="minorEastAsia" w:hAnsiTheme="minorEastAsia" w:hint="eastAsia"/>
          <w:sz w:val="28"/>
          <w:szCs w:val="28"/>
        </w:rPr>
        <w:t>月</w:t>
      </w:r>
      <w:r w:rsidR="00373C7D" w:rsidRPr="00373C7D">
        <w:rPr>
          <w:rFonts w:asciiTheme="minorEastAsia" w:hAnsiTheme="minorEastAsia"/>
          <w:sz w:val="28"/>
          <w:szCs w:val="28"/>
        </w:rPr>
        <w:t>08</w:t>
      </w:r>
      <w:r w:rsidR="00910F4A">
        <w:rPr>
          <w:rFonts w:asciiTheme="minorEastAsia" w:hAnsiTheme="minorEastAsia" w:hint="eastAsia"/>
          <w:sz w:val="28"/>
          <w:szCs w:val="28"/>
        </w:rPr>
        <w:t>日</w:t>
      </w:r>
      <w:r w:rsidR="00373C7D">
        <w:rPr>
          <w:rFonts w:asciiTheme="minorEastAsia" w:hAnsiTheme="minorEastAsia" w:hint="eastAsia"/>
          <w:sz w:val="28"/>
          <w:szCs w:val="28"/>
        </w:rPr>
        <w:t>《</w:t>
      </w:r>
      <w:r w:rsidR="00373C7D" w:rsidRPr="00373C7D">
        <w:rPr>
          <w:rFonts w:asciiTheme="minorEastAsia" w:hAnsiTheme="minorEastAsia" w:hint="eastAsia"/>
          <w:sz w:val="28"/>
          <w:szCs w:val="28"/>
        </w:rPr>
        <w:t>湖南省市场监督管理局关于下达2020年地方标准制修订项目计划的通知</w:t>
      </w:r>
      <w:r w:rsidR="00373C7D"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）。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随后湖南奇思环保设备制造有限公司成立标准编制工作组，制定编制计划。工作组聘请了湖南标准经纬标准化事务所提供专业技术支持，共同开展标准编制工作。经过标准工作组人员的调查研究、多项试验，按照《深井清淤抓斗车》的技术内容、工作进度计划等要求，结合调查研究和试验成果，编写了《深井清淤抓斗车》地方标准文本。在标准编制过程中，标准编制工作组经讨论，建议将地方标准名称改为《硬臂抓斗清淤车》。</w:t>
      </w:r>
    </w:p>
    <w:p w:rsidR="00235384" w:rsidRDefault="000F219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二、标准制定的目的和意义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《硬臂抓斗清淤车》地方标准不仅总结了</w:t>
      </w:r>
      <w:proofErr w:type="gramStart"/>
      <w:r>
        <w:rPr>
          <w:rFonts w:asciiTheme="minorEastAsia" w:hAnsiTheme="minorEastAsia" w:hint="eastAsia"/>
          <w:sz w:val="28"/>
          <w:szCs w:val="28"/>
        </w:rPr>
        <w:t>硬臂抓斗清淤车</w:t>
      </w:r>
      <w:proofErr w:type="gramEnd"/>
      <w:r>
        <w:rPr>
          <w:rFonts w:asciiTheme="minorEastAsia" w:hAnsiTheme="minorEastAsia" w:hint="eastAsia"/>
          <w:sz w:val="28"/>
          <w:szCs w:val="28"/>
        </w:rPr>
        <w:t>的试验等成果，规范了</w:t>
      </w:r>
      <w:proofErr w:type="gramStart"/>
      <w:r>
        <w:rPr>
          <w:rFonts w:asciiTheme="minorEastAsia" w:hAnsiTheme="minorEastAsia" w:hint="eastAsia"/>
          <w:sz w:val="28"/>
          <w:szCs w:val="28"/>
        </w:rPr>
        <w:t>硬臂抓斗清淤车</w:t>
      </w:r>
      <w:proofErr w:type="gramEnd"/>
      <w:r>
        <w:rPr>
          <w:rFonts w:asciiTheme="minorEastAsia" w:hAnsiTheme="minorEastAsia" w:hint="eastAsia"/>
          <w:sz w:val="28"/>
          <w:szCs w:val="28"/>
        </w:rPr>
        <w:t>的设计、生产等环节，填补了该产品</w:t>
      </w:r>
      <w:r>
        <w:rPr>
          <w:rFonts w:asciiTheme="minorEastAsia" w:hAnsiTheme="minorEastAsia" w:hint="eastAsia"/>
          <w:sz w:val="28"/>
          <w:szCs w:val="28"/>
        </w:rPr>
        <w:lastRenderedPageBreak/>
        <w:t>标准的空白（原仅有企业标准），还提高了清淤工作人员的工作安全性，避免了传统清淤作业方式所存在的毒气等问题，并将有效带动机械化管道清淤行业的发展。</w:t>
      </w:r>
    </w:p>
    <w:p w:rsidR="00235384" w:rsidRDefault="000F219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三、标准适用范围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《硬臂抓斗清淤车》地方标准适用于采用定型的二类汽车底盘改装的装备抓斗、</w:t>
      </w:r>
      <w:proofErr w:type="gramStart"/>
      <w:r>
        <w:rPr>
          <w:rFonts w:asciiTheme="minorEastAsia" w:hAnsiTheme="minorEastAsia" w:hint="eastAsia"/>
          <w:sz w:val="28"/>
          <w:szCs w:val="28"/>
        </w:rPr>
        <w:t>硬臂的</w:t>
      </w:r>
      <w:proofErr w:type="gramEnd"/>
      <w:r>
        <w:rPr>
          <w:rFonts w:asciiTheme="minorEastAsia" w:hAnsiTheme="minorEastAsia" w:hint="eastAsia"/>
          <w:sz w:val="28"/>
          <w:szCs w:val="28"/>
        </w:rPr>
        <w:t>清淤车，不适用于装备抓斗、</w:t>
      </w:r>
      <w:proofErr w:type="gramStart"/>
      <w:r>
        <w:rPr>
          <w:rFonts w:asciiTheme="minorEastAsia" w:hAnsiTheme="minorEastAsia" w:hint="eastAsia"/>
          <w:sz w:val="28"/>
          <w:szCs w:val="28"/>
        </w:rPr>
        <w:t>软臂的</w:t>
      </w:r>
      <w:proofErr w:type="gramEnd"/>
      <w:r>
        <w:rPr>
          <w:rFonts w:asciiTheme="minorEastAsia" w:hAnsiTheme="minorEastAsia" w:hint="eastAsia"/>
          <w:sz w:val="28"/>
          <w:szCs w:val="28"/>
        </w:rPr>
        <w:t>清淤车。</w:t>
      </w:r>
    </w:p>
    <w:p w:rsidR="00235384" w:rsidRDefault="000F219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四、编制原则和依据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1.《硬臂抓斗清淤车》地方标准编制坚持简化、统一、协调、优化原则。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2.《硬臂抓斗清淤车》地方标准根据GB/T1.1—2020《标准化工作导则　第1部分：标准化文件的结构和起草规则》编写，具体编制依据如下：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GB/T 1.1—2020《标准化工作导则　第1部分：标准化文件的结构和起草规则》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 1495　汽车加速行驶车外噪声限值及测量方法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 1589　汽车、挂车及汽车列车外廓尺寸、</w:t>
      </w:r>
      <w:proofErr w:type="gramStart"/>
      <w:r>
        <w:rPr>
          <w:rFonts w:asciiTheme="minorEastAsia" w:hAnsiTheme="minorEastAsia" w:hint="eastAsia"/>
          <w:bCs/>
          <w:sz w:val="28"/>
          <w:szCs w:val="28"/>
        </w:rPr>
        <w:t>轴荷及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>质量限值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3766　液压传动系统及其元件的通用规则和安全要求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3797　电气控制设备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4208　外壳防护等级(IP代码)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 4785　汽车及挂车外部照明和光信号装置的安装规定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5226.1　机械电气安全机械电气设备第1部分:通用技术条件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GB 7258　机动车运行安全技术条件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7935　液压元件通用技术条件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9969　工业产品使用说明书　总则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 11118.1　液压油（L-HL、L-HM、L-HV、L-HS、L-HG）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 11567　汽车及挂车侧面和后下部防护要求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12467.3　金属材料熔焊质量要求第3部分：一般质量要求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12534　汽车道路试验方法通则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12673　汽车主要尺寸测量方法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 15741　汽车和挂车号牌板(架)及其位置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17626.3　电磁兼容试验和测量技术射频电磁场辐射抗扰度试验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17626.4　电磁兼容试验和测量技术电快速瞬变脉冲群抗扰度试验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17626.5　电磁兼容试验和测量技术浪涌（冲击）抗扰度试验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 17691　重型柴油车污染物排放限值及测量方法（中国第六阶段）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GB/T 18411　机动车产品标牌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GB 23254　货车及挂车车身反光标识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JB/T 5943　工程机械　焊接件通用技术条件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JB/T 5946　工程机械涂装通用技术条件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NB/SH/T 0599　L-HM液压油换油指标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QC/T 34　汽车的故障模式及分类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QC/T 252　专用汽车定型试验规程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QC/T 518　汽车用螺纹紧固件紧固扭矩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QC/T 625　汽车用涂镀层和化学处理层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QC/T 29104　专用汽车液压系统液压油固体颗粒污染度的限值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QC/T 29105.2　专用汽车液压系统液压油固体污染度测试方法装置及装置的清洗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QC/T 29105.3　专用汽车液压系统液压油固体颗粒污染度测试方法取样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QC/T 29105.4　专用汽车液压系统液压油固体污染度测试方法显微镜颗粒计数法</w:t>
      </w:r>
    </w:p>
    <w:p w:rsidR="00235384" w:rsidRDefault="000F219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五、编制过程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标准工作组接到编制任务就积极开展了工作，进行了调研、试验等工作，先后组织湖南奇思环保设备制造有限公司的设计工程师、工艺工程师、液压工程师、试验人员、检验工程师等人员进行了三次地方标准研讨会，并将在湖南省市场监督</w:t>
      </w:r>
      <w:proofErr w:type="gramStart"/>
      <w:r>
        <w:rPr>
          <w:rFonts w:asciiTheme="minorEastAsia" w:hAnsiTheme="minorEastAsia" w:hint="eastAsia"/>
          <w:sz w:val="28"/>
          <w:szCs w:val="28"/>
        </w:rPr>
        <w:t>管理局官网开展</w:t>
      </w:r>
      <w:proofErr w:type="gramEnd"/>
      <w:r>
        <w:rPr>
          <w:rFonts w:asciiTheme="minorEastAsia" w:hAnsiTheme="minorEastAsia" w:hint="eastAsia"/>
          <w:sz w:val="28"/>
          <w:szCs w:val="28"/>
        </w:rPr>
        <w:t>为期一个月的意见征求工作。</w:t>
      </w:r>
    </w:p>
    <w:p w:rsidR="00235384" w:rsidRDefault="000F219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六、标准主要技术内容说明</w:t>
      </w:r>
    </w:p>
    <w:p w:rsidR="00235384" w:rsidRDefault="000F219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1.框架结构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《硬臂抓斗清淤车》地方标准共有十章、一个资料性附录。包括</w:t>
      </w:r>
      <w:proofErr w:type="gramStart"/>
      <w:r>
        <w:rPr>
          <w:rFonts w:asciiTheme="minorEastAsia" w:hAnsiTheme="minorEastAsia" w:hint="eastAsia"/>
          <w:sz w:val="28"/>
          <w:szCs w:val="28"/>
        </w:rPr>
        <w:t>硬臂抓斗清淤车</w:t>
      </w:r>
      <w:proofErr w:type="gramEnd"/>
      <w:r>
        <w:rPr>
          <w:rFonts w:asciiTheme="minorEastAsia" w:hAnsiTheme="minorEastAsia" w:hint="eastAsia"/>
          <w:sz w:val="28"/>
          <w:szCs w:val="28"/>
        </w:rPr>
        <w:t>的术语和定义、产品型号表示、技术要求、试验方法、检验规则、标牌、随车文件、包装、贮存、运输及专用装置试验记录</w:t>
      </w:r>
      <w:r>
        <w:rPr>
          <w:rFonts w:asciiTheme="minorEastAsia" w:hAnsiTheme="minorEastAsia" w:hint="eastAsia"/>
          <w:sz w:val="28"/>
          <w:szCs w:val="28"/>
        </w:rPr>
        <w:lastRenderedPageBreak/>
        <w:t>表。</w:t>
      </w:r>
    </w:p>
    <w:p w:rsidR="00235384" w:rsidRDefault="000F219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2.主要内容说明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（1）术语和定义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对</w:t>
      </w:r>
      <w:proofErr w:type="gramStart"/>
      <w:r>
        <w:rPr>
          <w:rFonts w:asciiTheme="minorEastAsia" w:hAnsiTheme="minorEastAsia" w:hint="eastAsia"/>
          <w:sz w:val="28"/>
          <w:szCs w:val="28"/>
        </w:rPr>
        <w:t>硬臂抓斗清淤车</w:t>
      </w:r>
      <w:proofErr w:type="gramEnd"/>
      <w:r>
        <w:rPr>
          <w:rFonts w:asciiTheme="minorEastAsia" w:hAnsiTheme="minorEastAsia" w:hint="eastAsia"/>
          <w:sz w:val="28"/>
          <w:szCs w:val="28"/>
        </w:rPr>
        <w:t>进行了定义，突出了装备智能化控制系统、</w:t>
      </w:r>
      <w:proofErr w:type="gramStart"/>
      <w:r>
        <w:rPr>
          <w:rFonts w:asciiTheme="minorEastAsia" w:hAnsiTheme="minorEastAsia" w:hint="eastAsia"/>
          <w:sz w:val="28"/>
          <w:szCs w:val="28"/>
        </w:rPr>
        <w:t>机械化挖掏装置</w:t>
      </w:r>
      <w:proofErr w:type="gramEnd"/>
      <w:r>
        <w:rPr>
          <w:rFonts w:asciiTheme="minorEastAsia" w:hAnsiTheme="minorEastAsia" w:hint="eastAsia"/>
          <w:sz w:val="28"/>
          <w:szCs w:val="28"/>
        </w:rPr>
        <w:t>的“硬臂”特点，以区别于传统</w:t>
      </w:r>
      <w:proofErr w:type="gramStart"/>
      <w:r>
        <w:rPr>
          <w:rFonts w:asciiTheme="minorEastAsia" w:hAnsiTheme="minorEastAsia" w:hint="eastAsia"/>
          <w:sz w:val="28"/>
          <w:szCs w:val="28"/>
        </w:rPr>
        <w:t>清淤车依靠</w:t>
      </w:r>
      <w:proofErr w:type="gramEnd"/>
      <w:r>
        <w:rPr>
          <w:rFonts w:asciiTheme="minorEastAsia" w:hAnsiTheme="minorEastAsia" w:hint="eastAsia"/>
          <w:sz w:val="28"/>
          <w:szCs w:val="28"/>
        </w:rPr>
        <w:t>抓斗自重的“软臂”特点。同时点明了清淤车“特种结构专用作业汽车”的基本属性和“挖掏式管道疏通车”的别称。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（2）产品型号表示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按汽车产品编号规则，</w:t>
      </w:r>
      <w:proofErr w:type="gramStart"/>
      <w:r>
        <w:rPr>
          <w:rFonts w:asciiTheme="minorEastAsia" w:hAnsiTheme="minorEastAsia" w:hint="eastAsia"/>
          <w:sz w:val="28"/>
          <w:szCs w:val="28"/>
        </w:rPr>
        <w:t>硬臂抓斗清淤车</w:t>
      </w:r>
      <w:proofErr w:type="gramEnd"/>
      <w:r>
        <w:rPr>
          <w:rFonts w:asciiTheme="minorEastAsia" w:hAnsiTheme="minorEastAsia" w:hint="eastAsia"/>
          <w:sz w:val="28"/>
          <w:szCs w:val="28"/>
        </w:rPr>
        <w:t>产品型号由企业名称代号、车辆类别代号、主参数代号、产品序号、专用汽车分类代号、企业自定代号（可省略）组成。并用图、表的方法表示了产品型号的表示方法和各代号含义。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（3）技术要求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</w:t>
      </w:r>
      <w:proofErr w:type="gramStart"/>
      <w:r>
        <w:rPr>
          <w:rFonts w:asciiTheme="minorEastAsia" w:hAnsiTheme="minorEastAsia" w:hint="eastAsia"/>
          <w:sz w:val="28"/>
          <w:szCs w:val="28"/>
        </w:rPr>
        <w:t>硬臂抓斗清淤车</w:t>
      </w:r>
      <w:proofErr w:type="gramEnd"/>
      <w:r>
        <w:rPr>
          <w:rFonts w:asciiTheme="minorEastAsia" w:hAnsiTheme="minorEastAsia" w:hint="eastAsia"/>
          <w:sz w:val="28"/>
          <w:szCs w:val="28"/>
        </w:rPr>
        <w:t>技术要求部分，对</w:t>
      </w:r>
      <w:proofErr w:type="gramStart"/>
      <w:r>
        <w:rPr>
          <w:rFonts w:asciiTheme="minorEastAsia" w:hAnsiTheme="minorEastAsia" w:hint="eastAsia"/>
          <w:sz w:val="28"/>
          <w:szCs w:val="28"/>
        </w:rPr>
        <w:t>硬臂抓斗清淤车</w:t>
      </w:r>
      <w:proofErr w:type="gramEnd"/>
      <w:r>
        <w:rPr>
          <w:rFonts w:asciiTheme="minorEastAsia" w:hAnsiTheme="minorEastAsia" w:hint="eastAsia"/>
          <w:sz w:val="28"/>
          <w:szCs w:val="28"/>
        </w:rPr>
        <w:t>各主要系统分别提了要求，主要分为一般要求、整机要求、专用装置要求、支腿要求、</w:t>
      </w:r>
      <w:proofErr w:type="gramStart"/>
      <w:r>
        <w:rPr>
          <w:rFonts w:asciiTheme="minorEastAsia" w:hAnsiTheme="minorEastAsia" w:hint="eastAsia"/>
          <w:sz w:val="28"/>
          <w:szCs w:val="28"/>
        </w:rPr>
        <w:t>取力装置</w:t>
      </w:r>
      <w:proofErr w:type="gramEnd"/>
      <w:r>
        <w:rPr>
          <w:rFonts w:asciiTheme="minorEastAsia" w:hAnsiTheme="minorEastAsia" w:hint="eastAsia"/>
          <w:sz w:val="28"/>
          <w:szCs w:val="28"/>
        </w:rPr>
        <w:t>要求、液压系统要求、电气系统要求、专用装置要求。其中，以试验数据为基础，对专用装置的参数、水路系统等分别规定了专用要求。另外，为了保证安全和环保，对安全、发动机排放、噪声等方面分别规定了要求。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（4）技术指标来源</w:t>
      </w:r>
    </w:p>
    <w:p w:rsidR="00235384" w:rsidRDefault="00235384">
      <w:pPr>
        <w:rPr>
          <w:rFonts w:asciiTheme="minorEastAsia" w:hAnsiTheme="minorEastAsia"/>
          <w:sz w:val="28"/>
          <w:szCs w:val="28"/>
        </w:rPr>
      </w:pPr>
    </w:p>
    <w:p w:rsidR="00235384" w:rsidRDefault="00235384">
      <w:pPr>
        <w:rPr>
          <w:rFonts w:asciiTheme="minorEastAsia" w:hAnsiTheme="minorEastAsia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49"/>
        <w:gridCol w:w="1095"/>
        <w:gridCol w:w="2310"/>
        <w:gridCol w:w="3045"/>
        <w:gridCol w:w="1223"/>
      </w:tblGrid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序号</w:t>
            </w:r>
          </w:p>
        </w:tc>
        <w:tc>
          <w:tcPr>
            <w:tcW w:w="3405" w:type="dxa"/>
            <w:gridSpan w:val="2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技术指标（要求）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技术指标（要求）来源</w:t>
            </w:r>
          </w:p>
        </w:tc>
        <w:tc>
          <w:tcPr>
            <w:tcW w:w="1223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95" w:type="dxa"/>
            <w:vMerge w:val="restart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整机要求</w:t>
            </w: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外廓尺寸、质量和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轴荷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限值应符合GB 1589的规定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 1589　汽车、挂车及汽车列车外廓尺寸、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轴荷及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质量限值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作业可靠性试验时间不小于150 h；作业可靠性试验时，各装置总作业率不低于80 %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参考相关专用车的指标，并通过试验验证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整车侧面和后下部防护装置应符合GB 11567的规定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 11567　汽车及挂车侧面和后下部防护要求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运行安全性能应符合GB 7258的规定。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 7258　机动车运行安全技术条件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前、后号牌板的形状、尺寸及安装位置应符合GB 15741的规定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 15741汽车和挂车号牌板(架)及其位置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照明及光信号装置应符合GB 7258和GB 4785的规定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 7258　机动车运行安全技术条件、</w:t>
            </w:r>
          </w:p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 4785　汽车及挂车外部照明和光信号装置的安装规定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漆膜质量应符合JB/T 5946和制造厂涂装工艺的要求；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JB/T 5946　工程机械涂装通用技术条件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镀层和化学处理层应符合QC/T 625的规定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QC/T 625　汽车用涂镀层和化学处理层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焊接件的焊缝应符合JB/T 5943的有关规定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JB/T 5943　工程机械　焊接件通用技术条件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焊接质量要求应符合GB/T 12467.3的规定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12467.3　金属材料熔焊质量要求第3部分：一般质量要求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螺纹紧固件紧固扭矩应符合QC/T 518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QC/T 518　汽车用螺纹紧固件紧固扭矩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095" w:type="dxa"/>
            <w:vMerge w:val="restart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专用装置要求</w:t>
            </w: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专用装置几何参数（最大作业深度、最大作业半径）要求见表2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设计要求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专用装置性能参数（回转机构旋转180°时间、伸缩臂伸臂时间、伸缩臂缩臂时间、自动挖泥行程时间、自动卸泥时间）要求见表2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硬臂抓斗清淤车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的专用装置试验</w:t>
            </w:r>
          </w:p>
        </w:tc>
        <w:tc>
          <w:tcPr>
            <w:tcW w:w="1223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硬臂抓斗清淤车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为全新产品</w:t>
            </w: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0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水路系统在常压下保持24 h，应无渗漏。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参考相关专用车的指标，并通过试验验证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15</w:t>
            </w:r>
          </w:p>
        </w:tc>
        <w:tc>
          <w:tcPr>
            <w:tcW w:w="1095" w:type="dxa"/>
            <w:vAlign w:val="center"/>
          </w:tcPr>
          <w:p w:rsidR="00235384" w:rsidRDefault="000F2195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  <w:bookmarkStart w:id="0" w:name="_Toc60328739"/>
            <w:bookmarkStart w:id="1" w:name="_Toc61615794"/>
            <w:bookmarkStart w:id="2" w:name="_Toc60836490"/>
            <w:bookmarkStart w:id="3" w:name="_Toc61616729"/>
            <w:bookmarkStart w:id="4" w:name="_Toc61623041"/>
            <w:bookmarkStart w:id="5" w:name="_Toc61856738"/>
            <w:bookmarkStart w:id="6" w:name="_Toc62140406"/>
            <w:bookmarkStart w:id="7" w:name="_Toc61966507"/>
            <w:bookmarkStart w:id="8" w:name="_Toc62046842"/>
            <w:bookmarkStart w:id="9" w:name="_Toc62140869"/>
            <w:bookmarkStart w:id="10" w:name="_Toc62140973"/>
            <w:bookmarkStart w:id="11" w:name="_Toc61870902"/>
            <w:bookmarkStart w:id="12" w:name="_Toc61617252"/>
            <w:bookmarkStart w:id="13" w:name="_Toc61617682"/>
            <w:r>
              <w:rPr>
                <w:rFonts w:ascii="宋体" w:eastAsia="宋体" w:hAnsi="宋体" w:cs="宋体" w:hint="eastAsia"/>
              </w:rPr>
              <w:t>支腿</w:t>
            </w:r>
            <w:bookmarkEnd w:id="0"/>
            <w:bookmarkEnd w:id="1"/>
            <w:bookmarkEnd w:id="2"/>
            <w:bookmarkEnd w:id="3"/>
            <w:r>
              <w:rPr>
                <w:rFonts w:ascii="宋体" w:eastAsia="宋体" w:hAnsi="宋体" w:cs="宋体" w:hint="eastAsia"/>
              </w:rPr>
              <w:t>要求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proofErr w:type="gramStart"/>
            <w:r>
              <w:rPr>
                <w:rFonts w:hAnsi="宋体" w:cs="宋体" w:hint="eastAsia"/>
              </w:rPr>
              <w:t>硬臂抓斗清淤车</w:t>
            </w:r>
            <w:proofErr w:type="gramEnd"/>
            <w:r>
              <w:rPr>
                <w:rFonts w:hAnsi="宋体" w:cs="宋体" w:hint="eastAsia"/>
              </w:rPr>
              <w:t>在行驶时，各支腿应能可靠地固定在规定位置上，垂直支腿的伸出量应不大于5 mm。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参考相关专用车的指标，并通过试验验证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095" w:type="dxa"/>
            <w:vMerge w:val="restart"/>
            <w:vAlign w:val="center"/>
          </w:tcPr>
          <w:p w:rsidR="00235384" w:rsidRDefault="000F2195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液压系统要求</w:t>
            </w: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液压系统应符合GB/T 3766的规定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pStyle w:val="ad"/>
              <w:ind w:firstLineChars="0" w:firstLine="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GB/T 3766　液压传动系统及其元件的通用规则和安全要求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液压元件应符合GB/T 7935的规定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7935　液压元件通用技术条件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溢流阀的调</w:t>
            </w:r>
            <w:proofErr w:type="gramStart"/>
            <w:r>
              <w:rPr>
                <w:rFonts w:hAnsi="宋体" w:cs="宋体" w:hint="eastAsia"/>
              </w:rPr>
              <w:t>定压力</w:t>
            </w:r>
            <w:proofErr w:type="gramEnd"/>
            <w:r>
              <w:rPr>
                <w:rFonts w:hAnsi="宋体" w:cs="宋体" w:hint="eastAsia"/>
              </w:rPr>
              <w:t>应不大于系统额定工作压力的110 %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参考相关专用车的指标，并通过试验验证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液压油质量应不低于GB 11118.1中L-HM液压油的要求，液压油的更换应符合NB/SH/T 0599的要求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 11118.1　液压油（L-HL、L-HM、L-HV、L-HS、L-HG）、</w:t>
            </w:r>
          </w:p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NB/SH/T 0599　L-HM液压油换油指标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液压系统中液压油的固体颗粒污染度应符合QC/T 29104的规定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QC/T 29104　专用汽车液压系统液压油固体颗粒污染度的限值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液压系统中液压元件和管路不允许渗漏油。在作业可靠性试验过程中，其</w:t>
            </w:r>
            <w:proofErr w:type="gramStart"/>
            <w:r>
              <w:rPr>
                <w:rFonts w:hAnsi="宋体" w:cs="宋体" w:hint="eastAsia"/>
              </w:rPr>
              <w:t>渗油处数应</w:t>
            </w:r>
            <w:proofErr w:type="gramEnd"/>
            <w:r>
              <w:rPr>
                <w:rFonts w:hAnsi="宋体" w:cs="宋体" w:hint="eastAsia"/>
              </w:rPr>
              <w:t>不多于4处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参考相关专用车的指标，并通过试验验证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1095" w:type="dxa"/>
            <w:vMerge w:val="restart"/>
            <w:vAlign w:val="center"/>
          </w:tcPr>
          <w:p w:rsidR="00235384" w:rsidRDefault="000F2195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电气系统要求</w:t>
            </w: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电气系统的设计、安装应符合GB/T 3797、GB/T 5226.1的规定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pStyle w:val="ad"/>
              <w:ind w:firstLineChars="0" w:firstLine="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GB/T 3797　电气控制设备、</w:t>
            </w:r>
          </w:p>
          <w:p w:rsidR="00235384" w:rsidRDefault="000F2195">
            <w:pPr>
              <w:pStyle w:val="ad"/>
              <w:ind w:firstLineChars="0" w:firstLine="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GB/T 5226.1　机械电气安全机械电气设备第1部分:通用技术条件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遥控装置的防护等级应不低于GB/T 4208中IP65的规定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pStyle w:val="ad"/>
              <w:ind w:firstLineChars="0" w:firstLine="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GB/T 4208　外壳防护等级(IP代码)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遥控装置应符合以下要求：</w:t>
            </w:r>
          </w:p>
          <w:p w:rsidR="00235384" w:rsidRDefault="000F2195">
            <w:pPr>
              <w:pStyle w:val="a4"/>
              <w:numPr>
                <w:ilvl w:val="0"/>
                <w:numId w:val="0"/>
              </w:numPr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a)输出功率表不大于10毫瓦，使用国家规定的开放频率，不影响其他无线设备的正常使用；</w:t>
            </w:r>
          </w:p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b)有效工作距离不小于100 m；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参考相关专用车的指标，并通过试验验证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25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急停开关设计符合GB/T 17626.3、GB/T 5226.1的规定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17626.3　电磁兼容试验和测量技术射频电磁场辐射抗扰度试验、</w:t>
            </w:r>
          </w:p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5226.1　机械电气安全机械电气设备第1部分:通用技术条件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</w:t>
            </w:r>
          </w:p>
        </w:tc>
        <w:tc>
          <w:tcPr>
            <w:tcW w:w="1095" w:type="dxa"/>
            <w:vAlign w:val="center"/>
          </w:tcPr>
          <w:p w:rsidR="00235384" w:rsidRDefault="000F2195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安全要求</w:t>
            </w: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车身反光标识应符合GB 23254、GB 7258的规定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 23254　货车及挂车车身反光标识、</w:t>
            </w:r>
          </w:p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 7258　机动车运行安全技术条件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</w:t>
            </w:r>
          </w:p>
        </w:tc>
        <w:tc>
          <w:tcPr>
            <w:tcW w:w="1095" w:type="dxa"/>
            <w:vMerge w:val="restart"/>
            <w:vAlign w:val="center"/>
          </w:tcPr>
          <w:p w:rsidR="00235384" w:rsidRDefault="000F2195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环保要求</w:t>
            </w: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底盘发动机排放应符合GB 17691和相关国家、地区的规定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 17691　重型柴油车污染物排放限值及测量方法（中国第六阶段）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bookmarkStart w:id="14" w:name="_Toc60042457"/>
            <w:r>
              <w:rPr>
                <w:rFonts w:hAnsi="宋体" w:cs="宋体" w:hint="eastAsia"/>
              </w:rPr>
              <w:t>加速行驶车外噪声</w:t>
            </w:r>
            <w:bookmarkEnd w:id="14"/>
            <w:r>
              <w:rPr>
                <w:rFonts w:hAnsi="宋体" w:cs="宋体" w:hint="eastAsia"/>
              </w:rPr>
              <w:t>应符合GB 1495的规定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 1495　汽车加速行驶车外噪声限值及测量方法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29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清淤作业噪声声级应小于或等于88 dB(A)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参考相关专用车的指标，并通过试验验证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35384">
        <w:tc>
          <w:tcPr>
            <w:tcW w:w="849" w:type="dxa"/>
            <w:vAlign w:val="center"/>
          </w:tcPr>
          <w:p w:rsidR="00235384" w:rsidRDefault="000F21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095" w:type="dxa"/>
            <w:vMerge/>
            <w:vAlign w:val="center"/>
          </w:tcPr>
          <w:p w:rsidR="00235384" w:rsidRDefault="00235384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2310" w:type="dxa"/>
            <w:vAlign w:val="center"/>
          </w:tcPr>
          <w:p w:rsidR="00235384" w:rsidRDefault="000F2195">
            <w:pPr>
              <w:pStyle w:val="ae"/>
              <w:numPr>
                <w:ilvl w:val="2"/>
                <w:numId w:val="0"/>
              </w:num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驾驶人耳旁噪声声级应小于或等于90 dB(A)，符合GB 7258的规定</w:t>
            </w:r>
          </w:p>
        </w:tc>
        <w:tc>
          <w:tcPr>
            <w:tcW w:w="3045" w:type="dxa"/>
            <w:vAlign w:val="center"/>
          </w:tcPr>
          <w:p w:rsidR="00235384" w:rsidRDefault="000F219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 7258　机动车运行安全技术条件</w:t>
            </w:r>
          </w:p>
        </w:tc>
        <w:tc>
          <w:tcPr>
            <w:tcW w:w="1223" w:type="dxa"/>
            <w:vAlign w:val="center"/>
          </w:tcPr>
          <w:p w:rsidR="00235384" w:rsidRDefault="00235384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235384" w:rsidRDefault="00235384">
      <w:pPr>
        <w:rPr>
          <w:rFonts w:asciiTheme="minorEastAsia" w:hAnsiTheme="minorEastAsia"/>
          <w:sz w:val="28"/>
          <w:szCs w:val="28"/>
        </w:rPr>
      </w:pP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（5）试验方法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对</w:t>
      </w:r>
      <w:proofErr w:type="gramStart"/>
      <w:r>
        <w:rPr>
          <w:rFonts w:asciiTheme="minorEastAsia" w:hAnsiTheme="minorEastAsia" w:hint="eastAsia"/>
          <w:sz w:val="28"/>
          <w:szCs w:val="28"/>
        </w:rPr>
        <w:t>硬臂抓斗清淤车</w:t>
      </w:r>
      <w:proofErr w:type="gramEnd"/>
      <w:r>
        <w:rPr>
          <w:rFonts w:asciiTheme="minorEastAsia" w:hAnsiTheme="minorEastAsia" w:hint="eastAsia"/>
          <w:sz w:val="28"/>
          <w:szCs w:val="28"/>
        </w:rPr>
        <w:t>技术要求分别对应提供了试验方法，包括试验条件和试验准备、尺寸测量、行驶检查、</w:t>
      </w:r>
      <w:proofErr w:type="gramStart"/>
      <w:r>
        <w:rPr>
          <w:rFonts w:asciiTheme="minorEastAsia" w:hAnsiTheme="minorEastAsia" w:hint="eastAsia"/>
          <w:sz w:val="28"/>
          <w:szCs w:val="28"/>
        </w:rPr>
        <w:t>取力装置</w:t>
      </w:r>
      <w:proofErr w:type="gramEnd"/>
      <w:r>
        <w:rPr>
          <w:rFonts w:asciiTheme="minorEastAsia" w:hAnsiTheme="minorEastAsia" w:hint="eastAsia"/>
          <w:sz w:val="28"/>
          <w:szCs w:val="28"/>
        </w:rPr>
        <w:t>工作可靠性试验、专用装置几何参数测定、专用性能试验、噪声测量、作业可靠性试验、水路密封性试验、液压系统试验、电气系统试验、机动车强制性检测、外观质量检查等方法。其中，为了便于测量最大作业深度</w:t>
      </w:r>
      <w:proofErr w:type="spellStart"/>
      <w:r>
        <w:rPr>
          <w:rFonts w:asciiTheme="minorEastAsia" w:hAnsiTheme="minorEastAsia" w:hint="eastAsia"/>
          <w:sz w:val="28"/>
          <w:szCs w:val="28"/>
        </w:rPr>
        <w:t>Hmax</w:t>
      </w:r>
      <w:proofErr w:type="spellEnd"/>
      <w:r>
        <w:rPr>
          <w:rFonts w:asciiTheme="minorEastAsia" w:hAnsiTheme="minorEastAsia" w:hint="eastAsia"/>
          <w:sz w:val="28"/>
          <w:szCs w:val="28"/>
        </w:rPr>
        <w:t>、最大作业半径</w:t>
      </w:r>
      <w:proofErr w:type="spellStart"/>
      <w:r>
        <w:rPr>
          <w:rFonts w:asciiTheme="minorEastAsia" w:hAnsiTheme="minorEastAsia" w:hint="eastAsia"/>
          <w:sz w:val="28"/>
          <w:szCs w:val="28"/>
        </w:rPr>
        <w:t>Rmax</w:t>
      </w:r>
      <w:proofErr w:type="spellEnd"/>
      <w:r>
        <w:rPr>
          <w:rFonts w:asciiTheme="minorEastAsia" w:hAnsiTheme="minorEastAsia" w:hint="eastAsia"/>
          <w:sz w:val="28"/>
          <w:szCs w:val="28"/>
        </w:rPr>
        <w:t>，均画了示例图。另外，为了方便测量清淤作业噪声，也画了清淤作业噪声测量位置示意图。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（6）检验规则</w:t>
      </w:r>
    </w:p>
    <w:p w:rsidR="00235384" w:rsidRDefault="000F219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硬臂抓斗清淤车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>检验规则包括出厂检验、型式检验、合格判定等</w:t>
      </w:r>
      <w:r>
        <w:rPr>
          <w:rFonts w:asciiTheme="minorEastAsia" w:hAnsiTheme="minorEastAsia" w:hint="eastAsia"/>
          <w:bCs/>
          <w:sz w:val="28"/>
          <w:szCs w:val="28"/>
        </w:rPr>
        <w:lastRenderedPageBreak/>
        <w:t>方面的规则，并用表格方式列举了出厂检验、型式检验的检验项目和对应章节，这样方便出厂检验和型式检验。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（7）标牌、随车文件、包装、贮存和运输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文件最后规定了</w:t>
      </w:r>
      <w:proofErr w:type="gramStart"/>
      <w:r>
        <w:rPr>
          <w:rFonts w:asciiTheme="minorEastAsia" w:hAnsiTheme="minorEastAsia" w:hint="eastAsia"/>
          <w:sz w:val="28"/>
          <w:szCs w:val="28"/>
        </w:rPr>
        <w:t>硬臂抓斗清淤车</w:t>
      </w:r>
      <w:proofErr w:type="gramEnd"/>
      <w:r>
        <w:rPr>
          <w:rFonts w:asciiTheme="minorEastAsia" w:hAnsiTheme="minorEastAsia" w:hint="eastAsia"/>
          <w:sz w:val="28"/>
          <w:szCs w:val="28"/>
        </w:rPr>
        <w:t>的标牌、随车文件、包装、贮存和运输等要求。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（8）专用装置试验记录表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为了方便</w:t>
      </w:r>
      <w:r>
        <w:rPr>
          <w:rFonts w:asciiTheme="minorEastAsia" w:hAnsiTheme="minorEastAsia" w:hint="eastAsia"/>
          <w:sz w:val="28"/>
          <w:szCs w:val="28"/>
        </w:rPr>
        <w:t>专用装置的试验记录，资料性附录中收录了专用装置几何参数记录表、专用装置性能参数记录表、作业噪声记录表、专用装置作业可靠性记录表、水路和液压系统试验记录表等实验表格。</w:t>
      </w:r>
    </w:p>
    <w:p w:rsidR="00235384" w:rsidRDefault="000F219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七、与现行法律法规和强制性标准的关系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本文件符合现行法律法规和强制性标准，不存在与现行法律法规和强制性标准相违背之处。</w:t>
      </w:r>
    </w:p>
    <w:p w:rsidR="00235384" w:rsidRDefault="000F219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八、重大分歧意见的处理经过和依据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《硬臂抓斗清淤车》地方标准在编制过程种无重大分歧意见。</w:t>
      </w:r>
    </w:p>
    <w:p w:rsidR="00235384" w:rsidRDefault="000F219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九、贯彻地方标准的要求和措施建议</w:t>
      </w:r>
    </w:p>
    <w:p w:rsidR="00235384" w:rsidRDefault="000F219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本文件在经相关部门批准发布实施后，建议尽快推广。</w:t>
      </w:r>
    </w:p>
    <w:p w:rsidR="00235384" w:rsidRDefault="00235384">
      <w:pPr>
        <w:rPr>
          <w:rFonts w:asciiTheme="minorEastAsia" w:hAnsiTheme="minorEastAsia"/>
          <w:sz w:val="28"/>
          <w:szCs w:val="28"/>
        </w:rPr>
      </w:pPr>
    </w:p>
    <w:p w:rsidR="00235384" w:rsidRDefault="000F2195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《硬臂抓斗清淤车》地方标准工作组</w:t>
      </w:r>
    </w:p>
    <w:p w:rsidR="00235384" w:rsidRDefault="000F2195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年2月</w:t>
      </w:r>
      <w:r w:rsidR="006264B0">
        <w:rPr>
          <w:rFonts w:asciiTheme="minorEastAsia" w:hAnsiTheme="minorEastAsia" w:hint="eastAsia"/>
          <w:sz w:val="28"/>
          <w:szCs w:val="28"/>
        </w:rPr>
        <w:t>24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235384" w:rsidRDefault="00235384"/>
    <w:sectPr w:rsidR="00235384" w:rsidSect="0038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F4A" w:rsidRDefault="00910F4A" w:rsidP="00910F4A">
      <w:r>
        <w:separator/>
      </w:r>
    </w:p>
  </w:endnote>
  <w:endnote w:type="continuationSeparator" w:id="1">
    <w:p w:rsidR="00910F4A" w:rsidRDefault="00910F4A" w:rsidP="0091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F4A" w:rsidRDefault="00910F4A" w:rsidP="00910F4A">
      <w:r>
        <w:separator/>
      </w:r>
    </w:p>
  </w:footnote>
  <w:footnote w:type="continuationSeparator" w:id="1">
    <w:p w:rsidR="00910F4A" w:rsidRDefault="00910F4A" w:rsidP="00910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D97"/>
    <w:multiLevelType w:val="multilevel"/>
    <w:tmpl w:val="0F805D97"/>
    <w:lvl w:ilvl="0">
      <w:start w:val="1"/>
      <w:numFmt w:val="none"/>
      <w:pStyle w:val="a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56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9707437"/>
    <w:multiLevelType w:val="multilevel"/>
    <w:tmpl w:val="29707437"/>
    <w:lvl w:ilvl="0">
      <w:start w:val="1"/>
      <w:numFmt w:val="none"/>
      <w:pStyle w:val="a3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44C50F90"/>
    <w:multiLevelType w:val="multilevel"/>
    <w:tmpl w:val="44C50F90"/>
    <w:lvl w:ilvl="0">
      <w:start w:val="1"/>
      <w:numFmt w:val="lowerLetter"/>
      <w:pStyle w:val="a4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4">
    <w:nsid w:val="5E63562F"/>
    <w:multiLevelType w:val="multilevel"/>
    <w:tmpl w:val="5E63562F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Ansi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5">
    <w:nsid w:val="63AF7EBF"/>
    <w:multiLevelType w:val="multilevel"/>
    <w:tmpl w:val="63AF7EBF"/>
    <w:lvl w:ilvl="0">
      <w:start w:val="1"/>
      <w:numFmt w:val="decimal"/>
      <w:pStyle w:val="a6"/>
      <w:suff w:val="nothing"/>
      <w:lvlText w:val="表%1　"/>
      <w:lvlJc w:val="left"/>
      <w:pPr>
        <w:ind w:left="3261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5384"/>
    <w:rsid w:val="000F2195"/>
    <w:rsid w:val="00235384"/>
    <w:rsid w:val="00373C7D"/>
    <w:rsid w:val="003813E5"/>
    <w:rsid w:val="00606E26"/>
    <w:rsid w:val="006264B0"/>
    <w:rsid w:val="00910F4A"/>
    <w:rsid w:val="03C31FB3"/>
    <w:rsid w:val="11187816"/>
    <w:rsid w:val="121E1E77"/>
    <w:rsid w:val="1ED60E60"/>
    <w:rsid w:val="22BE014E"/>
    <w:rsid w:val="239565CC"/>
    <w:rsid w:val="246F6B4A"/>
    <w:rsid w:val="26A83781"/>
    <w:rsid w:val="2BA523BC"/>
    <w:rsid w:val="2CAA1B26"/>
    <w:rsid w:val="2DF16CC0"/>
    <w:rsid w:val="30831CD7"/>
    <w:rsid w:val="30FC1138"/>
    <w:rsid w:val="31A04772"/>
    <w:rsid w:val="32217FD1"/>
    <w:rsid w:val="32BC42F4"/>
    <w:rsid w:val="33C672F2"/>
    <w:rsid w:val="360B3260"/>
    <w:rsid w:val="384910EA"/>
    <w:rsid w:val="389228AF"/>
    <w:rsid w:val="391A627C"/>
    <w:rsid w:val="399347F9"/>
    <w:rsid w:val="3A036507"/>
    <w:rsid w:val="3A413824"/>
    <w:rsid w:val="3BF245D6"/>
    <w:rsid w:val="3CCC3FC5"/>
    <w:rsid w:val="3E0972D6"/>
    <w:rsid w:val="3ECF01DA"/>
    <w:rsid w:val="3EFD4234"/>
    <w:rsid w:val="41AA0914"/>
    <w:rsid w:val="44152C46"/>
    <w:rsid w:val="44F44BF7"/>
    <w:rsid w:val="45934051"/>
    <w:rsid w:val="46194515"/>
    <w:rsid w:val="49941583"/>
    <w:rsid w:val="4A1A7AD8"/>
    <w:rsid w:val="4A6D3AA1"/>
    <w:rsid w:val="4B550CCE"/>
    <w:rsid w:val="4C5A1BD1"/>
    <w:rsid w:val="4CCE201C"/>
    <w:rsid w:val="4FCE5C1D"/>
    <w:rsid w:val="531D5D28"/>
    <w:rsid w:val="53443BA4"/>
    <w:rsid w:val="53750BD5"/>
    <w:rsid w:val="560B0EDA"/>
    <w:rsid w:val="56326AB5"/>
    <w:rsid w:val="5794393C"/>
    <w:rsid w:val="5A565128"/>
    <w:rsid w:val="5EA967C8"/>
    <w:rsid w:val="618D6729"/>
    <w:rsid w:val="621B3726"/>
    <w:rsid w:val="6523513C"/>
    <w:rsid w:val="66017F77"/>
    <w:rsid w:val="66493DD8"/>
    <w:rsid w:val="66B92735"/>
    <w:rsid w:val="69590FA0"/>
    <w:rsid w:val="69A229EE"/>
    <w:rsid w:val="6B015854"/>
    <w:rsid w:val="6D153AFE"/>
    <w:rsid w:val="6FE302A7"/>
    <w:rsid w:val="7095607E"/>
    <w:rsid w:val="70AB57F8"/>
    <w:rsid w:val="7175569C"/>
    <w:rsid w:val="71F066E7"/>
    <w:rsid w:val="7295025F"/>
    <w:rsid w:val="7A6B69F8"/>
    <w:rsid w:val="7B3741D2"/>
    <w:rsid w:val="7B981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rsid w:val="003813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styleId="ab">
    <w:name w:val="Table Grid"/>
    <w:basedOn w:val="a9"/>
    <w:rsid w:val="003813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3813E5"/>
    <w:rPr>
      <w:color w:val="0000FF"/>
      <w:spacing w:val="0"/>
      <w:w w:val="100"/>
      <w:szCs w:val="21"/>
      <w:u w:val="single"/>
    </w:rPr>
  </w:style>
  <w:style w:type="paragraph" w:customStyle="1" w:styleId="ad">
    <w:name w:val="段"/>
    <w:rsid w:val="003813E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3">
    <w:name w:val="注：（正文）"/>
    <w:basedOn w:val="a"/>
    <w:next w:val="ad"/>
    <w:qFormat/>
    <w:rsid w:val="003813E5"/>
    <w:pPr>
      <w:numPr>
        <w:numId w:val="1"/>
      </w:numPr>
      <w:ind w:left="726" w:hanging="363"/>
    </w:pPr>
  </w:style>
  <w:style w:type="paragraph" w:customStyle="1" w:styleId="a">
    <w:name w:val="注："/>
    <w:next w:val="ad"/>
    <w:qFormat/>
    <w:rsid w:val="003813E5"/>
    <w:pPr>
      <w:widowControl w:val="0"/>
      <w:numPr>
        <w:numId w:val="2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0">
    <w:name w:val="一级条标题"/>
    <w:next w:val="ad"/>
    <w:qFormat/>
    <w:rsid w:val="003813E5"/>
    <w:pPr>
      <w:numPr>
        <w:ilvl w:val="1"/>
        <w:numId w:val="3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e">
    <w:name w:val="二级无"/>
    <w:basedOn w:val="a1"/>
    <w:qFormat/>
    <w:rsid w:val="003813E5"/>
    <w:pPr>
      <w:spacing w:beforeLines="0" w:afterLines="0"/>
    </w:pPr>
    <w:rPr>
      <w:rFonts w:ascii="宋体" w:eastAsia="宋体"/>
    </w:rPr>
  </w:style>
  <w:style w:type="paragraph" w:customStyle="1" w:styleId="a1">
    <w:name w:val="二级条标题"/>
    <w:basedOn w:val="a0"/>
    <w:next w:val="ad"/>
    <w:qFormat/>
    <w:rsid w:val="003813E5"/>
    <w:pPr>
      <w:numPr>
        <w:ilvl w:val="2"/>
      </w:numPr>
      <w:spacing w:before="50" w:after="50"/>
      <w:outlineLvl w:val="3"/>
    </w:pPr>
  </w:style>
  <w:style w:type="paragraph" w:customStyle="1" w:styleId="a4">
    <w:name w:val="字母编号列项（一级）"/>
    <w:qFormat/>
    <w:rsid w:val="003813E5"/>
    <w:pPr>
      <w:numPr>
        <w:numId w:val="4"/>
      </w:numPr>
      <w:jc w:val="both"/>
    </w:pPr>
    <w:rPr>
      <w:rFonts w:ascii="宋体"/>
      <w:sz w:val="21"/>
    </w:rPr>
  </w:style>
  <w:style w:type="paragraph" w:customStyle="1" w:styleId="a6">
    <w:name w:val="正文表标题"/>
    <w:next w:val="ad"/>
    <w:qFormat/>
    <w:rsid w:val="003813E5"/>
    <w:pPr>
      <w:numPr>
        <w:numId w:val="5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5">
    <w:name w:val="注×："/>
    <w:qFormat/>
    <w:rsid w:val="003813E5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">
    <w:name w:val="三级无"/>
    <w:basedOn w:val="a2"/>
    <w:qFormat/>
    <w:rsid w:val="003813E5"/>
    <w:pPr>
      <w:spacing w:beforeLines="0" w:afterLines="0"/>
    </w:pPr>
    <w:rPr>
      <w:rFonts w:ascii="宋体" w:eastAsia="宋体"/>
    </w:rPr>
  </w:style>
  <w:style w:type="paragraph" w:customStyle="1" w:styleId="a2">
    <w:name w:val="三级条标题"/>
    <w:basedOn w:val="a1"/>
    <w:next w:val="ad"/>
    <w:qFormat/>
    <w:rsid w:val="003813E5"/>
    <w:pPr>
      <w:numPr>
        <w:ilvl w:val="3"/>
      </w:numPr>
      <w:ind w:left="0"/>
      <w:outlineLvl w:val="4"/>
    </w:pPr>
  </w:style>
  <w:style w:type="paragraph" w:styleId="af0">
    <w:name w:val="header"/>
    <w:basedOn w:val="a7"/>
    <w:link w:val="Char"/>
    <w:rsid w:val="0091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f0"/>
    <w:rsid w:val="00910F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footer"/>
    <w:basedOn w:val="a7"/>
    <w:link w:val="Char0"/>
    <w:rsid w:val="00910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f1"/>
    <w:rsid w:val="00910F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4035</Words>
  <Characters>1077</Characters>
  <Application>Microsoft Office Word</Application>
  <DocSecurity>0</DocSecurity>
  <Lines>8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ktdn</cp:lastModifiedBy>
  <cp:revision>5</cp:revision>
  <dcterms:created xsi:type="dcterms:W3CDTF">2021-02-08T01:49:00Z</dcterms:created>
  <dcterms:modified xsi:type="dcterms:W3CDTF">2021-02-24T02:17:00Z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