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6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1"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pPr>
      <w:r>
        <w:t>DB</w:t>
      </w:r>
      <w:r>
        <w:rPr>
          <w:sz w:val="15"/>
          <w:szCs w:val="15"/>
        </w:rPr>
        <w:t xml:space="preserve"> </w:t>
      </w:r>
      <w:r>
        <w:fldChar w:fldCharType="begin">
          <w:ffData>
            <w:name w:val="文字1"/>
            <w:enabled/>
            <w:calcOnExit w:val="0"/>
            <w:textInput>
              <w:default w:val="XX"/>
            </w:textInput>
          </w:ffData>
        </w:fldChar>
      </w:r>
      <w:bookmarkStart w:id="5" w:name="文字1"/>
      <w:r>
        <w:instrText xml:space="preserve"> FORMTEXT </w:instrText>
      </w:r>
      <w:r>
        <w:fldChar w:fldCharType="separate"/>
      </w:r>
      <w:r>
        <w:t>XX</w:t>
      </w:r>
      <w:r>
        <w:fldChar w:fldCharType="end"/>
      </w:r>
      <w:bookmarkEnd w:id="5"/>
      <w:r>
        <w:t xml:space="preserve"> </w:t>
      </w:r>
      <w:r>
        <w:fldChar w:fldCharType="begin">
          <w:ffData>
            <w:name w:val="NSTD_CODE_F"/>
            <w:enabled/>
            <w:calcOnExit w:val="0"/>
            <w:textInput>
              <w:default w:val="XXXXX"/>
            </w:textInput>
          </w:ffData>
        </w:fldChar>
      </w:r>
      <w:bookmarkStart w:id="6" w:name="NSTD_CODE_F"/>
      <w:r>
        <w:instrText xml:space="preserve"> FORMTEXT </w:instrText>
      </w:r>
      <w:r>
        <w:fldChar w:fldCharType="separate"/>
      </w:r>
      <w:r>
        <w:t>XXXXX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乡镇综合文化服务中心建设与服务规范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11"/>
    </w:p>
    <w:p>
      <w:pPr>
        <w:pStyle w:val="125"/>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（本草案完成时间：2021.01.28</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w:t>
      </w:r>
      <w:r>
        <w:rPr>
          <w:rFonts w:hAnsi="黑体"/>
          <w:w w:val="100"/>
          <w:sz w:val="28"/>
        </w:rPr>
        <w:t>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1"/>
        <w:spacing w:after="468"/>
      </w:pPr>
      <w:bookmarkStart w:id="21" w:name="BookMark1"/>
      <w:bookmarkStart w:id="22" w:name="_Toc60930960"/>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"_Toc62487475" </w:instrText>
      </w:r>
      <w:r>
        <w:fldChar w:fldCharType="separate"/>
      </w:r>
      <w:r>
        <w:rPr>
          <w:rStyle w:val="32"/>
          <w:rFonts w:hint="eastAsia"/>
        </w:rPr>
        <w:t>前言</w:t>
      </w:r>
      <w:r>
        <w:tab/>
      </w:r>
      <w:r>
        <w:fldChar w:fldCharType="begin"/>
      </w:r>
      <w:r>
        <w:instrText xml:space="preserve"> PAGEREF _Toc62487475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"_Toc62487476" </w:instrText>
      </w:r>
      <w:r>
        <w:fldChar w:fldCharType="separate"/>
      </w:r>
      <w:r>
        <w:rPr>
          <w:rStyle w:val="32"/>
        </w:rPr>
        <w:t xml:space="preserve">1 </w:t>
      </w:r>
      <w:r>
        <w:rPr>
          <w:rStyle w:val="32"/>
          <w:rFonts w:hint="eastAsia"/>
        </w:rPr>
        <w:t xml:space="preserve"> 范围</w:t>
      </w:r>
      <w:r>
        <w:tab/>
      </w:r>
      <w:r>
        <w:fldChar w:fldCharType="begin"/>
      </w:r>
      <w:r>
        <w:instrText xml:space="preserve"> PAGEREF _Toc62487476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"_Toc62487477"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_Toc62487477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"_Toc62487478"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_Toc62487478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"_Toc62487479" </w:instrText>
      </w:r>
      <w:r>
        <w:fldChar w:fldCharType="separate"/>
      </w:r>
      <w:r>
        <w:rPr>
          <w:rStyle w:val="32"/>
        </w:rPr>
        <w:t xml:space="preserve">4 </w:t>
      </w:r>
      <w:r>
        <w:rPr>
          <w:rStyle w:val="32"/>
          <w:rFonts w:hint="eastAsia"/>
        </w:rPr>
        <w:t xml:space="preserve"> 总则</w:t>
      </w:r>
      <w:r>
        <w:tab/>
      </w:r>
      <w:r>
        <w:fldChar w:fldCharType="begin"/>
      </w:r>
      <w:r>
        <w:instrText xml:space="preserve"> PAGEREF _Toc62487479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"_Toc62487480" </w:instrText>
      </w:r>
      <w:r>
        <w:fldChar w:fldCharType="separate"/>
      </w:r>
      <w:r>
        <w:rPr>
          <w:rStyle w:val="32"/>
        </w:rPr>
        <w:t xml:space="preserve">5 </w:t>
      </w:r>
      <w:r>
        <w:rPr>
          <w:rStyle w:val="32"/>
          <w:rFonts w:hint="eastAsia"/>
        </w:rPr>
        <w:t xml:space="preserve"> 基本要求</w:t>
      </w:r>
      <w:r>
        <w:tab/>
      </w:r>
      <w:r>
        <w:fldChar w:fldCharType="begin"/>
      </w:r>
      <w:r>
        <w:instrText xml:space="preserve"> PAGEREF _Toc62487480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"_Toc62487481" </w:instrText>
      </w:r>
      <w:r>
        <w:fldChar w:fldCharType="separate"/>
      </w:r>
      <w:r>
        <w:rPr>
          <w:rStyle w:val="32"/>
        </w:rPr>
        <w:t xml:space="preserve">6 </w:t>
      </w:r>
      <w:r>
        <w:rPr>
          <w:rStyle w:val="32"/>
          <w:rFonts w:hint="eastAsia"/>
        </w:rPr>
        <w:t xml:space="preserve"> 硬件建设</w:t>
      </w:r>
      <w:r>
        <w:tab/>
      </w:r>
      <w:r>
        <w:fldChar w:fldCharType="begin"/>
      </w:r>
      <w:r>
        <w:instrText xml:space="preserve"> PAGEREF _Toc62487481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"_Toc62487482" </w:instrText>
      </w:r>
      <w:r>
        <w:fldChar w:fldCharType="separate"/>
      </w:r>
      <w:r>
        <w:rPr>
          <w:rStyle w:val="32"/>
        </w:rPr>
        <w:t xml:space="preserve">7 </w:t>
      </w:r>
      <w:r>
        <w:rPr>
          <w:rStyle w:val="32"/>
          <w:rFonts w:hint="eastAsia"/>
        </w:rPr>
        <w:t xml:space="preserve"> 队伍建设</w:t>
      </w:r>
      <w:r>
        <w:tab/>
      </w:r>
      <w:r>
        <w:fldChar w:fldCharType="begin"/>
      </w:r>
      <w:r>
        <w:instrText xml:space="preserve"> PAGEREF _Toc62487482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"_Toc62487483" </w:instrText>
      </w:r>
      <w:r>
        <w:fldChar w:fldCharType="separate"/>
      </w:r>
      <w:r>
        <w:rPr>
          <w:rStyle w:val="32"/>
        </w:rPr>
        <w:t xml:space="preserve">8 </w:t>
      </w:r>
      <w:r>
        <w:rPr>
          <w:rStyle w:val="32"/>
          <w:rFonts w:hint="eastAsia"/>
        </w:rPr>
        <w:t xml:space="preserve"> 服务内容</w:t>
      </w:r>
      <w:r>
        <w:tab/>
      </w:r>
      <w:r>
        <w:fldChar w:fldCharType="begin"/>
      </w:r>
      <w:r>
        <w:instrText xml:space="preserve"> PAGEREF _Toc62487483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"_Toc62487484" </w:instrText>
      </w:r>
      <w:r>
        <w:fldChar w:fldCharType="separate"/>
      </w:r>
      <w:r>
        <w:rPr>
          <w:rStyle w:val="32"/>
        </w:rPr>
        <w:t xml:space="preserve">9 </w:t>
      </w:r>
      <w:r>
        <w:rPr>
          <w:rStyle w:val="32"/>
          <w:rFonts w:hint="eastAsia"/>
        </w:rPr>
        <w:t xml:space="preserve"> 安全管理</w:t>
      </w:r>
      <w:r>
        <w:tab/>
      </w:r>
      <w:r>
        <w:fldChar w:fldCharType="begin"/>
      </w:r>
      <w:r>
        <w:instrText xml:space="preserve"> PAGEREF _Toc62487484 \h </w:instrText>
      </w:r>
      <w:r>
        <w:fldChar w:fldCharType="separate"/>
      </w:r>
      <w:r>
        <w:t>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"_Toc62487485" </w:instrText>
      </w:r>
      <w:r>
        <w:fldChar w:fldCharType="separate"/>
      </w:r>
      <w:r>
        <w:rPr>
          <w:rStyle w:val="32"/>
        </w:rPr>
        <w:t xml:space="preserve">10 </w:t>
      </w:r>
      <w:r>
        <w:rPr>
          <w:rStyle w:val="32"/>
          <w:rFonts w:hint="eastAsia"/>
        </w:rPr>
        <w:t xml:space="preserve"> 服务评价与改进</w:t>
      </w:r>
      <w:r>
        <w:tab/>
      </w:r>
      <w:r>
        <w:fldChar w:fldCharType="begin"/>
      </w:r>
      <w:r>
        <w:instrText xml:space="preserve"> PAGEREF _Toc62487485 \h </w:instrText>
      </w:r>
      <w:r>
        <w:fldChar w:fldCharType="separate"/>
      </w:r>
      <w:r>
        <w:t>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"_Toc62487486" </w:instrText>
      </w:r>
      <w:r>
        <w:fldChar w:fldCharType="separate"/>
      </w:r>
      <w:r>
        <w:rPr>
          <w:rStyle w:val="32"/>
          <w:rFonts w:hint="eastAsia"/>
        </w:rPr>
        <w:t>附录A（规范性）</w:t>
      </w:r>
      <w:r>
        <w:rPr>
          <w:rStyle w:val="32"/>
        </w:rPr>
        <w:t xml:space="preserve">  </w:t>
      </w:r>
      <w:r>
        <w:rPr>
          <w:rStyle w:val="32"/>
          <w:rFonts w:hint="eastAsia"/>
        </w:rPr>
        <w:t>乡镇综合文化服务中心建设用房项目设置表</w:t>
      </w:r>
      <w:r>
        <w:tab/>
      </w:r>
      <w:r>
        <w:fldChar w:fldCharType="begin"/>
      </w:r>
      <w:r>
        <w:instrText xml:space="preserve"> PAGEREF _Toc62487486 \h </w:instrText>
      </w:r>
      <w:r>
        <w:fldChar w:fldCharType="separate"/>
      </w:r>
      <w:r>
        <w:t>10</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"_Toc62487487" </w:instrText>
      </w:r>
      <w:r>
        <w:fldChar w:fldCharType="separate"/>
      </w:r>
      <w:r>
        <w:rPr>
          <w:rStyle w:val="32"/>
          <w:rFonts w:hint="eastAsia"/>
        </w:rPr>
        <w:t>附录B（规范性）</w:t>
      </w:r>
      <w:r>
        <w:rPr>
          <w:rStyle w:val="32"/>
        </w:rPr>
        <w:t xml:space="preserve">  </w:t>
      </w:r>
      <w:r>
        <w:rPr>
          <w:rStyle w:val="32"/>
          <w:rFonts w:hint="eastAsia"/>
        </w:rPr>
        <w:t>乡镇综合文化服务中心专用设备、器材配置表</w:t>
      </w:r>
      <w:r>
        <w:tab/>
      </w:r>
      <w:r>
        <w:fldChar w:fldCharType="begin"/>
      </w:r>
      <w:r>
        <w:instrText xml:space="preserve"> PAGEREF _Toc62487487 \h </w:instrText>
      </w:r>
      <w:r>
        <w:fldChar w:fldCharType="separate"/>
      </w:r>
      <w:r>
        <w:t>11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"_Toc62487488" </w:instrText>
      </w:r>
      <w:r>
        <w:fldChar w:fldCharType="separate"/>
      </w:r>
      <w:r>
        <w:rPr>
          <w:rStyle w:val="32"/>
          <w:rFonts w:hint="eastAsia"/>
        </w:rPr>
        <w:t>参考文献</w:t>
      </w:r>
      <w:r>
        <w:tab/>
      </w:r>
      <w:r>
        <w:fldChar w:fldCharType="begin"/>
      </w:r>
      <w:r>
        <w:instrText xml:space="preserve"> PAGEREF _Toc62487488 \h </w:instrText>
      </w:r>
      <w:r>
        <w:fldChar w:fldCharType="separate"/>
      </w:r>
      <w:r>
        <w:t>12</w:t>
      </w:r>
      <w:r>
        <w:fldChar w:fldCharType="end"/>
      </w:r>
      <w:r>
        <w:fldChar w:fldCharType="end"/>
      </w:r>
    </w:p>
    <w:p>
      <w:pPr>
        <w:pStyle w:val="91"/>
        <w:spacing w:after="468"/>
        <w:sectPr>
          <w:headerReference r:id="rId11" w:type="default"/>
          <w:footerReference r:id="rId13" w:type="default"/>
          <w:headerReference r:id="rId12" w:type="even"/>
          <w:pgSz w:w="11906" w:h="16838"/>
          <w:pgMar w:top="1871"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after="468"/>
      </w:pPr>
      <w:bookmarkStart w:id="23" w:name="_Toc62487475"/>
      <w:bookmarkStart w:id="24" w:name="BookMark2"/>
      <w:r>
        <w:rPr>
          <w:spacing w:val="320"/>
        </w:rPr>
        <w:t>前</w:t>
      </w:r>
      <w:r>
        <w:t>言</w:t>
      </w:r>
      <w:bookmarkEnd w:id="22"/>
      <w:bookmarkEnd w:id="23"/>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本文件由湖南省文化和旅游厅提出并归口。</w:t>
      </w:r>
    </w:p>
    <w:p>
      <w:pPr>
        <w:pStyle w:val="56"/>
        <w:ind w:firstLine="420"/>
      </w:pPr>
      <w:r>
        <w:rPr>
          <w:rFonts w:hint="eastAsia"/>
        </w:rPr>
        <w:t>本文件起草单位：</w:t>
      </w:r>
      <w:r>
        <w:t>……</w:t>
      </w:r>
      <w:r>
        <w:rPr>
          <w:rFonts w:hint="eastAsia"/>
        </w:rPr>
        <w:t>.</w:t>
      </w:r>
    </w:p>
    <w:p>
      <w:pPr>
        <w:pStyle w:val="56"/>
        <w:ind w:firstLine="420"/>
      </w:pPr>
      <w:r>
        <w:rPr>
          <w:rFonts w:hint="eastAsia"/>
        </w:rPr>
        <w:t>本文件主要起草人：</w:t>
      </w:r>
      <w:r>
        <w:t>……</w:t>
      </w:r>
      <w:r>
        <w:rPr>
          <w:rFonts w:hint="eastAsia"/>
        </w:rPr>
        <w:t>.</w:t>
      </w:r>
    </w:p>
    <w:p>
      <w:pPr>
        <w:pStyle w:val="56"/>
        <w:ind w:firstLine="420"/>
      </w:pPr>
    </w:p>
    <w:p>
      <w:pPr>
        <w:pStyle w:val="56"/>
        <w:ind w:firstLine="420"/>
        <w:sectPr>
          <w:pgSz w:w="11906" w:h="16838"/>
          <w:pgMar w:top="1871" w:right="1134" w:bottom="1134" w:left="1134" w:header="1418" w:footer="1134" w:gutter="284"/>
          <w:pgNumType w:fmt="upperRoman"/>
          <w:cols w:space="425" w:num="1"/>
          <w:formProt w:val="0"/>
          <w:docGrid w:type="lines" w:linePitch="312" w:charSpace="0"/>
        </w:sectPr>
      </w:pP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C4CEBD6315774CADA7391044D27E41C2"/>
        </w:placeholder>
      </w:sdtPr>
      <w:sdtContent>
        <w:p>
          <w:pPr>
            <w:pStyle w:val="177"/>
            <w:spacing w:before="312" w:beforeLines="100" w:after="686" w:afterLines="220"/>
          </w:pPr>
          <w:bookmarkStart w:id="26" w:name="NEW_STAND_NAME"/>
          <w:r>
            <w:rPr>
              <w:rFonts w:hint="eastAsia"/>
            </w:rPr>
            <w:t>乡镇综合文化服务中心建设与服务规范</w:t>
          </w:r>
        </w:p>
      </w:sdtContent>
    </w:sdt>
    <w:bookmarkEnd w:id="26"/>
    <w:p>
      <w:pPr>
        <w:pStyle w:val="104"/>
        <w:spacing w:before="312" w:after="312"/>
      </w:pPr>
      <w:bookmarkStart w:id="27" w:name="_Toc26986530"/>
      <w:bookmarkStart w:id="28" w:name="_Toc26718930"/>
      <w:bookmarkStart w:id="29" w:name="_Toc26986771"/>
      <w:bookmarkStart w:id="30" w:name="_Toc24884218"/>
      <w:bookmarkStart w:id="31" w:name="_Toc26648465"/>
      <w:bookmarkStart w:id="32" w:name="_Toc59018198"/>
      <w:bookmarkStart w:id="33" w:name="_Toc17233333"/>
      <w:bookmarkStart w:id="34" w:name="_Toc17233325"/>
      <w:bookmarkStart w:id="35" w:name="_Toc62487476"/>
      <w:bookmarkStart w:id="36" w:name="_Toc24884211"/>
      <w:bookmarkStart w:id="37" w:name="_Toc60930961"/>
      <w:r>
        <w:rPr>
          <w:rFonts w:hint="eastAsia"/>
        </w:rPr>
        <w:t>范围</w:t>
      </w:r>
      <w:bookmarkEnd w:id="27"/>
      <w:bookmarkEnd w:id="28"/>
      <w:bookmarkEnd w:id="29"/>
      <w:bookmarkEnd w:id="30"/>
      <w:bookmarkEnd w:id="31"/>
      <w:bookmarkEnd w:id="32"/>
      <w:bookmarkEnd w:id="33"/>
      <w:bookmarkEnd w:id="34"/>
      <w:bookmarkEnd w:id="35"/>
      <w:bookmarkEnd w:id="36"/>
      <w:bookmarkEnd w:id="37"/>
    </w:p>
    <w:p>
      <w:pPr>
        <w:pStyle w:val="56"/>
        <w:ind w:firstLine="420"/>
      </w:pPr>
      <w:bookmarkStart w:id="38" w:name="_Toc17233334"/>
      <w:bookmarkStart w:id="39" w:name="_Toc24884212"/>
      <w:bookmarkStart w:id="40" w:name="_Toc26648466"/>
      <w:bookmarkStart w:id="41" w:name="_Toc24884219"/>
      <w:bookmarkStart w:id="42" w:name="_Toc17233326"/>
      <w:r>
        <w:t>本文件规定了湖南省</w:t>
      </w:r>
      <w:r>
        <w:rPr>
          <w:rFonts w:hint="eastAsia"/>
        </w:rPr>
        <w:t>乡镇综合文化服务中心（以下简称“文化服务中心”）</w:t>
      </w:r>
      <w:r>
        <w:t>总则</w:t>
      </w:r>
      <w:r>
        <w:rPr>
          <w:rFonts w:hint="eastAsia"/>
        </w:rPr>
        <w:t>、</w:t>
      </w:r>
      <w:r>
        <w:t>基本要求</w:t>
      </w:r>
      <w:r>
        <w:rPr>
          <w:rFonts w:hint="eastAsia"/>
        </w:rPr>
        <w:t>、</w:t>
      </w:r>
      <w:r>
        <w:t>硬件建设</w:t>
      </w:r>
      <w:r>
        <w:rPr>
          <w:rFonts w:hint="eastAsia"/>
        </w:rPr>
        <w:t>、队伍建设、服务内容、安全管理、服务评价与改进等内容。</w:t>
      </w:r>
    </w:p>
    <w:p>
      <w:pPr>
        <w:pStyle w:val="56"/>
        <w:ind w:firstLine="420"/>
      </w:pPr>
      <w:r>
        <w:rPr>
          <w:rFonts w:hint="eastAsia"/>
        </w:rPr>
        <w:t>本文件适用于湖南省乡（民族乡）、镇的综合文化服务中心（综合文化站）建设与服务，城市街道综合性文化服务中心（综合文化</w:t>
      </w:r>
      <w:bookmarkStart w:id="83" w:name="_GoBack"/>
      <w:bookmarkEnd w:id="83"/>
      <w:r>
        <w:rPr>
          <w:rFonts w:hint="eastAsia"/>
        </w:rPr>
        <w:t>站）可参照执行。</w:t>
      </w:r>
    </w:p>
    <w:p>
      <w:pPr>
        <w:pStyle w:val="104"/>
        <w:spacing w:before="312" w:after="312"/>
      </w:pPr>
      <w:bookmarkStart w:id="43" w:name="_Toc26986772"/>
      <w:bookmarkStart w:id="44" w:name="_Toc62487477"/>
      <w:bookmarkStart w:id="45" w:name="_Toc26986531"/>
      <w:bookmarkStart w:id="46" w:name="_Toc59018199"/>
      <w:bookmarkStart w:id="47" w:name="_Toc60930962"/>
      <w:bookmarkStart w:id="48" w:name="_Toc26718931"/>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C3765F99375F4085828ED51D75EC371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乡镇综合文化站建设标准（建标160-2012）</w:t>
      </w:r>
    </w:p>
    <w:p>
      <w:pPr>
        <w:pStyle w:val="104"/>
        <w:spacing w:before="312" w:after="312"/>
      </w:pPr>
      <w:bookmarkStart w:id="49" w:name="_Toc59018200"/>
      <w:bookmarkStart w:id="50" w:name="_Toc60930963"/>
      <w:bookmarkStart w:id="51" w:name="_Toc62487478"/>
      <w:r>
        <w:rPr>
          <w:rFonts w:hint="eastAsia"/>
          <w:szCs w:val="21"/>
        </w:rPr>
        <w:t>术语和定义</w:t>
      </w:r>
      <w:bookmarkEnd w:id="49"/>
      <w:bookmarkEnd w:id="50"/>
      <w:bookmarkEnd w:id="51"/>
    </w:p>
    <w:sdt>
      <w:sdtPr>
        <w:id w:val="-1909835108"/>
        <w:placeholder>
          <w:docPart w:val="493B7F18CD354E8AA7B21B999FBC11E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199" w:firstLineChars="95"/>
          </w:pPr>
          <w:bookmarkStart w:id="52" w:name="_Toc26986532"/>
          <w:bookmarkEnd w:id="52"/>
          <w:r>
            <w:t>下列术语和定义适用于本文件。</w:t>
          </w:r>
        </w:p>
      </w:sdtContent>
    </w:sdt>
    <w:p>
      <w:pPr>
        <w:pStyle w:val="105"/>
        <w:spacing w:before="156" w:after="0" w:afterLines="0"/>
        <w:ind w:left="0"/>
        <w:rPr>
          <w:rFonts w:hAnsi="黑体"/>
        </w:rPr>
      </w:pPr>
      <w:r>
        <w:rPr>
          <w:rFonts w:hAnsi="黑体"/>
          <w:highlight w:val="lightGray"/>
        </w:rPr>
        <w:br w:type="textWrapping"/>
      </w:r>
      <w:r>
        <w:rPr>
          <w:rFonts w:hint="eastAsia" w:hAnsi="黑体"/>
        </w:rPr>
        <w:t xml:space="preserve">   乡镇综合文化服务中心</w:t>
      </w:r>
    </w:p>
    <w:p>
      <w:pPr>
        <w:pStyle w:val="56"/>
        <w:spacing w:after="156" w:afterLines="50"/>
        <w:ind w:firstLine="283" w:firstLineChars="135"/>
      </w:pPr>
      <w:r>
        <w:rPr>
          <w:rFonts w:hint="eastAsia"/>
        </w:rPr>
        <w:t>乡镇综合文化服务中心是政府举办的提供公共文化服务、指导基层文化工作和协助管理农村文化市场的服务于当地农村群众的综合性公共文化场所和公益性机构，集书报刊阅读、宣传教育、文艺娱乐、科普培训、信息服务、体育健身等各类文化活动于一体。</w:t>
      </w:r>
    </w:p>
    <w:p>
      <w:pPr>
        <w:pStyle w:val="105"/>
        <w:spacing w:before="0" w:beforeLines="0" w:after="0" w:afterLines="0"/>
        <w:ind w:left="0"/>
        <w:rPr>
          <w:rFonts w:hAnsi="黑体"/>
        </w:rPr>
      </w:pPr>
      <w:r>
        <w:rPr>
          <w:rFonts w:hAnsi="黑体"/>
        </w:rPr>
        <w:br w:type="textWrapping"/>
      </w:r>
      <w:r>
        <w:rPr>
          <w:rFonts w:hint="eastAsia" w:hAnsi="黑体"/>
        </w:rPr>
        <w:t xml:space="preserve">   公共文化服务</w:t>
      </w:r>
    </w:p>
    <w:p>
      <w:pPr>
        <w:pStyle w:val="56"/>
        <w:spacing w:after="156" w:afterLines="50"/>
        <w:ind w:firstLine="283" w:firstLineChars="135"/>
      </w:pPr>
      <w:r>
        <w:rPr>
          <w:rFonts w:hint="eastAsia"/>
        </w:rPr>
        <w:t>是指以政府部门的公共部门为主提供的、以保障公民的基本文化生活权利为目的、向公民提供公共文化产品与服务的制度和系统的总称，包括公共文化服务设施、资源和服务内容，以及人才、资金、技术和政策保障机制等方面内容。</w:t>
      </w:r>
    </w:p>
    <w:p>
      <w:pPr>
        <w:pStyle w:val="223"/>
        <w:ind w:left="420" w:hanging="420" w:hangingChars="200"/>
        <w:rPr>
          <w:rFonts w:ascii="黑体" w:hAnsi="黑体" w:eastAsia="黑体"/>
        </w:rPr>
      </w:pPr>
      <w:r>
        <w:rPr>
          <w:rFonts w:ascii="黑体" w:hAnsi="黑体" w:eastAsia="黑体"/>
        </w:rPr>
        <w:br w:type="textWrapping"/>
      </w:r>
      <w:r>
        <w:rPr>
          <w:rFonts w:ascii="黑体" w:hAnsi="黑体" w:eastAsia="黑体"/>
        </w:rPr>
        <w:t>阵地服务</w:t>
      </w:r>
    </w:p>
    <w:p>
      <w:pPr>
        <w:pStyle w:val="56"/>
        <w:spacing w:after="156" w:afterLines="50"/>
        <w:ind w:firstLine="420"/>
      </w:pPr>
      <w:r>
        <w:rPr>
          <w:rFonts w:hint="eastAsia"/>
        </w:rPr>
        <w:t>是指文化服务中心利用所拥有的公共文化、体育设施和场地等，根据当地群众的需求，向群众开展与设施的功能、特点相适应的服务活动，如书报刊借阅、举办展览、艺术培训、文体活动、电影放映、体育健身等服务。</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文化技能</w:t>
      </w:r>
    </w:p>
    <w:p>
      <w:pPr>
        <w:pStyle w:val="56"/>
        <w:spacing w:after="156" w:afterLines="50"/>
        <w:ind w:firstLine="420"/>
      </w:pPr>
      <w:r>
        <w:rPr>
          <w:rFonts w:hint="eastAsia"/>
        </w:rPr>
        <w:t>是指文化服务中心从业人员掌握和运用文化艺术专业技术的能力，包括音乐、舞蹈、美术、摄影、书法等文艺创作、表演和电脑操作、文体活动组织策划等技能。</w:t>
      </w:r>
    </w:p>
    <w:p>
      <w:pPr>
        <w:pStyle w:val="223"/>
        <w:ind w:left="420" w:hanging="420" w:hangingChars="200"/>
        <w:rPr>
          <w:rFonts w:ascii="黑体" w:hAnsi="黑体" w:eastAsia="黑体"/>
        </w:rPr>
      </w:pPr>
      <w:r>
        <w:rPr>
          <w:rFonts w:ascii="黑体" w:hAnsi="黑体" w:eastAsia="黑体"/>
        </w:rPr>
        <w:br w:type="textWrapping"/>
      </w:r>
      <w:r>
        <w:rPr>
          <w:rFonts w:ascii="黑体" w:hAnsi="黑体" w:eastAsia="黑体"/>
        </w:rPr>
        <w:t>文艺辅导</w:t>
      </w:r>
    </w:p>
    <w:p>
      <w:pPr>
        <w:pStyle w:val="56"/>
        <w:ind w:firstLine="420"/>
      </w:pPr>
      <w:r>
        <w:rPr>
          <w:rFonts w:hint="eastAsia"/>
        </w:rPr>
        <w:t>是指文化服务中心从业人员对群众文艺骨干和群众文艺团队所进行的文化艺术知识、技能的帮助和指导，提高其文化艺术水平的活动过程。</w:t>
      </w:r>
    </w:p>
    <w:p>
      <w:pPr>
        <w:pStyle w:val="223"/>
        <w:spacing w:before="156" w:beforeLines="50"/>
        <w:ind w:left="420" w:hanging="420" w:hangingChars="200"/>
        <w:rPr>
          <w:rFonts w:ascii="黑体" w:hAnsi="黑体" w:eastAsia="黑体"/>
        </w:rPr>
      </w:pPr>
      <w:r>
        <w:rPr>
          <w:rFonts w:ascii="黑体" w:hAnsi="黑体" w:eastAsia="黑体"/>
        </w:rPr>
        <w:br w:type="textWrapping"/>
      </w:r>
      <w:r>
        <w:rPr>
          <w:rFonts w:hint="eastAsia" w:ascii="黑体" w:hAnsi="黑体" w:eastAsia="黑体"/>
        </w:rPr>
        <w:t>群众业余文化体育团队</w:t>
      </w:r>
    </w:p>
    <w:p>
      <w:pPr>
        <w:pStyle w:val="56"/>
        <w:ind w:firstLine="420"/>
      </w:pPr>
      <w:r>
        <w:rPr>
          <w:rFonts w:hint="eastAsia"/>
        </w:rPr>
        <w:t>指以自愿为原则，以业余爱好为基础，以文化、体育活动为表现方式的基层群众文化体育骨干组织，是活跃基层文化体育工作的社会力量。</w:t>
      </w:r>
    </w:p>
    <w:p>
      <w:pPr>
        <w:pStyle w:val="223"/>
        <w:spacing w:before="156" w:beforeLines="50"/>
        <w:ind w:left="420" w:hanging="420" w:hangingChars="200"/>
        <w:rPr>
          <w:rFonts w:ascii="黑体" w:hAnsi="黑体" w:eastAsia="黑体"/>
        </w:rPr>
      </w:pPr>
      <w:r>
        <w:rPr>
          <w:rFonts w:ascii="黑体" w:hAnsi="黑体" w:eastAsia="黑体"/>
        </w:rPr>
        <w:br w:type="textWrapping"/>
      </w:r>
      <w:r>
        <w:rPr>
          <w:rFonts w:ascii="黑体" w:hAnsi="黑体" w:eastAsia="黑体"/>
        </w:rPr>
        <w:t>非物质文化遗产</w:t>
      </w:r>
    </w:p>
    <w:p>
      <w:pPr>
        <w:pStyle w:val="56"/>
        <w:ind w:firstLine="420"/>
      </w:pPr>
      <w:r>
        <w:rPr>
          <w:rFonts w:hint="eastAsia"/>
        </w:rPr>
        <w:t>指各种以非物质形态存在的与群众生活密切相关、世代相承的传统文化表现形式，包括口头传统、传统表演艺术、民俗活动和礼仪与节庆、有关自然界和宇宙的民间传统知识和实践、传统手工艺技能等以及与上述传统文化表现形式相关的文化空间。</w:t>
      </w:r>
    </w:p>
    <w:p>
      <w:pPr>
        <w:pStyle w:val="223"/>
        <w:spacing w:before="156" w:beforeLines="50"/>
        <w:ind w:left="420" w:hanging="420" w:hangingChars="200"/>
        <w:rPr>
          <w:rFonts w:ascii="黑体" w:hAnsi="黑体" w:eastAsia="黑体"/>
        </w:rPr>
      </w:pPr>
      <w:r>
        <w:rPr>
          <w:rFonts w:ascii="黑体" w:hAnsi="黑体" w:eastAsia="黑体"/>
        </w:rPr>
        <w:br w:type="textWrapping"/>
      </w:r>
      <w:r>
        <w:rPr>
          <w:rFonts w:ascii="黑体" w:hAnsi="黑体" w:eastAsia="黑体"/>
        </w:rPr>
        <w:t>数字文化服务</w:t>
      </w:r>
    </w:p>
    <w:p>
      <w:pPr>
        <w:pStyle w:val="56"/>
        <w:ind w:firstLine="420"/>
      </w:pPr>
      <w:r>
        <w:rPr>
          <w:rFonts w:hint="eastAsia"/>
        </w:rPr>
        <w:t>指依托全国文化信息资源共享工程，进行文化信息的数字化采集、存储、处理和传输，实现网上图书馆、网上文化馆、网上博物馆等数字文化服务，推进公共文化发展、文化惠民的一项新颖文化服务。</w:t>
      </w:r>
    </w:p>
    <w:p>
      <w:pPr>
        <w:pStyle w:val="104"/>
        <w:spacing w:before="312" w:after="312"/>
      </w:pPr>
      <w:bookmarkStart w:id="53" w:name="_Toc59018201"/>
      <w:bookmarkStart w:id="54" w:name="_Toc62487479"/>
      <w:bookmarkStart w:id="55" w:name="_Toc60930964"/>
      <w:r>
        <w:rPr>
          <w:rFonts w:hint="eastAsia"/>
        </w:rPr>
        <w:t>总则</w:t>
      </w:r>
      <w:bookmarkEnd w:id="53"/>
      <w:bookmarkEnd w:id="54"/>
      <w:bookmarkEnd w:id="55"/>
    </w:p>
    <w:p>
      <w:pPr>
        <w:pStyle w:val="162"/>
        <w:ind w:left="0"/>
      </w:pPr>
      <w:r>
        <w:rPr>
          <w:rFonts w:hint="eastAsia"/>
        </w:rPr>
        <w:t>文化服务中心</w:t>
      </w:r>
      <w:r>
        <w:t>是公共文化服务体系的重要组成部分</w:t>
      </w:r>
      <w:r>
        <w:rPr>
          <w:rFonts w:hint="eastAsia"/>
        </w:rPr>
        <w:t>。应依据基层文化建设发展的要求，履行公共文化服务职能，并不断提高公共文化服务效能。</w:t>
      </w:r>
    </w:p>
    <w:p>
      <w:pPr>
        <w:pStyle w:val="162"/>
        <w:ind w:left="0"/>
      </w:pPr>
      <w:r>
        <w:rPr>
          <w:rFonts w:hint="eastAsia"/>
        </w:rPr>
        <w:t>文化服务中心的服务应坚持基层性、公益性、基本性、均等性和便利性的原则。</w:t>
      </w:r>
    </w:p>
    <w:p>
      <w:pPr>
        <w:pStyle w:val="162"/>
        <w:ind w:left="0"/>
      </w:pPr>
      <w:r>
        <w:rPr>
          <w:rFonts w:hint="eastAsia"/>
        </w:rPr>
        <w:t>文化服务中心以本乡镇常住人口和流动人口为服务对象。</w:t>
      </w:r>
    </w:p>
    <w:p>
      <w:pPr>
        <w:pStyle w:val="162"/>
        <w:ind w:left="0"/>
      </w:pPr>
      <w:r>
        <w:rPr>
          <w:rFonts w:hint="eastAsia"/>
        </w:rPr>
        <w:t>文化服务中心的服务除执行本标准的规定外，还应遵守国家相关标准及最新政策要求。</w:t>
      </w:r>
    </w:p>
    <w:p>
      <w:pPr>
        <w:pStyle w:val="104"/>
        <w:spacing w:before="312" w:after="312"/>
      </w:pPr>
      <w:bookmarkStart w:id="56" w:name="_Toc60930965"/>
      <w:bookmarkStart w:id="57" w:name="_Toc59018202"/>
      <w:bookmarkStart w:id="58" w:name="_Toc62487480"/>
      <w:r>
        <w:rPr>
          <w:rFonts w:hint="eastAsia"/>
        </w:rPr>
        <w:t>基本要求</w:t>
      </w:r>
      <w:bookmarkEnd w:id="56"/>
      <w:bookmarkEnd w:id="57"/>
      <w:bookmarkEnd w:id="58"/>
    </w:p>
    <w:p>
      <w:pPr>
        <w:pStyle w:val="105"/>
        <w:spacing w:before="156" w:after="156"/>
        <w:ind w:left="0"/>
      </w:pPr>
      <w:r>
        <w:rPr>
          <w:rFonts w:hint="eastAsia"/>
        </w:rPr>
        <w:t>设置要求</w:t>
      </w:r>
    </w:p>
    <w:p>
      <w:pPr>
        <w:pStyle w:val="165"/>
        <w:numPr>
          <w:ilvl w:val="0"/>
          <w:numId w:val="0"/>
        </w:numPr>
        <w:ind w:firstLine="420" w:firstLineChars="200"/>
      </w:pPr>
      <w:r>
        <w:rPr>
          <w:rFonts w:hint="eastAsia"/>
        </w:rPr>
        <w:t>文化服务中心机构应按乡镇行政区划设置，一个乡镇至少建设一个文化服务中心，为乡镇人民政府（街道办事处）设立的文化事业机构。行政区域较大的乡镇可设置多个综合文化服务中心。</w:t>
      </w:r>
    </w:p>
    <w:p>
      <w:pPr>
        <w:pStyle w:val="105"/>
        <w:spacing w:before="156" w:after="156"/>
        <w:ind w:left="0"/>
      </w:pPr>
      <w:r>
        <w:t>文化服务中心职能</w:t>
      </w:r>
    </w:p>
    <w:p>
      <w:pPr>
        <w:pStyle w:val="56"/>
        <w:ind w:firstLine="420"/>
      </w:pPr>
      <w:r>
        <w:rPr>
          <w:rFonts w:hint="eastAsia"/>
        </w:rPr>
        <w:t>可通过以下方式履行职能，开展服务：</w:t>
      </w:r>
    </w:p>
    <w:p>
      <w:pPr>
        <w:pStyle w:val="132"/>
      </w:pPr>
      <w:r>
        <w:rPr>
          <w:rFonts w:hint="eastAsia"/>
        </w:rPr>
        <w:t>应举办各类展览、讲座、经典诵读、阅读分享、大师课、公益音乐会、艺术沙龙、手工艺作坊等活动，普及科学文化知识，传递经济信息，为群众求知致富，促进当地经济建设服务；</w:t>
      </w:r>
    </w:p>
    <w:p>
      <w:pPr>
        <w:pStyle w:val="132"/>
      </w:pPr>
      <w:r>
        <w:rPr>
          <w:rFonts w:hint="eastAsia"/>
        </w:rPr>
        <w:t>应据当地群众的需求和设施、场地条件，组织开展广场舞展演、大众合唱和广播、电影放映等活动；应指导村级综合文化服务中心和农民自办文化组织建设，辅导和培训群众文艺骨干；</w:t>
      </w:r>
    </w:p>
    <w:p>
      <w:pPr>
        <w:pStyle w:val="132"/>
      </w:pPr>
      <w:r>
        <w:rPr>
          <w:rFonts w:hint="eastAsia"/>
        </w:rPr>
        <w:t>应面向全年龄段开展特色文化服务，根据实际情况，推动教育与公共文化服务融合发展，面向中小学生设立课外教育基地，开展文化艺术普及课程；</w:t>
      </w:r>
    </w:p>
    <w:p>
      <w:pPr>
        <w:pStyle w:val="132"/>
      </w:pPr>
      <w:r>
        <w:rPr>
          <w:rFonts w:hint="eastAsia"/>
        </w:rPr>
        <w:t>宜推进青年文化建设，将说唱、街舞、小剧场话剧等时尚文化形式纳入服务范围；</w:t>
      </w:r>
    </w:p>
    <w:p>
      <w:pPr>
        <w:pStyle w:val="132"/>
      </w:pPr>
      <w:r>
        <w:rPr>
          <w:rFonts w:hint="eastAsia"/>
        </w:rPr>
        <w:t>协助县级文化馆、图书馆等文化单位配送公共文化资源，开展流动文化服务，保证公共文化资源进村入户；</w:t>
      </w:r>
    </w:p>
    <w:p>
      <w:pPr>
        <w:pStyle w:val="132"/>
      </w:pPr>
      <w:r>
        <w:rPr>
          <w:rFonts w:hint="eastAsia"/>
        </w:rPr>
        <w:t>应对接县级公共图书馆、文化馆，开办图书室，开展群众读书读报活动，为当地群众提供图书报刊借阅服务，实现总分馆图书资源的通借通还、数字服务的共享、文艺活动的联动和人员的统一培训；</w:t>
      </w:r>
    </w:p>
    <w:p>
      <w:pPr>
        <w:pStyle w:val="132"/>
      </w:pPr>
      <w:r>
        <w:rPr>
          <w:rFonts w:hint="eastAsia"/>
        </w:rPr>
        <w:t>建成全国文化信息资源共享工程基层服务点，开展数字文化服务；</w:t>
      </w:r>
    </w:p>
    <w:p>
      <w:pPr>
        <w:pStyle w:val="132"/>
      </w:pPr>
      <w:r>
        <w:rPr>
          <w:rFonts w:hint="eastAsia"/>
        </w:rPr>
        <w:t>应在县级文化行政部门的指导下，搜集、整理非物质文化遗产，开展非物质文化遗产的普查、展示、宣传活动，指导传承人开展传习活动；</w:t>
      </w:r>
    </w:p>
    <w:p>
      <w:pPr>
        <w:pStyle w:val="132"/>
      </w:pPr>
      <w:r>
        <w:rPr>
          <w:rFonts w:hint="eastAsia"/>
        </w:rPr>
        <w:t>应协助县级文化行政部门开展文物的宣传保护工作；</w:t>
      </w:r>
    </w:p>
    <w:p>
      <w:pPr>
        <w:pStyle w:val="132"/>
      </w:pPr>
      <w:r>
        <w:rPr>
          <w:rFonts w:hint="eastAsia"/>
        </w:rPr>
        <w:t>应对接县级文化行政部门，协助做好农村文化市场管理及监督工作。发现重大问题或事故，依法采取应急措施并及时上报。</w:t>
      </w:r>
    </w:p>
    <w:p>
      <w:pPr>
        <w:pStyle w:val="132"/>
      </w:pPr>
      <w:r>
        <w:rPr>
          <w:rFonts w:hint="eastAsia"/>
        </w:rPr>
        <w:t>可结合实际，开展旅游、电商就业辅导等服务。</w:t>
      </w:r>
    </w:p>
    <w:p>
      <w:pPr>
        <w:pStyle w:val="105"/>
        <w:spacing w:before="156" w:after="156"/>
        <w:ind w:left="0"/>
      </w:pPr>
      <w:bookmarkStart w:id="59" w:name="_Toc59018204"/>
      <w:bookmarkStart w:id="60" w:name="_Toc60930967"/>
      <w:bookmarkStart w:id="61" w:name="_Toc59018203"/>
      <w:bookmarkStart w:id="62" w:name="_Toc60930966"/>
      <w:r>
        <w:rPr>
          <w:rFonts w:hint="eastAsia"/>
        </w:rPr>
        <w:t>经费保障</w:t>
      </w:r>
      <w:bookmarkEnd w:id="59"/>
      <w:bookmarkEnd w:id="60"/>
    </w:p>
    <w:p>
      <w:pPr>
        <w:pStyle w:val="165"/>
        <w:ind w:left="0"/>
      </w:pPr>
      <w:r>
        <w:rPr>
          <w:rFonts w:hint="eastAsia"/>
        </w:rPr>
        <w:t>文化服务中心的建设、维修、日常运转和业务活动所需经费，应列入基本建设投资计划和财政预算。</w:t>
      </w:r>
    </w:p>
    <w:p>
      <w:pPr>
        <w:pStyle w:val="165"/>
        <w:ind w:left="0"/>
      </w:pPr>
      <w:r>
        <w:rPr>
          <w:rFonts w:hint="eastAsia"/>
        </w:rPr>
        <w:t>文化服务中心应积极争取企业、社会团体、个人捐赠等方式资助文化服务中心。</w:t>
      </w:r>
    </w:p>
    <w:p>
      <w:pPr>
        <w:pStyle w:val="104"/>
        <w:spacing w:before="312" w:after="312"/>
      </w:pPr>
      <w:bookmarkStart w:id="63" w:name="_Toc62487481"/>
      <w:r>
        <w:rPr>
          <w:rFonts w:hint="eastAsia"/>
        </w:rPr>
        <w:t>硬件建设</w:t>
      </w:r>
      <w:bookmarkEnd w:id="61"/>
      <w:bookmarkEnd w:id="62"/>
      <w:bookmarkEnd w:id="63"/>
    </w:p>
    <w:p>
      <w:pPr>
        <w:pStyle w:val="105"/>
        <w:spacing w:before="156" w:after="156"/>
        <w:ind w:left="0"/>
      </w:pPr>
      <w:r>
        <w:rPr>
          <w:rFonts w:hint="eastAsia"/>
        </w:rPr>
        <w:t>设施建设</w:t>
      </w:r>
    </w:p>
    <w:p>
      <w:pPr>
        <w:pStyle w:val="165"/>
        <w:ind w:left="0"/>
      </w:pPr>
      <w:r>
        <w:rPr>
          <w:rFonts w:hint="eastAsia"/>
        </w:rPr>
        <w:t>文化服务中心项目建设应遵循统一规划、统筹建设，突出重点、突显特色的建设原则。改建或扩建项目，应充分利用原有场地和设施。</w:t>
      </w:r>
    </w:p>
    <w:p>
      <w:pPr>
        <w:pStyle w:val="165"/>
        <w:ind w:left="0"/>
      </w:pPr>
      <w:r>
        <w:rPr>
          <w:rFonts w:hint="eastAsia"/>
        </w:rPr>
        <w:t>宜因地制宜建设乡村戏台、文化村史馆、非遗传习场所、农民文化公园、文化广场等主题功能空间。</w:t>
      </w:r>
    </w:p>
    <w:p>
      <w:pPr>
        <w:pStyle w:val="165"/>
        <w:ind w:left="0"/>
      </w:pPr>
      <w:r>
        <w:t>文化服务中心选址应符合下列要求</w:t>
      </w:r>
      <w:r>
        <w:rPr>
          <w:rFonts w:hint="eastAsia"/>
        </w:rPr>
        <w:t>：</w:t>
      </w:r>
    </w:p>
    <w:p>
      <w:pPr>
        <w:pStyle w:val="132"/>
      </w:pPr>
      <w:r>
        <w:rPr>
          <w:rFonts w:hint="eastAsia"/>
        </w:rPr>
        <w:t>应选择乡镇中心或交通便利、人口集中的地域，便于群众聚集活动，且易于疏散；</w:t>
      </w:r>
    </w:p>
    <w:p>
      <w:pPr>
        <w:pStyle w:val="132"/>
      </w:pPr>
      <w:r>
        <w:rPr>
          <w:rFonts w:hint="eastAsia"/>
        </w:rPr>
        <w:t>应符合所在城镇的总体规划；</w:t>
      </w:r>
    </w:p>
    <w:p>
      <w:pPr>
        <w:pStyle w:val="132"/>
      </w:pPr>
      <w:r>
        <w:rPr>
          <w:rFonts w:hint="eastAsia"/>
        </w:rPr>
        <w:t>工程地质及水文地质条件良好，符合安全、卫生和环保标准等要求；</w:t>
      </w:r>
    </w:p>
    <w:p>
      <w:pPr>
        <w:pStyle w:val="132"/>
      </w:pPr>
      <w:r>
        <w:rPr>
          <w:rFonts w:hint="eastAsia"/>
        </w:rPr>
        <w:t>宜结合乡镇广场、公园绿地等公共活动空间综合布置，避免或减少对医院、学校、幼儿园、住宅等需要安静环境建筑的影响；</w:t>
      </w:r>
    </w:p>
    <w:p>
      <w:pPr>
        <w:pStyle w:val="132"/>
      </w:pPr>
      <w:r>
        <w:rPr>
          <w:rFonts w:hint="eastAsia"/>
        </w:rPr>
        <w:t>可与其他文化、社会教育、社会服务及旅游服务设施合并建设，但文化服务中心功能用房应相对集中，便于开展活动，避免相互干扰。</w:t>
      </w:r>
    </w:p>
    <w:p>
      <w:pPr>
        <w:pStyle w:val="132"/>
      </w:pPr>
      <w:r>
        <w:rPr>
          <w:rFonts w:hint="eastAsia"/>
        </w:rPr>
        <w:t>不应与乡、镇政府办公楼合并建设。在与乡、镇政府办公楼使用同一场地进行建设时，应独立成区，并设有专用出入口。</w:t>
      </w:r>
    </w:p>
    <w:p>
      <w:pPr>
        <w:pStyle w:val="165"/>
        <w:ind w:left="0"/>
      </w:pPr>
      <w:r>
        <w:rPr>
          <w:rFonts w:hint="eastAsia"/>
        </w:rPr>
        <w:t>建设规模，文化服务中心宜为一至三层建筑，建筑面积应以服务人口数量为主要依据，兼顾经济社会发展水平、社会需求、功能设计综合确定。其建筑面积控制指标要求如下：</w:t>
      </w:r>
    </w:p>
    <w:p>
      <w:pPr>
        <w:pStyle w:val="132"/>
      </w:pPr>
      <w:r>
        <w:rPr>
          <w:rFonts w:hint="eastAsia"/>
        </w:rPr>
        <w:t>大型站：服务人口 5-10万人，建筑面积 800-1500㎡；</w:t>
      </w:r>
    </w:p>
    <w:p>
      <w:pPr>
        <w:pStyle w:val="132"/>
      </w:pPr>
      <w:r>
        <w:rPr>
          <w:rFonts w:hint="eastAsia"/>
        </w:rPr>
        <w:t>中型站：服务人口 3-5万人，建筑面积 500-800㎡；</w:t>
      </w:r>
    </w:p>
    <w:p>
      <w:pPr>
        <w:pStyle w:val="132"/>
      </w:pPr>
      <w:r>
        <w:rPr>
          <w:rFonts w:hint="eastAsia"/>
        </w:rPr>
        <w:t>小型站：服务人口 1-3万人，建筑面积 300-500㎡；服务人口 1万人以下，建筑面积 300㎡；</w:t>
      </w:r>
    </w:p>
    <w:p>
      <w:pPr>
        <w:pStyle w:val="132"/>
      </w:pPr>
      <w:r>
        <w:rPr>
          <w:rFonts w:hint="eastAsia"/>
        </w:rPr>
        <w:t>上等级文化服务中心的建筑面积不应少于 400㎡。</w:t>
      </w:r>
    </w:p>
    <w:p>
      <w:pPr>
        <w:pStyle w:val="165"/>
        <w:ind w:left="0"/>
      </w:pPr>
      <w:r>
        <w:rPr>
          <w:rFonts w:hint="eastAsia"/>
        </w:rPr>
        <w:t>文化服务中心建设用房项目设置见附录A，各类功能用房使用面积比例应参照《乡镇综合文化站建设标准（建标160-2012）》确定，其总使用面积系数宜控制在0.7。房屋建筑各类功能分区包括但不限于：</w:t>
      </w:r>
    </w:p>
    <w:p>
      <w:pPr>
        <w:pStyle w:val="132"/>
      </w:pPr>
      <w:r>
        <w:rPr>
          <w:rFonts w:hint="eastAsia"/>
        </w:rPr>
        <w:t>文化体育活动用房，如多功能活动厅、排练室、展览室、体育健身室、美术室等；</w:t>
      </w:r>
    </w:p>
    <w:p>
      <w:pPr>
        <w:pStyle w:val="132"/>
      </w:pPr>
      <w:r>
        <w:rPr>
          <w:rFonts w:hint="eastAsia"/>
        </w:rPr>
        <w:t>书刊阅览用房，如书刊阅览室、少年儿童图书阅览室等；</w:t>
      </w:r>
    </w:p>
    <w:p>
      <w:pPr>
        <w:pStyle w:val="132"/>
      </w:pPr>
      <w:r>
        <w:rPr>
          <w:rFonts w:hint="eastAsia"/>
        </w:rPr>
        <w:t>教育培训用房，如教室、视听室等；</w:t>
      </w:r>
    </w:p>
    <w:p>
      <w:pPr>
        <w:pStyle w:val="132"/>
      </w:pPr>
      <w:r>
        <w:rPr>
          <w:rFonts w:hint="eastAsia"/>
        </w:rPr>
        <w:t>网络信息服务用房，如广播电视服务室、文化信息资源共享工程服务室、微机室等；</w:t>
      </w:r>
    </w:p>
    <w:p>
      <w:pPr>
        <w:pStyle w:val="132"/>
      </w:pPr>
      <w:r>
        <w:rPr>
          <w:rFonts w:hint="eastAsia"/>
        </w:rPr>
        <w:t>管理与辅助用房，如管理室、设备间、库房等;</w:t>
      </w:r>
    </w:p>
    <w:p>
      <w:pPr>
        <w:pStyle w:val="132"/>
      </w:pPr>
      <w:r>
        <w:rPr>
          <w:rFonts w:hint="eastAsia"/>
        </w:rPr>
        <w:t>上等级文化服务中心必须设有多功能厅、辅导培训、图书阅览和电子阅览室（文化共享工程活动室），且每个活动室不得少于 30㎡。</w:t>
      </w:r>
    </w:p>
    <w:p>
      <w:pPr>
        <w:pStyle w:val="165"/>
        <w:ind w:left="0"/>
      </w:pPr>
      <w:r>
        <w:rPr>
          <w:rFonts w:hint="eastAsia"/>
        </w:rPr>
        <w:t>文化服务中心应根据其建设规模、环境要求和功能需求合理配置卫生设备、电气设备、通信设备、信息设施设备、暖通空调设备、消防与安全设备。</w:t>
      </w:r>
    </w:p>
    <w:p>
      <w:pPr>
        <w:pStyle w:val="165"/>
        <w:ind w:left="0"/>
      </w:pPr>
      <w:r>
        <w:rPr>
          <w:rFonts w:hint="eastAsia"/>
        </w:rPr>
        <w:t>应设有不少于600 ㎡的室外活动场地，包括：含开展群众文化体育活动的篮球场、演出和文艺活动场地、宣传橱窗、绿化休憩场地、道路及停车场地等。</w:t>
      </w:r>
    </w:p>
    <w:p>
      <w:pPr>
        <w:pStyle w:val="105"/>
        <w:spacing w:before="156" w:after="156"/>
        <w:ind w:left="0"/>
      </w:pPr>
      <w:r>
        <w:rPr>
          <w:rFonts w:hint="eastAsia"/>
        </w:rPr>
        <w:t>设备器材配置</w:t>
      </w:r>
    </w:p>
    <w:p>
      <w:pPr>
        <w:pStyle w:val="105"/>
        <w:numPr>
          <w:ilvl w:val="0"/>
          <w:numId w:val="0"/>
        </w:numPr>
        <w:spacing w:before="0" w:beforeLines="0" w:after="0" w:afterLines="0"/>
        <w:ind w:left="426"/>
        <w:rPr>
          <w:rFonts w:ascii="宋体" w:eastAsia="宋体"/>
        </w:rPr>
      </w:pPr>
      <w:r>
        <w:rPr>
          <w:rFonts w:hint="eastAsia" w:ascii="宋体" w:eastAsia="宋体"/>
        </w:rPr>
        <w:t>文化服务中心宜配备以下专用设备和器材，具体见附录B：</w:t>
      </w:r>
    </w:p>
    <w:p>
      <w:pPr>
        <w:pStyle w:val="132"/>
      </w:pPr>
      <w:r>
        <w:rPr>
          <w:rFonts w:hint="eastAsia"/>
        </w:rPr>
        <w:t>演出设备和乐器、演出服装；</w:t>
      </w:r>
    </w:p>
    <w:p>
      <w:pPr>
        <w:pStyle w:val="132"/>
      </w:pPr>
      <w:r>
        <w:rPr>
          <w:rFonts w:hint="eastAsia"/>
        </w:rPr>
        <w:t>美术创作及展览设备；</w:t>
      </w:r>
    </w:p>
    <w:p>
      <w:pPr>
        <w:pStyle w:val="132"/>
      </w:pPr>
      <w:r>
        <w:rPr>
          <w:rFonts w:hint="eastAsia"/>
        </w:rPr>
        <w:t>书报刊阅览设备；</w:t>
      </w:r>
    </w:p>
    <w:p>
      <w:pPr>
        <w:pStyle w:val="132"/>
      </w:pPr>
      <w:r>
        <w:rPr>
          <w:rFonts w:hint="eastAsia"/>
        </w:rPr>
        <w:t>教育培训、视听及电教设备；</w:t>
      </w:r>
    </w:p>
    <w:p>
      <w:pPr>
        <w:pStyle w:val="132"/>
      </w:pPr>
      <w:r>
        <w:rPr>
          <w:rFonts w:hint="eastAsia"/>
        </w:rPr>
        <w:t>摄影及摄像设备；</w:t>
      </w:r>
    </w:p>
    <w:p>
      <w:pPr>
        <w:pStyle w:val="132"/>
      </w:pPr>
      <w:r>
        <w:rPr>
          <w:rFonts w:hint="eastAsia"/>
        </w:rPr>
        <w:t>文化信息资源共享工程设备；</w:t>
      </w:r>
    </w:p>
    <w:p>
      <w:pPr>
        <w:pStyle w:val="132"/>
      </w:pPr>
      <w:r>
        <w:rPr>
          <w:rFonts w:hint="eastAsia"/>
        </w:rPr>
        <w:t>综合文化车；</w:t>
      </w:r>
    </w:p>
    <w:p>
      <w:pPr>
        <w:pStyle w:val="132"/>
      </w:pPr>
      <w:r>
        <w:rPr>
          <w:rFonts w:hint="eastAsia"/>
        </w:rPr>
        <w:t>体育健身器材；</w:t>
      </w:r>
    </w:p>
    <w:p>
      <w:pPr>
        <w:pStyle w:val="132"/>
      </w:pPr>
      <w:r>
        <w:rPr>
          <w:rFonts w:hint="eastAsia"/>
        </w:rPr>
        <w:t>其他设备等。</w:t>
      </w:r>
    </w:p>
    <w:p>
      <w:pPr>
        <w:pStyle w:val="104"/>
        <w:spacing w:before="312" w:after="312"/>
      </w:pPr>
      <w:bookmarkStart w:id="64" w:name="_Toc62487482"/>
      <w:r>
        <w:t>队伍建设</w:t>
      </w:r>
      <w:bookmarkEnd w:id="64"/>
    </w:p>
    <w:p>
      <w:pPr>
        <w:pStyle w:val="105"/>
        <w:spacing w:before="156" w:after="156"/>
        <w:ind w:left="0"/>
      </w:pPr>
      <w:bookmarkStart w:id="65" w:name="_Toc60930969"/>
      <w:bookmarkStart w:id="66" w:name="_Toc59018206"/>
      <w:r>
        <w:rPr>
          <w:rFonts w:hint="eastAsia"/>
        </w:rPr>
        <w:t>人员要求</w:t>
      </w:r>
    </w:p>
    <w:p>
      <w:pPr>
        <w:pStyle w:val="165"/>
        <w:ind w:left="0"/>
      </w:pPr>
      <w:r>
        <w:rPr>
          <w:rFonts w:hint="eastAsia"/>
        </w:rPr>
        <w:t>文化服务中心负责人应具有大专以上学历或具备相当于大专以上文化程度，善于组织群众开展文化活动，具备开展工作的业务能力和管理水平。</w:t>
      </w:r>
    </w:p>
    <w:p>
      <w:pPr>
        <w:pStyle w:val="165"/>
        <w:ind w:left="0"/>
      </w:pPr>
      <w:r>
        <w:rPr>
          <w:rFonts w:hint="eastAsia"/>
        </w:rPr>
        <w:t>文化服务中心从业人员每年应参加继续教育或业务培训。</w:t>
      </w:r>
    </w:p>
    <w:p>
      <w:pPr>
        <w:pStyle w:val="105"/>
        <w:spacing w:before="156" w:after="156"/>
        <w:ind w:left="0"/>
      </w:pPr>
      <w:r>
        <w:t>人员配备</w:t>
      </w:r>
    </w:p>
    <w:p>
      <w:pPr>
        <w:pStyle w:val="65"/>
        <w:spacing w:before="156" w:after="156"/>
        <w:ind w:left="0"/>
      </w:pPr>
      <w:r>
        <w:t>人员数量</w:t>
      </w:r>
    </w:p>
    <w:p>
      <w:pPr>
        <w:pStyle w:val="164"/>
      </w:pPr>
      <w:r>
        <w:rPr>
          <w:rFonts w:hint="eastAsia"/>
        </w:rPr>
        <w:t>文化服务中心应配备专职人员，并根据所承担的职能和任务以及所服务的乡镇人口规模等因素合理确定人员数量。</w:t>
      </w:r>
    </w:p>
    <w:p>
      <w:pPr>
        <w:pStyle w:val="164"/>
      </w:pPr>
      <w:r>
        <w:rPr>
          <w:rFonts w:hint="eastAsia"/>
        </w:rPr>
        <w:t>文化服务中心一般应配备不少于2-3名工作人员，规模较大乡镇可适当增加。有条件的可配备不少于2名的兼职文艺辅导员或协管员。</w:t>
      </w:r>
    </w:p>
    <w:p>
      <w:pPr>
        <w:pStyle w:val="65"/>
        <w:spacing w:before="156" w:after="156"/>
        <w:ind w:left="0"/>
      </w:pPr>
      <w:r>
        <w:rPr>
          <w:rFonts w:hint="eastAsia"/>
        </w:rPr>
        <w:t>上岗资格</w:t>
      </w:r>
    </w:p>
    <w:p>
      <w:pPr>
        <w:pStyle w:val="164"/>
      </w:pPr>
      <w:r>
        <w:rPr>
          <w:rFonts w:hint="eastAsia"/>
        </w:rPr>
        <w:t>文化服务中心从业人员应通过文化行政部门或委托的有关部门组织的相应考试、考核。</w:t>
      </w:r>
    </w:p>
    <w:p>
      <w:pPr>
        <w:pStyle w:val="164"/>
      </w:pPr>
      <w:r>
        <w:rPr>
          <w:rFonts w:hint="eastAsia"/>
        </w:rPr>
        <w:t>少数</w:t>
      </w:r>
      <w:r>
        <w:rPr>
          <w:rFonts w:hint="eastAsia"/>
          <w:lang w:eastAsia="zh-CN"/>
        </w:rPr>
        <w:t>民族</w:t>
      </w:r>
      <w:r>
        <w:rPr>
          <w:rFonts w:hint="eastAsia"/>
        </w:rPr>
        <w:t>自制地区文化服务中心宜配备熟悉少数民族语言文字的工作人员。</w:t>
      </w:r>
    </w:p>
    <w:p>
      <w:pPr>
        <w:pStyle w:val="164"/>
      </w:pPr>
      <w:r>
        <w:rPr>
          <w:rFonts w:hint="eastAsia"/>
        </w:rPr>
        <w:t>有地方方言需要的地区应配备一定比例的熟悉方言的工作人员。</w:t>
      </w:r>
    </w:p>
    <w:p>
      <w:pPr>
        <w:pStyle w:val="65"/>
        <w:spacing w:before="156" w:after="156"/>
        <w:ind w:left="0"/>
      </w:pPr>
      <w:r>
        <w:rPr>
          <w:rFonts w:hint="eastAsia"/>
        </w:rPr>
        <w:t>人员培训</w:t>
      </w:r>
    </w:p>
    <w:p>
      <w:pPr>
        <w:pStyle w:val="164"/>
      </w:pPr>
      <w:r>
        <w:rPr>
          <w:rFonts w:hint="eastAsia"/>
        </w:rPr>
        <w:t>文化服务中心专兼职人员每年应参加集中培训，且时间不少于5天。</w:t>
      </w:r>
    </w:p>
    <w:p>
      <w:pPr>
        <w:pStyle w:val="164"/>
      </w:pPr>
      <w:r>
        <w:rPr>
          <w:rFonts w:hint="eastAsia"/>
        </w:rPr>
        <w:t>上等级文化服务中心的人员应参加县文化馆、图书馆的培训，且培训率为 100%，参加培训、继续教育学时每年达到48学时的比例不少于70%。</w:t>
      </w:r>
    </w:p>
    <w:p>
      <w:pPr>
        <w:pStyle w:val="105"/>
        <w:spacing w:before="156" w:after="156"/>
        <w:ind w:left="0"/>
      </w:pPr>
      <w:r>
        <w:rPr>
          <w:rFonts w:hint="eastAsia"/>
        </w:rPr>
        <w:t>群众业余文艺团队</w:t>
      </w:r>
    </w:p>
    <w:p>
      <w:pPr>
        <w:pStyle w:val="165"/>
        <w:ind w:left="0"/>
      </w:pPr>
      <w:r>
        <w:rPr>
          <w:rFonts w:hint="eastAsia"/>
        </w:rPr>
        <w:t>文化服务中心应建立相对稳定并经常开展活动的各类文艺团队，且不少于4支。</w:t>
      </w:r>
    </w:p>
    <w:p>
      <w:pPr>
        <w:pStyle w:val="165"/>
        <w:ind w:left="0"/>
      </w:pPr>
      <w:r>
        <w:rPr>
          <w:rFonts w:hint="eastAsia"/>
        </w:rPr>
        <w:t>文化服务中心应成立 1 支登记注册、管理规范的文化志愿者队伍。</w:t>
      </w:r>
    </w:p>
    <w:p>
      <w:pPr>
        <w:pStyle w:val="165"/>
        <w:ind w:left="0"/>
      </w:pPr>
      <w:r>
        <w:rPr>
          <w:rFonts w:hint="eastAsia"/>
        </w:rPr>
        <w:t>宜打造1支农民工文艺团队。</w:t>
      </w:r>
    </w:p>
    <w:bookmarkEnd w:id="65"/>
    <w:bookmarkEnd w:id="66"/>
    <w:p>
      <w:pPr>
        <w:pStyle w:val="104"/>
        <w:spacing w:before="312" w:after="312"/>
      </w:pPr>
      <w:bookmarkStart w:id="67" w:name="_Toc62487483"/>
      <w:r>
        <w:rPr>
          <w:rFonts w:hint="eastAsia"/>
        </w:rPr>
        <w:t>服务内容</w:t>
      </w:r>
      <w:bookmarkEnd w:id="67"/>
    </w:p>
    <w:p>
      <w:pPr>
        <w:pStyle w:val="105"/>
        <w:spacing w:before="156" w:after="156"/>
        <w:ind w:left="0"/>
      </w:pPr>
      <w:r>
        <w:t>阵地服务</w:t>
      </w:r>
    </w:p>
    <w:p>
      <w:pPr>
        <w:pStyle w:val="165"/>
        <w:ind w:left="0"/>
      </w:pPr>
      <w:r>
        <w:rPr>
          <w:rFonts w:hint="eastAsia"/>
        </w:rPr>
        <w:t>应在醒目位置标明公共文化体育阵地开放时间、地点、组织者、服务内容、使用方法、注意事项等。每周对群众开放提供服务的时间不少于 35小时。常设免费活动项目不少于 5项。</w:t>
      </w:r>
    </w:p>
    <w:p>
      <w:pPr>
        <w:pStyle w:val="65"/>
        <w:spacing w:before="0" w:beforeLines="0" w:after="0" w:afterLines="0"/>
        <w:ind w:left="0"/>
        <w:rPr>
          <w:rFonts w:ascii="宋体" w:eastAsia="宋体"/>
        </w:rPr>
      </w:pPr>
      <w:r>
        <w:rPr>
          <w:rFonts w:hint="eastAsia" w:ascii="宋体" w:eastAsia="宋体"/>
        </w:rPr>
        <w:t>每年应组织面向本乡镇群众、内容为综合性的大型文化活动不少于1次。</w:t>
      </w:r>
    </w:p>
    <w:p>
      <w:pPr>
        <w:pStyle w:val="165"/>
        <w:ind w:left="0"/>
      </w:pPr>
      <w:r>
        <w:rPr>
          <w:rFonts w:hint="eastAsia"/>
        </w:rPr>
        <w:t>每年应举办单项性文体活动（不含展览、培训、读书、非遗展示、共享工程活动）不少于4次。</w:t>
      </w:r>
    </w:p>
    <w:p>
      <w:pPr>
        <w:pStyle w:val="165"/>
        <w:ind w:left="0"/>
      </w:pPr>
      <w:r>
        <w:rPr>
          <w:rFonts w:hint="eastAsia"/>
        </w:rPr>
        <w:t>每年应举办展览（不含常设性非遗展示）不少于 3次。</w:t>
      </w:r>
    </w:p>
    <w:p>
      <w:pPr>
        <w:pStyle w:val="105"/>
        <w:spacing w:before="156" w:after="156"/>
        <w:ind w:left="0"/>
      </w:pPr>
      <w:r>
        <w:rPr>
          <w:rFonts w:hint="eastAsia"/>
        </w:rPr>
        <w:t>指导与辅导</w:t>
      </w:r>
    </w:p>
    <w:p>
      <w:pPr>
        <w:pStyle w:val="165"/>
        <w:ind w:left="0"/>
      </w:pPr>
      <w:r>
        <w:rPr>
          <w:rFonts w:hint="eastAsia"/>
        </w:rPr>
        <w:t>每年指导、辅导本乡镇区域内的村级综合文化服务中心所占比例应不少于60%。</w:t>
      </w:r>
    </w:p>
    <w:p>
      <w:pPr>
        <w:pStyle w:val="165"/>
        <w:ind w:left="0"/>
      </w:pPr>
      <w:r>
        <w:rPr>
          <w:rFonts w:hint="eastAsia"/>
        </w:rPr>
        <w:t>每年为辖区内文化骨干（文艺团队）举办文体培训应不少于2次。</w:t>
      </w:r>
    </w:p>
    <w:p>
      <w:pPr>
        <w:pStyle w:val="105"/>
        <w:spacing w:before="156" w:after="156"/>
        <w:ind w:left="0"/>
      </w:pPr>
      <w:r>
        <w:rPr>
          <w:rFonts w:hint="eastAsia"/>
        </w:rPr>
        <w:t>图书借阅</w:t>
      </w:r>
    </w:p>
    <w:p>
      <w:pPr>
        <w:pStyle w:val="165"/>
        <w:ind w:left="0"/>
      </w:pPr>
      <w:r>
        <w:rPr>
          <w:rFonts w:hint="eastAsia"/>
        </w:rPr>
        <w:t>图书阅览室应具备阅览、借阅等功能。有图书 2000册以上，报刊杂志 10种以上。</w:t>
      </w:r>
    </w:p>
    <w:p>
      <w:pPr>
        <w:pStyle w:val="165"/>
        <w:ind w:left="0"/>
      </w:pPr>
      <w:r>
        <w:rPr>
          <w:rFonts w:hint="eastAsia"/>
        </w:rPr>
        <w:t>年藏书流通每册书不少于 0.2册次。</w:t>
      </w:r>
    </w:p>
    <w:p>
      <w:pPr>
        <w:pStyle w:val="165"/>
        <w:ind w:left="0"/>
      </w:pPr>
      <w:r>
        <w:rPr>
          <w:rFonts w:hint="eastAsia"/>
        </w:rPr>
        <w:t>年度开展优秀读物推荐和读书活动不少于3次。</w:t>
      </w:r>
    </w:p>
    <w:p>
      <w:pPr>
        <w:pStyle w:val="165"/>
        <w:ind w:left="0"/>
      </w:pPr>
      <w:r>
        <w:rPr>
          <w:rFonts w:hint="eastAsia"/>
        </w:rPr>
        <w:t>宜对接网上商业平台提供公共图书馆的免押金借阅服务。</w:t>
      </w:r>
    </w:p>
    <w:p>
      <w:pPr>
        <w:pStyle w:val="105"/>
        <w:spacing w:before="156" w:after="156"/>
        <w:ind w:left="0"/>
      </w:pPr>
      <w:r>
        <w:rPr>
          <w:rFonts w:hint="eastAsia"/>
        </w:rPr>
        <w:t>数字化服务</w:t>
      </w:r>
    </w:p>
    <w:p>
      <w:pPr>
        <w:pStyle w:val="165"/>
        <w:ind w:left="0"/>
      </w:pPr>
      <w:r>
        <w:rPr>
          <w:rFonts w:hint="eastAsia"/>
        </w:rPr>
        <w:t>应配备主服务器在内的电脑，包括配套桌椅、开通互联网、提供免费上网服务等。</w:t>
      </w:r>
    </w:p>
    <w:p>
      <w:pPr>
        <w:pStyle w:val="165"/>
        <w:ind w:left="0"/>
      </w:pPr>
      <w:r>
        <w:rPr>
          <w:rFonts w:hint="eastAsia"/>
        </w:rPr>
        <w:t>每年利用文化信息资源共享工程资源开展活动应不少于3次。</w:t>
      </w:r>
    </w:p>
    <w:p>
      <w:pPr>
        <w:pStyle w:val="165"/>
        <w:ind w:left="0"/>
      </w:pPr>
      <w:r>
        <w:rPr>
          <w:rFonts w:hint="eastAsia"/>
        </w:rPr>
        <w:t>每年利用文化信息资源共享工程资源开展信息服务，编辑文艺、信息等刊物、资料应不少于 3期（次）。</w:t>
      </w:r>
    </w:p>
    <w:p>
      <w:pPr>
        <w:pStyle w:val="165"/>
        <w:ind w:left="0"/>
      </w:pPr>
      <w:r>
        <w:rPr>
          <w:rFonts w:hint="eastAsia"/>
        </w:rPr>
        <w:t>应开展公共文化“一码通”建设，使群众通过扫码随时随地能获取文化服务。</w:t>
      </w:r>
    </w:p>
    <w:p>
      <w:pPr>
        <w:pStyle w:val="165"/>
        <w:ind w:left="0"/>
      </w:pPr>
      <w:r>
        <w:rPr>
          <w:rFonts w:hint="eastAsia"/>
        </w:rPr>
        <w:t>宜开通并打造有影响力的自媒体公众号，通过微视频、直播等方式展示原创文艺作品。</w:t>
      </w:r>
    </w:p>
    <w:p>
      <w:pPr>
        <w:pStyle w:val="105"/>
        <w:spacing w:before="156" w:after="156"/>
        <w:ind w:left="0"/>
      </w:pPr>
      <w:r>
        <w:rPr>
          <w:rFonts w:hint="eastAsia"/>
        </w:rPr>
        <w:t>非物质文化遗产保护</w:t>
      </w:r>
    </w:p>
    <w:p>
      <w:pPr>
        <w:pStyle w:val="165"/>
        <w:ind w:left="0"/>
      </w:pPr>
      <w:r>
        <w:rPr>
          <w:rFonts w:hint="eastAsia"/>
        </w:rPr>
        <w:t>文化服务中心应开展非物质文化遗产调查，具体要求如下：</w:t>
      </w:r>
    </w:p>
    <w:p>
      <w:pPr>
        <w:pStyle w:val="132"/>
      </w:pPr>
      <w:r>
        <w:rPr>
          <w:rFonts w:hint="eastAsia"/>
        </w:rPr>
        <w:t>应根据县级文化行政部门的安排或保护工作的需要，组织调查人员通过召开座谈会、走访民间艺人等方式，有计划地开展辖区内非物质文化遗产调查，全面掌握辖区内非物质文化遗产资源分布状况和生存现状；</w:t>
      </w:r>
    </w:p>
    <w:p>
      <w:pPr>
        <w:pStyle w:val="132"/>
      </w:pPr>
      <w:r>
        <w:rPr>
          <w:rFonts w:hint="eastAsia"/>
        </w:rPr>
        <w:t>对调查发现的非物质文化遗产应进行文字和影像记录，经过整理，建立完备的非物质文化遗产档案或数据库；</w:t>
      </w:r>
    </w:p>
    <w:p>
      <w:pPr>
        <w:pStyle w:val="132"/>
      </w:pPr>
      <w:r>
        <w:rPr>
          <w:rFonts w:hint="eastAsia"/>
        </w:rPr>
        <w:t>调查中应收集属于非物质文化遗产组成部分的代表性实物，并妥善保存。</w:t>
      </w:r>
    </w:p>
    <w:p>
      <w:pPr>
        <w:pStyle w:val="165"/>
        <w:ind w:left="0"/>
      </w:pPr>
      <w:r>
        <w:rPr>
          <w:rFonts w:hint="eastAsia"/>
        </w:rPr>
        <w:t>文化服务中心应做好辖区内各级非物质文化遗产名录项目和传承人的保护工作，具体要求如下：</w:t>
      </w:r>
    </w:p>
    <w:p>
      <w:pPr>
        <w:pStyle w:val="132"/>
      </w:pPr>
      <w:r>
        <w:rPr>
          <w:rFonts w:hint="eastAsia"/>
        </w:rPr>
        <w:t>对每个名录项目落实具体保护责任单位，制订保护工作方案，落实保护措施，实施科学保护；</w:t>
      </w:r>
    </w:p>
    <w:p>
      <w:pPr>
        <w:pStyle w:val="132"/>
      </w:pPr>
      <w:r>
        <w:rPr>
          <w:rFonts w:hint="eastAsia"/>
        </w:rPr>
        <w:t>对于传承人每年开展不少于 2次走访慰问活动，了解传承人对传承活动的需求；</w:t>
      </w:r>
    </w:p>
    <w:p>
      <w:pPr>
        <w:pStyle w:val="132"/>
      </w:pPr>
      <w:r>
        <w:rPr>
          <w:rFonts w:hint="eastAsia"/>
        </w:rPr>
        <w:t>努力帮助传承人落实传承场所，建立传承人工作室，指导传承人开展传习活动， 鼓励传承人带徒学艺，促进非物质文化遗产活态传承。</w:t>
      </w:r>
    </w:p>
    <w:p>
      <w:pPr>
        <w:pStyle w:val="165"/>
        <w:ind w:left="0"/>
      </w:pPr>
      <w:r>
        <w:rPr>
          <w:rFonts w:hint="eastAsia"/>
        </w:rPr>
        <w:t>有非物质文化遗产项目的文化服务中心应开展有关展示活动，具体要求如下：</w:t>
      </w:r>
    </w:p>
    <w:p>
      <w:pPr>
        <w:pStyle w:val="132"/>
      </w:pPr>
      <w:r>
        <w:rPr>
          <w:rFonts w:hint="eastAsia"/>
        </w:rPr>
        <w:t>应建立非物质文化遗产展示室，利用传统节日和当地民俗活动开展好非物质文化遗产活态展示展演活动；</w:t>
      </w:r>
    </w:p>
    <w:p>
      <w:pPr>
        <w:pStyle w:val="132"/>
      </w:pPr>
      <w:r>
        <w:rPr>
          <w:rFonts w:hint="eastAsia"/>
        </w:rPr>
        <w:t>每年应举办非遗活动（含表演、展览、比赛、传承培训）不少于3次。</w:t>
      </w:r>
    </w:p>
    <w:p>
      <w:pPr>
        <w:pStyle w:val="165"/>
        <w:ind w:left="0"/>
      </w:pPr>
      <w:r>
        <w:rPr>
          <w:rFonts w:hint="eastAsia"/>
        </w:rPr>
        <w:t>应积极利用当地优秀文化遗产资源，通过生产性保护等方式，培育特色文化品牌项目和特色传统产业，推进文化资源与发展旅游业、文化创意产业与美丽乡村建设相结合，为发展当地经济社会服务。</w:t>
      </w:r>
    </w:p>
    <w:p>
      <w:pPr>
        <w:pStyle w:val="165"/>
        <w:ind w:left="0"/>
      </w:pPr>
      <w:r>
        <w:rPr>
          <w:rFonts w:hint="eastAsia"/>
        </w:rPr>
        <w:t>应加强非物质文化遗产保护，开展乡村艺术普及活动。</w:t>
      </w:r>
    </w:p>
    <w:p>
      <w:pPr>
        <w:pStyle w:val="105"/>
        <w:spacing w:before="156" w:after="156"/>
        <w:ind w:left="0"/>
      </w:pPr>
      <w:r>
        <w:rPr>
          <w:rFonts w:hint="eastAsia"/>
        </w:rPr>
        <w:t>文物保护</w:t>
      </w:r>
    </w:p>
    <w:p>
      <w:pPr>
        <w:pStyle w:val="165"/>
        <w:ind w:left="0"/>
      </w:pPr>
      <w:r>
        <w:rPr>
          <w:rFonts w:hint="eastAsia"/>
        </w:rPr>
        <w:t>文化服务中心应按照县级文化行政部门的布置并在其指导下，组织普查力量，制订普查计划，举办普查业务培训，在规定的时间内完成辖区内文物普查工作，并做好普查文字、照片、 录像等资料的整理，建立文物普查资料档案。发现珍贵文物和出土文物应及时报告县级文化（文物）行政部门；</w:t>
      </w:r>
    </w:p>
    <w:p>
      <w:pPr>
        <w:pStyle w:val="165"/>
        <w:ind w:left="0"/>
      </w:pPr>
      <w:r>
        <w:rPr>
          <w:rFonts w:hint="eastAsia"/>
        </w:rPr>
        <w:t>文化服务中心应依法做好辖区内文物保护单位（点） 的保护与管理工作，建立档案和保护标志，并与每处文物保护单位（点）所在的行政村（社区）、使用单位或个人签订保护责任书。一年一签，并报县级文化（文物）行政部门备案。</w:t>
      </w:r>
    </w:p>
    <w:p>
      <w:pPr>
        <w:pStyle w:val="165"/>
        <w:ind w:left="0"/>
      </w:pPr>
      <w:r>
        <w:rPr>
          <w:rFonts w:hint="eastAsia"/>
        </w:rPr>
        <w:t>文化服务中心应对辖区内文物保护单位（点）每年进行不少于 2次文物安全检查，发现文物被盗、被破坏、被损坏等情况，应立即报告县级公安部门和文化（文物）行政部门。</w:t>
      </w:r>
    </w:p>
    <w:p>
      <w:pPr>
        <w:pStyle w:val="165"/>
        <w:ind w:left="0"/>
      </w:pPr>
      <w:r>
        <w:rPr>
          <w:rFonts w:hint="eastAsia"/>
        </w:rPr>
        <w:t>文化服务中心应做好尚未公布为文物保护单位（点）、但已列入不可移动文物名录单位（点）的保护管理工作。</w:t>
      </w:r>
    </w:p>
    <w:p>
      <w:pPr>
        <w:pStyle w:val="165"/>
        <w:ind w:left="0"/>
      </w:pPr>
      <w:r>
        <w:rPr>
          <w:rFonts w:hint="eastAsia"/>
        </w:rPr>
        <w:t>文化服务中心应配合县级文化（文物）行政部门做好重要文物申报市级、省级和国家级文物保护单位（点）工作。</w:t>
      </w:r>
    </w:p>
    <w:p>
      <w:pPr>
        <w:pStyle w:val="105"/>
        <w:spacing w:before="156" w:after="156"/>
        <w:ind w:left="0"/>
      </w:pPr>
      <w:r>
        <w:t>旅游服务</w:t>
      </w:r>
    </w:p>
    <w:p>
      <w:pPr>
        <w:pStyle w:val="165"/>
        <w:ind w:left="0"/>
      </w:pPr>
      <w:r>
        <w:t>应在文化服务中心周边建设一批舒适便利的公共游憩空间</w:t>
      </w:r>
      <w:r>
        <w:rPr>
          <w:rFonts w:hint="eastAsia"/>
        </w:rPr>
        <w:t>，</w:t>
      </w:r>
      <w:r>
        <w:t>打造公共文化旅游休闲区</w:t>
      </w:r>
      <w:r>
        <w:rPr>
          <w:rFonts w:hint="eastAsia"/>
        </w:rPr>
        <w:t>。</w:t>
      </w:r>
    </w:p>
    <w:p>
      <w:pPr>
        <w:pStyle w:val="165"/>
        <w:ind w:left="0"/>
      </w:pPr>
      <w:r>
        <w:t>文化服务中心应提供周边旅游景区</w:t>
      </w:r>
      <w:r>
        <w:rPr>
          <w:rFonts w:hint="eastAsia"/>
        </w:rPr>
        <w:t>、线路、住地和交通服务。</w:t>
      </w:r>
    </w:p>
    <w:p>
      <w:pPr>
        <w:pStyle w:val="165"/>
        <w:ind w:left="0"/>
      </w:pPr>
      <w:r>
        <w:t>应根据实际情况</w:t>
      </w:r>
      <w:r>
        <w:rPr>
          <w:rFonts w:hint="eastAsia"/>
        </w:rPr>
        <w:t>，</w:t>
      </w:r>
      <w:r>
        <w:t>依托历史文化名村</w:t>
      </w:r>
      <w:r>
        <w:rPr>
          <w:rFonts w:hint="eastAsia"/>
        </w:rPr>
        <w:t>、</w:t>
      </w:r>
      <w:r>
        <w:t>传统村落</w:t>
      </w:r>
      <w:r>
        <w:rPr>
          <w:rFonts w:hint="eastAsia"/>
        </w:rPr>
        <w:t>、</w:t>
      </w:r>
      <w:r>
        <w:t>特色小镇等特色文化资源</w:t>
      </w:r>
      <w:r>
        <w:rPr>
          <w:rFonts w:hint="eastAsia"/>
        </w:rPr>
        <w:t>，</w:t>
      </w:r>
      <w:r>
        <w:t>举办景区主题性艺术节</w:t>
      </w:r>
      <w:r>
        <w:rPr>
          <w:rFonts w:hint="eastAsia"/>
        </w:rPr>
        <w:t>、</w:t>
      </w:r>
      <w:r>
        <w:t>音乐节</w:t>
      </w:r>
      <w:r>
        <w:rPr>
          <w:rFonts w:hint="eastAsia"/>
        </w:rPr>
        <w:t>、</w:t>
      </w:r>
      <w:r>
        <w:t>戏剧节等</w:t>
      </w:r>
      <w:r>
        <w:rPr>
          <w:rFonts w:hint="eastAsia"/>
        </w:rPr>
        <w:t>。</w:t>
      </w:r>
    </w:p>
    <w:p>
      <w:pPr>
        <w:pStyle w:val="165"/>
        <w:ind w:left="0"/>
      </w:pPr>
      <w:r>
        <w:rPr>
          <w:rFonts w:hint="eastAsia"/>
        </w:rPr>
        <w:t>宜根据当地民间传说、历史名人等传统文化资源和革命故事等红色文化资源，创作反映当地历史人文内涵，弘扬爱国主义精神的优秀群众文艺作品。</w:t>
      </w:r>
    </w:p>
    <w:p>
      <w:pPr>
        <w:pStyle w:val="165"/>
        <w:ind w:left="0"/>
      </w:pPr>
      <w:r>
        <w:rPr>
          <w:rFonts w:hint="eastAsia"/>
        </w:rPr>
        <w:t>宜开展文旅志愿服务、文化惠民活动进景区活动，促进文化传播，提升服务水平。</w:t>
      </w:r>
    </w:p>
    <w:p>
      <w:pPr>
        <w:pStyle w:val="165"/>
        <w:ind w:left="0"/>
      </w:pPr>
      <w:r>
        <w:rPr>
          <w:rFonts w:hint="eastAsia"/>
        </w:rPr>
        <w:t>宜利用春节、元宵、中秋等传统节日，举办民俗文化演艺活动。</w:t>
      </w:r>
    </w:p>
    <w:p>
      <w:pPr>
        <w:pStyle w:val="105"/>
        <w:spacing w:before="156" w:after="156"/>
        <w:ind w:left="0"/>
      </w:pPr>
      <w:r>
        <w:rPr>
          <w:rFonts w:hint="eastAsia"/>
        </w:rPr>
        <w:t>政策宣传教育</w:t>
      </w:r>
    </w:p>
    <w:p>
      <w:pPr>
        <w:pStyle w:val="165"/>
        <w:ind w:left="0"/>
      </w:pPr>
      <w:r>
        <w:rPr>
          <w:rFonts w:hint="eastAsia"/>
        </w:rPr>
        <w:t>坚持以开展社会主义核心价值观学习教育和中国梦主题教育实践为引领，利用宣传栏、展示墙、文化课堂、道德讲堂以及网络等平台，采取政策解读、专题报告、百姓论坛等形式，开展新时期党和国家的重大改革措施及惠民政策的宣传教育。</w:t>
      </w:r>
    </w:p>
    <w:p>
      <w:pPr>
        <w:pStyle w:val="165"/>
        <w:ind w:left="0"/>
      </w:pPr>
      <w:r>
        <w:rPr>
          <w:rFonts w:hint="eastAsia"/>
        </w:rPr>
        <w:t>发挥党员干部现代远程教育网络以及文化信息资源共享工程基层服务点、社区公共服务综合信息平台等基层信息平台的作用，广泛开展基层党员教育活动。</w:t>
      </w:r>
    </w:p>
    <w:p>
      <w:pPr>
        <w:pStyle w:val="165"/>
        <w:ind w:left="0"/>
      </w:pPr>
      <w:r>
        <w:rPr>
          <w:rFonts w:hint="eastAsia"/>
        </w:rPr>
        <w:t>通过举办道德模范展览展示、巡讲巡演等活动，以身边人讲身边事、身边事教身边人，培养人民群众健康的生活方式和高尚的道德情操，推进文明村镇、文明社区创建和乡贤文化建设，引领社会文明风尚。</w:t>
      </w:r>
    </w:p>
    <w:p>
      <w:pPr>
        <w:pStyle w:val="105"/>
        <w:spacing w:before="156" w:after="156"/>
        <w:ind w:left="0"/>
      </w:pPr>
      <w:r>
        <w:rPr>
          <w:rFonts w:hint="eastAsia"/>
        </w:rPr>
        <w:t>公益便民服务</w:t>
      </w:r>
    </w:p>
    <w:p>
      <w:pPr>
        <w:pStyle w:val="165"/>
        <w:ind w:left="0"/>
      </w:pPr>
      <w:r>
        <w:rPr>
          <w:rFonts w:hint="eastAsia"/>
        </w:rPr>
        <w:t>应定期开展农民科学素质行动、社区居民科学素质行动、法治宣传教育和群众性法治文化活动，提高基层群众的科学素养和法律意识。</w:t>
      </w:r>
    </w:p>
    <w:p>
      <w:pPr>
        <w:pStyle w:val="165"/>
        <w:ind w:left="0"/>
      </w:pPr>
      <w:r>
        <w:rPr>
          <w:rFonts w:hint="eastAsia"/>
        </w:rPr>
        <w:t>应定期开展艺术普及、全民阅读、法治教育、科学普及、防灾减灾知识技能和就业技能培训等，传播科学文化知识，培育法治观念，提高群众综合素质。</w:t>
      </w:r>
    </w:p>
    <w:p>
      <w:pPr>
        <w:pStyle w:val="165"/>
        <w:ind w:left="0"/>
      </w:pPr>
      <w:r>
        <w:rPr>
          <w:rFonts w:hint="eastAsia"/>
        </w:rPr>
        <w:t>应结合当地党委和政府赋予的职责任务，与居民自治、村民自治等基层社会治理体系相结合，根据实际条件，开展就业社保、养老助残、妇儿关爱、人口管理等其他公共服务和社会管理工作，推广一站式、窗口式、网络式综合服务，简化办事流程，集中为群众提供便捷高效的服务。</w:t>
      </w:r>
    </w:p>
    <w:p>
      <w:pPr>
        <w:pStyle w:val="104"/>
        <w:spacing w:before="312" w:after="312"/>
      </w:pPr>
      <w:bookmarkStart w:id="68" w:name="_Toc62487484"/>
      <w:r>
        <w:t>安全管理</w:t>
      </w:r>
      <w:bookmarkEnd w:id="68"/>
    </w:p>
    <w:p>
      <w:pPr>
        <w:pStyle w:val="105"/>
        <w:spacing w:before="156" w:after="156"/>
        <w:ind w:left="0"/>
      </w:pPr>
      <w:r>
        <w:rPr>
          <w:rFonts w:hint="eastAsia"/>
        </w:rPr>
        <w:t>安全制度</w:t>
      </w:r>
    </w:p>
    <w:p>
      <w:pPr>
        <w:pStyle w:val="56"/>
        <w:ind w:firstLine="420"/>
      </w:pPr>
      <w:r>
        <w:rPr>
          <w:rFonts w:hint="eastAsia"/>
        </w:rPr>
        <w:t>文化服务中心应当建立健全安全管理制度，有安全工作的明确分工和安全责任制度。</w:t>
      </w:r>
    </w:p>
    <w:p>
      <w:pPr>
        <w:pStyle w:val="105"/>
        <w:spacing w:before="156" w:after="156"/>
        <w:ind w:left="0"/>
      </w:pPr>
      <w:r>
        <w:t>防范措施</w:t>
      </w:r>
    </w:p>
    <w:p>
      <w:pPr>
        <w:pStyle w:val="165"/>
        <w:ind w:left="0"/>
      </w:pPr>
      <w:r>
        <w:rPr>
          <w:rFonts w:hint="eastAsia"/>
        </w:rPr>
        <w:t>应配备齐全的安全与消防设施，应在公共活动区域和相应的活动厅（室）配备一定数量的消防器材，并定期进行检修和维护。各部位的消防器材均应处于完好状态。</w:t>
      </w:r>
    </w:p>
    <w:p>
      <w:pPr>
        <w:pStyle w:val="165"/>
        <w:ind w:left="0"/>
      </w:pPr>
      <w:r>
        <w:rPr>
          <w:rFonts w:hint="eastAsia"/>
        </w:rPr>
        <w:t xml:space="preserve">应根据房舍自身条件在活动区域辟有安全通道，设有安全疏散标识。 </w:t>
      </w:r>
    </w:p>
    <w:p>
      <w:pPr>
        <w:pStyle w:val="165"/>
        <w:ind w:left="0"/>
      </w:pPr>
      <w:r>
        <w:rPr>
          <w:rFonts w:hint="eastAsia"/>
        </w:rPr>
        <w:t>文化服务中心的大型活动室宜设在建筑首层，并应设置直接对外的安全出口或合理组织应急疏散通道。</w:t>
      </w:r>
    </w:p>
    <w:p>
      <w:pPr>
        <w:pStyle w:val="165"/>
        <w:ind w:left="0"/>
      </w:pPr>
      <w:r>
        <w:t>公共区域应定期消毒</w:t>
      </w:r>
      <w:r>
        <w:rPr>
          <w:rFonts w:hint="eastAsia"/>
        </w:rPr>
        <w:t>，</w:t>
      </w:r>
      <w:r>
        <w:t>并免费提供消毒酒精</w:t>
      </w:r>
      <w:r>
        <w:rPr>
          <w:rFonts w:hint="eastAsia"/>
        </w:rPr>
        <w:t>、</w:t>
      </w:r>
      <w:r>
        <w:t>口罩</w:t>
      </w:r>
      <w:r>
        <w:rPr>
          <w:rFonts w:hint="eastAsia"/>
        </w:rPr>
        <w:t>、</w:t>
      </w:r>
      <w:r>
        <w:t>体温测量工具等防疫用品</w:t>
      </w:r>
      <w:r>
        <w:rPr>
          <w:rFonts w:hint="eastAsia"/>
        </w:rPr>
        <w:t>。</w:t>
      </w:r>
    </w:p>
    <w:p>
      <w:pPr>
        <w:pStyle w:val="105"/>
        <w:spacing w:before="156" w:after="156"/>
        <w:ind w:left="0"/>
      </w:pPr>
      <w:r>
        <w:t>活动安全</w:t>
      </w:r>
    </w:p>
    <w:p>
      <w:pPr>
        <w:pStyle w:val="56"/>
        <w:ind w:firstLine="420"/>
      </w:pPr>
      <w:r>
        <w:rPr>
          <w:rFonts w:hint="eastAsia"/>
        </w:rPr>
        <w:t>文化服务中心在组织大型活动时，应按照国务院《大型群众性活动安全管理条例》的要求，制定切实可行的活动方案、安保方案、应急预案，做好报批手续，按规定配备安保人员，协助公安、安监、城管、消防、电力等相关部门，采取相应的安全措施，确保活动顺利开展。对可能发生的各类危及人身与财产安全的突发事件，应制定必要的安全管理制度、应急预案。</w:t>
      </w:r>
    </w:p>
    <w:p>
      <w:pPr>
        <w:pStyle w:val="105"/>
        <w:spacing w:before="156" w:after="156"/>
        <w:ind w:left="0"/>
      </w:pPr>
      <w:r>
        <w:rPr>
          <w:rFonts w:hint="eastAsia"/>
        </w:rPr>
        <w:t>网络安全</w:t>
      </w:r>
    </w:p>
    <w:p>
      <w:pPr>
        <w:pStyle w:val="56"/>
        <w:ind w:firstLine="420"/>
      </w:pPr>
      <w:r>
        <w:rPr>
          <w:rFonts w:hint="eastAsia"/>
        </w:rPr>
        <w:t>文化服务中心应建立健全网络安全监管制度，按照公共电子阅览室管理制度进行有效管理，加强对各类信息平台内容的审核，提升网络安全事件的应急处置能力。</w:t>
      </w:r>
    </w:p>
    <w:p>
      <w:pPr>
        <w:pStyle w:val="104"/>
        <w:spacing w:before="312" w:after="312"/>
      </w:pPr>
      <w:bookmarkStart w:id="69" w:name="_Toc62487485"/>
      <w:bookmarkStart w:id="70" w:name="_Toc60930970"/>
      <w:r>
        <w:t>服务评价与改进</w:t>
      </w:r>
      <w:bookmarkEnd w:id="69"/>
      <w:bookmarkEnd w:id="70"/>
    </w:p>
    <w:p>
      <w:pPr>
        <w:pStyle w:val="105"/>
        <w:spacing w:before="156" w:after="156"/>
        <w:ind w:left="0"/>
      </w:pPr>
      <w:r>
        <w:rPr>
          <w:rFonts w:hint="eastAsia"/>
        </w:rPr>
        <w:t>服务评价</w:t>
      </w:r>
    </w:p>
    <w:p>
      <w:pPr>
        <w:pStyle w:val="56"/>
        <w:ind w:firstLine="420"/>
      </w:pPr>
      <w:r>
        <w:rPr>
          <w:rFonts w:hint="eastAsia"/>
        </w:rPr>
        <w:t>文化服务中心内部应制定服务质量监控计划，并严格执行计划且进行记录，定期进行服务质量分析。</w:t>
      </w:r>
    </w:p>
    <w:p>
      <w:pPr>
        <w:pStyle w:val="105"/>
        <w:spacing w:before="156" w:after="156"/>
        <w:ind w:left="0"/>
      </w:pPr>
      <w:r>
        <w:t>服务监督</w:t>
      </w:r>
    </w:p>
    <w:p>
      <w:pPr>
        <w:pStyle w:val="165"/>
        <w:ind w:left="0"/>
      </w:pPr>
      <w:r>
        <w:rPr>
          <w:rFonts w:hint="eastAsia"/>
        </w:rPr>
        <w:t>文化服务中心应在显著位置设立群众意见箱（簿），公开监督电话。</w:t>
      </w:r>
    </w:p>
    <w:p>
      <w:pPr>
        <w:pStyle w:val="165"/>
        <w:ind w:left="0"/>
      </w:pPr>
      <w:r>
        <w:rPr>
          <w:rFonts w:hint="eastAsia"/>
        </w:rPr>
        <w:t>文化服务中心每年度应进行群众满意度调查，群众满意度应不低于80%。</w:t>
      </w:r>
    </w:p>
    <w:p>
      <w:pPr>
        <w:pStyle w:val="105"/>
        <w:spacing w:before="156" w:after="156"/>
        <w:ind w:left="0"/>
      </w:pPr>
      <w:r>
        <w:t>服务改进</w:t>
      </w:r>
    </w:p>
    <w:p>
      <w:pPr>
        <w:pStyle w:val="56"/>
        <w:ind w:firstLine="420"/>
      </w:pPr>
      <w:r>
        <w:rPr>
          <w:rFonts w:hint="eastAsia"/>
        </w:rPr>
        <w:t>应根据评价结果对不符合服务规范或体系要求的方面，以及服务规范或体系自身存在的缺陷，提出改进措施，并将改进结果形成文字档案。</w:t>
      </w:r>
    </w:p>
    <w:p>
      <w:pPr>
        <w:pStyle w:val="56"/>
        <w:ind w:firstLine="420"/>
      </w:pPr>
    </w:p>
    <w:p>
      <w:pPr>
        <w:pStyle w:val="56"/>
        <w:ind w:firstLine="420"/>
      </w:pPr>
    </w:p>
    <w:p>
      <w:pPr>
        <w:pStyle w:val="56"/>
        <w:ind w:firstLine="420"/>
      </w:pPr>
    </w:p>
    <w:p>
      <w:pPr>
        <w:pStyle w:val="56"/>
        <w:ind w:firstLine="420"/>
        <w:sectPr>
          <w:pgSz w:w="11906" w:h="16838"/>
          <w:pgMar w:top="1871" w:right="1134" w:bottom="1134" w:left="1134" w:header="1418" w:footer="1134" w:gutter="284"/>
          <w:pgNumType w:start="1"/>
          <w:cols w:space="425" w:num="1"/>
          <w:formProt w:val="0"/>
          <w:docGrid w:type="lines" w:linePitch="312" w:charSpace="0"/>
        </w:sectPr>
      </w:pPr>
    </w:p>
    <w:bookmarkEnd w:id="25"/>
    <w:p>
      <w:pPr>
        <w:pStyle w:val="198"/>
      </w:pPr>
      <w:bookmarkStart w:id="71" w:name="BookMark5"/>
    </w:p>
    <w:p>
      <w:pPr>
        <w:pStyle w:val="199"/>
      </w:pPr>
    </w:p>
    <w:p>
      <w:pPr>
        <w:pStyle w:val="76"/>
        <w:spacing w:before="78" w:after="156"/>
      </w:pPr>
      <w:r>
        <w:br w:type="textWrapping"/>
      </w:r>
      <w:bookmarkStart w:id="72" w:name="_Toc59018208"/>
      <w:bookmarkStart w:id="73" w:name="_Toc60930971"/>
      <w:bookmarkStart w:id="74" w:name="_Toc62487486"/>
      <w:r>
        <w:rPr>
          <w:rFonts w:hint="eastAsia"/>
        </w:rPr>
        <w:t>（规范性）</w:t>
      </w:r>
      <w:r>
        <w:br w:type="textWrapping"/>
      </w:r>
      <w:r>
        <w:rPr>
          <w:rFonts w:hint="eastAsia"/>
        </w:rPr>
        <w:t>乡镇综合文化服务中心建设用房项目设置表</w:t>
      </w:r>
      <w:bookmarkEnd w:id="72"/>
      <w:bookmarkEnd w:id="73"/>
      <w:bookmarkEnd w:id="74"/>
    </w:p>
    <w:p>
      <w:pPr>
        <w:pStyle w:val="56"/>
        <w:ind w:firstLine="420"/>
      </w:pPr>
    </w:p>
    <w:p>
      <w:pPr>
        <w:pStyle w:val="56"/>
        <w:ind w:firstLine="420"/>
      </w:pPr>
      <w:r>
        <w:rPr>
          <w:rFonts w:hint="eastAsia"/>
        </w:rPr>
        <w:t>乡镇综合文化服务中心建设用房项目设置表见表A.1</w:t>
      </w:r>
    </w:p>
    <w:p>
      <w:pPr>
        <w:pStyle w:val="83"/>
        <w:spacing w:before="156" w:after="156"/>
      </w:pPr>
      <w:r>
        <w:rPr>
          <w:rFonts w:hint="eastAsia"/>
        </w:rPr>
        <w:t>乡镇综合文化服务中心建设用房项目设置表</w:t>
      </w:r>
    </w:p>
    <w:tbl>
      <w:tblPr>
        <w:tblStyle w:val="27"/>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03"/>
        <w:gridCol w:w="2746"/>
        <w:gridCol w:w="1875"/>
        <w:gridCol w:w="1875"/>
        <w:gridCol w:w="18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4" w:hRule="atLeast"/>
          <w:tblHeader/>
          <w:jc w:val="center"/>
        </w:trPr>
        <w:tc>
          <w:tcPr>
            <w:tcW w:w="3749" w:type="dxa"/>
            <w:gridSpan w:val="2"/>
            <w:tcBorders>
              <w:top w:val="single" w:color="auto" w:sz="8" w:space="0"/>
              <w:bottom w:val="single" w:color="auto" w:sz="8" w:space="0"/>
            </w:tcBorders>
            <w:shd w:val="clear" w:color="auto" w:fill="auto"/>
            <w:vAlign w:val="center"/>
          </w:tcPr>
          <w:p>
            <w:pPr>
              <w:pStyle w:val="178"/>
            </w:pPr>
            <w:r>
              <w:t>项目构成</w:t>
            </w:r>
          </w:p>
        </w:tc>
        <w:tc>
          <w:tcPr>
            <w:tcW w:w="1875" w:type="dxa"/>
            <w:tcBorders>
              <w:top w:val="single" w:color="auto" w:sz="8" w:space="0"/>
              <w:bottom w:val="single" w:color="auto" w:sz="8" w:space="0"/>
            </w:tcBorders>
            <w:shd w:val="clear" w:color="auto" w:fill="auto"/>
            <w:vAlign w:val="center"/>
          </w:tcPr>
          <w:p>
            <w:pPr>
              <w:pStyle w:val="178"/>
            </w:pPr>
            <w:r>
              <w:t>大型</w:t>
            </w:r>
          </w:p>
        </w:tc>
        <w:tc>
          <w:tcPr>
            <w:tcW w:w="1875" w:type="dxa"/>
            <w:tcBorders>
              <w:top w:val="single" w:color="auto" w:sz="8" w:space="0"/>
              <w:bottom w:val="single" w:color="auto" w:sz="8" w:space="0"/>
            </w:tcBorders>
            <w:shd w:val="clear" w:color="auto" w:fill="auto"/>
            <w:vAlign w:val="center"/>
          </w:tcPr>
          <w:p>
            <w:pPr>
              <w:pStyle w:val="178"/>
            </w:pPr>
            <w:r>
              <w:t>中型</w:t>
            </w:r>
          </w:p>
        </w:tc>
        <w:tc>
          <w:tcPr>
            <w:tcW w:w="1875" w:type="dxa"/>
            <w:tcBorders>
              <w:top w:val="single" w:color="auto" w:sz="8" w:space="0"/>
              <w:bottom w:val="single" w:color="auto" w:sz="8" w:space="0"/>
            </w:tcBorders>
            <w:shd w:val="clear" w:color="auto" w:fill="auto"/>
            <w:vAlign w:val="center"/>
          </w:tcPr>
          <w:p>
            <w:pPr>
              <w:pStyle w:val="178"/>
            </w:pPr>
            <w:r>
              <w:t>小型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1003" w:type="dxa"/>
            <w:vMerge w:val="restart"/>
            <w:tcBorders>
              <w:top w:val="single" w:color="auto" w:sz="8" w:space="0"/>
            </w:tcBorders>
            <w:shd w:val="clear" w:color="auto" w:fill="auto"/>
            <w:vAlign w:val="center"/>
          </w:tcPr>
          <w:p>
            <w:pPr>
              <w:pStyle w:val="178"/>
            </w:pPr>
            <w:r>
              <w:t>文化体育活动用房</w:t>
            </w:r>
          </w:p>
        </w:tc>
        <w:tc>
          <w:tcPr>
            <w:tcW w:w="2746" w:type="dxa"/>
            <w:tcBorders>
              <w:top w:val="single" w:color="auto" w:sz="8" w:space="0"/>
            </w:tcBorders>
            <w:shd w:val="clear" w:color="auto" w:fill="auto"/>
            <w:vAlign w:val="center"/>
          </w:tcPr>
          <w:p>
            <w:pPr>
              <w:pStyle w:val="178"/>
            </w:pPr>
            <w:r>
              <w:t>多功能活动厅</w:t>
            </w:r>
          </w:p>
        </w:tc>
        <w:tc>
          <w:tcPr>
            <w:tcW w:w="1875" w:type="dxa"/>
            <w:tcBorders>
              <w:top w:val="single" w:color="auto" w:sz="8" w:space="0"/>
            </w:tcBorders>
            <w:shd w:val="clear" w:color="auto" w:fill="auto"/>
            <w:vAlign w:val="center"/>
          </w:tcPr>
          <w:p>
            <w:pPr>
              <w:pStyle w:val="178"/>
            </w:pPr>
            <w:r>
              <w:rPr>
                <w:rFonts w:hint="eastAsia"/>
              </w:rPr>
              <w:t>●</w:t>
            </w:r>
          </w:p>
        </w:tc>
        <w:tc>
          <w:tcPr>
            <w:tcW w:w="1875" w:type="dxa"/>
            <w:tcBorders>
              <w:top w:val="single" w:color="auto" w:sz="8" w:space="0"/>
            </w:tcBorders>
            <w:shd w:val="clear" w:color="auto" w:fill="auto"/>
            <w:vAlign w:val="center"/>
          </w:tcPr>
          <w:p>
            <w:pPr>
              <w:pStyle w:val="178"/>
            </w:pPr>
            <w:r>
              <w:rPr>
                <w:rFonts w:hint="eastAsia"/>
              </w:rPr>
              <w:t>●</w:t>
            </w:r>
          </w:p>
        </w:tc>
        <w:tc>
          <w:tcPr>
            <w:tcW w:w="1875" w:type="dxa"/>
            <w:tcBorders>
              <w:top w:val="single" w:color="auto" w:sz="8" w:space="0"/>
            </w:tcBorders>
            <w:shd w:val="clear" w:color="auto" w:fill="auto"/>
            <w:vAlign w:val="center"/>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1003" w:type="dxa"/>
            <w:vMerge w:val="continue"/>
            <w:shd w:val="clear" w:color="auto" w:fill="auto"/>
            <w:vAlign w:val="center"/>
          </w:tcPr>
          <w:p>
            <w:pPr>
              <w:pStyle w:val="178"/>
            </w:pPr>
          </w:p>
        </w:tc>
        <w:tc>
          <w:tcPr>
            <w:tcW w:w="2746" w:type="dxa"/>
            <w:shd w:val="clear" w:color="auto" w:fill="auto"/>
            <w:vAlign w:val="center"/>
          </w:tcPr>
          <w:p>
            <w:pPr>
              <w:pStyle w:val="178"/>
            </w:pPr>
            <w:r>
              <w:t>排练室</w:t>
            </w:r>
          </w:p>
        </w:tc>
        <w:tc>
          <w:tcPr>
            <w:tcW w:w="1875" w:type="dxa"/>
            <w:shd w:val="clear" w:color="auto" w:fill="auto"/>
            <w:vAlign w:val="center"/>
          </w:tcPr>
          <w:p>
            <w:pPr>
              <w:pStyle w:val="178"/>
            </w:pPr>
            <w:r>
              <w:rPr>
                <w:rFonts w:hint="eastAsia"/>
              </w:rPr>
              <w:t>◎</w:t>
            </w:r>
          </w:p>
        </w:tc>
        <w:tc>
          <w:tcPr>
            <w:tcW w:w="1875" w:type="dxa"/>
            <w:shd w:val="clear" w:color="auto" w:fill="auto"/>
            <w:vAlign w:val="center"/>
          </w:tcPr>
          <w:p>
            <w:pPr>
              <w:pStyle w:val="178"/>
            </w:pPr>
            <w:r>
              <w:rPr>
                <w:rFonts w:hint="eastAsia"/>
              </w:rPr>
              <w:t>○</w:t>
            </w:r>
          </w:p>
        </w:tc>
        <w:tc>
          <w:tcPr>
            <w:tcW w:w="1875" w:type="dxa"/>
            <w:shd w:val="clear" w:color="auto" w:fill="auto"/>
            <w:vAlign w:val="center"/>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1003" w:type="dxa"/>
            <w:vMerge w:val="continue"/>
            <w:shd w:val="clear" w:color="auto" w:fill="auto"/>
            <w:vAlign w:val="center"/>
          </w:tcPr>
          <w:p>
            <w:pPr>
              <w:pStyle w:val="178"/>
            </w:pPr>
          </w:p>
        </w:tc>
        <w:tc>
          <w:tcPr>
            <w:tcW w:w="2746" w:type="dxa"/>
            <w:shd w:val="clear" w:color="auto" w:fill="auto"/>
            <w:vAlign w:val="center"/>
          </w:tcPr>
          <w:p>
            <w:pPr>
              <w:pStyle w:val="178"/>
            </w:pPr>
            <w:r>
              <w:t>展览室</w:t>
            </w:r>
          </w:p>
        </w:tc>
        <w:tc>
          <w:tcPr>
            <w:tcW w:w="1875" w:type="dxa"/>
            <w:shd w:val="clear" w:color="auto" w:fill="auto"/>
            <w:vAlign w:val="center"/>
          </w:tcPr>
          <w:p>
            <w:pPr>
              <w:pStyle w:val="178"/>
            </w:pPr>
            <w:r>
              <w:rPr>
                <w:rFonts w:hint="eastAsia"/>
              </w:rPr>
              <w:t>●</w:t>
            </w:r>
          </w:p>
        </w:tc>
        <w:tc>
          <w:tcPr>
            <w:tcW w:w="1875" w:type="dxa"/>
            <w:shd w:val="clear" w:color="auto" w:fill="auto"/>
            <w:vAlign w:val="center"/>
          </w:tcPr>
          <w:p>
            <w:pPr>
              <w:pStyle w:val="178"/>
            </w:pPr>
            <w:r>
              <w:rPr>
                <w:rFonts w:hint="eastAsia"/>
              </w:rPr>
              <w:t>◎</w:t>
            </w:r>
          </w:p>
        </w:tc>
        <w:tc>
          <w:tcPr>
            <w:tcW w:w="1875" w:type="dxa"/>
            <w:shd w:val="clear" w:color="auto" w:fill="auto"/>
            <w:vAlign w:val="center"/>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1003" w:type="dxa"/>
            <w:vMerge w:val="continue"/>
            <w:shd w:val="clear" w:color="auto" w:fill="auto"/>
            <w:vAlign w:val="center"/>
          </w:tcPr>
          <w:p>
            <w:pPr>
              <w:pStyle w:val="178"/>
            </w:pPr>
          </w:p>
        </w:tc>
        <w:tc>
          <w:tcPr>
            <w:tcW w:w="2746" w:type="dxa"/>
            <w:shd w:val="clear" w:color="auto" w:fill="auto"/>
            <w:vAlign w:val="center"/>
          </w:tcPr>
          <w:p>
            <w:pPr>
              <w:pStyle w:val="178"/>
            </w:pPr>
            <w:r>
              <w:t>体育健身室</w:t>
            </w:r>
            <w:r>
              <w:rPr>
                <w:rFonts w:hint="eastAsia"/>
              </w:rPr>
              <w:t>（乒乓球、台球、健身、棋牌等）</w:t>
            </w:r>
          </w:p>
        </w:tc>
        <w:tc>
          <w:tcPr>
            <w:tcW w:w="1875" w:type="dxa"/>
            <w:shd w:val="clear" w:color="auto" w:fill="auto"/>
            <w:vAlign w:val="center"/>
          </w:tcPr>
          <w:p>
            <w:pPr>
              <w:pStyle w:val="178"/>
            </w:pPr>
            <w:r>
              <w:rPr>
                <w:rFonts w:hint="eastAsia"/>
              </w:rPr>
              <w:t>●</w:t>
            </w:r>
          </w:p>
        </w:tc>
        <w:tc>
          <w:tcPr>
            <w:tcW w:w="1875" w:type="dxa"/>
            <w:shd w:val="clear" w:color="auto" w:fill="auto"/>
            <w:vAlign w:val="center"/>
          </w:tcPr>
          <w:p>
            <w:pPr>
              <w:pStyle w:val="178"/>
            </w:pPr>
            <w:r>
              <w:rPr>
                <w:rFonts w:hint="eastAsia"/>
              </w:rPr>
              <w:t>●</w:t>
            </w:r>
          </w:p>
        </w:tc>
        <w:tc>
          <w:tcPr>
            <w:tcW w:w="1875" w:type="dxa"/>
            <w:shd w:val="clear" w:color="auto" w:fill="auto"/>
            <w:vAlign w:val="center"/>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1003" w:type="dxa"/>
            <w:vMerge w:val="continue"/>
            <w:shd w:val="clear" w:color="auto" w:fill="auto"/>
            <w:vAlign w:val="center"/>
          </w:tcPr>
          <w:p>
            <w:pPr>
              <w:pStyle w:val="178"/>
            </w:pPr>
          </w:p>
        </w:tc>
        <w:tc>
          <w:tcPr>
            <w:tcW w:w="2746" w:type="dxa"/>
            <w:shd w:val="clear" w:color="auto" w:fill="auto"/>
            <w:vAlign w:val="center"/>
          </w:tcPr>
          <w:p>
            <w:pPr>
              <w:pStyle w:val="178"/>
            </w:pPr>
            <w:r>
              <w:t>美术室</w:t>
            </w:r>
          </w:p>
        </w:tc>
        <w:tc>
          <w:tcPr>
            <w:tcW w:w="1875" w:type="dxa"/>
            <w:shd w:val="clear" w:color="auto" w:fill="auto"/>
            <w:vAlign w:val="center"/>
          </w:tcPr>
          <w:p>
            <w:pPr>
              <w:pStyle w:val="178"/>
            </w:pPr>
            <w:r>
              <w:rPr>
                <w:rFonts w:hint="eastAsia"/>
              </w:rPr>
              <w:t>◎</w:t>
            </w:r>
          </w:p>
        </w:tc>
        <w:tc>
          <w:tcPr>
            <w:tcW w:w="1875" w:type="dxa"/>
            <w:shd w:val="clear" w:color="auto" w:fill="auto"/>
            <w:vAlign w:val="center"/>
          </w:tcPr>
          <w:p>
            <w:pPr>
              <w:pStyle w:val="178"/>
            </w:pPr>
            <w:r>
              <w:rPr>
                <w:rFonts w:hint="eastAsia"/>
              </w:rPr>
              <w:t>◎</w:t>
            </w:r>
          </w:p>
        </w:tc>
        <w:tc>
          <w:tcPr>
            <w:tcW w:w="1875" w:type="dxa"/>
            <w:shd w:val="clear" w:color="auto" w:fill="auto"/>
            <w:vAlign w:val="center"/>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1003" w:type="dxa"/>
            <w:vMerge w:val="restart"/>
            <w:shd w:val="clear" w:color="auto" w:fill="auto"/>
            <w:vAlign w:val="center"/>
          </w:tcPr>
          <w:p>
            <w:pPr>
              <w:pStyle w:val="178"/>
            </w:pPr>
            <w:r>
              <w:t>书刊阅览用房</w:t>
            </w:r>
          </w:p>
        </w:tc>
        <w:tc>
          <w:tcPr>
            <w:tcW w:w="2746" w:type="dxa"/>
            <w:shd w:val="clear" w:color="auto" w:fill="auto"/>
            <w:vAlign w:val="center"/>
          </w:tcPr>
          <w:p>
            <w:pPr>
              <w:pStyle w:val="178"/>
            </w:pPr>
            <w:r>
              <w:t>书刊阅览室</w:t>
            </w:r>
          </w:p>
        </w:tc>
        <w:tc>
          <w:tcPr>
            <w:tcW w:w="1875" w:type="dxa"/>
            <w:shd w:val="clear" w:color="auto" w:fill="auto"/>
            <w:vAlign w:val="center"/>
          </w:tcPr>
          <w:p>
            <w:pPr>
              <w:pStyle w:val="178"/>
            </w:pPr>
            <w:r>
              <w:rPr>
                <w:rFonts w:hint="eastAsia"/>
              </w:rPr>
              <w:t>●</w:t>
            </w:r>
          </w:p>
        </w:tc>
        <w:tc>
          <w:tcPr>
            <w:tcW w:w="1875" w:type="dxa"/>
            <w:shd w:val="clear" w:color="auto" w:fill="auto"/>
            <w:vAlign w:val="center"/>
          </w:tcPr>
          <w:p>
            <w:pPr>
              <w:pStyle w:val="178"/>
            </w:pPr>
            <w:r>
              <w:rPr>
                <w:rFonts w:hint="eastAsia"/>
              </w:rPr>
              <w:t>●</w:t>
            </w:r>
          </w:p>
        </w:tc>
        <w:tc>
          <w:tcPr>
            <w:tcW w:w="1875" w:type="dxa"/>
            <w:shd w:val="clear" w:color="auto" w:fill="auto"/>
            <w:vAlign w:val="center"/>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003" w:type="dxa"/>
            <w:vMerge w:val="continue"/>
            <w:shd w:val="clear" w:color="auto" w:fill="auto"/>
            <w:vAlign w:val="center"/>
          </w:tcPr>
          <w:p>
            <w:pPr>
              <w:pStyle w:val="178"/>
            </w:pPr>
          </w:p>
        </w:tc>
        <w:tc>
          <w:tcPr>
            <w:tcW w:w="2746" w:type="dxa"/>
            <w:shd w:val="clear" w:color="auto" w:fill="auto"/>
            <w:vAlign w:val="center"/>
          </w:tcPr>
          <w:p>
            <w:pPr>
              <w:pStyle w:val="178"/>
            </w:pPr>
            <w:r>
              <w:t>少年儿童书阅览室</w:t>
            </w:r>
          </w:p>
        </w:tc>
        <w:tc>
          <w:tcPr>
            <w:tcW w:w="1875" w:type="dxa"/>
            <w:shd w:val="clear" w:color="auto" w:fill="auto"/>
            <w:vAlign w:val="center"/>
          </w:tcPr>
          <w:p>
            <w:pPr>
              <w:pStyle w:val="178"/>
            </w:pPr>
            <w:r>
              <w:rPr>
                <w:rFonts w:hint="eastAsia"/>
              </w:rPr>
              <w:t>◎</w:t>
            </w:r>
          </w:p>
        </w:tc>
        <w:tc>
          <w:tcPr>
            <w:tcW w:w="1875" w:type="dxa"/>
            <w:shd w:val="clear" w:color="auto" w:fill="auto"/>
            <w:vAlign w:val="center"/>
          </w:tcPr>
          <w:p>
            <w:pPr>
              <w:pStyle w:val="178"/>
            </w:pPr>
            <w:r>
              <w:rPr>
                <w:rFonts w:hint="eastAsia"/>
              </w:rPr>
              <w:t>◎</w:t>
            </w:r>
          </w:p>
        </w:tc>
        <w:tc>
          <w:tcPr>
            <w:tcW w:w="1875" w:type="dxa"/>
            <w:shd w:val="clear" w:color="auto" w:fill="auto"/>
            <w:vAlign w:val="center"/>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1003" w:type="dxa"/>
            <w:vMerge w:val="continue"/>
            <w:shd w:val="clear" w:color="auto" w:fill="auto"/>
            <w:vAlign w:val="center"/>
          </w:tcPr>
          <w:p>
            <w:pPr>
              <w:pStyle w:val="178"/>
            </w:pPr>
          </w:p>
        </w:tc>
        <w:tc>
          <w:tcPr>
            <w:tcW w:w="2746" w:type="dxa"/>
            <w:shd w:val="clear" w:color="auto" w:fill="auto"/>
            <w:vAlign w:val="center"/>
          </w:tcPr>
          <w:p>
            <w:pPr>
              <w:pStyle w:val="178"/>
            </w:pPr>
            <w:r>
              <w:t>电子阅览室</w:t>
            </w:r>
          </w:p>
        </w:tc>
        <w:tc>
          <w:tcPr>
            <w:tcW w:w="1875" w:type="dxa"/>
            <w:shd w:val="clear" w:color="auto" w:fill="auto"/>
            <w:vAlign w:val="center"/>
          </w:tcPr>
          <w:p>
            <w:pPr>
              <w:pStyle w:val="178"/>
            </w:pPr>
            <w:r>
              <w:rPr>
                <w:rFonts w:hint="eastAsia"/>
              </w:rPr>
              <w:t>●</w:t>
            </w:r>
          </w:p>
        </w:tc>
        <w:tc>
          <w:tcPr>
            <w:tcW w:w="1875" w:type="dxa"/>
            <w:shd w:val="clear" w:color="auto" w:fill="auto"/>
            <w:vAlign w:val="center"/>
          </w:tcPr>
          <w:p>
            <w:pPr>
              <w:pStyle w:val="178"/>
            </w:pPr>
            <w:r>
              <w:rPr>
                <w:rFonts w:hint="eastAsia"/>
              </w:rPr>
              <w:t>◎</w:t>
            </w:r>
          </w:p>
        </w:tc>
        <w:tc>
          <w:tcPr>
            <w:tcW w:w="1875" w:type="dxa"/>
            <w:shd w:val="clear" w:color="auto" w:fill="auto"/>
            <w:vAlign w:val="center"/>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1003" w:type="dxa"/>
            <w:vMerge w:val="restart"/>
            <w:shd w:val="clear" w:color="auto" w:fill="auto"/>
            <w:vAlign w:val="center"/>
          </w:tcPr>
          <w:p>
            <w:pPr>
              <w:pStyle w:val="178"/>
            </w:pPr>
            <w:r>
              <w:t>教育培训用房</w:t>
            </w:r>
          </w:p>
        </w:tc>
        <w:tc>
          <w:tcPr>
            <w:tcW w:w="2746" w:type="dxa"/>
            <w:shd w:val="clear" w:color="auto" w:fill="auto"/>
            <w:vAlign w:val="center"/>
          </w:tcPr>
          <w:p>
            <w:pPr>
              <w:pStyle w:val="178"/>
            </w:pPr>
            <w:r>
              <w:t>教室</w:t>
            </w:r>
          </w:p>
        </w:tc>
        <w:tc>
          <w:tcPr>
            <w:tcW w:w="1875" w:type="dxa"/>
            <w:shd w:val="clear" w:color="auto" w:fill="auto"/>
            <w:vAlign w:val="center"/>
          </w:tcPr>
          <w:p>
            <w:pPr>
              <w:pStyle w:val="178"/>
            </w:pPr>
            <w:r>
              <w:rPr>
                <w:rFonts w:hint="eastAsia"/>
              </w:rPr>
              <w:t>●</w:t>
            </w:r>
          </w:p>
        </w:tc>
        <w:tc>
          <w:tcPr>
            <w:tcW w:w="1875" w:type="dxa"/>
            <w:shd w:val="clear" w:color="auto" w:fill="auto"/>
            <w:vAlign w:val="center"/>
          </w:tcPr>
          <w:p>
            <w:pPr>
              <w:pStyle w:val="178"/>
            </w:pPr>
            <w:r>
              <w:rPr>
                <w:rFonts w:hint="eastAsia"/>
              </w:rPr>
              <w:t>●</w:t>
            </w:r>
          </w:p>
        </w:tc>
        <w:tc>
          <w:tcPr>
            <w:tcW w:w="1875" w:type="dxa"/>
            <w:shd w:val="clear" w:color="auto" w:fill="auto"/>
            <w:vAlign w:val="center"/>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003" w:type="dxa"/>
            <w:vMerge w:val="continue"/>
            <w:shd w:val="clear" w:color="auto" w:fill="auto"/>
            <w:vAlign w:val="center"/>
          </w:tcPr>
          <w:p>
            <w:pPr>
              <w:pStyle w:val="178"/>
            </w:pPr>
          </w:p>
        </w:tc>
        <w:tc>
          <w:tcPr>
            <w:tcW w:w="2746" w:type="dxa"/>
            <w:shd w:val="clear" w:color="auto" w:fill="auto"/>
            <w:vAlign w:val="center"/>
          </w:tcPr>
          <w:p>
            <w:pPr>
              <w:pStyle w:val="178"/>
            </w:pPr>
            <w:r>
              <w:t>视听室</w:t>
            </w:r>
          </w:p>
        </w:tc>
        <w:tc>
          <w:tcPr>
            <w:tcW w:w="1875" w:type="dxa"/>
            <w:shd w:val="clear" w:color="auto" w:fill="auto"/>
            <w:vAlign w:val="center"/>
          </w:tcPr>
          <w:p>
            <w:pPr>
              <w:pStyle w:val="178"/>
            </w:pPr>
            <w:r>
              <w:rPr>
                <w:rFonts w:hint="eastAsia"/>
              </w:rPr>
              <w:t>●</w:t>
            </w:r>
          </w:p>
        </w:tc>
        <w:tc>
          <w:tcPr>
            <w:tcW w:w="1875" w:type="dxa"/>
            <w:shd w:val="clear" w:color="auto" w:fill="auto"/>
            <w:vAlign w:val="center"/>
          </w:tcPr>
          <w:p>
            <w:pPr>
              <w:pStyle w:val="178"/>
            </w:pPr>
            <w:r>
              <w:rPr>
                <w:rFonts w:hint="eastAsia"/>
              </w:rPr>
              <w:t>◎</w:t>
            </w:r>
          </w:p>
        </w:tc>
        <w:tc>
          <w:tcPr>
            <w:tcW w:w="1875" w:type="dxa"/>
            <w:shd w:val="clear" w:color="auto" w:fill="auto"/>
            <w:vAlign w:val="center"/>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1003" w:type="dxa"/>
            <w:vMerge w:val="restart"/>
            <w:shd w:val="clear" w:color="auto" w:fill="auto"/>
            <w:vAlign w:val="center"/>
          </w:tcPr>
          <w:p>
            <w:pPr>
              <w:pStyle w:val="178"/>
            </w:pPr>
            <w:r>
              <w:t>网络信息服务用房</w:t>
            </w:r>
          </w:p>
        </w:tc>
        <w:tc>
          <w:tcPr>
            <w:tcW w:w="2746" w:type="dxa"/>
            <w:shd w:val="clear" w:color="auto" w:fill="auto"/>
            <w:vAlign w:val="center"/>
          </w:tcPr>
          <w:p>
            <w:pPr>
              <w:pStyle w:val="178"/>
            </w:pPr>
            <w:r>
              <w:t>文化信息资源共享工程服务室</w:t>
            </w:r>
          </w:p>
        </w:tc>
        <w:tc>
          <w:tcPr>
            <w:tcW w:w="1875" w:type="dxa"/>
            <w:shd w:val="clear" w:color="auto" w:fill="auto"/>
            <w:vAlign w:val="center"/>
          </w:tcPr>
          <w:p>
            <w:pPr>
              <w:pStyle w:val="178"/>
            </w:pPr>
            <w:r>
              <w:rPr>
                <w:rFonts w:hint="eastAsia"/>
              </w:rPr>
              <w:t>◎</w:t>
            </w:r>
          </w:p>
        </w:tc>
        <w:tc>
          <w:tcPr>
            <w:tcW w:w="1875" w:type="dxa"/>
            <w:shd w:val="clear" w:color="auto" w:fill="auto"/>
            <w:vAlign w:val="center"/>
          </w:tcPr>
          <w:p>
            <w:pPr>
              <w:pStyle w:val="178"/>
            </w:pPr>
            <w:r>
              <w:rPr>
                <w:rFonts w:hint="eastAsia"/>
              </w:rPr>
              <w:t>◎</w:t>
            </w:r>
          </w:p>
        </w:tc>
        <w:tc>
          <w:tcPr>
            <w:tcW w:w="1875" w:type="dxa"/>
            <w:shd w:val="clear" w:color="auto" w:fill="auto"/>
            <w:vAlign w:val="center"/>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1003" w:type="dxa"/>
            <w:vMerge w:val="continue"/>
            <w:shd w:val="clear" w:color="auto" w:fill="auto"/>
            <w:vAlign w:val="center"/>
          </w:tcPr>
          <w:p>
            <w:pPr>
              <w:pStyle w:val="178"/>
            </w:pPr>
          </w:p>
        </w:tc>
        <w:tc>
          <w:tcPr>
            <w:tcW w:w="2746" w:type="dxa"/>
            <w:shd w:val="clear" w:color="auto" w:fill="auto"/>
            <w:vAlign w:val="center"/>
          </w:tcPr>
          <w:p>
            <w:pPr>
              <w:pStyle w:val="178"/>
            </w:pPr>
            <w:r>
              <w:t>微机室</w:t>
            </w:r>
          </w:p>
        </w:tc>
        <w:tc>
          <w:tcPr>
            <w:tcW w:w="1875" w:type="dxa"/>
            <w:shd w:val="clear" w:color="auto" w:fill="auto"/>
            <w:vAlign w:val="center"/>
          </w:tcPr>
          <w:p>
            <w:pPr>
              <w:pStyle w:val="178"/>
            </w:pPr>
            <w:r>
              <w:rPr>
                <w:rFonts w:hint="eastAsia"/>
              </w:rPr>
              <w:t>◎</w:t>
            </w:r>
          </w:p>
        </w:tc>
        <w:tc>
          <w:tcPr>
            <w:tcW w:w="1875" w:type="dxa"/>
            <w:shd w:val="clear" w:color="auto" w:fill="auto"/>
            <w:vAlign w:val="center"/>
          </w:tcPr>
          <w:p>
            <w:pPr>
              <w:pStyle w:val="178"/>
            </w:pPr>
            <w:r>
              <w:rPr>
                <w:rFonts w:hint="eastAsia"/>
              </w:rPr>
              <w:t>◎</w:t>
            </w:r>
          </w:p>
        </w:tc>
        <w:tc>
          <w:tcPr>
            <w:tcW w:w="1875" w:type="dxa"/>
            <w:shd w:val="clear" w:color="auto" w:fill="auto"/>
            <w:vAlign w:val="center"/>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1003" w:type="dxa"/>
            <w:vMerge w:val="continue"/>
            <w:shd w:val="clear" w:color="auto" w:fill="auto"/>
            <w:vAlign w:val="center"/>
          </w:tcPr>
          <w:p>
            <w:pPr>
              <w:pStyle w:val="178"/>
            </w:pPr>
          </w:p>
        </w:tc>
        <w:tc>
          <w:tcPr>
            <w:tcW w:w="2746" w:type="dxa"/>
            <w:shd w:val="clear" w:color="auto" w:fill="auto"/>
            <w:vAlign w:val="center"/>
          </w:tcPr>
          <w:p>
            <w:pPr>
              <w:pStyle w:val="178"/>
            </w:pPr>
            <w:r>
              <w:t>广播电视服务室</w:t>
            </w:r>
          </w:p>
        </w:tc>
        <w:tc>
          <w:tcPr>
            <w:tcW w:w="1875" w:type="dxa"/>
            <w:shd w:val="clear" w:color="auto" w:fill="auto"/>
            <w:vAlign w:val="center"/>
          </w:tcPr>
          <w:p>
            <w:pPr>
              <w:pStyle w:val="178"/>
            </w:pPr>
            <w:r>
              <w:rPr>
                <w:rFonts w:hint="eastAsia"/>
              </w:rPr>
              <w:t>◎</w:t>
            </w:r>
          </w:p>
        </w:tc>
        <w:tc>
          <w:tcPr>
            <w:tcW w:w="1875" w:type="dxa"/>
            <w:shd w:val="clear" w:color="auto" w:fill="auto"/>
            <w:vAlign w:val="center"/>
          </w:tcPr>
          <w:p>
            <w:pPr>
              <w:pStyle w:val="178"/>
            </w:pPr>
            <w:r>
              <w:rPr>
                <w:rFonts w:hint="eastAsia"/>
              </w:rPr>
              <w:t>◎</w:t>
            </w:r>
          </w:p>
        </w:tc>
        <w:tc>
          <w:tcPr>
            <w:tcW w:w="1875" w:type="dxa"/>
            <w:shd w:val="clear" w:color="auto" w:fill="auto"/>
            <w:vAlign w:val="center"/>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1003" w:type="dxa"/>
            <w:vMerge w:val="restart"/>
            <w:shd w:val="clear" w:color="auto" w:fill="auto"/>
            <w:vAlign w:val="center"/>
          </w:tcPr>
          <w:p>
            <w:pPr>
              <w:pStyle w:val="178"/>
            </w:pPr>
            <w:r>
              <w:t>管理和辅助用房</w:t>
            </w:r>
          </w:p>
        </w:tc>
        <w:tc>
          <w:tcPr>
            <w:tcW w:w="2746" w:type="dxa"/>
            <w:shd w:val="clear" w:color="auto" w:fill="auto"/>
            <w:vAlign w:val="center"/>
          </w:tcPr>
          <w:p>
            <w:pPr>
              <w:pStyle w:val="178"/>
            </w:pPr>
            <w:r>
              <w:t>管理室</w:t>
            </w:r>
          </w:p>
        </w:tc>
        <w:tc>
          <w:tcPr>
            <w:tcW w:w="1875" w:type="dxa"/>
            <w:shd w:val="clear" w:color="auto" w:fill="auto"/>
            <w:vAlign w:val="center"/>
          </w:tcPr>
          <w:p>
            <w:pPr>
              <w:pStyle w:val="178"/>
            </w:pPr>
            <w:r>
              <w:rPr>
                <w:rFonts w:hint="eastAsia"/>
              </w:rPr>
              <w:t>●</w:t>
            </w:r>
          </w:p>
        </w:tc>
        <w:tc>
          <w:tcPr>
            <w:tcW w:w="1875" w:type="dxa"/>
            <w:shd w:val="clear" w:color="auto" w:fill="auto"/>
            <w:vAlign w:val="center"/>
          </w:tcPr>
          <w:p>
            <w:pPr>
              <w:pStyle w:val="178"/>
            </w:pPr>
            <w:r>
              <w:rPr>
                <w:rFonts w:hint="eastAsia"/>
              </w:rPr>
              <w:t>●</w:t>
            </w:r>
          </w:p>
        </w:tc>
        <w:tc>
          <w:tcPr>
            <w:tcW w:w="1875" w:type="dxa"/>
            <w:shd w:val="clear" w:color="auto" w:fill="auto"/>
            <w:vAlign w:val="center"/>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003" w:type="dxa"/>
            <w:vMerge w:val="continue"/>
            <w:shd w:val="clear" w:color="auto" w:fill="auto"/>
            <w:vAlign w:val="center"/>
          </w:tcPr>
          <w:p>
            <w:pPr>
              <w:pStyle w:val="178"/>
            </w:pPr>
          </w:p>
        </w:tc>
        <w:tc>
          <w:tcPr>
            <w:tcW w:w="2746" w:type="dxa"/>
            <w:shd w:val="clear" w:color="auto" w:fill="auto"/>
            <w:vAlign w:val="center"/>
          </w:tcPr>
          <w:p>
            <w:pPr>
              <w:pStyle w:val="178"/>
            </w:pPr>
            <w:r>
              <w:t>设备间</w:t>
            </w:r>
          </w:p>
        </w:tc>
        <w:tc>
          <w:tcPr>
            <w:tcW w:w="1875" w:type="dxa"/>
            <w:shd w:val="clear" w:color="auto" w:fill="auto"/>
            <w:vAlign w:val="center"/>
          </w:tcPr>
          <w:p>
            <w:pPr>
              <w:pStyle w:val="178"/>
            </w:pPr>
            <w:r>
              <w:rPr>
                <w:rFonts w:hint="eastAsia"/>
              </w:rPr>
              <w:t>◎</w:t>
            </w:r>
          </w:p>
        </w:tc>
        <w:tc>
          <w:tcPr>
            <w:tcW w:w="1875" w:type="dxa"/>
            <w:shd w:val="clear" w:color="auto" w:fill="auto"/>
            <w:vAlign w:val="center"/>
          </w:tcPr>
          <w:p>
            <w:pPr>
              <w:pStyle w:val="178"/>
            </w:pPr>
            <w:r>
              <w:rPr>
                <w:rFonts w:hint="eastAsia"/>
              </w:rPr>
              <w:t>◎</w:t>
            </w:r>
          </w:p>
        </w:tc>
        <w:tc>
          <w:tcPr>
            <w:tcW w:w="1875" w:type="dxa"/>
            <w:shd w:val="clear" w:color="auto" w:fill="auto"/>
            <w:vAlign w:val="center"/>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1003" w:type="dxa"/>
            <w:vMerge w:val="continue"/>
            <w:shd w:val="clear" w:color="auto" w:fill="auto"/>
            <w:vAlign w:val="center"/>
          </w:tcPr>
          <w:p>
            <w:pPr>
              <w:pStyle w:val="178"/>
            </w:pPr>
          </w:p>
        </w:tc>
        <w:tc>
          <w:tcPr>
            <w:tcW w:w="2746" w:type="dxa"/>
            <w:shd w:val="clear" w:color="auto" w:fill="auto"/>
            <w:vAlign w:val="center"/>
          </w:tcPr>
          <w:p>
            <w:pPr>
              <w:pStyle w:val="178"/>
            </w:pPr>
            <w:r>
              <w:t>库房</w:t>
            </w:r>
          </w:p>
        </w:tc>
        <w:tc>
          <w:tcPr>
            <w:tcW w:w="1875" w:type="dxa"/>
            <w:shd w:val="clear" w:color="auto" w:fill="auto"/>
            <w:vAlign w:val="center"/>
          </w:tcPr>
          <w:p>
            <w:pPr>
              <w:pStyle w:val="178"/>
            </w:pPr>
            <w:r>
              <w:rPr>
                <w:rFonts w:hint="eastAsia"/>
              </w:rPr>
              <w:t>●</w:t>
            </w:r>
          </w:p>
        </w:tc>
        <w:tc>
          <w:tcPr>
            <w:tcW w:w="1875" w:type="dxa"/>
            <w:shd w:val="clear" w:color="auto" w:fill="auto"/>
            <w:vAlign w:val="center"/>
          </w:tcPr>
          <w:p>
            <w:pPr>
              <w:pStyle w:val="178"/>
            </w:pPr>
            <w:r>
              <w:rPr>
                <w:rFonts w:hint="eastAsia"/>
              </w:rPr>
              <w:t>●</w:t>
            </w:r>
          </w:p>
        </w:tc>
        <w:tc>
          <w:tcPr>
            <w:tcW w:w="1875" w:type="dxa"/>
            <w:shd w:val="clear" w:color="auto" w:fill="auto"/>
            <w:vAlign w:val="center"/>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9374" w:type="dxa"/>
            <w:gridSpan w:val="5"/>
            <w:shd w:val="clear" w:color="auto" w:fill="auto"/>
            <w:vAlign w:val="center"/>
          </w:tcPr>
          <w:p>
            <w:pPr>
              <w:pStyle w:val="178"/>
              <w:jc w:val="left"/>
            </w:pPr>
            <w:r>
              <w:t>注</w:t>
            </w:r>
            <w:r>
              <w:rPr>
                <w:rFonts w:hint="eastAsia"/>
              </w:rPr>
              <w:t>：●应设；◎可设；○不设。</w:t>
            </w:r>
          </w:p>
        </w:tc>
      </w:tr>
    </w:tbl>
    <w:p>
      <w:pPr>
        <w:pStyle w:val="56"/>
        <w:ind w:firstLine="420"/>
      </w:pPr>
    </w:p>
    <w:p>
      <w:pPr>
        <w:pStyle w:val="56"/>
        <w:ind w:firstLine="420"/>
        <w:sectPr>
          <w:pgSz w:w="11906" w:h="16838"/>
          <w:pgMar w:top="1871" w:right="1134" w:bottom="1134" w:left="1134" w:header="1418" w:footer="1134" w:gutter="284"/>
          <w:cols w:space="425" w:num="1"/>
          <w:formProt w:val="0"/>
          <w:docGrid w:type="lines" w:linePitch="312" w:charSpace="0"/>
        </w:sectPr>
      </w:pPr>
    </w:p>
    <w:p>
      <w:pPr>
        <w:pStyle w:val="198"/>
      </w:pPr>
    </w:p>
    <w:p>
      <w:pPr>
        <w:pStyle w:val="199"/>
      </w:pPr>
    </w:p>
    <w:p>
      <w:pPr>
        <w:pStyle w:val="76"/>
        <w:spacing w:before="78" w:after="156"/>
      </w:pPr>
      <w:r>
        <w:br w:type="textWrapping"/>
      </w:r>
      <w:bookmarkStart w:id="75" w:name="_Toc60930972"/>
      <w:bookmarkStart w:id="76" w:name="_Toc59018209"/>
      <w:bookmarkStart w:id="77" w:name="_Toc62487487"/>
      <w:r>
        <w:rPr>
          <w:rFonts w:hint="eastAsia"/>
        </w:rPr>
        <w:t>（规范性）</w:t>
      </w:r>
      <w:r>
        <w:br w:type="textWrapping"/>
      </w:r>
      <w:r>
        <w:rPr>
          <w:rFonts w:hint="eastAsia"/>
        </w:rPr>
        <w:t>乡镇综合文化服务中心专用设备、器材配置表</w:t>
      </w:r>
      <w:bookmarkEnd w:id="75"/>
      <w:bookmarkEnd w:id="76"/>
      <w:bookmarkEnd w:id="77"/>
    </w:p>
    <w:p>
      <w:pPr>
        <w:pStyle w:val="56"/>
        <w:ind w:firstLine="420"/>
      </w:pPr>
      <w:r>
        <w:rPr>
          <w:rFonts w:hint="eastAsia"/>
        </w:rPr>
        <w:t>乡镇综合文化服务中心专用设备、器材配置表见表B.1</w:t>
      </w:r>
    </w:p>
    <w:p>
      <w:pPr>
        <w:pStyle w:val="77"/>
        <w:spacing w:before="156" w:after="156"/>
      </w:pPr>
      <w:r>
        <w:rPr>
          <w:rFonts w:hint="eastAsia"/>
        </w:rPr>
        <w:t>乡镇综合文化服务中心专用设备、器材配置表</w:t>
      </w:r>
    </w:p>
    <w:tbl>
      <w:tblPr>
        <w:tblStyle w:val="27"/>
        <w:tblW w:w="92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34"/>
        <w:gridCol w:w="3231"/>
        <w:gridCol w:w="49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8" w:hRule="atLeast"/>
          <w:tblHeader/>
          <w:jc w:val="center"/>
        </w:trPr>
        <w:tc>
          <w:tcPr>
            <w:tcW w:w="1134" w:type="dxa"/>
            <w:tcBorders>
              <w:top w:val="single" w:color="auto" w:sz="8" w:space="0"/>
              <w:bottom w:val="single" w:color="auto" w:sz="8" w:space="0"/>
            </w:tcBorders>
            <w:shd w:val="clear" w:color="auto" w:fill="auto"/>
            <w:vAlign w:val="center"/>
          </w:tcPr>
          <w:p>
            <w:pPr>
              <w:pStyle w:val="178"/>
            </w:pPr>
            <w:r>
              <w:rPr>
                <w:rFonts w:hint="eastAsia"/>
              </w:rPr>
              <w:t>序号</w:t>
            </w:r>
          </w:p>
        </w:tc>
        <w:tc>
          <w:tcPr>
            <w:tcW w:w="3231" w:type="dxa"/>
            <w:tcBorders>
              <w:top w:val="single" w:color="auto" w:sz="8" w:space="0"/>
              <w:bottom w:val="single" w:color="auto" w:sz="8" w:space="0"/>
            </w:tcBorders>
            <w:shd w:val="clear" w:color="auto" w:fill="auto"/>
            <w:vAlign w:val="center"/>
          </w:tcPr>
          <w:p>
            <w:pPr>
              <w:pStyle w:val="178"/>
            </w:pPr>
            <w:r>
              <w:rPr>
                <w:rFonts w:hint="eastAsia"/>
              </w:rPr>
              <w:t>项目</w:t>
            </w:r>
          </w:p>
        </w:tc>
        <w:tc>
          <w:tcPr>
            <w:tcW w:w="4923" w:type="dxa"/>
            <w:tcBorders>
              <w:top w:val="single" w:color="auto" w:sz="8" w:space="0"/>
              <w:bottom w:val="single" w:color="auto" w:sz="8" w:space="0"/>
            </w:tcBorders>
            <w:shd w:val="clear" w:color="auto" w:fill="auto"/>
            <w:vAlign w:val="center"/>
          </w:tcPr>
          <w:p>
            <w:pPr>
              <w:pStyle w:val="178"/>
            </w:pPr>
            <w:r>
              <w:rPr>
                <w:rFonts w:hint="eastAsia"/>
              </w:rPr>
              <w:t>细目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1134" w:type="dxa"/>
            <w:tcBorders>
              <w:top w:val="single" w:color="auto" w:sz="8" w:space="0"/>
            </w:tcBorders>
            <w:shd w:val="clear" w:color="auto" w:fill="auto"/>
            <w:vAlign w:val="center"/>
          </w:tcPr>
          <w:p>
            <w:pPr>
              <w:pStyle w:val="178"/>
            </w:pPr>
            <w:r>
              <w:rPr>
                <w:rFonts w:hint="eastAsia"/>
              </w:rPr>
              <w:t>1</w:t>
            </w:r>
          </w:p>
        </w:tc>
        <w:tc>
          <w:tcPr>
            <w:tcW w:w="3231" w:type="dxa"/>
            <w:tcBorders>
              <w:top w:val="single" w:color="auto" w:sz="8" w:space="0"/>
            </w:tcBorders>
            <w:shd w:val="clear" w:color="auto" w:fill="auto"/>
            <w:vAlign w:val="center"/>
          </w:tcPr>
          <w:p>
            <w:pPr>
              <w:pStyle w:val="178"/>
            </w:pPr>
            <w:r>
              <w:rPr>
                <w:rFonts w:hint="eastAsia"/>
              </w:rPr>
              <w:t>演出设备和乐器、演出服装</w:t>
            </w:r>
          </w:p>
        </w:tc>
        <w:tc>
          <w:tcPr>
            <w:tcW w:w="4923" w:type="dxa"/>
            <w:tcBorders>
              <w:top w:val="single" w:color="auto" w:sz="8" w:space="0"/>
            </w:tcBorders>
            <w:shd w:val="clear" w:color="auto" w:fill="auto"/>
            <w:vAlign w:val="center"/>
          </w:tcPr>
          <w:p>
            <w:pPr>
              <w:pStyle w:val="178"/>
            </w:pPr>
            <w:r>
              <w:rPr>
                <w:rFonts w:hint="eastAsia"/>
              </w:rPr>
              <w:t>灯光、音响、流动舞台、乐器、服装、道具等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1134" w:type="dxa"/>
            <w:shd w:val="clear" w:color="auto" w:fill="auto"/>
            <w:vAlign w:val="center"/>
          </w:tcPr>
          <w:p>
            <w:pPr>
              <w:pStyle w:val="178"/>
            </w:pPr>
            <w:r>
              <w:rPr>
                <w:rFonts w:hint="eastAsia"/>
              </w:rPr>
              <w:t>2</w:t>
            </w:r>
          </w:p>
        </w:tc>
        <w:tc>
          <w:tcPr>
            <w:tcW w:w="3231" w:type="dxa"/>
            <w:shd w:val="clear" w:color="auto" w:fill="auto"/>
            <w:vAlign w:val="center"/>
          </w:tcPr>
          <w:p>
            <w:pPr>
              <w:pStyle w:val="178"/>
            </w:pPr>
            <w:r>
              <w:rPr>
                <w:rFonts w:hint="eastAsia"/>
              </w:rPr>
              <w:t>美术创作及展览设备</w:t>
            </w:r>
          </w:p>
        </w:tc>
        <w:tc>
          <w:tcPr>
            <w:tcW w:w="4923" w:type="dxa"/>
            <w:shd w:val="clear" w:color="auto" w:fill="auto"/>
            <w:vAlign w:val="center"/>
          </w:tcPr>
          <w:p>
            <w:pPr>
              <w:pStyle w:val="178"/>
            </w:pPr>
            <w:r>
              <w:rPr>
                <w:rFonts w:hint="eastAsia"/>
              </w:rPr>
              <w:t>书画桌、展品挂件、展板、灯光等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8" w:hRule="atLeast"/>
          <w:jc w:val="center"/>
        </w:trPr>
        <w:tc>
          <w:tcPr>
            <w:tcW w:w="1134" w:type="dxa"/>
            <w:shd w:val="clear" w:color="auto" w:fill="auto"/>
            <w:vAlign w:val="center"/>
          </w:tcPr>
          <w:p>
            <w:pPr>
              <w:pStyle w:val="178"/>
            </w:pPr>
            <w:r>
              <w:rPr>
                <w:rFonts w:hint="eastAsia"/>
              </w:rPr>
              <w:t>3</w:t>
            </w:r>
          </w:p>
        </w:tc>
        <w:tc>
          <w:tcPr>
            <w:tcW w:w="3231" w:type="dxa"/>
            <w:shd w:val="clear" w:color="auto" w:fill="auto"/>
            <w:vAlign w:val="center"/>
          </w:tcPr>
          <w:p>
            <w:pPr>
              <w:pStyle w:val="178"/>
            </w:pPr>
            <w:r>
              <w:rPr>
                <w:rFonts w:hint="eastAsia"/>
              </w:rPr>
              <w:t>书报刊阅览设备</w:t>
            </w:r>
          </w:p>
        </w:tc>
        <w:tc>
          <w:tcPr>
            <w:tcW w:w="4923" w:type="dxa"/>
            <w:shd w:val="clear" w:color="auto" w:fill="auto"/>
            <w:vAlign w:val="center"/>
          </w:tcPr>
          <w:p>
            <w:pPr>
              <w:pStyle w:val="178"/>
            </w:pPr>
            <w:r>
              <w:rPr>
                <w:rFonts w:hint="eastAsia"/>
              </w:rPr>
              <w:t>书架、书柜、阅览桌椅及相关设备等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1134" w:type="dxa"/>
            <w:shd w:val="clear" w:color="auto" w:fill="auto"/>
            <w:vAlign w:val="center"/>
          </w:tcPr>
          <w:p>
            <w:pPr>
              <w:pStyle w:val="178"/>
            </w:pPr>
            <w:r>
              <w:rPr>
                <w:rFonts w:hint="eastAsia"/>
              </w:rPr>
              <w:t>4</w:t>
            </w:r>
          </w:p>
        </w:tc>
        <w:tc>
          <w:tcPr>
            <w:tcW w:w="3231" w:type="dxa"/>
            <w:shd w:val="clear" w:color="auto" w:fill="auto"/>
            <w:vAlign w:val="center"/>
          </w:tcPr>
          <w:p>
            <w:pPr>
              <w:pStyle w:val="178"/>
            </w:pPr>
            <w:r>
              <w:rPr>
                <w:rFonts w:hint="eastAsia"/>
              </w:rPr>
              <w:t>教育培训、视听及电教设备</w:t>
            </w:r>
          </w:p>
        </w:tc>
        <w:tc>
          <w:tcPr>
            <w:tcW w:w="4923" w:type="dxa"/>
            <w:shd w:val="clear" w:color="auto" w:fill="auto"/>
            <w:vAlign w:val="center"/>
          </w:tcPr>
          <w:p>
            <w:pPr>
              <w:pStyle w:val="178"/>
            </w:pPr>
            <w:r>
              <w:rPr>
                <w:rFonts w:hint="eastAsia"/>
              </w:rPr>
              <w:t>课桌、椅、电视、电脑、投影仪等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8" w:hRule="atLeast"/>
          <w:jc w:val="center"/>
        </w:trPr>
        <w:tc>
          <w:tcPr>
            <w:tcW w:w="1134" w:type="dxa"/>
            <w:shd w:val="clear" w:color="auto" w:fill="auto"/>
            <w:vAlign w:val="center"/>
          </w:tcPr>
          <w:p>
            <w:pPr>
              <w:pStyle w:val="178"/>
            </w:pPr>
            <w:r>
              <w:rPr>
                <w:rFonts w:hint="eastAsia"/>
              </w:rPr>
              <w:t>5</w:t>
            </w:r>
          </w:p>
        </w:tc>
        <w:tc>
          <w:tcPr>
            <w:tcW w:w="3231" w:type="dxa"/>
            <w:shd w:val="clear" w:color="auto" w:fill="auto"/>
            <w:vAlign w:val="center"/>
          </w:tcPr>
          <w:p>
            <w:pPr>
              <w:pStyle w:val="178"/>
            </w:pPr>
            <w:r>
              <w:rPr>
                <w:rFonts w:hint="eastAsia"/>
              </w:rPr>
              <w:t>摄影及摄像设备</w:t>
            </w:r>
          </w:p>
        </w:tc>
        <w:tc>
          <w:tcPr>
            <w:tcW w:w="4923" w:type="dxa"/>
            <w:shd w:val="clear" w:color="auto" w:fill="auto"/>
            <w:vAlign w:val="center"/>
          </w:tcPr>
          <w:p>
            <w:pPr>
              <w:pStyle w:val="178"/>
            </w:pPr>
            <w:r>
              <w:rPr>
                <w:rFonts w:hint="eastAsia"/>
              </w:rPr>
              <w:t>照相机、摄影机、刻录机等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1134" w:type="dxa"/>
            <w:shd w:val="clear" w:color="auto" w:fill="auto"/>
            <w:vAlign w:val="center"/>
          </w:tcPr>
          <w:p>
            <w:pPr>
              <w:pStyle w:val="178"/>
            </w:pPr>
            <w:r>
              <w:rPr>
                <w:rFonts w:hint="eastAsia"/>
              </w:rPr>
              <w:t>6</w:t>
            </w:r>
          </w:p>
        </w:tc>
        <w:tc>
          <w:tcPr>
            <w:tcW w:w="3231" w:type="dxa"/>
            <w:shd w:val="clear" w:color="auto" w:fill="auto"/>
            <w:vAlign w:val="center"/>
          </w:tcPr>
          <w:p>
            <w:pPr>
              <w:pStyle w:val="178"/>
            </w:pPr>
            <w:r>
              <w:rPr>
                <w:rFonts w:hint="eastAsia"/>
              </w:rPr>
              <w:t>文化信息资源共享工程设备</w:t>
            </w:r>
          </w:p>
        </w:tc>
        <w:tc>
          <w:tcPr>
            <w:tcW w:w="4923" w:type="dxa"/>
            <w:shd w:val="clear" w:color="auto" w:fill="auto"/>
            <w:vAlign w:val="center"/>
          </w:tcPr>
          <w:p>
            <w:pPr>
              <w:pStyle w:val="178"/>
            </w:pPr>
            <w:r>
              <w:rPr>
                <w:rFonts w:hint="eastAsia"/>
              </w:rPr>
              <w:t>PC服务器、投影仪、计算机和相关设备、卫星信号接收器等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13" w:hRule="atLeast"/>
          <w:jc w:val="center"/>
        </w:trPr>
        <w:tc>
          <w:tcPr>
            <w:tcW w:w="1134" w:type="dxa"/>
            <w:shd w:val="clear" w:color="auto" w:fill="auto"/>
            <w:vAlign w:val="center"/>
          </w:tcPr>
          <w:p>
            <w:pPr>
              <w:pStyle w:val="178"/>
            </w:pPr>
            <w:r>
              <w:rPr>
                <w:rFonts w:hint="eastAsia"/>
              </w:rPr>
              <w:t>7</w:t>
            </w:r>
          </w:p>
        </w:tc>
        <w:tc>
          <w:tcPr>
            <w:tcW w:w="3231" w:type="dxa"/>
            <w:shd w:val="clear" w:color="auto" w:fill="auto"/>
            <w:vAlign w:val="center"/>
          </w:tcPr>
          <w:p>
            <w:pPr>
              <w:pStyle w:val="178"/>
            </w:pPr>
            <w:r>
              <w:rPr>
                <w:rFonts w:hint="eastAsia"/>
              </w:rPr>
              <w:t>综合文化车</w:t>
            </w:r>
          </w:p>
        </w:tc>
        <w:tc>
          <w:tcPr>
            <w:tcW w:w="4923" w:type="dxa"/>
            <w:shd w:val="clear" w:color="auto" w:fill="auto"/>
            <w:vAlign w:val="center"/>
          </w:tcPr>
          <w:p>
            <w:pPr>
              <w:pStyle w:val="178"/>
            </w:pPr>
            <w:r>
              <w:rPr>
                <w:rFonts w:hint="eastAsia"/>
              </w:rPr>
              <w:t>送戏、送书下乡等流动文化服务综</w:t>
            </w:r>
          </w:p>
          <w:p>
            <w:pPr>
              <w:pStyle w:val="178"/>
            </w:pPr>
            <w:r>
              <w:rPr>
                <w:rFonts w:hint="eastAsia"/>
              </w:rPr>
              <w:t>合用车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13" w:hRule="atLeast"/>
          <w:jc w:val="center"/>
        </w:trPr>
        <w:tc>
          <w:tcPr>
            <w:tcW w:w="1134" w:type="dxa"/>
            <w:shd w:val="clear" w:color="auto" w:fill="auto"/>
            <w:vAlign w:val="center"/>
          </w:tcPr>
          <w:p>
            <w:pPr>
              <w:pStyle w:val="178"/>
            </w:pPr>
            <w:r>
              <w:rPr>
                <w:rFonts w:hint="eastAsia"/>
              </w:rPr>
              <w:t>8</w:t>
            </w:r>
          </w:p>
        </w:tc>
        <w:tc>
          <w:tcPr>
            <w:tcW w:w="3231" w:type="dxa"/>
            <w:shd w:val="clear" w:color="auto" w:fill="auto"/>
            <w:vAlign w:val="center"/>
          </w:tcPr>
          <w:p>
            <w:pPr>
              <w:pStyle w:val="178"/>
            </w:pPr>
            <w:r>
              <w:rPr>
                <w:rFonts w:hint="eastAsia"/>
              </w:rPr>
              <w:t>体育健身器材</w:t>
            </w:r>
          </w:p>
        </w:tc>
        <w:tc>
          <w:tcPr>
            <w:tcW w:w="4923" w:type="dxa"/>
            <w:shd w:val="clear" w:color="auto" w:fill="auto"/>
            <w:vAlign w:val="center"/>
          </w:tcPr>
          <w:p>
            <w:pPr>
              <w:pStyle w:val="178"/>
            </w:pPr>
            <w:r>
              <w:rPr>
                <w:rFonts w:hint="eastAsia"/>
              </w:rPr>
              <w:t>乒乓球桌、台球桌、室内外健身器</w:t>
            </w:r>
          </w:p>
          <w:p>
            <w:pPr>
              <w:pStyle w:val="178"/>
            </w:pPr>
            <w:r>
              <w:rPr>
                <w:rFonts w:hint="eastAsia"/>
              </w:rPr>
              <w:t>材、球类等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35" w:hRule="atLeast"/>
          <w:jc w:val="center"/>
        </w:trPr>
        <w:tc>
          <w:tcPr>
            <w:tcW w:w="1134" w:type="dxa"/>
            <w:shd w:val="clear" w:color="auto" w:fill="auto"/>
            <w:vAlign w:val="center"/>
          </w:tcPr>
          <w:p>
            <w:pPr>
              <w:pStyle w:val="178"/>
            </w:pPr>
            <w:r>
              <w:rPr>
                <w:rFonts w:hint="eastAsia"/>
              </w:rPr>
              <w:t>9</w:t>
            </w:r>
          </w:p>
        </w:tc>
        <w:tc>
          <w:tcPr>
            <w:tcW w:w="3231" w:type="dxa"/>
            <w:shd w:val="clear" w:color="auto" w:fill="auto"/>
            <w:vAlign w:val="center"/>
          </w:tcPr>
          <w:p>
            <w:pPr>
              <w:pStyle w:val="178"/>
            </w:pPr>
            <w:r>
              <w:rPr>
                <w:rFonts w:hint="eastAsia"/>
              </w:rPr>
              <w:t>其他设备</w:t>
            </w:r>
          </w:p>
        </w:tc>
        <w:tc>
          <w:tcPr>
            <w:tcW w:w="4923" w:type="dxa"/>
            <w:shd w:val="clear" w:color="auto" w:fill="auto"/>
            <w:vAlign w:val="center"/>
          </w:tcPr>
          <w:p>
            <w:pPr>
              <w:pStyle w:val="178"/>
            </w:pPr>
            <w:r>
              <w:rPr>
                <w:rFonts w:hint="eastAsia"/>
              </w:rPr>
              <w:t>舞龙、舞狮、民间工艺品制作等特</w:t>
            </w:r>
          </w:p>
          <w:p>
            <w:pPr>
              <w:pStyle w:val="178"/>
            </w:pPr>
            <w:r>
              <w:rPr>
                <w:rFonts w:hint="eastAsia"/>
              </w:rPr>
              <w:t>色文化活动设备</w:t>
            </w:r>
          </w:p>
        </w:tc>
      </w:tr>
    </w:tbl>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sectPr>
          <w:pgSz w:w="11906" w:h="16838"/>
          <w:pgMar w:top="1871" w:right="1134" w:bottom="1134" w:left="1134" w:header="1418" w:footer="1134" w:gutter="284"/>
          <w:cols w:space="425" w:num="1"/>
          <w:formProt w:val="0"/>
          <w:docGrid w:type="lines" w:linePitch="312" w:charSpace="0"/>
        </w:sectPr>
      </w:pPr>
    </w:p>
    <w:bookmarkEnd w:id="71"/>
    <w:p>
      <w:pPr>
        <w:pStyle w:val="63"/>
        <w:spacing w:before="124" w:after="156"/>
      </w:pPr>
      <w:bookmarkStart w:id="78" w:name="_Toc62487488"/>
      <w:bookmarkStart w:id="79" w:name="_Toc59018210"/>
      <w:bookmarkStart w:id="80" w:name="_Toc60930973"/>
      <w:bookmarkStart w:id="81" w:name="BookMark6"/>
      <w:r>
        <w:rPr>
          <w:rFonts w:hint="eastAsia"/>
          <w:spacing w:val="105"/>
        </w:rPr>
        <w:t>参考文</w:t>
      </w:r>
      <w:r>
        <w:rPr>
          <w:rFonts w:hint="eastAsia"/>
        </w:rPr>
        <w:t>献</w:t>
      </w:r>
      <w:bookmarkEnd w:id="78"/>
      <w:bookmarkEnd w:id="79"/>
      <w:bookmarkEnd w:id="80"/>
    </w:p>
    <w:p>
      <w:pPr>
        <w:pStyle w:val="56"/>
        <w:ind w:firstLine="420"/>
      </w:pPr>
    </w:p>
    <w:p>
      <w:pPr>
        <w:pStyle w:val="56"/>
        <w:ind w:firstLine="420"/>
      </w:pPr>
    </w:p>
    <w:p>
      <w:pPr>
        <w:pStyle w:val="56"/>
        <w:ind w:firstLine="199" w:firstLineChars="95"/>
      </w:pPr>
      <w:r>
        <w:t>[1]</w:t>
      </w:r>
      <w:r>
        <w:rPr>
          <w:rFonts w:hint="eastAsia"/>
        </w:rPr>
        <w:t xml:space="preserve"> 中华人民共和国国务院令 第505号《大型群众性活动安全管理条例》</w:t>
      </w:r>
    </w:p>
    <w:p>
      <w:pPr>
        <w:pStyle w:val="56"/>
        <w:ind w:firstLine="199" w:firstLineChars="95"/>
      </w:pPr>
      <w:r>
        <w:t>[2]</w:t>
      </w:r>
      <w:r>
        <w:rPr>
          <w:rFonts w:hint="eastAsia"/>
        </w:rPr>
        <w:t xml:space="preserve"> 湖南省乡镇综合文化站 公共文化服务标准化手册</w:t>
      </w:r>
    </w:p>
    <w:p>
      <w:pPr>
        <w:pStyle w:val="56"/>
        <w:ind w:firstLine="199" w:firstLineChars="95"/>
      </w:pPr>
      <w:r>
        <w:rPr>
          <w:rFonts w:hint="eastAsia"/>
        </w:rPr>
        <w:t xml:space="preserve">[3] GB/T 32940-2016 乡镇综合文化服务标准 </w:t>
      </w:r>
    </w:p>
    <w:p>
      <w:pPr>
        <w:pStyle w:val="56"/>
        <w:ind w:firstLine="199" w:firstLineChars="95"/>
      </w:pPr>
    </w:p>
    <w:p>
      <w:pPr>
        <w:pStyle w:val="56"/>
        <w:ind w:firstLine="420"/>
      </w:pPr>
    </w:p>
    <w:bookmarkEnd w:id="81"/>
    <w:p>
      <w:pPr>
        <w:pStyle w:val="56"/>
        <w:ind w:firstLine="0" w:firstLineChars="0"/>
        <w:jc w:val="center"/>
      </w:pPr>
      <w:bookmarkStart w:id="82"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stretch>
                      <a:fillRect/>
                    </a:stretch>
                  </pic:blipFill>
                  <pic:spPr>
                    <a:xfrm>
                      <a:off x="0" y="0"/>
                      <a:ext cx="1485900" cy="317500"/>
                    </a:xfrm>
                    <a:prstGeom prst="rect">
                      <a:avLst/>
                    </a:prstGeom>
                  </pic:spPr>
                </pic:pic>
              </a:graphicData>
            </a:graphic>
          </wp:inline>
        </w:drawing>
      </w:r>
      <w:bookmarkEnd w:id="82"/>
    </w:p>
    <w:sectPr>
      <w:pgSz w:w="11906" w:h="16838"/>
      <w:pgMar w:top="1871"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9</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 XXXXX—XXXX</w:t>
    </w:r>
    <w:r>
      <w:fldChar w:fldCharType="end"/>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DB XX XXXXX—XXXX</w:t>
    </w:r>
    <w:r>
      <w:fldChar w:fldCharType="end"/>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71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284"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dit="forms" w:enforcement="1" w:cryptProviderType="rsaAES" w:cryptAlgorithmClass="hash" w:cryptAlgorithmType="typeAny" w:cryptAlgorithmSid="14" w:cryptSpinCount="100000" w:hash="vjNlaAm9gwLRm7eUlRPzAG5olk9FskT/3qp2BFnc38hHAVnyneS/chES1CXDdyjm9tJPkHjLL6/2jU1+8cVbzg==" w:salt="wOlhXDaNHSog3RUPA7NIg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286"/>
    <w:rsid w:val="0000040A"/>
    <w:rsid w:val="00000A94"/>
    <w:rsid w:val="0000117F"/>
    <w:rsid w:val="00001972"/>
    <w:rsid w:val="00001D9A"/>
    <w:rsid w:val="00007B3A"/>
    <w:rsid w:val="000107E0"/>
    <w:rsid w:val="00011FDE"/>
    <w:rsid w:val="00012FFD"/>
    <w:rsid w:val="00014162"/>
    <w:rsid w:val="00014340"/>
    <w:rsid w:val="000166C5"/>
    <w:rsid w:val="00016A9C"/>
    <w:rsid w:val="00022184"/>
    <w:rsid w:val="00022762"/>
    <w:rsid w:val="000238E0"/>
    <w:rsid w:val="0002439D"/>
    <w:rsid w:val="000249DB"/>
    <w:rsid w:val="0002595E"/>
    <w:rsid w:val="00025C9E"/>
    <w:rsid w:val="000303C3"/>
    <w:rsid w:val="00031FAF"/>
    <w:rsid w:val="000331D3"/>
    <w:rsid w:val="000346A5"/>
    <w:rsid w:val="000359C3"/>
    <w:rsid w:val="00035A7D"/>
    <w:rsid w:val="000365ED"/>
    <w:rsid w:val="0004245A"/>
    <w:rsid w:val="0004249A"/>
    <w:rsid w:val="00043282"/>
    <w:rsid w:val="00044286"/>
    <w:rsid w:val="00047F28"/>
    <w:rsid w:val="000503AA"/>
    <w:rsid w:val="000506A1"/>
    <w:rsid w:val="000515DD"/>
    <w:rsid w:val="0005265A"/>
    <w:rsid w:val="000539DD"/>
    <w:rsid w:val="00053BD3"/>
    <w:rsid w:val="000556ED"/>
    <w:rsid w:val="00055892"/>
    <w:rsid w:val="00055FE2"/>
    <w:rsid w:val="0005616F"/>
    <w:rsid w:val="00060C2E"/>
    <w:rsid w:val="00061033"/>
    <w:rsid w:val="00061305"/>
    <w:rsid w:val="000619E9"/>
    <w:rsid w:val="000622D4"/>
    <w:rsid w:val="0006357D"/>
    <w:rsid w:val="00067F1E"/>
    <w:rsid w:val="00071CC0"/>
    <w:rsid w:val="0007328E"/>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1BF3"/>
    <w:rsid w:val="000D329A"/>
    <w:rsid w:val="000D4B9C"/>
    <w:rsid w:val="000D4EB6"/>
    <w:rsid w:val="000D663F"/>
    <w:rsid w:val="000D753B"/>
    <w:rsid w:val="000E1160"/>
    <w:rsid w:val="000E4384"/>
    <w:rsid w:val="000E4C9E"/>
    <w:rsid w:val="000E6FD7"/>
    <w:rsid w:val="000E7DAF"/>
    <w:rsid w:val="000F06E1"/>
    <w:rsid w:val="000F0E3C"/>
    <w:rsid w:val="000F19D5"/>
    <w:rsid w:val="000F4AEA"/>
    <w:rsid w:val="000F67E9"/>
    <w:rsid w:val="001024B6"/>
    <w:rsid w:val="00104926"/>
    <w:rsid w:val="0010569C"/>
    <w:rsid w:val="00107944"/>
    <w:rsid w:val="00113B1E"/>
    <w:rsid w:val="0011711C"/>
    <w:rsid w:val="00124E4F"/>
    <w:rsid w:val="001260B7"/>
    <w:rsid w:val="001265CB"/>
    <w:rsid w:val="00127BB0"/>
    <w:rsid w:val="0013132C"/>
    <w:rsid w:val="001321C6"/>
    <w:rsid w:val="00132369"/>
    <w:rsid w:val="001325C4"/>
    <w:rsid w:val="00133010"/>
    <w:rsid w:val="001338EE"/>
    <w:rsid w:val="00133AAE"/>
    <w:rsid w:val="00135323"/>
    <w:rsid w:val="001356C4"/>
    <w:rsid w:val="00135F83"/>
    <w:rsid w:val="00141114"/>
    <w:rsid w:val="00142969"/>
    <w:rsid w:val="001438E8"/>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23E6"/>
    <w:rsid w:val="0019348F"/>
    <w:rsid w:val="00193A07"/>
    <w:rsid w:val="00194C95"/>
    <w:rsid w:val="00195C34"/>
    <w:rsid w:val="00196EF5"/>
    <w:rsid w:val="001A0C86"/>
    <w:rsid w:val="001A11F0"/>
    <w:rsid w:val="001A1A53"/>
    <w:rsid w:val="001A234A"/>
    <w:rsid w:val="001A2A53"/>
    <w:rsid w:val="001A4CF3"/>
    <w:rsid w:val="001B06E8"/>
    <w:rsid w:val="001B271D"/>
    <w:rsid w:val="001B437F"/>
    <w:rsid w:val="001B71D0"/>
    <w:rsid w:val="001B71EE"/>
    <w:rsid w:val="001C04A8"/>
    <w:rsid w:val="001C2C03"/>
    <w:rsid w:val="001C42F7"/>
    <w:rsid w:val="001C49E5"/>
    <w:rsid w:val="001C4A39"/>
    <w:rsid w:val="001C680C"/>
    <w:rsid w:val="001C6FA1"/>
    <w:rsid w:val="001C7FEA"/>
    <w:rsid w:val="001D0499"/>
    <w:rsid w:val="001D0BBE"/>
    <w:rsid w:val="001D0ED4"/>
    <w:rsid w:val="001D212F"/>
    <w:rsid w:val="001D29D7"/>
    <w:rsid w:val="001D2DE7"/>
    <w:rsid w:val="001D3336"/>
    <w:rsid w:val="001D411C"/>
    <w:rsid w:val="001E1B6A"/>
    <w:rsid w:val="001E2484"/>
    <w:rsid w:val="001E3CC4"/>
    <w:rsid w:val="001E4882"/>
    <w:rsid w:val="001E73AB"/>
    <w:rsid w:val="001F092D"/>
    <w:rsid w:val="001F143A"/>
    <w:rsid w:val="001F1605"/>
    <w:rsid w:val="001F2508"/>
    <w:rsid w:val="001F4463"/>
    <w:rsid w:val="001F4816"/>
    <w:rsid w:val="001F69B4"/>
    <w:rsid w:val="001F77C7"/>
    <w:rsid w:val="00200183"/>
    <w:rsid w:val="00200333"/>
    <w:rsid w:val="0020107D"/>
    <w:rsid w:val="00202AA4"/>
    <w:rsid w:val="002031F7"/>
    <w:rsid w:val="002040E6"/>
    <w:rsid w:val="002043EA"/>
    <w:rsid w:val="0020527B"/>
    <w:rsid w:val="00205F2C"/>
    <w:rsid w:val="00205FE5"/>
    <w:rsid w:val="002100EE"/>
    <w:rsid w:val="00210B15"/>
    <w:rsid w:val="002142EA"/>
    <w:rsid w:val="00214A33"/>
    <w:rsid w:val="002153FB"/>
    <w:rsid w:val="002204BB"/>
    <w:rsid w:val="00221B79"/>
    <w:rsid w:val="00221C6B"/>
    <w:rsid w:val="002253A1"/>
    <w:rsid w:val="00225CF8"/>
    <w:rsid w:val="0022794E"/>
    <w:rsid w:val="0023216E"/>
    <w:rsid w:val="00233D64"/>
    <w:rsid w:val="0023482A"/>
    <w:rsid w:val="002359CB"/>
    <w:rsid w:val="002406B3"/>
    <w:rsid w:val="00243540"/>
    <w:rsid w:val="0024497B"/>
    <w:rsid w:val="0024515B"/>
    <w:rsid w:val="00246021"/>
    <w:rsid w:val="0024666E"/>
    <w:rsid w:val="00247F52"/>
    <w:rsid w:val="00250B25"/>
    <w:rsid w:val="00250BBE"/>
    <w:rsid w:val="002515C2"/>
    <w:rsid w:val="0025194F"/>
    <w:rsid w:val="0026014E"/>
    <w:rsid w:val="0026148A"/>
    <w:rsid w:val="00262696"/>
    <w:rsid w:val="00263D25"/>
    <w:rsid w:val="002643C3"/>
    <w:rsid w:val="00264A0C"/>
    <w:rsid w:val="00265C74"/>
    <w:rsid w:val="00266EEB"/>
    <w:rsid w:val="00267EF4"/>
    <w:rsid w:val="00270CB8"/>
    <w:rsid w:val="00272B08"/>
    <w:rsid w:val="00281BB8"/>
    <w:rsid w:val="00281E9E"/>
    <w:rsid w:val="00282405"/>
    <w:rsid w:val="00285170"/>
    <w:rsid w:val="00285361"/>
    <w:rsid w:val="002855CB"/>
    <w:rsid w:val="00286014"/>
    <w:rsid w:val="00292D60"/>
    <w:rsid w:val="00293B30"/>
    <w:rsid w:val="00293E2F"/>
    <w:rsid w:val="0029499C"/>
    <w:rsid w:val="00294D34"/>
    <w:rsid w:val="00294E3B"/>
    <w:rsid w:val="00296193"/>
    <w:rsid w:val="00296C66"/>
    <w:rsid w:val="00296EBE"/>
    <w:rsid w:val="002974E3"/>
    <w:rsid w:val="002A084B"/>
    <w:rsid w:val="002A1260"/>
    <w:rsid w:val="002A1589"/>
    <w:rsid w:val="002A1608"/>
    <w:rsid w:val="002A25DC"/>
    <w:rsid w:val="002A3AAB"/>
    <w:rsid w:val="002A4737"/>
    <w:rsid w:val="002A4CEA"/>
    <w:rsid w:val="002A5977"/>
    <w:rsid w:val="002A5A13"/>
    <w:rsid w:val="002A757F"/>
    <w:rsid w:val="002A7F44"/>
    <w:rsid w:val="002B0C40"/>
    <w:rsid w:val="002B1966"/>
    <w:rsid w:val="002B3609"/>
    <w:rsid w:val="002B393F"/>
    <w:rsid w:val="002B4508"/>
    <w:rsid w:val="002B5779"/>
    <w:rsid w:val="002B7332"/>
    <w:rsid w:val="002B7F51"/>
    <w:rsid w:val="002C09E7"/>
    <w:rsid w:val="002C1E06"/>
    <w:rsid w:val="002C3F07"/>
    <w:rsid w:val="002C5278"/>
    <w:rsid w:val="002C7EBB"/>
    <w:rsid w:val="002D06C1"/>
    <w:rsid w:val="002D22AE"/>
    <w:rsid w:val="002D42B5"/>
    <w:rsid w:val="002D4F1A"/>
    <w:rsid w:val="002D6286"/>
    <w:rsid w:val="002D6EC6"/>
    <w:rsid w:val="002D7286"/>
    <w:rsid w:val="002D79AC"/>
    <w:rsid w:val="002E039D"/>
    <w:rsid w:val="002E46DC"/>
    <w:rsid w:val="002E4D5A"/>
    <w:rsid w:val="002E6326"/>
    <w:rsid w:val="002F27E2"/>
    <w:rsid w:val="002F30E0"/>
    <w:rsid w:val="002F35E4"/>
    <w:rsid w:val="002F3730"/>
    <w:rsid w:val="002F38E1"/>
    <w:rsid w:val="002F7AF6"/>
    <w:rsid w:val="00300E63"/>
    <w:rsid w:val="00302F5F"/>
    <w:rsid w:val="0030441D"/>
    <w:rsid w:val="00306063"/>
    <w:rsid w:val="003065F1"/>
    <w:rsid w:val="00313B85"/>
    <w:rsid w:val="003147B3"/>
    <w:rsid w:val="00317988"/>
    <w:rsid w:val="003221B4"/>
    <w:rsid w:val="0032258D"/>
    <w:rsid w:val="00322E62"/>
    <w:rsid w:val="00324D13"/>
    <w:rsid w:val="00324EDD"/>
    <w:rsid w:val="003306F2"/>
    <w:rsid w:val="003331E4"/>
    <w:rsid w:val="00335663"/>
    <w:rsid w:val="0033679D"/>
    <w:rsid w:val="00336C64"/>
    <w:rsid w:val="00337162"/>
    <w:rsid w:val="0034194F"/>
    <w:rsid w:val="00344605"/>
    <w:rsid w:val="003474AA"/>
    <w:rsid w:val="00350D1D"/>
    <w:rsid w:val="00352AFB"/>
    <w:rsid w:val="00352C83"/>
    <w:rsid w:val="003615D2"/>
    <w:rsid w:val="0036429C"/>
    <w:rsid w:val="00364A53"/>
    <w:rsid w:val="003654CB"/>
    <w:rsid w:val="00365AA9"/>
    <w:rsid w:val="00365F86"/>
    <w:rsid w:val="00365F87"/>
    <w:rsid w:val="00366E89"/>
    <w:rsid w:val="003705F4"/>
    <w:rsid w:val="00370D58"/>
    <w:rsid w:val="00371316"/>
    <w:rsid w:val="00375874"/>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1FE7"/>
    <w:rsid w:val="003A4077"/>
    <w:rsid w:val="003A4CCF"/>
    <w:rsid w:val="003B09AD"/>
    <w:rsid w:val="003B1F18"/>
    <w:rsid w:val="003B46EC"/>
    <w:rsid w:val="003B5BF0"/>
    <w:rsid w:val="003B60BF"/>
    <w:rsid w:val="003B6BE3"/>
    <w:rsid w:val="003C010C"/>
    <w:rsid w:val="003C0A6C"/>
    <w:rsid w:val="003C14F8"/>
    <w:rsid w:val="003C5A43"/>
    <w:rsid w:val="003D0519"/>
    <w:rsid w:val="003D0FF6"/>
    <w:rsid w:val="003D262C"/>
    <w:rsid w:val="003D6D61"/>
    <w:rsid w:val="003E091D"/>
    <w:rsid w:val="003E1319"/>
    <w:rsid w:val="003E18AA"/>
    <w:rsid w:val="003E1C53"/>
    <w:rsid w:val="003E2A69"/>
    <w:rsid w:val="003E2D49"/>
    <w:rsid w:val="003E2FD4"/>
    <w:rsid w:val="003E49F6"/>
    <w:rsid w:val="003E660F"/>
    <w:rsid w:val="003F0841"/>
    <w:rsid w:val="003F23D3"/>
    <w:rsid w:val="003F3F08"/>
    <w:rsid w:val="003F3F48"/>
    <w:rsid w:val="003F418F"/>
    <w:rsid w:val="003F49F1"/>
    <w:rsid w:val="003F6272"/>
    <w:rsid w:val="00400E72"/>
    <w:rsid w:val="00401400"/>
    <w:rsid w:val="00404869"/>
    <w:rsid w:val="00405884"/>
    <w:rsid w:val="00407D39"/>
    <w:rsid w:val="0041215D"/>
    <w:rsid w:val="00413B7C"/>
    <w:rsid w:val="0041477A"/>
    <w:rsid w:val="004167A3"/>
    <w:rsid w:val="00417D65"/>
    <w:rsid w:val="00425613"/>
    <w:rsid w:val="00426EB4"/>
    <w:rsid w:val="00432DAA"/>
    <w:rsid w:val="00434305"/>
    <w:rsid w:val="00434D31"/>
    <w:rsid w:val="00435DF7"/>
    <w:rsid w:val="004401D2"/>
    <w:rsid w:val="0044083F"/>
    <w:rsid w:val="00441AE7"/>
    <w:rsid w:val="00445574"/>
    <w:rsid w:val="0044622C"/>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86DC3"/>
    <w:rsid w:val="004905E4"/>
    <w:rsid w:val="00490A89"/>
    <w:rsid w:val="00490AB4"/>
    <w:rsid w:val="00492F02"/>
    <w:rsid w:val="004939AE"/>
    <w:rsid w:val="004A12DF"/>
    <w:rsid w:val="004A1BA8"/>
    <w:rsid w:val="004A4B57"/>
    <w:rsid w:val="004A63FA"/>
    <w:rsid w:val="004A71CF"/>
    <w:rsid w:val="004B0272"/>
    <w:rsid w:val="004B2701"/>
    <w:rsid w:val="004B2E1B"/>
    <w:rsid w:val="004B3AA8"/>
    <w:rsid w:val="004B3E93"/>
    <w:rsid w:val="004B4FD5"/>
    <w:rsid w:val="004B6D41"/>
    <w:rsid w:val="004C1FBC"/>
    <w:rsid w:val="004C3F1D"/>
    <w:rsid w:val="004C458D"/>
    <w:rsid w:val="004C7556"/>
    <w:rsid w:val="004C788F"/>
    <w:rsid w:val="004C7E8B"/>
    <w:rsid w:val="004C7E9D"/>
    <w:rsid w:val="004C7F67"/>
    <w:rsid w:val="004D076D"/>
    <w:rsid w:val="004D0EF1"/>
    <w:rsid w:val="004D2253"/>
    <w:rsid w:val="004D4406"/>
    <w:rsid w:val="004D7C42"/>
    <w:rsid w:val="004E0465"/>
    <w:rsid w:val="004E1207"/>
    <w:rsid w:val="004E127B"/>
    <w:rsid w:val="004E1C0A"/>
    <w:rsid w:val="004E30C5"/>
    <w:rsid w:val="004E4AA5"/>
    <w:rsid w:val="004E4AEE"/>
    <w:rsid w:val="004E59E3"/>
    <w:rsid w:val="004E67C0"/>
    <w:rsid w:val="004E6868"/>
    <w:rsid w:val="004F391A"/>
    <w:rsid w:val="004F3CFB"/>
    <w:rsid w:val="004F6456"/>
    <w:rsid w:val="004F696E"/>
    <w:rsid w:val="004F6C71"/>
    <w:rsid w:val="00501139"/>
    <w:rsid w:val="0050363E"/>
    <w:rsid w:val="005039BC"/>
    <w:rsid w:val="00504244"/>
    <w:rsid w:val="005043BB"/>
    <w:rsid w:val="00504A3D"/>
    <w:rsid w:val="00505767"/>
    <w:rsid w:val="00505A44"/>
    <w:rsid w:val="005073F0"/>
    <w:rsid w:val="00510A7B"/>
    <w:rsid w:val="00512F6E"/>
    <w:rsid w:val="00513038"/>
    <w:rsid w:val="00513B0C"/>
    <w:rsid w:val="00514174"/>
    <w:rsid w:val="00516088"/>
    <w:rsid w:val="00516A41"/>
    <w:rsid w:val="00516B0B"/>
    <w:rsid w:val="005220EC"/>
    <w:rsid w:val="00523F95"/>
    <w:rsid w:val="00524D65"/>
    <w:rsid w:val="00525B16"/>
    <w:rsid w:val="00532A8C"/>
    <w:rsid w:val="00533AFB"/>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8F7"/>
    <w:rsid w:val="00551F6F"/>
    <w:rsid w:val="00552B31"/>
    <w:rsid w:val="00555044"/>
    <w:rsid w:val="00561475"/>
    <w:rsid w:val="0056487B"/>
    <w:rsid w:val="00564FB9"/>
    <w:rsid w:val="00566982"/>
    <w:rsid w:val="00572C7E"/>
    <w:rsid w:val="00573D9E"/>
    <w:rsid w:val="005801E3"/>
    <w:rsid w:val="00581802"/>
    <w:rsid w:val="005828FA"/>
    <w:rsid w:val="005836A8"/>
    <w:rsid w:val="0058409C"/>
    <w:rsid w:val="00584262"/>
    <w:rsid w:val="00585FA3"/>
    <w:rsid w:val="00586630"/>
    <w:rsid w:val="00587ADD"/>
    <w:rsid w:val="00596160"/>
    <w:rsid w:val="005966E2"/>
    <w:rsid w:val="00597007"/>
    <w:rsid w:val="00597391"/>
    <w:rsid w:val="005A0966"/>
    <w:rsid w:val="005A11B7"/>
    <w:rsid w:val="005A260B"/>
    <w:rsid w:val="005A4A1B"/>
    <w:rsid w:val="005A7830"/>
    <w:rsid w:val="005A7FCE"/>
    <w:rsid w:val="005B0F3F"/>
    <w:rsid w:val="005B4903"/>
    <w:rsid w:val="005B51CE"/>
    <w:rsid w:val="005B5885"/>
    <w:rsid w:val="005B5CD7"/>
    <w:rsid w:val="005B6CF6"/>
    <w:rsid w:val="005B7422"/>
    <w:rsid w:val="005C0128"/>
    <w:rsid w:val="005C29B8"/>
    <w:rsid w:val="005C5F21"/>
    <w:rsid w:val="005C7156"/>
    <w:rsid w:val="005D0C75"/>
    <w:rsid w:val="005D10E8"/>
    <w:rsid w:val="005D4171"/>
    <w:rsid w:val="005D6A95"/>
    <w:rsid w:val="005D6B2C"/>
    <w:rsid w:val="005D6D9C"/>
    <w:rsid w:val="005E2335"/>
    <w:rsid w:val="005E34CA"/>
    <w:rsid w:val="005E3C18"/>
    <w:rsid w:val="005E6812"/>
    <w:rsid w:val="005E7881"/>
    <w:rsid w:val="005E78E0"/>
    <w:rsid w:val="005F0622"/>
    <w:rsid w:val="005F0D9C"/>
    <w:rsid w:val="005F284E"/>
    <w:rsid w:val="00600BA7"/>
    <w:rsid w:val="006015CE"/>
    <w:rsid w:val="00603E13"/>
    <w:rsid w:val="00604784"/>
    <w:rsid w:val="00606419"/>
    <w:rsid w:val="00607D29"/>
    <w:rsid w:val="00611591"/>
    <w:rsid w:val="00611964"/>
    <w:rsid w:val="00612952"/>
    <w:rsid w:val="00614CC1"/>
    <w:rsid w:val="00615A9D"/>
    <w:rsid w:val="00615B75"/>
    <w:rsid w:val="00615D56"/>
    <w:rsid w:val="00617387"/>
    <w:rsid w:val="006205D6"/>
    <w:rsid w:val="00622BB8"/>
    <w:rsid w:val="006252D8"/>
    <w:rsid w:val="006259BC"/>
    <w:rsid w:val="0062636B"/>
    <w:rsid w:val="0062722E"/>
    <w:rsid w:val="00632182"/>
    <w:rsid w:val="00632AE0"/>
    <w:rsid w:val="00633C17"/>
    <w:rsid w:val="00634D9E"/>
    <w:rsid w:val="00636E3E"/>
    <w:rsid w:val="006379F7"/>
    <w:rsid w:val="00637E4D"/>
    <w:rsid w:val="00640620"/>
    <w:rsid w:val="00641A1F"/>
    <w:rsid w:val="006452AC"/>
    <w:rsid w:val="006454B6"/>
    <w:rsid w:val="00645904"/>
    <w:rsid w:val="00651ACB"/>
    <w:rsid w:val="00651C47"/>
    <w:rsid w:val="00652AB2"/>
    <w:rsid w:val="00653FED"/>
    <w:rsid w:val="00654EC0"/>
    <w:rsid w:val="0065525B"/>
    <w:rsid w:val="00655D4F"/>
    <w:rsid w:val="00656D29"/>
    <w:rsid w:val="0066150B"/>
    <w:rsid w:val="006640E5"/>
    <w:rsid w:val="006646F1"/>
    <w:rsid w:val="00664929"/>
    <w:rsid w:val="00664F62"/>
    <w:rsid w:val="006655E1"/>
    <w:rsid w:val="00672060"/>
    <w:rsid w:val="00672BFD"/>
    <w:rsid w:val="00675CB0"/>
    <w:rsid w:val="006770F4"/>
    <w:rsid w:val="00677A84"/>
    <w:rsid w:val="0068026D"/>
    <w:rsid w:val="00680A27"/>
    <w:rsid w:val="00681491"/>
    <w:rsid w:val="006816A4"/>
    <w:rsid w:val="006819B8"/>
    <w:rsid w:val="006840A6"/>
    <w:rsid w:val="006850CD"/>
    <w:rsid w:val="00685AAB"/>
    <w:rsid w:val="006A07AA"/>
    <w:rsid w:val="006A25E5"/>
    <w:rsid w:val="006A2B46"/>
    <w:rsid w:val="006A336D"/>
    <w:rsid w:val="006A37B9"/>
    <w:rsid w:val="006B2672"/>
    <w:rsid w:val="006B4365"/>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73CE"/>
    <w:rsid w:val="006E482F"/>
    <w:rsid w:val="006F03A8"/>
    <w:rsid w:val="006F2ACA"/>
    <w:rsid w:val="006F2ADC"/>
    <w:rsid w:val="006F2BFE"/>
    <w:rsid w:val="006F31E9"/>
    <w:rsid w:val="006F6284"/>
    <w:rsid w:val="007002C5"/>
    <w:rsid w:val="00704387"/>
    <w:rsid w:val="007058B4"/>
    <w:rsid w:val="00705DCF"/>
    <w:rsid w:val="00707669"/>
    <w:rsid w:val="00711CBA"/>
    <w:rsid w:val="00711FB5"/>
    <w:rsid w:val="00712A01"/>
    <w:rsid w:val="00713324"/>
    <w:rsid w:val="00714F58"/>
    <w:rsid w:val="00720D09"/>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4CA1"/>
    <w:rsid w:val="0074548E"/>
    <w:rsid w:val="00745773"/>
    <w:rsid w:val="00746800"/>
    <w:rsid w:val="007501A8"/>
    <w:rsid w:val="00750D61"/>
    <w:rsid w:val="00750EE1"/>
    <w:rsid w:val="00751763"/>
    <w:rsid w:val="00752B4D"/>
    <w:rsid w:val="0075440E"/>
    <w:rsid w:val="00755402"/>
    <w:rsid w:val="00755ECC"/>
    <w:rsid w:val="00756B26"/>
    <w:rsid w:val="00756EDF"/>
    <w:rsid w:val="007600E3"/>
    <w:rsid w:val="00765C43"/>
    <w:rsid w:val="00765EFB"/>
    <w:rsid w:val="007671CA"/>
    <w:rsid w:val="00767C61"/>
    <w:rsid w:val="0077008A"/>
    <w:rsid w:val="0077188B"/>
    <w:rsid w:val="00773C1F"/>
    <w:rsid w:val="0077487B"/>
    <w:rsid w:val="00774DA4"/>
    <w:rsid w:val="00776599"/>
    <w:rsid w:val="0078114B"/>
    <w:rsid w:val="00781DD2"/>
    <w:rsid w:val="00783ECF"/>
    <w:rsid w:val="0078413A"/>
    <w:rsid w:val="007853E4"/>
    <w:rsid w:val="00786F07"/>
    <w:rsid w:val="007959E8"/>
    <w:rsid w:val="00795E9C"/>
    <w:rsid w:val="00797082"/>
    <w:rsid w:val="00797B58"/>
    <w:rsid w:val="007A0521"/>
    <w:rsid w:val="007A186E"/>
    <w:rsid w:val="007A2E12"/>
    <w:rsid w:val="007A3475"/>
    <w:rsid w:val="007A41C8"/>
    <w:rsid w:val="007A54CE"/>
    <w:rsid w:val="007A56C1"/>
    <w:rsid w:val="007A6FD9"/>
    <w:rsid w:val="007A7FFA"/>
    <w:rsid w:val="007B04EB"/>
    <w:rsid w:val="007B0D4F"/>
    <w:rsid w:val="007B5A3D"/>
    <w:rsid w:val="007B5B95"/>
    <w:rsid w:val="007B68EA"/>
    <w:rsid w:val="007B7453"/>
    <w:rsid w:val="007C0820"/>
    <w:rsid w:val="007C1344"/>
    <w:rsid w:val="007C2D89"/>
    <w:rsid w:val="007C4593"/>
    <w:rsid w:val="007C5309"/>
    <w:rsid w:val="007C6069"/>
    <w:rsid w:val="007D06C4"/>
    <w:rsid w:val="007D1352"/>
    <w:rsid w:val="007D2508"/>
    <w:rsid w:val="007D346A"/>
    <w:rsid w:val="007D6518"/>
    <w:rsid w:val="007D76BD"/>
    <w:rsid w:val="007E0BF1"/>
    <w:rsid w:val="007E0E7A"/>
    <w:rsid w:val="007F0B5E"/>
    <w:rsid w:val="007F0ED8"/>
    <w:rsid w:val="007F0F63"/>
    <w:rsid w:val="007F2DA9"/>
    <w:rsid w:val="007F3CA6"/>
    <w:rsid w:val="007F75CE"/>
    <w:rsid w:val="008013A4"/>
    <w:rsid w:val="008026EB"/>
    <w:rsid w:val="008027CE"/>
    <w:rsid w:val="00802F42"/>
    <w:rsid w:val="00804383"/>
    <w:rsid w:val="00804BB7"/>
    <w:rsid w:val="00804D41"/>
    <w:rsid w:val="00806483"/>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46EA"/>
    <w:rsid w:val="008454F8"/>
    <w:rsid w:val="008515FA"/>
    <w:rsid w:val="0085173A"/>
    <w:rsid w:val="0085577B"/>
    <w:rsid w:val="008603CE"/>
    <w:rsid w:val="008620FC"/>
    <w:rsid w:val="008627A5"/>
    <w:rsid w:val="00863E05"/>
    <w:rsid w:val="00865ACA"/>
    <w:rsid w:val="00865D28"/>
    <w:rsid w:val="00865F85"/>
    <w:rsid w:val="00867C10"/>
    <w:rsid w:val="00870439"/>
    <w:rsid w:val="00870DA1"/>
    <w:rsid w:val="008739ED"/>
    <w:rsid w:val="00876386"/>
    <w:rsid w:val="00880132"/>
    <w:rsid w:val="00883F93"/>
    <w:rsid w:val="00884DB3"/>
    <w:rsid w:val="00885A9D"/>
    <w:rsid w:val="008864F6"/>
    <w:rsid w:val="0089049D"/>
    <w:rsid w:val="008928C9"/>
    <w:rsid w:val="008929B8"/>
    <w:rsid w:val="008930CB"/>
    <w:rsid w:val="008938DC"/>
    <w:rsid w:val="00893FD1"/>
    <w:rsid w:val="00894836"/>
    <w:rsid w:val="00895172"/>
    <w:rsid w:val="00895680"/>
    <w:rsid w:val="00896DFF"/>
    <w:rsid w:val="0089762C"/>
    <w:rsid w:val="008A1893"/>
    <w:rsid w:val="008A34C7"/>
    <w:rsid w:val="008A57E6"/>
    <w:rsid w:val="008A6F81"/>
    <w:rsid w:val="008A769A"/>
    <w:rsid w:val="008B0C9C"/>
    <w:rsid w:val="008B166D"/>
    <w:rsid w:val="008B17F4"/>
    <w:rsid w:val="008B2479"/>
    <w:rsid w:val="008B3615"/>
    <w:rsid w:val="008B4AC4"/>
    <w:rsid w:val="008B50C8"/>
    <w:rsid w:val="008B5281"/>
    <w:rsid w:val="008B7E05"/>
    <w:rsid w:val="008C0A4E"/>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A72"/>
    <w:rsid w:val="008F4C29"/>
    <w:rsid w:val="008F70BD"/>
    <w:rsid w:val="008F7348"/>
    <w:rsid w:val="008F788F"/>
    <w:rsid w:val="008F7EA2"/>
    <w:rsid w:val="00902722"/>
    <w:rsid w:val="009027BC"/>
    <w:rsid w:val="009062E6"/>
    <w:rsid w:val="00906447"/>
    <w:rsid w:val="00910FC2"/>
    <w:rsid w:val="00911BE5"/>
    <w:rsid w:val="00913CA9"/>
    <w:rsid w:val="009145AE"/>
    <w:rsid w:val="009146CE"/>
    <w:rsid w:val="00914CA7"/>
    <w:rsid w:val="00914D61"/>
    <w:rsid w:val="00915C3E"/>
    <w:rsid w:val="009161A8"/>
    <w:rsid w:val="009245F5"/>
    <w:rsid w:val="009249EC"/>
    <w:rsid w:val="009273B3"/>
    <w:rsid w:val="009305B5"/>
    <w:rsid w:val="009429D5"/>
    <w:rsid w:val="00942BF1"/>
    <w:rsid w:val="00942C8D"/>
    <w:rsid w:val="00945180"/>
    <w:rsid w:val="00945428"/>
    <w:rsid w:val="0094607B"/>
    <w:rsid w:val="00953604"/>
    <w:rsid w:val="0095496B"/>
    <w:rsid w:val="009610DC"/>
    <w:rsid w:val="00961490"/>
    <w:rsid w:val="0096381A"/>
    <w:rsid w:val="00965E04"/>
    <w:rsid w:val="00966A25"/>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1471"/>
    <w:rsid w:val="009A21CD"/>
    <w:rsid w:val="009A278C"/>
    <w:rsid w:val="009A2BC2"/>
    <w:rsid w:val="009A42C1"/>
    <w:rsid w:val="009A5429"/>
    <w:rsid w:val="009A72AD"/>
    <w:rsid w:val="009B09E0"/>
    <w:rsid w:val="009B0BC5"/>
    <w:rsid w:val="009B1247"/>
    <w:rsid w:val="009B6029"/>
    <w:rsid w:val="009B6971"/>
    <w:rsid w:val="009C0DD5"/>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27D"/>
    <w:rsid w:val="00A14C8E"/>
    <w:rsid w:val="00A153D9"/>
    <w:rsid w:val="00A15F09"/>
    <w:rsid w:val="00A169B6"/>
    <w:rsid w:val="00A16AB1"/>
    <w:rsid w:val="00A2140F"/>
    <w:rsid w:val="00A2271D"/>
    <w:rsid w:val="00A237D5"/>
    <w:rsid w:val="00A30EFC"/>
    <w:rsid w:val="00A31984"/>
    <w:rsid w:val="00A32D73"/>
    <w:rsid w:val="00A3367B"/>
    <w:rsid w:val="00A3597D"/>
    <w:rsid w:val="00A366EE"/>
    <w:rsid w:val="00A36DD1"/>
    <w:rsid w:val="00A4006C"/>
    <w:rsid w:val="00A40091"/>
    <w:rsid w:val="00A4030F"/>
    <w:rsid w:val="00A41C79"/>
    <w:rsid w:val="00A41CB5"/>
    <w:rsid w:val="00A42CDF"/>
    <w:rsid w:val="00A4452E"/>
    <w:rsid w:val="00A4472C"/>
    <w:rsid w:val="00A44E69"/>
    <w:rsid w:val="00A4661E"/>
    <w:rsid w:val="00A46E8C"/>
    <w:rsid w:val="00A52B97"/>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099B"/>
    <w:rsid w:val="00A9295B"/>
    <w:rsid w:val="00A93B09"/>
    <w:rsid w:val="00A952D7"/>
    <w:rsid w:val="00A963F7"/>
    <w:rsid w:val="00A96AD8"/>
    <w:rsid w:val="00AA052C"/>
    <w:rsid w:val="00AA065A"/>
    <w:rsid w:val="00AA1E45"/>
    <w:rsid w:val="00AA3F69"/>
    <w:rsid w:val="00AA4286"/>
    <w:rsid w:val="00AA456B"/>
    <w:rsid w:val="00AA57F5"/>
    <w:rsid w:val="00AA672E"/>
    <w:rsid w:val="00AA6EC9"/>
    <w:rsid w:val="00AA7A2D"/>
    <w:rsid w:val="00AB6309"/>
    <w:rsid w:val="00AB6C5F"/>
    <w:rsid w:val="00AB7129"/>
    <w:rsid w:val="00AC0B1B"/>
    <w:rsid w:val="00AC0FF4"/>
    <w:rsid w:val="00AC27A6"/>
    <w:rsid w:val="00AC30F7"/>
    <w:rsid w:val="00AC3A5A"/>
    <w:rsid w:val="00AC4D95"/>
    <w:rsid w:val="00AC5DF4"/>
    <w:rsid w:val="00AC772E"/>
    <w:rsid w:val="00AD0AEF"/>
    <w:rsid w:val="00AD11B7"/>
    <w:rsid w:val="00AD1A94"/>
    <w:rsid w:val="00AD1C05"/>
    <w:rsid w:val="00AD4126"/>
    <w:rsid w:val="00AD421C"/>
    <w:rsid w:val="00AD44FA"/>
    <w:rsid w:val="00AD4FCC"/>
    <w:rsid w:val="00AE070A"/>
    <w:rsid w:val="00AE101C"/>
    <w:rsid w:val="00AE37E5"/>
    <w:rsid w:val="00AE4EB4"/>
    <w:rsid w:val="00AE5EB4"/>
    <w:rsid w:val="00AF0C18"/>
    <w:rsid w:val="00AF1F71"/>
    <w:rsid w:val="00AF3083"/>
    <w:rsid w:val="00AF4543"/>
    <w:rsid w:val="00AF47C5"/>
    <w:rsid w:val="00AF5398"/>
    <w:rsid w:val="00AF5466"/>
    <w:rsid w:val="00AF5B6A"/>
    <w:rsid w:val="00B049AF"/>
    <w:rsid w:val="00B04BB0"/>
    <w:rsid w:val="00B07242"/>
    <w:rsid w:val="00B10534"/>
    <w:rsid w:val="00B113DB"/>
    <w:rsid w:val="00B11D8A"/>
    <w:rsid w:val="00B12981"/>
    <w:rsid w:val="00B12F20"/>
    <w:rsid w:val="00B147DD"/>
    <w:rsid w:val="00B156FD"/>
    <w:rsid w:val="00B21F61"/>
    <w:rsid w:val="00B23585"/>
    <w:rsid w:val="00B2459F"/>
    <w:rsid w:val="00B261F1"/>
    <w:rsid w:val="00B265BC"/>
    <w:rsid w:val="00B31FB1"/>
    <w:rsid w:val="00B3218D"/>
    <w:rsid w:val="00B33952"/>
    <w:rsid w:val="00B33C5E"/>
    <w:rsid w:val="00B342F4"/>
    <w:rsid w:val="00B34369"/>
    <w:rsid w:val="00B34DC2"/>
    <w:rsid w:val="00B371C6"/>
    <w:rsid w:val="00B378E5"/>
    <w:rsid w:val="00B4346D"/>
    <w:rsid w:val="00B440F4"/>
    <w:rsid w:val="00B447A5"/>
    <w:rsid w:val="00B4654C"/>
    <w:rsid w:val="00B47293"/>
    <w:rsid w:val="00B47F0F"/>
    <w:rsid w:val="00B50E50"/>
    <w:rsid w:val="00B52120"/>
    <w:rsid w:val="00B5476A"/>
    <w:rsid w:val="00B54ABC"/>
    <w:rsid w:val="00B56FBE"/>
    <w:rsid w:val="00B60ACF"/>
    <w:rsid w:val="00B619CD"/>
    <w:rsid w:val="00B625D9"/>
    <w:rsid w:val="00B62B58"/>
    <w:rsid w:val="00B65149"/>
    <w:rsid w:val="00B66567"/>
    <w:rsid w:val="00B66F52"/>
    <w:rsid w:val="00B66FE5"/>
    <w:rsid w:val="00B72880"/>
    <w:rsid w:val="00B73619"/>
    <w:rsid w:val="00B758BF"/>
    <w:rsid w:val="00B777B2"/>
    <w:rsid w:val="00B77EC8"/>
    <w:rsid w:val="00B827A6"/>
    <w:rsid w:val="00B831CE"/>
    <w:rsid w:val="00B8549C"/>
    <w:rsid w:val="00B86677"/>
    <w:rsid w:val="00B87131"/>
    <w:rsid w:val="00B9225E"/>
    <w:rsid w:val="00B939B1"/>
    <w:rsid w:val="00B96656"/>
    <w:rsid w:val="00B96D40"/>
    <w:rsid w:val="00B97386"/>
    <w:rsid w:val="00BA263B"/>
    <w:rsid w:val="00BA3262"/>
    <w:rsid w:val="00BA42B2"/>
    <w:rsid w:val="00BA58D4"/>
    <w:rsid w:val="00BA5B9E"/>
    <w:rsid w:val="00BA7C9A"/>
    <w:rsid w:val="00BB5F8F"/>
    <w:rsid w:val="00BB657A"/>
    <w:rsid w:val="00BC1A4E"/>
    <w:rsid w:val="00BC1E4C"/>
    <w:rsid w:val="00BC5DC7"/>
    <w:rsid w:val="00BC615A"/>
    <w:rsid w:val="00BC6315"/>
    <w:rsid w:val="00BC69DA"/>
    <w:rsid w:val="00BC6B8B"/>
    <w:rsid w:val="00BC73D8"/>
    <w:rsid w:val="00BD52D7"/>
    <w:rsid w:val="00BD5AD2"/>
    <w:rsid w:val="00BE22F3"/>
    <w:rsid w:val="00BE52E9"/>
    <w:rsid w:val="00BE5B52"/>
    <w:rsid w:val="00BE6C32"/>
    <w:rsid w:val="00BE73EC"/>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2FE8"/>
    <w:rsid w:val="00C24BEC"/>
    <w:rsid w:val="00C24C8D"/>
    <w:rsid w:val="00C25FE2"/>
    <w:rsid w:val="00C26B53"/>
    <w:rsid w:val="00C279B2"/>
    <w:rsid w:val="00C33E50"/>
    <w:rsid w:val="00C3431A"/>
    <w:rsid w:val="00C34C20"/>
    <w:rsid w:val="00C35A3E"/>
    <w:rsid w:val="00C37B47"/>
    <w:rsid w:val="00C42130"/>
    <w:rsid w:val="00C423A4"/>
    <w:rsid w:val="00C44BF5"/>
    <w:rsid w:val="00C521D6"/>
    <w:rsid w:val="00C551DE"/>
    <w:rsid w:val="00C55232"/>
    <w:rsid w:val="00C553A4"/>
    <w:rsid w:val="00C55A06"/>
    <w:rsid w:val="00C55D03"/>
    <w:rsid w:val="00C601BC"/>
    <w:rsid w:val="00C62294"/>
    <w:rsid w:val="00C6329F"/>
    <w:rsid w:val="00C63340"/>
    <w:rsid w:val="00C643F9"/>
    <w:rsid w:val="00C64E95"/>
    <w:rsid w:val="00C71372"/>
    <w:rsid w:val="00C72410"/>
    <w:rsid w:val="00C7287F"/>
    <w:rsid w:val="00C80CB8"/>
    <w:rsid w:val="00C819F8"/>
    <w:rsid w:val="00C8248C"/>
    <w:rsid w:val="00C84E33"/>
    <w:rsid w:val="00C86D6F"/>
    <w:rsid w:val="00C905FC"/>
    <w:rsid w:val="00C91B12"/>
    <w:rsid w:val="00C92D03"/>
    <w:rsid w:val="00C9319C"/>
    <w:rsid w:val="00C9435D"/>
    <w:rsid w:val="00C94DF2"/>
    <w:rsid w:val="00C96741"/>
    <w:rsid w:val="00C972D5"/>
    <w:rsid w:val="00C97393"/>
    <w:rsid w:val="00CA2D1B"/>
    <w:rsid w:val="00CA375D"/>
    <w:rsid w:val="00CA662A"/>
    <w:rsid w:val="00CA7AFD"/>
    <w:rsid w:val="00CA7C3C"/>
    <w:rsid w:val="00CB0189"/>
    <w:rsid w:val="00CB0BA2"/>
    <w:rsid w:val="00CB1A42"/>
    <w:rsid w:val="00CB1B0C"/>
    <w:rsid w:val="00CB2C0B"/>
    <w:rsid w:val="00CB517D"/>
    <w:rsid w:val="00CC038D"/>
    <w:rsid w:val="00CC08DB"/>
    <w:rsid w:val="00CC0AB9"/>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67E7"/>
    <w:rsid w:val="00CE76EE"/>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58CD"/>
    <w:rsid w:val="00D16580"/>
    <w:rsid w:val="00D20737"/>
    <w:rsid w:val="00D21E81"/>
    <w:rsid w:val="00D223DE"/>
    <w:rsid w:val="00D249C4"/>
    <w:rsid w:val="00D25E37"/>
    <w:rsid w:val="00D2661A"/>
    <w:rsid w:val="00D27582"/>
    <w:rsid w:val="00D27D6A"/>
    <w:rsid w:val="00D27EC4"/>
    <w:rsid w:val="00D32719"/>
    <w:rsid w:val="00D33333"/>
    <w:rsid w:val="00D352A2"/>
    <w:rsid w:val="00D37F7F"/>
    <w:rsid w:val="00D4162B"/>
    <w:rsid w:val="00D4514F"/>
    <w:rsid w:val="00D451E2"/>
    <w:rsid w:val="00D45944"/>
    <w:rsid w:val="00D45E89"/>
    <w:rsid w:val="00D45E8D"/>
    <w:rsid w:val="00D466AE"/>
    <w:rsid w:val="00D4734F"/>
    <w:rsid w:val="00D51BF3"/>
    <w:rsid w:val="00D66846"/>
    <w:rsid w:val="00D675FB"/>
    <w:rsid w:val="00D7038F"/>
    <w:rsid w:val="00D71F25"/>
    <w:rsid w:val="00D72A9C"/>
    <w:rsid w:val="00D77031"/>
    <w:rsid w:val="00D77261"/>
    <w:rsid w:val="00D84941"/>
    <w:rsid w:val="00D84FA1"/>
    <w:rsid w:val="00D851F0"/>
    <w:rsid w:val="00D85ED5"/>
    <w:rsid w:val="00D86AF6"/>
    <w:rsid w:val="00D86DB7"/>
    <w:rsid w:val="00D91146"/>
    <w:rsid w:val="00D926D0"/>
    <w:rsid w:val="00D93030"/>
    <w:rsid w:val="00D950E1"/>
    <w:rsid w:val="00D952A6"/>
    <w:rsid w:val="00D97F99"/>
    <w:rsid w:val="00DA1E08"/>
    <w:rsid w:val="00DA24F8"/>
    <w:rsid w:val="00DA28A6"/>
    <w:rsid w:val="00DA28E8"/>
    <w:rsid w:val="00DA38D3"/>
    <w:rsid w:val="00DA3932"/>
    <w:rsid w:val="00DA3AFC"/>
    <w:rsid w:val="00DA439F"/>
    <w:rsid w:val="00DA64F8"/>
    <w:rsid w:val="00DA6C15"/>
    <w:rsid w:val="00DB0258"/>
    <w:rsid w:val="00DB38EE"/>
    <w:rsid w:val="00DB498B"/>
    <w:rsid w:val="00DB66CA"/>
    <w:rsid w:val="00DB6BCA"/>
    <w:rsid w:val="00DB6CFB"/>
    <w:rsid w:val="00DB73F7"/>
    <w:rsid w:val="00DC0321"/>
    <w:rsid w:val="00DC050F"/>
    <w:rsid w:val="00DC0A82"/>
    <w:rsid w:val="00DC3067"/>
    <w:rsid w:val="00DC370B"/>
    <w:rsid w:val="00DC59CE"/>
    <w:rsid w:val="00DC5B90"/>
    <w:rsid w:val="00DC670D"/>
    <w:rsid w:val="00DD00FF"/>
    <w:rsid w:val="00DD0619"/>
    <w:rsid w:val="00DD07FB"/>
    <w:rsid w:val="00DD11F9"/>
    <w:rsid w:val="00DD1F0D"/>
    <w:rsid w:val="00DD25C6"/>
    <w:rsid w:val="00DD2881"/>
    <w:rsid w:val="00DD4FE5"/>
    <w:rsid w:val="00DD54B0"/>
    <w:rsid w:val="00DD57EE"/>
    <w:rsid w:val="00DD6644"/>
    <w:rsid w:val="00DD6BCC"/>
    <w:rsid w:val="00DD7AB5"/>
    <w:rsid w:val="00DE0A4B"/>
    <w:rsid w:val="00DE2410"/>
    <w:rsid w:val="00DE2939"/>
    <w:rsid w:val="00DE6E81"/>
    <w:rsid w:val="00DE703F"/>
    <w:rsid w:val="00DE7595"/>
    <w:rsid w:val="00DF1961"/>
    <w:rsid w:val="00DF313E"/>
    <w:rsid w:val="00DF44DE"/>
    <w:rsid w:val="00E01138"/>
    <w:rsid w:val="00E02DFB"/>
    <w:rsid w:val="00E030F9"/>
    <w:rsid w:val="00E0311A"/>
    <w:rsid w:val="00E03138"/>
    <w:rsid w:val="00E06404"/>
    <w:rsid w:val="00E11A85"/>
    <w:rsid w:val="00E12495"/>
    <w:rsid w:val="00E15CCD"/>
    <w:rsid w:val="00E17E29"/>
    <w:rsid w:val="00E202EF"/>
    <w:rsid w:val="00E20D5B"/>
    <w:rsid w:val="00E210B5"/>
    <w:rsid w:val="00E23D99"/>
    <w:rsid w:val="00E2552F"/>
    <w:rsid w:val="00E26585"/>
    <w:rsid w:val="00E3137A"/>
    <w:rsid w:val="00E32412"/>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49E0"/>
    <w:rsid w:val="00E56800"/>
    <w:rsid w:val="00E60C63"/>
    <w:rsid w:val="00E62FF9"/>
    <w:rsid w:val="00E635D6"/>
    <w:rsid w:val="00E639BC"/>
    <w:rsid w:val="00E664CC"/>
    <w:rsid w:val="00E70388"/>
    <w:rsid w:val="00E70F92"/>
    <w:rsid w:val="00E716F3"/>
    <w:rsid w:val="00E74C54"/>
    <w:rsid w:val="00E75735"/>
    <w:rsid w:val="00E77A03"/>
    <w:rsid w:val="00E822E8"/>
    <w:rsid w:val="00E82554"/>
    <w:rsid w:val="00E82606"/>
    <w:rsid w:val="00E846C8"/>
    <w:rsid w:val="00E84935"/>
    <w:rsid w:val="00E84957"/>
    <w:rsid w:val="00E84A55"/>
    <w:rsid w:val="00E85BFF"/>
    <w:rsid w:val="00E90391"/>
    <w:rsid w:val="00E906C2"/>
    <w:rsid w:val="00E9311F"/>
    <w:rsid w:val="00E934D1"/>
    <w:rsid w:val="00E94AF0"/>
    <w:rsid w:val="00E94E8C"/>
    <w:rsid w:val="00E95D13"/>
    <w:rsid w:val="00E95DD3"/>
    <w:rsid w:val="00E969D5"/>
    <w:rsid w:val="00E97B12"/>
    <w:rsid w:val="00EA2292"/>
    <w:rsid w:val="00EA58D1"/>
    <w:rsid w:val="00EA61BC"/>
    <w:rsid w:val="00EA681A"/>
    <w:rsid w:val="00EA735B"/>
    <w:rsid w:val="00EB0D31"/>
    <w:rsid w:val="00EB1E69"/>
    <w:rsid w:val="00EB2086"/>
    <w:rsid w:val="00EB436C"/>
    <w:rsid w:val="00EB5EDF"/>
    <w:rsid w:val="00EB60FE"/>
    <w:rsid w:val="00EB74DB"/>
    <w:rsid w:val="00EC003A"/>
    <w:rsid w:val="00EC0B54"/>
    <w:rsid w:val="00EC5359"/>
    <w:rsid w:val="00EC562A"/>
    <w:rsid w:val="00ED067A"/>
    <w:rsid w:val="00ED16F0"/>
    <w:rsid w:val="00ED2B50"/>
    <w:rsid w:val="00EE0350"/>
    <w:rsid w:val="00EE0719"/>
    <w:rsid w:val="00EE0E80"/>
    <w:rsid w:val="00EE613F"/>
    <w:rsid w:val="00EE7295"/>
    <w:rsid w:val="00EE7787"/>
    <w:rsid w:val="00EE7869"/>
    <w:rsid w:val="00EF054A"/>
    <w:rsid w:val="00EF3235"/>
    <w:rsid w:val="00EF43BA"/>
    <w:rsid w:val="00EF7E72"/>
    <w:rsid w:val="00F00BDE"/>
    <w:rsid w:val="00F06B87"/>
    <w:rsid w:val="00F06D37"/>
    <w:rsid w:val="00F07B9D"/>
    <w:rsid w:val="00F11586"/>
    <w:rsid w:val="00F1183B"/>
    <w:rsid w:val="00F11C9F"/>
    <w:rsid w:val="00F12263"/>
    <w:rsid w:val="00F1409D"/>
    <w:rsid w:val="00F14214"/>
    <w:rsid w:val="00F157A9"/>
    <w:rsid w:val="00F20572"/>
    <w:rsid w:val="00F25BB6"/>
    <w:rsid w:val="00F26AA2"/>
    <w:rsid w:val="00F26B7E"/>
    <w:rsid w:val="00F27A3B"/>
    <w:rsid w:val="00F30F04"/>
    <w:rsid w:val="00F32B45"/>
    <w:rsid w:val="00F33817"/>
    <w:rsid w:val="00F3565D"/>
    <w:rsid w:val="00F41162"/>
    <w:rsid w:val="00F41FEA"/>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54F4"/>
    <w:rsid w:val="00F75560"/>
    <w:rsid w:val="00F833BA"/>
    <w:rsid w:val="00F83A34"/>
    <w:rsid w:val="00F84FD0"/>
    <w:rsid w:val="00F859A8"/>
    <w:rsid w:val="00F86563"/>
    <w:rsid w:val="00F86D87"/>
    <w:rsid w:val="00F873D0"/>
    <w:rsid w:val="00F9108B"/>
    <w:rsid w:val="00F91349"/>
    <w:rsid w:val="00F92297"/>
    <w:rsid w:val="00F93240"/>
    <w:rsid w:val="00F93A8A"/>
    <w:rsid w:val="00F95248"/>
    <w:rsid w:val="00F956A9"/>
    <w:rsid w:val="00F963ED"/>
    <w:rsid w:val="00F966CF"/>
    <w:rsid w:val="00F96CAE"/>
    <w:rsid w:val="00F9718C"/>
    <w:rsid w:val="00F97C99"/>
    <w:rsid w:val="00FA662D"/>
    <w:rsid w:val="00FA73B1"/>
    <w:rsid w:val="00FB0CB9"/>
    <w:rsid w:val="00FB231D"/>
    <w:rsid w:val="00FB45F1"/>
    <w:rsid w:val="00FB4A72"/>
    <w:rsid w:val="00FB54E8"/>
    <w:rsid w:val="00FB60FB"/>
    <w:rsid w:val="00FB7054"/>
    <w:rsid w:val="00FC17B7"/>
    <w:rsid w:val="00FC1AC0"/>
    <w:rsid w:val="00FC2CB7"/>
    <w:rsid w:val="00FC4090"/>
    <w:rsid w:val="00FC55B4"/>
    <w:rsid w:val="00FC5DF8"/>
    <w:rsid w:val="00FD00E6"/>
    <w:rsid w:val="00FD09A1"/>
    <w:rsid w:val="00FD2A7C"/>
    <w:rsid w:val="00FD59EB"/>
    <w:rsid w:val="00FD7299"/>
    <w:rsid w:val="00FE1FBE"/>
    <w:rsid w:val="00FE3901"/>
    <w:rsid w:val="00FE39D3"/>
    <w:rsid w:val="00FE4BCE"/>
    <w:rsid w:val="00FE5366"/>
    <w:rsid w:val="00FE54AE"/>
    <w:rsid w:val="00FE576A"/>
    <w:rsid w:val="00FE7E79"/>
    <w:rsid w:val="00FF0937"/>
    <w:rsid w:val="00FF3E7D"/>
    <w:rsid w:val="00FF5B99"/>
    <w:rsid w:val="00FF730C"/>
    <w:rsid w:val="00FF73F4"/>
    <w:rsid w:val="00FF7CE4"/>
    <w:rsid w:val="00FF7E39"/>
    <w:rsid w:val="2EFC5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ind w:left="426"/>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4CEBD6315774CADA7391044D27E41C2"/>
        <w:style w:val=""/>
        <w:category>
          <w:name w:val="常规"/>
          <w:gallery w:val="placeholder"/>
        </w:category>
        <w:types>
          <w:type w:val="bbPlcHdr"/>
        </w:types>
        <w:behaviors>
          <w:behavior w:val="content"/>
        </w:behaviors>
        <w:description w:val=""/>
        <w:guid w:val="{77ED9E4C-9AB3-4BA8-BD29-A1083036F965}"/>
      </w:docPartPr>
      <w:docPartBody>
        <w:p>
          <w:pPr>
            <w:pStyle w:val="5"/>
          </w:pPr>
          <w:r>
            <w:rPr>
              <w:rStyle w:val="4"/>
              <w:rFonts w:hint="eastAsia"/>
            </w:rPr>
            <w:t>单击或点击此处输入文字。</w:t>
          </w:r>
        </w:p>
      </w:docPartBody>
    </w:docPart>
    <w:docPart>
      <w:docPartPr>
        <w:name w:val="C3765F99375F4085828ED51D75EC3712"/>
        <w:style w:val=""/>
        <w:category>
          <w:name w:val="常规"/>
          <w:gallery w:val="placeholder"/>
        </w:category>
        <w:types>
          <w:type w:val="bbPlcHdr"/>
        </w:types>
        <w:behaviors>
          <w:behavior w:val="content"/>
        </w:behaviors>
        <w:description w:val=""/>
        <w:guid w:val="{69ED74C2-3A5E-4FD5-8545-B24B97F95390}"/>
      </w:docPartPr>
      <w:docPartBody>
        <w:p>
          <w:pPr>
            <w:pStyle w:val="6"/>
          </w:pPr>
          <w:r>
            <w:rPr>
              <w:rStyle w:val="4"/>
              <w:rFonts w:hint="eastAsia"/>
            </w:rPr>
            <w:t>选择一项。</w:t>
          </w:r>
        </w:p>
      </w:docPartBody>
    </w:docPart>
    <w:docPart>
      <w:docPartPr>
        <w:name w:val="493B7F18CD354E8AA7B21B999FBC11EE"/>
        <w:style w:val=""/>
        <w:category>
          <w:name w:val="常规"/>
          <w:gallery w:val="placeholder"/>
        </w:category>
        <w:types>
          <w:type w:val="bbPlcHdr"/>
        </w:types>
        <w:behaviors>
          <w:behavior w:val="content"/>
        </w:behaviors>
        <w:description w:val=""/>
        <w:guid w:val="{4E85D15F-DC39-4206-BDF5-3BB441A2765F}"/>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B8D"/>
    <w:rsid w:val="00076290"/>
    <w:rsid w:val="0008517C"/>
    <w:rsid w:val="00094D32"/>
    <w:rsid w:val="000B3499"/>
    <w:rsid w:val="0017100C"/>
    <w:rsid w:val="00261B8D"/>
    <w:rsid w:val="00291774"/>
    <w:rsid w:val="002D495C"/>
    <w:rsid w:val="00402A1E"/>
    <w:rsid w:val="004653D6"/>
    <w:rsid w:val="004873F7"/>
    <w:rsid w:val="00636639"/>
    <w:rsid w:val="006719E6"/>
    <w:rsid w:val="00676554"/>
    <w:rsid w:val="006B498F"/>
    <w:rsid w:val="0093676A"/>
    <w:rsid w:val="009F128C"/>
    <w:rsid w:val="009F3036"/>
    <w:rsid w:val="00A03F43"/>
    <w:rsid w:val="00C66B32"/>
    <w:rsid w:val="00CA32F8"/>
    <w:rsid w:val="00DA3C5F"/>
    <w:rsid w:val="00E61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4CEBD6315774CADA7391044D27E41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3765F99375F4085828ED51D75EC37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93B7F18CD354E8AA7B21B999FBC11E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14</Pages>
  <Words>1398</Words>
  <Characters>7971</Characters>
  <Lines>66</Lines>
  <Paragraphs>18</Paragraphs>
  <TotalTime>36</TotalTime>
  <ScaleCrop>false</ScaleCrop>
  <LinksUpToDate>false</LinksUpToDate>
  <CharactersWithSpaces>9351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2021-01-28T19:29:00Z</dcterms:created>
  <dc:creator>HP</dc:creator>
  <dc:description>&lt;config cover="true" show_menu="true" version="1.0.0" doctype="SDKXY"&gt;_x000d_
&lt;/config&gt;</dc:description>
  <cp:lastModifiedBy>kylin</cp:lastModifiedBy>
  <cp:lastPrinted>2021-01-12T11:36:00Z</cp:lastPrinted>
  <dcterms:modified xsi:type="dcterms:W3CDTF">2022-10-31T11:15:03Z</dcterms:modified>
  <dc:title>地方标准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2052-11.8.2.9864</vt:lpwstr>
  </property>
</Properties>
</file>