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95" w:rsidRDefault="00112C95">
      <w:pPr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:rsidR="00112C95" w:rsidRDefault="0060638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湖南省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省级</w:t>
      </w:r>
      <w:r>
        <w:rPr>
          <w:rFonts w:ascii="Times New Roman" w:eastAsia="方正小标宋简体" w:hAnsi="Times New Roman" w:cs="Times New Roman"/>
          <w:sz w:val="44"/>
          <w:szCs w:val="44"/>
        </w:rPr>
        <w:t>广告产业园区管理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办法</w:t>
      </w:r>
    </w:p>
    <w:p w:rsidR="00112C95" w:rsidRDefault="00606382">
      <w:pPr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927E16" w:rsidRPr="00927E16">
        <w:rPr>
          <w:rFonts w:ascii="Times New Roman" w:eastAsia="仿宋_GB2312" w:hAnsi="Times New Roman" w:cs="Times New Roman" w:hint="eastAsia"/>
          <w:sz w:val="32"/>
          <w:szCs w:val="32"/>
        </w:rPr>
        <w:t>征求意见稿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:rsidR="00112C95" w:rsidRDefault="00112C95">
      <w:pPr>
        <w:spacing w:line="594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（制定依据）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为进一步规范省级广告产业园区的建设和管理，促进广告业高质量发展，参照原国家工商行政管理总局《关于印发〈国家广告产业园区管理办法〉的通知》，结合我省实际，制定本办法。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（省级园区的概念）</w:t>
      </w:r>
      <w:r>
        <w:rPr>
          <w:rFonts w:ascii="Times New Roman" w:eastAsia="仿宋_GB2312" w:hAnsi="Times New Roman" w:cs="Times New Roman"/>
          <w:sz w:val="32"/>
          <w:szCs w:val="32"/>
        </w:rPr>
        <w:t>本办法所称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是指</w:t>
      </w:r>
      <w:r>
        <w:rPr>
          <w:rFonts w:ascii="Times New Roman" w:eastAsia="仿宋_GB2312" w:hAnsi="Times New Roman" w:cs="Times New Roman"/>
          <w:sz w:val="32"/>
          <w:szCs w:val="32"/>
        </w:rPr>
        <w:t>具有功能完善的广告业发展公共服务体系，广告产业要素集聚，广告产业及相关产业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链集中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度高，创新能力强，对全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/>
          <w:sz w:val="32"/>
          <w:szCs w:val="32"/>
        </w:rPr>
        <w:t>或区域广告及相关产业发展起示范、引领作用的特定区域。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（广告园区总体发展要求）</w:t>
      </w:r>
      <w:r>
        <w:rPr>
          <w:rFonts w:ascii="Times New Roman" w:eastAsia="仿宋_GB2312" w:hAnsi="Times New Roman" w:cs="Times New Roman"/>
          <w:sz w:val="32"/>
          <w:szCs w:val="32"/>
        </w:rPr>
        <w:t>支持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鼓励各地</w:t>
      </w:r>
      <w:r>
        <w:rPr>
          <w:rFonts w:ascii="Times New Roman" w:eastAsia="仿宋_GB2312" w:hAnsi="Times New Roman" w:cs="Times New Roman"/>
          <w:sz w:val="32"/>
          <w:szCs w:val="32"/>
        </w:rPr>
        <w:t>结合实际、因地制宜建设广告产业园区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，积极申报、创建国家、省级广告产业园区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鼓励园区及入驻企业创新发展，加大创新驱动投入，加大对创新创业团队、产业领军人才和创新发展人才的扶持力度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强化知识产权创造、保护、运用，促进创新成果转化，建设创新型园区。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（建设省级园区的原则）</w:t>
      </w:r>
      <w:r>
        <w:rPr>
          <w:rFonts w:ascii="仿宋" w:eastAsia="仿宋" w:hAnsi="仿宋" w:cs="仿宋" w:hint="eastAsia"/>
          <w:sz w:val="32"/>
          <w:szCs w:val="32"/>
        </w:rPr>
        <w:t>省级广</w:t>
      </w:r>
      <w:r>
        <w:rPr>
          <w:rFonts w:ascii="仿宋" w:eastAsia="仿宋" w:hAnsi="仿宋" w:cs="仿宋" w:hint="eastAsia"/>
          <w:sz w:val="32"/>
          <w:szCs w:val="32"/>
        </w:rPr>
        <w:t>告产业园区建设应遵循统筹规划、合理布局、严格标准、特色鲜明、主业突出、自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主创新、合理配置资源的原则，结合本地实际，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积极促推经济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社会发展。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（认定省级园区的权限）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/>
          <w:sz w:val="32"/>
          <w:szCs w:val="32"/>
        </w:rPr>
        <w:t>履行指导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全省</w:t>
      </w:r>
      <w:r>
        <w:rPr>
          <w:rFonts w:ascii="Times New Roman" w:eastAsia="仿宋_GB2312" w:hAnsi="Times New Roman" w:cs="Times New Roman"/>
          <w:sz w:val="32"/>
          <w:szCs w:val="32"/>
        </w:rPr>
        <w:t>广告业发展职能，负责组织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广告产业园区</w:t>
      </w:r>
      <w:r>
        <w:rPr>
          <w:rFonts w:ascii="Times New Roman" w:eastAsia="仿宋_GB2312" w:hAnsi="Times New Roman" w:cs="Times New Roman"/>
          <w:sz w:val="32"/>
          <w:szCs w:val="32"/>
        </w:rPr>
        <w:t>的申报认定工作，对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省广告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产业园区</w:t>
      </w:r>
      <w:r>
        <w:rPr>
          <w:rFonts w:ascii="Times New Roman" w:eastAsia="仿宋_GB2312" w:hAnsi="Times New Roman" w:cs="Times New Roman"/>
          <w:sz w:val="32"/>
          <w:szCs w:val="32"/>
        </w:rPr>
        <w:t>进行指导和监督。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（认定省级园区的原则）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坚持社会效益与经济效益并重，遵循自愿、公开、择优、示范的原则，依照规范的程序进行。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未经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/>
          <w:sz w:val="32"/>
          <w:szCs w:val="32"/>
        </w:rPr>
        <w:t>认定，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任何产业园区</w:t>
      </w:r>
      <w:r>
        <w:rPr>
          <w:rFonts w:ascii="Times New Roman" w:eastAsia="仿宋_GB2312" w:hAnsi="Times New Roman" w:cs="Times New Roman"/>
          <w:sz w:val="32"/>
          <w:szCs w:val="32"/>
        </w:rPr>
        <w:t>不得以任何形式使用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“湖南”、“湖南省”、“省级”、“湖南省级”</w:t>
      </w:r>
      <w:r>
        <w:rPr>
          <w:rFonts w:ascii="Times New Roman" w:eastAsia="仿宋_GB2312" w:hAnsi="Times New Roman" w:cs="Times New Roman"/>
          <w:sz w:val="32"/>
          <w:szCs w:val="32"/>
        </w:rPr>
        <w:t>广告产业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园区称号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及类似表述。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七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（申报省级园区的条件）</w:t>
      </w:r>
      <w:r>
        <w:rPr>
          <w:rFonts w:ascii="Times New Roman" w:eastAsia="仿宋_GB2312" w:hAnsi="Times New Roman" w:cs="Times New Roman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广告产业园区应符合下列条件：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（一）符合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国民经济社会发展总体规划</w:t>
      </w:r>
      <w:r>
        <w:rPr>
          <w:rFonts w:ascii="Times New Roman" w:eastAsia="仿宋_GB2312" w:hAnsi="Times New Roman" w:cs="Times New Roman"/>
          <w:sz w:val="32"/>
          <w:szCs w:val="32"/>
        </w:rPr>
        <w:t>，并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经县级</w:t>
      </w:r>
      <w:r>
        <w:rPr>
          <w:rFonts w:ascii="Times New Roman" w:eastAsia="仿宋_GB2312" w:hAnsi="Times New Roman" w:cs="Times New Roman"/>
          <w:sz w:val="32"/>
          <w:szCs w:val="32"/>
        </w:rPr>
        <w:t>以上人民政府或者有权限的部门批准设立；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（二）园区有完整的建设和发展规划，园区规模适应产业集聚需要，有明确的地理边界；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）园区建设和运营主体明确，具有独立法人资格，有专门的管理机构和管理人员，运营机制规范，管理制度健全，能够有效组织开展园区的管理和运营；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）以广告产业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及其</w:t>
      </w:r>
      <w:r>
        <w:rPr>
          <w:rFonts w:ascii="Times New Roman" w:eastAsia="仿宋_GB2312" w:hAnsi="Times New Roman" w:cs="Times New Roman"/>
          <w:sz w:val="32"/>
          <w:szCs w:val="32"/>
        </w:rPr>
        <w:t>关联产业为园区产业特色和发展定位，广告产业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及其</w:t>
      </w:r>
      <w:r>
        <w:rPr>
          <w:rFonts w:ascii="Times New Roman" w:eastAsia="仿宋_GB2312" w:hAnsi="Times New Roman" w:cs="Times New Roman"/>
          <w:sz w:val="32"/>
          <w:szCs w:val="32"/>
        </w:rPr>
        <w:t>关联产业企业占园区企业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拥有一定数量的自主知识产权及广告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技术职称的专业人员，原创产品占有一定的市场份额，效益良好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）拥有功能完善的公共服务平台和支撑体系，能够为园区企业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>
        <w:rPr>
          <w:rFonts w:ascii="Times New Roman" w:eastAsia="仿宋_GB2312" w:hAnsi="Times New Roman" w:cs="Times New Roman"/>
          <w:sz w:val="32"/>
          <w:szCs w:val="32"/>
        </w:rPr>
        <w:t>企业孵化、市场交易、专业化技术支持、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sz w:val="32"/>
          <w:szCs w:val="32"/>
        </w:rPr>
        <w:t>培训、市场推广、信息交流、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展览</w:t>
      </w:r>
      <w:r>
        <w:rPr>
          <w:rFonts w:ascii="Times New Roman" w:eastAsia="仿宋_GB2312" w:hAnsi="Times New Roman" w:cs="Times New Roman"/>
          <w:sz w:val="32"/>
          <w:szCs w:val="32"/>
        </w:rPr>
        <w:t>展示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金融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信贷</w:t>
      </w:r>
      <w:r>
        <w:rPr>
          <w:rFonts w:ascii="Times New Roman" w:eastAsia="仿宋_GB2312" w:hAnsi="Times New Roman" w:cs="Times New Roman"/>
          <w:sz w:val="32"/>
          <w:szCs w:val="32"/>
        </w:rPr>
        <w:t>等服务；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sz w:val="32"/>
          <w:szCs w:val="32"/>
        </w:rPr>
        <w:t>）具备完善的基础设施，能够为广告产业发展提供必要的硬件环境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园区安全生产、节能环保等符合国家规定；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园区发展前景良好，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有较为丰富的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设计、创意、策划、制作、培训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等广告业态，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园区企业具有较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的成长性，形成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广告发展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产业链，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带动相关产业发展。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>
        <w:rPr>
          <w:rFonts w:ascii="Times New Roman" w:eastAsia="仿宋_GB2312" w:hAnsi="Times New Roman" w:cs="Times New Roman"/>
          <w:sz w:val="32"/>
          <w:szCs w:val="32"/>
        </w:rPr>
        <w:t>）园区企业的经营活动符合相关法律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法规</w:t>
      </w:r>
      <w:r>
        <w:rPr>
          <w:rFonts w:ascii="Times New Roman" w:eastAsia="仿宋_GB2312" w:hAnsi="Times New Roman" w:cs="Times New Roman"/>
          <w:sz w:val="32"/>
          <w:szCs w:val="32"/>
        </w:rPr>
        <w:t>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，园区社会效益、经济效益良好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九</w:t>
      </w:r>
      <w:r>
        <w:rPr>
          <w:rFonts w:ascii="Times New Roman" w:eastAsia="仿宋_GB2312" w:hAnsi="Times New Roman" w:cs="Times New Roman"/>
          <w:sz w:val="32"/>
          <w:szCs w:val="32"/>
        </w:rPr>
        <w:t>）法律法规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color w:val="0000FF"/>
          <w:sz w:val="32"/>
          <w:szCs w:val="32"/>
        </w:rPr>
        <w:t>相关政策</w:t>
      </w:r>
      <w:r>
        <w:rPr>
          <w:rFonts w:ascii="Times New Roman" w:eastAsia="仿宋_GB2312" w:hAnsi="Times New Roman" w:cs="Times New Roman"/>
          <w:sz w:val="32"/>
          <w:szCs w:val="32"/>
        </w:rPr>
        <w:t>规定的其他条件。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八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（申报省级园区的程序）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广告产业园区</w:t>
      </w:r>
      <w:r>
        <w:rPr>
          <w:rFonts w:ascii="仿宋" w:eastAsia="仿宋" w:hAnsi="仿宋" w:cs="仿宋" w:hint="eastAsia"/>
          <w:sz w:val="32"/>
          <w:szCs w:val="32"/>
        </w:rPr>
        <w:t>依照下列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程序</w:t>
      </w:r>
      <w:r>
        <w:rPr>
          <w:rFonts w:ascii="仿宋" w:eastAsia="仿宋" w:hAnsi="仿宋" w:cs="仿宋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具有能够独立承担民事责任的</w:t>
      </w:r>
      <w:r>
        <w:rPr>
          <w:rFonts w:ascii="Times New Roman" w:eastAsia="仿宋_GB2312" w:hAnsi="Times New Roman" w:cs="Times New Roman"/>
          <w:sz w:val="32"/>
          <w:szCs w:val="32"/>
        </w:rPr>
        <w:t>园区管理机构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向所在地市州市场监督管理部门提出申请，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市州</w:t>
      </w:r>
      <w:r>
        <w:rPr>
          <w:rFonts w:ascii="Times New Roman" w:eastAsia="仿宋_GB2312" w:hAnsi="Times New Roman" w:cs="Times New Roman"/>
          <w:sz w:val="32"/>
          <w:szCs w:val="32"/>
        </w:rPr>
        <w:t>市场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监督管理</w:t>
      </w:r>
      <w:r>
        <w:rPr>
          <w:rFonts w:ascii="Times New Roman" w:eastAsia="仿宋_GB2312" w:hAnsi="Times New Roman" w:cs="Times New Roman"/>
          <w:sz w:val="32"/>
          <w:szCs w:val="32"/>
        </w:rPr>
        <w:t>部门收到申请后，按照本办法第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sz w:val="32"/>
          <w:szCs w:val="32"/>
        </w:rPr>
        <w:t>条规定的条件进行初步审查，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对符合条件的，由市州市场监督管理局书面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湖南省市场监督管理局审定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收到市州市场监督管理局的书面申报文件后，及时</w:t>
      </w:r>
      <w:r>
        <w:rPr>
          <w:rFonts w:ascii="Times New Roman" w:eastAsia="仿宋_GB2312" w:hAnsi="Times New Roman" w:cs="Times New Roman"/>
          <w:sz w:val="32"/>
          <w:szCs w:val="32"/>
        </w:rPr>
        <w:t>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相关部门、专家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成立评审小组，评审小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组应</w:t>
      </w:r>
      <w:r>
        <w:rPr>
          <w:rFonts w:ascii="Times New Roman" w:eastAsia="仿宋_GB2312" w:hAnsi="Times New Roman" w:cs="Times New Roman"/>
          <w:sz w:val="32"/>
          <w:szCs w:val="32"/>
        </w:rPr>
        <w:t>对园区进行实地考察、论证与评估，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对申报材料进行全面审核，</w:t>
      </w:r>
      <w:r>
        <w:rPr>
          <w:rFonts w:ascii="Times New Roman" w:eastAsia="仿宋_GB2312" w:hAnsi="Times New Roman" w:cs="Times New Roman"/>
          <w:sz w:val="32"/>
          <w:szCs w:val="32"/>
        </w:rPr>
        <w:t>形成评估报告，提出拟认定或者不予认定的意见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>
        <w:rPr>
          <w:rFonts w:ascii="Times New Roman" w:eastAsia="仿宋_GB2312" w:hAnsi="Times New Roman" w:cs="Times New Roman"/>
          <w:sz w:val="32"/>
          <w:szCs w:val="32"/>
        </w:rPr>
        <w:t>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</w:t>
      </w:r>
      <w:r>
        <w:rPr>
          <w:rFonts w:ascii="Times New Roman" w:eastAsia="仿宋_GB2312" w:hAnsi="Times New Roman" w:cs="Times New Roman"/>
          <w:sz w:val="32"/>
          <w:szCs w:val="32"/>
        </w:rPr>
        <w:t>提出拟认定的园区，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/>
          <w:sz w:val="32"/>
          <w:szCs w:val="32"/>
        </w:rPr>
        <w:t>审议通过后，认定为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，并颁发牌匾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。省局审议未通过的，不予认定为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，并书面告知申报人。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九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（省级园区工作报告制度）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广告产业园区应当在每年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>
        <w:rPr>
          <w:rFonts w:ascii="Times New Roman" w:eastAsia="仿宋_GB2312" w:hAnsi="Times New Roman" w:cs="Times New Roman"/>
          <w:sz w:val="32"/>
          <w:szCs w:val="32"/>
        </w:rPr>
        <w:t>园区上年度的产业发展、成果转化和运营管理等情况报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，同时抄报</w:t>
      </w:r>
      <w:r>
        <w:rPr>
          <w:rFonts w:ascii="Times New Roman" w:eastAsia="仿宋_GB2312" w:hAnsi="Times New Roman" w:cs="Times New Roman"/>
          <w:sz w:val="32"/>
          <w:szCs w:val="32"/>
        </w:rPr>
        <w:t>所在地市场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监督管理</w:t>
      </w:r>
      <w:r>
        <w:rPr>
          <w:rFonts w:ascii="Times New Roman" w:eastAsia="仿宋_GB2312" w:hAnsi="Times New Roman" w:cs="Times New Roman"/>
          <w:sz w:val="32"/>
          <w:szCs w:val="32"/>
        </w:rPr>
        <w:t>部门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（省级园区规划重大调整处理规定）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经营业态、建设面积等重大规划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调整</w:t>
      </w:r>
      <w:r>
        <w:rPr>
          <w:rFonts w:ascii="Times New Roman" w:eastAsia="仿宋_GB2312" w:hAnsi="Times New Roman" w:cs="Times New Roman"/>
          <w:sz w:val="32"/>
          <w:szCs w:val="32"/>
        </w:rPr>
        <w:t>时，应当经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所在市州市场监督管理局审核后报请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审定。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应当</w:t>
      </w:r>
      <w:r>
        <w:rPr>
          <w:rFonts w:ascii="Times New Roman" w:eastAsia="仿宋_GB2312" w:hAnsi="Times New Roman" w:cs="Times New Roman"/>
          <w:sz w:val="32"/>
          <w:szCs w:val="32"/>
        </w:rPr>
        <w:t>组织实地考察、论证与评估，形成评估报告，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并结合</w:t>
      </w:r>
      <w:r>
        <w:rPr>
          <w:rFonts w:ascii="Times New Roman" w:eastAsia="仿宋_GB2312" w:hAnsi="Times New Roman" w:cs="Times New Roman"/>
          <w:sz w:val="32"/>
          <w:szCs w:val="32"/>
        </w:rPr>
        <w:t>评估报告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是否同意的决定。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对运营主体作变更的，应当经所在市州市场监督管理局审核后报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备案。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第十</w:t>
      </w: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（省级园区考核制度）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成立专门考核小组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一次全面</w:t>
      </w:r>
      <w:r>
        <w:rPr>
          <w:rFonts w:ascii="Times New Roman" w:eastAsia="仿宋_GB2312" w:hAnsi="Times New Roman" w:cs="Times New Roman"/>
          <w:sz w:val="32"/>
          <w:szCs w:val="32"/>
        </w:rPr>
        <w:t>考核，考核结果分为合格和不合格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对考核不合格的园区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>
        <w:rPr>
          <w:rFonts w:ascii="Times New Roman" w:eastAsia="仿宋_GB2312" w:hAnsi="Times New Roman" w:cs="Times New Roman"/>
          <w:sz w:val="32"/>
          <w:szCs w:val="32"/>
        </w:rPr>
        <w:t>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专门</w:t>
      </w:r>
      <w:r>
        <w:rPr>
          <w:rFonts w:ascii="Times New Roman" w:eastAsia="仿宋_GB2312" w:hAnsi="Times New Roman" w:cs="Times New Roman"/>
          <w:sz w:val="32"/>
          <w:szCs w:val="32"/>
        </w:rPr>
        <w:t>整改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，整改期限为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个月，整改期限届满后，应再次进行全面考核并确定考核结果。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第十</w:t>
      </w: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（省级园区考核的内容）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广告产业园区的考核包括以下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内容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发展</w:t>
      </w:r>
      <w:r>
        <w:rPr>
          <w:rFonts w:ascii="Times New Roman" w:eastAsia="仿宋_GB2312" w:hAnsi="Times New Roman" w:cs="Times New Roman"/>
          <w:sz w:val="32"/>
          <w:szCs w:val="32"/>
        </w:rPr>
        <w:t>规划实施情况；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）园区管理和运营情况，包括园区组织机构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制度建设、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园区产业布局、</w:t>
      </w:r>
      <w:r>
        <w:rPr>
          <w:rFonts w:ascii="Times New Roman" w:eastAsia="仿宋_GB2312" w:hAnsi="Times New Roman" w:cs="Times New Roman"/>
          <w:sz w:val="32"/>
          <w:szCs w:val="32"/>
        </w:rPr>
        <w:t>园区促进区域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经济社会</w:t>
      </w:r>
      <w:r>
        <w:rPr>
          <w:rFonts w:ascii="Times New Roman" w:eastAsia="仿宋_GB2312" w:hAnsi="Times New Roman" w:cs="Times New Roman"/>
          <w:sz w:val="32"/>
          <w:szCs w:val="32"/>
        </w:rPr>
        <w:t>发展、公共服务平台建设、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服务能力提升、</w:t>
      </w:r>
      <w:r>
        <w:rPr>
          <w:rFonts w:ascii="Times New Roman" w:eastAsia="仿宋_GB2312" w:hAnsi="Times New Roman" w:cs="Times New Roman"/>
          <w:sz w:val="32"/>
          <w:szCs w:val="32"/>
        </w:rPr>
        <w:t>园区广告企业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可持续</w:t>
      </w:r>
      <w:r>
        <w:rPr>
          <w:rFonts w:ascii="Times New Roman" w:eastAsia="仿宋_GB2312" w:hAnsi="Times New Roman" w:cs="Times New Roman"/>
          <w:sz w:val="32"/>
          <w:szCs w:val="32"/>
        </w:rPr>
        <w:t>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能力</w:t>
      </w:r>
      <w:r>
        <w:rPr>
          <w:rFonts w:ascii="Times New Roman" w:eastAsia="仿宋_GB2312" w:hAnsi="Times New Roman" w:cs="Times New Roman"/>
          <w:sz w:val="32"/>
          <w:szCs w:val="32"/>
        </w:rPr>
        <w:t>、园区和园区企业配合相关部门工作等情况；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园区社会效益、经济效益情况；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园区所在地人民政府支持</w:t>
      </w:r>
      <w:r>
        <w:rPr>
          <w:rFonts w:ascii="Times New Roman" w:eastAsia="仿宋_GB2312" w:hAnsi="Times New Roman" w:cs="Times New Roman"/>
          <w:sz w:val="32"/>
          <w:szCs w:val="32"/>
        </w:rPr>
        <w:t>发展的政策和措施；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园区所在地</w:t>
      </w:r>
      <w:r>
        <w:rPr>
          <w:rFonts w:ascii="Times New Roman" w:eastAsia="仿宋_GB2312" w:hAnsi="Times New Roman" w:cs="Times New Roman"/>
          <w:sz w:val="32"/>
          <w:szCs w:val="32"/>
        </w:rPr>
        <w:t>市场监管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</w:t>
      </w:r>
      <w:r>
        <w:rPr>
          <w:rFonts w:ascii="Times New Roman" w:eastAsia="仿宋_GB2312" w:hAnsi="Times New Roman" w:cs="Times New Roman"/>
          <w:sz w:val="32"/>
          <w:szCs w:val="32"/>
        </w:rPr>
        <w:t>部门对园区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指导、监督、</w:t>
      </w:r>
      <w:r>
        <w:rPr>
          <w:rFonts w:ascii="Times New Roman" w:eastAsia="仿宋_GB2312" w:hAnsi="Times New Roman" w:cs="Times New Roman"/>
          <w:sz w:val="32"/>
          <w:szCs w:val="32"/>
        </w:rPr>
        <w:t>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（六）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园区及园区企业依法经营情况；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（七）其他需要考核的情况。</w:t>
      </w:r>
    </w:p>
    <w:p w:rsidR="00112C95" w:rsidRDefault="00606382">
      <w:pPr>
        <w:spacing w:line="594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第十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三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条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省级园区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约谈情形）</w:t>
      </w:r>
      <w:r>
        <w:rPr>
          <w:rFonts w:ascii="Times New Roman" w:eastAsia="仿宋_GB2312" w:hAnsi="Times New Roman" w:cs="Times New Roman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广告产业园区有下列情形之一的，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</w:t>
      </w:r>
      <w:r>
        <w:rPr>
          <w:rFonts w:ascii="Times New Roman" w:eastAsia="仿宋_GB2312" w:hAnsi="Times New Roman" w:cs="Times New Roman"/>
          <w:sz w:val="32"/>
          <w:szCs w:val="32"/>
        </w:rPr>
        <w:t>省市场监督管理局对其实施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约谈：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（一）园区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</w:t>
      </w:r>
      <w:r>
        <w:rPr>
          <w:rFonts w:ascii="Times New Roman" w:eastAsia="仿宋_GB2312" w:hAnsi="Times New Roman" w:cs="Times New Roman"/>
          <w:sz w:val="32"/>
          <w:szCs w:val="32"/>
        </w:rPr>
        <w:t>广告及关联企业低于</w:t>
      </w:r>
      <w:r>
        <w:rPr>
          <w:rFonts w:ascii="Times New Roman" w:eastAsia="仿宋_GB2312" w:hAnsi="Times New Roman" w:cs="Times New Roman"/>
          <w:sz w:val="32"/>
          <w:szCs w:val="32"/>
        </w:rPr>
        <w:t>70%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运营管理机制不规范、制度不健全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）未经批准擅自改变广告业发展主业性质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sz w:val="32"/>
          <w:szCs w:val="32"/>
        </w:rPr>
        <w:t>连续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年经济效益指标明显下降的；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）园区发展规划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重大</w:t>
      </w:r>
      <w:r>
        <w:rPr>
          <w:rFonts w:ascii="Times New Roman" w:eastAsia="仿宋_GB2312" w:hAnsi="Times New Roman" w:cs="Times New Roman"/>
          <w:sz w:val="32"/>
          <w:szCs w:val="32"/>
        </w:rPr>
        <w:t>调整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未经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</w:t>
      </w:r>
      <w:r>
        <w:rPr>
          <w:rFonts w:ascii="Times New Roman" w:eastAsia="仿宋_GB2312" w:hAnsi="Times New Roman" w:cs="Times New Roman"/>
          <w:sz w:val="32"/>
          <w:szCs w:val="32"/>
        </w:rPr>
        <w:t>省市场监督管理局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同意的；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（六）园区</w:t>
      </w:r>
      <w:r>
        <w:rPr>
          <w:rFonts w:ascii="Times New Roman" w:eastAsia="仿宋_GB2312" w:hAnsi="Times New Roman" w:cs="Times New Roman"/>
          <w:sz w:val="32"/>
          <w:szCs w:val="32"/>
        </w:rPr>
        <w:t>变更运营主体等重大事项未向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</w:t>
      </w:r>
      <w:r>
        <w:rPr>
          <w:rFonts w:ascii="Times New Roman" w:eastAsia="仿宋_GB2312" w:hAnsi="Times New Roman" w:cs="Times New Roman"/>
          <w:sz w:val="32"/>
          <w:szCs w:val="32"/>
        </w:rPr>
        <w:t>省市场监督管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理局备案的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（七）园区广告企业发生重大违法行为的；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（八）</w:t>
      </w:r>
      <w:r>
        <w:rPr>
          <w:rFonts w:ascii="Times New Roman" w:eastAsia="仿宋_GB2312" w:hAnsi="Times New Roman" w:cs="Times New Roman"/>
          <w:sz w:val="32"/>
          <w:szCs w:val="32"/>
        </w:rPr>
        <w:t>其他不符合广告产业发展规划要求的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第十</w:t>
      </w: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（省级园区的约谈内容）</w:t>
      </w:r>
      <w:r>
        <w:rPr>
          <w:rFonts w:ascii="Times New Roman" w:eastAsia="仿宋_GB2312" w:hAnsi="Times New Roman" w:cs="Times New Roman"/>
          <w:sz w:val="32"/>
          <w:szCs w:val="32"/>
        </w:rPr>
        <w:t>对省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广告产业园区约谈的主要内容包括：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听取约谈对象对其存在问题的陈述；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指出约谈对象在园区建设和运营中存在的问题；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）提出对园区或园区企业的整改意见和措施；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）指导约谈对象加强制度建设，完善落实长效管理机制；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）需要约谈的其他内容。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</w:t>
      </w:r>
      <w:r>
        <w:rPr>
          <w:rFonts w:ascii="黑体" w:eastAsia="黑体" w:hAnsi="黑体" w:cs="黑体" w:hint="eastAsia"/>
          <w:sz w:val="32"/>
          <w:szCs w:val="32"/>
        </w:rPr>
        <w:t>五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撤销省</w:t>
      </w:r>
      <w:r>
        <w:rPr>
          <w:rFonts w:ascii="黑体" w:eastAsia="黑体" w:hAnsi="黑体" w:cs="黑体" w:hint="eastAsia"/>
          <w:sz w:val="32"/>
          <w:szCs w:val="32"/>
        </w:rPr>
        <w:t>级</w:t>
      </w:r>
      <w:r>
        <w:rPr>
          <w:rFonts w:ascii="黑体" w:eastAsia="黑体" w:hAnsi="黑体" w:cs="黑体" w:hint="eastAsia"/>
          <w:sz w:val="32"/>
          <w:szCs w:val="32"/>
        </w:rPr>
        <w:t>园区认定</w:t>
      </w:r>
      <w:r>
        <w:rPr>
          <w:rFonts w:ascii="黑体" w:eastAsia="黑体" w:hAnsi="黑体" w:cs="黑体" w:hint="eastAsia"/>
          <w:sz w:val="32"/>
          <w:szCs w:val="32"/>
        </w:rPr>
        <w:t>的情形）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广告产业园区有下列情形之一的，经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</w:t>
      </w:r>
      <w:r>
        <w:rPr>
          <w:rFonts w:ascii="Times New Roman" w:eastAsia="仿宋_GB2312" w:hAnsi="Times New Roman" w:cs="Times New Roman"/>
          <w:sz w:val="32"/>
          <w:szCs w:val="32"/>
        </w:rPr>
        <w:t>局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会议审议通过后，撤销其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/>
          <w:sz w:val="32"/>
          <w:szCs w:val="32"/>
        </w:rPr>
        <w:t>广告产业园区认定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并收回牌匾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>
        <w:rPr>
          <w:rFonts w:ascii="Times New Roman" w:eastAsia="仿宋_GB2312" w:hAnsi="Times New Roman" w:cs="Times New Roman"/>
          <w:sz w:val="32"/>
          <w:szCs w:val="32"/>
        </w:rPr>
        <w:t>政策或经营方向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重大</w:t>
      </w:r>
      <w:r>
        <w:rPr>
          <w:rFonts w:ascii="Times New Roman" w:eastAsia="仿宋_GB2312" w:hAnsi="Times New Roman" w:cs="Times New Roman"/>
          <w:sz w:val="32"/>
          <w:szCs w:val="32"/>
        </w:rPr>
        <w:t>调整而改变广告业发展主业性质的；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）经营管理不善，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造成园区社会效益、经济效益严重下滑</w:t>
      </w:r>
      <w:r>
        <w:rPr>
          <w:rFonts w:ascii="Times New Roman" w:eastAsia="仿宋_GB2312" w:hAnsi="Times New Roman" w:cs="Times New Roman"/>
          <w:sz w:val="32"/>
          <w:szCs w:val="32"/>
        </w:rPr>
        <w:t>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）考核不合格，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>
        <w:rPr>
          <w:rFonts w:ascii="Times New Roman" w:eastAsia="仿宋_GB2312" w:hAnsi="Times New Roman" w:cs="Times New Roman"/>
          <w:sz w:val="32"/>
          <w:szCs w:val="32"/>
        </w:rPr>
        <w:t>限期整改仍不合格的；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/>
          <w:sz w:val="32"/>
          <w:szCs w:val="32"/>
        </w:rPr>
        <w:t>）申报时提供虚假材料或采取其它手段骗取园区资格的；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）广告宣传出现重大导向问题的；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>
        <w:rPr>
          <w:rFonts w:ascii="Times New Roman" w:eastAsia="仿宋_GB2312" w:hAnsi="Times New Roman" w:cs="Times New Roman"/>
          <w:sz w:val="32"/>
          <w:szCs w:val="32"/>
        </w:rPr>
        <w:t>其他重大违法违规行为的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</w:t>
      </w:r>
      <w:r>
        <w:rPr>
          <w:rFonts w:ascii="黑体" w:eastAsia="黑体" w:hAnsi="黑体" w:cs="黑体" w:hint="eastAsia"/>
          <w:sz w:val="32"/>
          <w:szCs w:val="32"/>
        </w:rPr>
        <w:t>十六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择优推荐申报国家园区</w:t>
      </w:r>
      <w:r>
        <w:rPr>
          <w:rFonts w:ascii="黑体" w:eastAsia="黑体" w:hAnsi="黑体" w:cs="黑体" w:hint="eastAsia"/>
          <w:sz w:val="32"/>
          <w:szCs w:val="32"/>
        </w:rPr>
        <w:t>的规定）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湖南省市场监督管理局根据产业布局、产业园区建设和发展示范作用等，在省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广告产业园区中择优推荐申报国家广告产业园区。</w:t>
      </w:r>
    </w:p>
    <w:p w:rsidR="00112C95" w:rsidRDefault="00606382">
      <w:pPr>
        <w:spacing w:line="594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十七</w:t>
      </w:r>
      <w:r>
        <w:rPr>
          <w:rFonts w:ascii="黑体" w:eastAsia="黑体" w:hAnsi="黑体" w:cs="黑体" w:hint="eastAsia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（创意基地的参照适用）</w:t>
      </w:r>
      <w:r>
        <w:rPr>
          <w:rFonts w:ascii="仿宋" w:eastAsia="仿宋" w:hAnsi="仿宋" w:cs="仿宋" w:hint="eastAsia"/>
          <w:sz w:val="32"/>
          <w:szCs w:val="32"/>
        </w:rPr>
        <w:t>湖南省广告创意基地的管理参照省级广告产业园区施行。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十八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（解释权限）</w:t>
      </w:r>
      <w:r>
        <w:rPr>
          <w:rFonts w:ascii="Times New Roman" w:eastAsia="仿宋_GB2312" w:hAnsi="Times New Roman" w:cs="Times New Roman"/>
          <w:sz w:val="32"/>
          <w:szCs w:val="32"/>
        </w:rPr>
        <w:t>本办法由湖南省市场监督管理局负责解释。</w:t>
      </w: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第</w:t>
      </w:r>
      <w:r>
        <w:rPr>
          <w:rFonts w:ascii="黑体" w:eastAsia="黑体" w:hAnsi="黑体" w:cs="黑体" w:hint="eastAsia"/>
          <w:sz w:val="32"/>
          <w:szCs w:val="32"/>
        </w:rPr>
        <w:t>十九</w:t>
      </w:r>
      <w:r>
        <w:rPr>
          <w:rFonts w:ascii="黑体" w:eastAsia="黑体" w:hAnsi="黑体" w:cs="黑体"/>
          <w:sz w:val="32"/>
          <w:szCs w:val="32"/>
        </w:rPr>
        <w:t>条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（施行日期）</w:t>
      </w:r>
      <w:r>
        <w:rPr>
          <w:rFonts w:ascii="Times New Roman" w:eastAsia="仿宋_GB2312" w:hAnsi="Times New Roman" w:cs="Times New Roman"/>
          <w:sz w:val="32"/>
          <w:szCs w:val="32"/>
        </w:rPr>
        <w:t>本办法自发布之日起施行。</w:t>
      </w:r>
    </w:p>
    <w:p w:rsidR="00112C95" w:rsidRDefault="00112C95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606382">
      <w:pPr>
        <w:spacing w:line="594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附件：湖南省广告产业园区认定申报表</w:t>
      </w: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Default="00112C9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12C95" w:rsidRPr="0079389B" w:rsidRDefault="00112C95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112C95" w:rsidRDefault="0060638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</w:p>
    <w:p w:rsidR="00112C95" w:rsidRDefault="0060638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湖南省</w:t>
      </w:r>
      <w:r>
        <w:rPr>
          <w:rFonts w:ascii="Times New Roman" w:eastAsia="方正小标宋简体" w:hAnsi="Times New Roman" w:cs="Times New Roman"/>
          <w:sz w:val="44"/>
          <w:szCs w:val="44"/>
        </w:rPr>
        <w:t>广告产业园区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认定申报表</w:t>
      </w:r>
    </w:p>
    <w:p w:rsidR="00112C95" w:rsidRDefault="00112C9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12C95" w:rsidRDefault="00606382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申报单位：</w:t>
      </w:r>
      <w:r>
        <w:rPr>
          <w:rFonts w:ascii="黑体" w:eastAsia="黑体" w:hAnsi="黑体" w:cs="黑体" w:hint="eastAsia"/>
          <w:sz w:val="24"/>
        </w:rPr>
        <w:t xml:space="preserve">                                     </w:t>
      </w:r>
      <w:r>
        <w:rPr>
          <w:rFonts w:ascii="黑体" w:eastAsia="黑体" w:hAnsi="黑体" w:cs="黑体" w:hint="eastAsia"/>
          <w:sz w:val="24"/>
        </w:rPr>
        <w:t>申报时间：</w:t>
      </w:r>
      <w:r>
        <w:rPr>
          <w:rFonts w:ascii="黑体" w:eastAsia="黑体" w:hAnsi="黑体" w:cs="黑体" w:hint="eastAsia"/>
          <w:sz w:val="24"/>
        </w:rPr>
        <w:t xml:space="preserve">   </w:t>
      </w:r>
      <w:r>
        <w:rPr>
          <w:rFonts w:ascii="黑体" w:eastAsia="黑体" w:hAnsi="黑体" w:cs="黑体" w:hint="eastAsia"/>
          <w:sz w:val="24"/>
        </w:rPr>
        <w:t>年</w:t>
      </w:r>
      <w:r>
        <w:rPr>
          <w:rFonts w:ascii="黑体" w:eastAsia="黑体" w:hAnsi="黑体" w:cs="黑体" w:hint="eastAsia"/>
          <w:sz w:val="24"/>
        </w:rPr>
        <w:t xml:space="preserve">   </w:t>
      </w:r>
      <w:r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</w:rPr>
        <w:t xml:space="preserve">   </w:t>
      </w:r>
      <w:r>
        <w:rPr>
          <w:rFonts w:ascii="黑体" w:eastAsia="黑体" w:hAnsi="黑体" w:cs="黑体" w:hint="eastAsia"/>
          <w:sz w:val="24"/>
        </w:rPr>
        <w:t>日</w:t>
      </w:r>
    </w:p>
    <w:p w:rsidR="00112C95" w:rsidRDefault="00112C95">
      <w:pPr>
        <w:rPr>
          <w:rFonts w:ascii="黑体" w:eastAsia="黑体" w:hAnsi="黑体" w:cs="黑体"/>
          <w:sz w:val="24"/>
        </w:rPr>
      </w:pPr>
    </w:p>
    <w:tbl>
      <w:tblPr>
        <w:tblStyle w:val="ab"/>
        <w:tblW w:w="9174" w:type="dxa"/>
        <w:tblLayout w:type="fixed"/>
        <w:tblLook w:val="04A0" w:firstRow="1" w:lastRow="0" w:firstColumn="1" w:lastColumn="0" w:noHBand="0" w:noVBand="1"/>
      </w:tblPr>
      <w:tblGrid>
        <w:gridCol w:w="2397"/>
        <w:gridCol w:w="2189"/>
        <w:gridCol w:w="1097"/>
        <w:gridCol w:w="1381"/>
        <w:gridCol w:w="2110"/>
      </w:tblGrid>
      <w:tr w:rsidR="00112C95">
        <w:tc>
          <w:tcPr>
            <w:tcW w:w="2397" w:type="dxa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广告产业园名称</w:t>
            </w:r>
          </w:p>
        </w:tc>
        <w:tc>
          <w:tcPr>
            <w:tcW w:w="2189" w:type="dxa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地址</w:t>
            </w:r>
          </w:p>
        </w:tc>
        <w:tc>
          <w:tcPr>
            <w:tcW w:w="3491" w:type="dxa"/>
            <w:gridSpan w:val="2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12C95">
        <w:tc>
          <w:tcPr>
            <w:tcW w:w="2397" w:type="dxa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广告产业园投资金额</w:t>
            </w:r>
          </w:p>
        </w:tc>
        <w:tc>
          <w:tcPr>
            <w:tcW w:w="2189" w:type="dxa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广告产业园入园企业数</w:t>
            </w:r>
          </w:p>
        </w:tc>
        <w:tc>
          <w:tcPr>
            <w:tcW w:w="2110" w:type="dxa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12C95">
        <w:tc>
          <w:tcPr>
            <w:tcW w:w="2397" w:type="dxa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联系人</w:t>
            </w:r>
          </w:p>
        </w:tc>
        <w:tc>
          <w:tcPr>
            <w:tcW w:w="2189" w:type="dxa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110" w:type="dxa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12C95">
        <w:tc>
          <w:tcPr>
            <w:tcW w:w="2397" w:type="dxa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传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真</w:t>
            </w:r>
          </w:p>
        </w:tc>
        <w:tc>
          <w:tcPr>
            <w:tcW w:w="2189" w:type="dxa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电子邮箱</w:t>
            </w:r>
          </w:p>
        </w:tc>
        <w:tc>
          <w:tcPr>
            <w:tcW w:w="2110" w:type="dxa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12C95">
        <w:tc>
          <w:tcPr>
            <w:tcW w:w="2397" w:type="dxa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发展现状</w:t>
            </w:r>
          </w:p>
        </w:tc>
        <w:tc>
          <w:tcPr>
            <w:tcW w:w="6777" w:type="dxa"/>
            <w:gridSpan w:val="4"/>
            <w:vAlign w:val="center"/>
          </w:tcPr>
          <w:p w:rsidR="00112C95" w:rsidRDefault="00606382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园区规模、面积、企业、年产值、近两年运行情况、代表企业情况（附页）</w:t>
            </w:r>
          </w:p>
          <w:p w:rsidR="00112C95" w:rsidRDefault="00112C95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:rsidR="00112C95" w:rsidRDefault="00112C95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:rsidR="00112C95" w:rsidRDefault="00112C95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12C95">
        <w:tc>
          <w:tcPr>
            <w:tcW w:w="2397" w:type="dxa"/>
            <w:vAlign w:val="center"/>
          </w:tcPr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未来五年发展规划</w:t>
            </w:r>
          </w:p>
          <w:p w:rsidR="00112C95" w:rsidRDefault="00606382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及前景预测</w:t>
            </w:r>
          </w:p>
        </w:tc>
        <w:tc>
          <w:tcPr>
            <w:tcW w:w="6777" w:type="dxa"/>
            <w:gridSpan w:val="4"/>
            <w:vAlign w:val="center"/>
          </w:tcPr>
          <w:p w:rsidR="00112C95" w:rsidRDefault="00112C95">
            <w:pPr>
              <w:spacing w:line="48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12C95" w:rsidRDefault="00112C95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  <w:p w:rsidR="00112C95" w:rsidRDefault="00112C95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  <w:p w:rsidR="00112C95" w:rsidRDefault="00112C95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112C95">
        <w:tc>
          <w:tcPr>
            <w:tcW w:w="9174" w:type="dxa"/>
            <w:gridSpan w:val="5"/>
            <w:vAlign w:val="center"/>
          </w:tcPr>
          <w:p w:rsidR="00112C95" w:rsidRDefault="00606382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所在市州</w:t>
            </w:r>
            <w:r>
              <w:rPr>
                <w:rFonts w:asciiTheme="minorEastAsia" w:hAnsiTheme="minorEastAsia" w:cstheme="minorEastAsia" w:hint="eastAsia"/>
                <w:sz w:val="24"/>
              </w:rPr>
              <w:t>市场监管</w:t>
            </w:r>
            <w:r>
              <w:rPr>
                <w:rFonts w:asciiTheme="minorEastAsia" w:hAnsiTheme="minorEastAsia" w:cstheme="minorEastAsia" w:hint="eastAsia"/>
                <w:sz w:val="24"/>
              </w:rPr>
              <w:t>部门意见</w:t>
            </w:r>
          </w:p>
          <w:p w:rsidR="00112C95" w:rsidRDefault="00112C95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  <w:p w:rsidR="00112C95" w:rsidRDefault="00112C95">
            <w:pPr>
              <w:spacing w:line="480" w:lineRule="auto"/>
              <w:rPr>
                <w:rFonts w:asciiTheme="minorEastAsia" w:hAnsiTheme="minorEastAsia" w:cstheme="minorEastAsia"/>
                <w:sz w:val="24"/>
              </w:rPr>
            </w:pPr>
          </w:p>
          <w:p w:rsidR="00112C95" w:rsidRDefault="00606382">
            <w:pPr>
              <w:wordWrap w:val="0"/>
              <w:spacing w:line="480" w:lineRule="auto"/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盖章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</w:t>
            </w:r>
          </w:p>
        </w:tc>
      </w:tr>
    </w:tbl>
    <w:p w:rsidR="00112C95" w:rsidRDefault="00112C95">
      <w:pPr>
        <w:rPr>
          <w:rFonts w:ascii="黑体" w:eastAsia="黑体" w:hAnsi="黑体" w:cs="黑体"/>
          <w:sz w:val="28"/>
          <w:szCs w:val="28"/>
        </w:rPr>
      </w:pPr>
    </w:p>
    <w:sectPr w:rsidR="00112C95">
      <w:footerReference w:type="default" r:id="rId8"/>
      <w:pgSz w:w="11906" w:h="16838"/>
      <w:pgMar w:top="1984" w:right="1474" w:bottom="164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82" w:rsidRDefault="00606382">
      <w:r>
        <w:separator/>
      </w:r>
    </w:p>
  </w:endnote>
  <w:endnote w:type="continuationSeparator" w:id="0">
    <w:p w:rsidR="00606382" w:rsidRDefault="0060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95" w:rsidRDefault="0060638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12C95" w:rsidRDefault="00606382">
                <w:pPr>
                  <w:pStyle w:val="a6"/>
                  <w:rPr>
                    <w:rFonts w:ascii="Times New Roman" w:hAnsi="Times New Roman" w:cs="Times New Roman"/>
                    <w:sz w:val="28"/>
                    <w:szCs w:val="44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4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44"/>
                  </w:rPr>
                  <w:fldChar w:fldCharType="separate"/>
                </w:r>
                <w:r w:rsidR="0079389B">
                  <w:rPr>
                    <w:rFonts w:ascii="Times New Roman" w:hAnsi="Times New Roman" w:cs="Times New Roman"/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82" w:rsidRDefault="00606382">
      <w:r>
        <w:separator/>
      </w:r>
    </w:p>
  </w:footnote>
  <w:footnote w:type="continuationSeparator" w:id="0">
    <w:p w:rsidR="00606382" w:rsidRDefault="00606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C2B74DC"/>
    <w:rsid w:val="000F22A9"/>
    <w:rsid w:val="00106908"/>
    <w:rsid w:val="00112C95"/>
    <w:rsid w:val="00143BD8"/>
    <w:rsid w:val="00570C5E"/>
    <w:rsid w:val="005D030E"/>
    <w:rsid w:val="00606382"/>
    <w:rsid w:val="0076273D"/>
    <w:rsid w:val="0079389B"/>
    <w:rsid w:val="007C6AD8"/>
    <w:rsid w:val="00927E16"/>
    <w:rsid w:val="009B76FE"/>
    <w:rsid w:val="00D504EA"/>
    <w:rsid w:val="00D87951"/>
    <w:rsid w:val="00DE1275"/>
    <w:rsid w:val="01E22FFA"/>
    <w:rsid w:val="033436A5"/>
    <w:rsid w:val="034D2DE9"/>
    <w:rsid w:val="04D95A4A"/>
    <w:rsid w:val="064502FF"/>
    <w:rsid w:val="08C5669E"/>
    <w:rsid w:val="09101F12"/>
    <w:rsid w:val="0A162CA5"/>
    <w:rsid w:val="0A1C0F2D"/>
    <w:rsid w:val="0BD719D4"/>
    <w:rsid w:val="0ECC516F"/>
    <w:rsid w:val="0EFA4D47"/>
    <w:rsid w:val="102E7C11"/>
    <w:rsid w:val="108D09E0"/>
    <w:rsid w:val="121628D7"/>
    <w:rsid w:val="14243478"/>
    <w:rsid w:val="14E86CF3"/>
    <w:rsid w:val="151F7120"/>
    <w:rsid w:val="153A27C0"/>
    <w:rsid w:val="15AA1F4F"/>
    <w:rsid w:val="17562408"/>
    <w:rsid w:val="179C571C"/>
    <w:rsid w:val="17C14012"/>
    <w:rsid w:val="188648DF"/>
    <w:rsid w:val="18DE04C6"/>
    <w:rsid w:val="1A380E48"/>
    <w:rsid w:val="1B7F1E10"/>
    <w:rsid w:val="1B890C8F"/>
    <w:rsid w:val="1CD52CD4"/>
    <w:rsid w:val="1F0F0B9C"/>
    <w:rsid w:val="1F30700F"/>
    <w:rsid w:val="22105AF1"/>
    <w:rsid w:val="244149BB"/>
    <w:rsid w:val="258B436E"/>
    <w:rsid w:val="27873F62"/>
    <w:rsid w:val="2BBE1FDF"/>
    <w:rsid w:val="2D016C66"/>
    <w:rsid w:val="2D071A12"/>
    <w:rsid w:val="2DDB1629"/>
    <w:rsid w:val="2DEA15B0"/>
    <w:rsid w:val="2E1F26B1"/>
    <w:rsid w:val="2E617695"/>
    <w:rsid w:val="2FE17318"/>
    <w:rsid w:val="32023DD2"/>
    <w:rsid w:val="359A6433"/>
    <w:rsid w:val="36DE5FFB"/>
    <w:rsid w:val="38067A80"/>
    <w:rsid w:val="39D87045"/>
    <w:rsid w:val="3AF75A8B"/>
    <w:rsid w:val="3B0570CC"/>
    <w:rsid w:val="3C2B74DC"/>
    <w:rsid w:val="3CEB6288"/>
    <w:rsid w:val="3ED30FD8"/>
    <w:rsid w:val="3F44386F"/>
    <w:rsid w:val="401111D3"/>
    <w:rsid w:val="41C25CD3"/>
    <w:rsid w:val="41FC79A4"/>
    <w:rsid w:val="434A2A57"/>
    <w:rsid w:val="47B67D26"/>
    <w:rsid w:val="47E44062"/>
    <w:rsid w:val="4BDE699B"/>
    <w:rsid w:val="4E5436EA"/>
    <w:rsid w:val="4E76386B"/>
    <w:rsid w:val="51586EED"/>
    <w:rsid w:val="52CA5B94"/>
    <w:rsid w:val="55470B91"/>
    <w:rsid w:val="592E7058"/>
    <w:rsid w:val="5A6C0975"/>
    <w:rsid w:val="5B0F56C4"/>
    <w:rsid w:val="5B410637"/>
    <w:rsid w:val="5BD61B33"/>
    <w:rsid w:val="5D453225"/>
    <w:rsid w:val="5D5555FF"/>
    <w:rsid w:val="61AD6D25"/>
    <w:rsid w:val="63530523"/>
    <w:rsid w:val="656E4D80"/>
    <w:rsid w:val="67E912D7"/>
    <w:rsid w:val="6A2A02AE"/>
    <w:rsid w:val="6AB867E3"/>
    <w:rsid w:val="6B1E5234"/>
    <w:rsid w:val="6B3A4300"/>
    <w:rsid w:val="6C047FA3"/>
    <w:rsid w:val="6D6A63F8"/>
    <w:rsid w:val="6E760856"/>
    <w:rsid w:val="715F5A66"/>
    <w:rsid w:val="718509CD"/>
    <w:rsid w:val="71E73B4C"/>
    <w:rsid w:val="72E93A11"/>
    <w:rsid w:val="752B1AC8"/>
    <w:rsid w:val="75D409F3"/>
    <w:rsid w:val="763B33A2"/>
    <w:rsid w:val="78AA5E94"/>
    <w:rsid w:val="7A683468"/>
    <w:rsid w:val="7B12401F"/>
    <w:rsid w:val="7C1F0EC5"/>
    <w:rsid w:val="7C7E7A45"/>
    <w:rsid w:val="7D246C8E"/>
    <w:rsid w:val="7D247645"/>
    <w:rsid w:val="7DE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491</Words>
  <Characters>2799</Characters>
  <Application>Microsoft Office Word</Application>
  <DocSecurity>0</DocSecurity>
  <Lines>23</Lines>
  <Paragraphs>6</Paragraphs>
  <ScaleCrop>false</ScaleCrop>
  <Company>JGJ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何地</dc:creator>
  <cp:lastModifiedBy>刘明刚</cp:lastModifiedBy>
  <cp:revision>4</cp:revision>
  <cp:lastPrinted>2020-12-17T00:30:00Z</cp:lastPrinted>
  <dcterms:created xsi:type="dcterms:W3CDTF">2020-08-07T07:23:00Z</dcterms:created>
  <dcterms:modified xsi:type="dcterms:W3CDTF">2021-01-17T08:34:00Z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