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p>
    <w:p>
      <w:pPr>
        <w:ind w:right="-109" w:rightChars="-52"/>
        <w:jc w:val="right"/>
        <w:rPr>
          <w:rFonts w:ascii="Times New Roman" w:hAnsi="Times New Roman" w:eastAsia="黑体"/>
          <w:b/>
          <w:sz w:val="112"/>
          <w:szCs w:val="112"/>
        </w:rPr>
      </w:pPr>
      <w:bookmarkStart w:id="50" w:name="_GoBack"/>
      <w:bookmarkEnd w:id="50"/>
      <w:r>
        <w:rPr>
          <w:rFonts w:ascii="Times New Roman" w:hAnsi="Times New Roman" w:eastAsia="黑体"/>
          <w:b/>
          <w:sz w:val="112"/>
          <w:szCs w:val="112"/>
        </w:rPr>
        <w:t>DB43</w:t>
      </w:r>
    </w:p>
    <w:p>
      <w:pPr>
        <w:jc w:val="distribute"/>
        <w:rPr>
          <w:rFonts w:ascii="黑体" w:eastAsia="黑体"/>
          <w:sz w:val="48"/>
          <w:szCs w:val="48"/>
        </w:rPr>
      </w:pPr>
      <w:r>
        <w:rPr>
          <w:rFonts w:hint="eastAsia" w:ascii="黑体" w:eastAsia="黑体"/>
          <w:sz w:val="48"/>
          <w:szCs w:val="48"/>
        </w:rPr>
        <w:t>湖南省地方标准</w:t>
      </w:r>
    </w:p>
    <w:p>
      <w:pPr>
        <w:pBdr>
          <w:bottom w:val="single" w:color="auto" w:sz="6" w:space="1"/>
        </w:pBdr>
        <w:spacing w:line="100" w:lineRule="atLeast"/>
        <w:ind w:right="2"/>
        <w:jc w:val="right"/>
        <w:rPr>
          <w:rFonts w:ascii="黑体" w:eastAsia="黑体"/>
          <w:sz w:val="28"/>
          <w:szCs w:val="28"/>
        </w:rPr>
      </w:pPr>
      <w:r>
        <w:rPr>
          <w:rFonts w:hint="eastAsia" w:ascii="黑体" w:eastAsia="黑体"/>
          <w:sz w:val="28"/>
          <w:szCs w:val="28"/>
        </w:rPr>
        <w:t>DB43/T 0000-2020</w:t>
      </w:r>
    </w:p>
    <w:p>
      <w:pPr>
        <w:spacing w:line="120" w:lineRule="atLeast"/>
        <w:jc w:val="center"/>
        <w:rPr>
          <w:rFonts w:ascii="黑体" w:eastAsia="黑体"/>
          <w:sz w:val="28"/>
          <w:szCs w:val="28"/>
        </w:rPr>
      </w:pPr>
    </w:p>
    <w:p>
      <w:pPr>
        <w:rPr>
          <w:sz w:val="36"/>
          <w:szCs w:val="36"/>
        </w:rPr>
      </w:pPr>
    </w:p>
    <w:p>
      <w:pPr>
        <w:jc w:val="center"/>
        <w:rPr>
          <w:rFonts w:hint="eastAsia" w:ascii="黑体" w:hAnsi="黑体" w:eastAsia="黑体"/>
          <w:b/>
          <w:sz w:val="44"/>
          <w:szCs w:val="44"/>
        </w:rPr>
      </w:pPr>
      <w:r>
        <w:rPr>
          <w:rFonts w:hint="eastAsia" w:ascii="黑体" w:hAnsi="黑体" w:eastAsia="黑体"/>
          <w:b/>
          <w:sz w:val="44"/>
          <w:szCs w:val="44"/>
          <w:lang w:eastAsia="zh-CN"/>
        </w:rPr>
        <w:t>春季苦瓜杂交制种技术规程</w:t>
      </w:r>
    </w:p>
    <w:p>
      <w:pPr>
        <w:jc w:val="center"/>
        <w:rPr>
          <w:rFonts w:hint="eastAsia" w:ascii="Times New Roman" w:hAnsi="Times New Roman"/>
          <w:sz w:val="28"/>
          <w:szCs w:val="28"/>
        </w:rPr>
      </w:pPr>
      <w:r>
        <w:rPr>
          <w:rFonts w:hint="eastAsia" w:ascii="Times New Roman" w:hAnsi="Times New Roman"/>
          <w:sz w:val="28"/>
          <w:szCs w:val="28"/>
        </w:rPr>
        <w:t xml:space="preserve">Technical regulation of hybrid seed production of balsam pear in spring </w:t>
      </w:r>
    </w:p>
    <w:p>
      <w:pPr>
        <w:jc w:val="center"/>
        <w:rPr>
          <w:sz w:val="36"/>
          <w:szCs w:val="36"/>
        </w:rPr>
      </w:pPr>
      <w:r>
        <w:rPr>
          <w:rFonts w:hint="eastAsia" w:ascii="Times New Roman" w:hAnsi="Times New Roman"/>
          <w:sz w:val="28"/>
          <w:szCs w:val="28"/>
        </w:rPr>
        <w:t>（征求意见稿）</w:t>
      </w:r>
    </w:p>
    <w:p>
      <w:pPr>
        <w:rPr>
          <w:sz w:val="36"/>
          <w:szCs w:val="36"/>
        </w:rPr>
      </w:pPr>
    </w:p>
    <w:p>
      <w:pPr>
        <w:rPr>
          <w:sz w:val="36"/>
          <w:szCs w:val="36"/>
        </w:rPr>
      </w:pPr>
    </w:p>
    <w:p>
      <w:pPr>
        <w:rPr>
          <w:sz w:val="36"/>
          <w:szCs w:val="36"/>
        </w:rPr>
      </w:pPr>
    </w:p>
    <w:p>
      <w:pPr>
        <w:spacing w:line="120" w:lineRule="atLeast"/>
        <w:jc w:val="center"/>
        <w:rPr>
          <w:rFonts w:eastAsia="黑体"/>
          <w:sz w:val="28"/>
          <w:szCs w:val="28"/>
        </w:rPr>
      </w:pPr>
    </w:p>
    <w:p>
      <w:pPr>
        <w:spacing w:line="120" w:lineRule="atLeast"/>
        <w:jc w:val="center"/>
        <w:rPr>
          <w:rFonts w:eastAsia="黑体"/>
          <w:sz w:val="28"/>
          <w:szCs w:val="28"/>
        </w:rPr>
      </w:pPr>
    </w:p>
    <w:p>
      <w:pPr>
        <w:spacing w:line="120" w:lineRule="atLeast"/>
        <w:jc w:val="center"/>
        <w:rPr>
          <w:rFonts w:eastAsia="黑体"/>
          <w:sz w:val="28"/>
          <w:szCs w:val="28"/>
        </w:rPr>
      </w:pPr>
    </w:p>
    <w:p>
      <w:pPr>
        <w:spacing w:line="240" w:lineRule="atLeast"/>
        <w:rPr>
          <w:rFonts w:ascii="黑体" w:eastAsia="黑体"/>
          <w:sz w:val="28"/>
          <w:szCs w:val="28"/>
        </w:rPr>
      </w:pPr>
      <w:r>
        <w:rPr>
          <w:rFonts w:hint="eastAsia" w:ascii="黑体" w:eastAsia="黑体"/>
          <w:sz w:val="28"/>
        </w:rPr>
        <w:t xml:space="preserve">2020-00-00发布 </w:t>
      </w:r>
      <w:r>
        <w:rPr>
          <w:rFonts w:hint="eastAsia" w:ascii="黑体" w:eastAsia="黑体"/>
        </w:rPr>
        <w:t xml:space="preserve">                                      </w:t>
      </w:r>
      <w:r>
        <w:rPr>
          <w:rFonts w:hint="eastAsia" w:ascii="黑体" w:eastAsia="黑体"/>
          <w:sz w:val="28"/>
        </w:rPr>
        <w:t xml:space="preserve"> 2020-00-00实施</w:t>
      </w:r>
    </w:p>
    <w:p>
      <w:pPr>
        <w:spacing w:line="300" w:lineRule="exact"/>
        <w:jc w:val="center"/>
        <w:rPr>
          <w:rFonts w:ascii="黑体" w:eastAsia="黑体"/>
          <w:sz w:val="28"/>
          <w:szCs w:val="28"/>
        </w:rPr>
      </w:pPr>
      <w:r>
        <w:rPr>
          <w:rFonts w:hint="eastAsia" w:ascii="黑体" w:eastAsia="黑体"/>
          <w:sz w:val="28"/>
          <w:szCs w:val="28"/>
        </w:rPr>
        <w:t>————————————————————————————</w:t>
      </w:r>
    </w:p>
    <w:p>
      <w:pPr>
        <w:spacing w:line="300" w:lineRule="exact"/>
        <w:jc w:val="center"/>
        <w:rPr>
          <w:rFonts w:ascii="黑体" w:eastAsia="黑体"/>
          <w:sz w:val="36"/>
          <w:szCs w:val="36"/>
        </w:rPr>
      </w:pPr>
    </w:p>
    <w:p>
      <w:pPr>
        <w:spacing w:line="380" w:lineRule="exact"/>
        <w:jc w:val="center"/>
        <w:rPr>
          <w:rFonts w:ascii="黑体" w:eastAsia="黑体"/>
          <w:sz w:val="30"/>
          <w:szCs w:val="30"/>
        </w:rPr>
      </w:pPr>
      <w:r>
        <w:rPr>
          <w:rFonts w:hint="eastAsia" w:ascii="黑体" w:eastAsia="黑体"/>
          <w:spacing w:val="26"/>
          <w:w w:val="150"/>
          <w:sz w:val="32"/>
          <w:szCs w:val="36"/>
        </w:rPr>
        <w:t>湖南省市场监督管理局</w:t>
      </w:r>
      <w:r>
        <w:rPr>
          <w:rFonts w:hint="eastAsia" w:ascii="黑体" w:eastAsia="黑体"/>
          <w:sz w:val="36"/>
          <w:szCs w:val="36"/>
        </w:rPr>
        <w:t xml:space="preserve">  </w:t>
      </w:r>
      <w:r>
        <w:rPr>
          <w:rFonts w:hint="eastAsia" w:ascii="黑体" w:eastAsia="黑体"/>
          <w:sz w:val="30"/>
          <w:szCs w:val="30"/>
        </w:rPr>
        <w:t>发 布</w:t>
      </w:r>
    </w:p>
    <w:p>
      <w:pPr>
        <w:widowControl/>
        <w:jc w:val="left"/>
        <w:rPr>
          <w:rFonts w:ascii="宋体" w:hAnsi="宋体"/>
          <w:sz w:val="24"/>
          <w:szCs w:val="24"/>
        </w:rPr>
      </w:pPr>
      <w:r>
        <w:rPr>
          <w:rFonts w:ascii="宋体" w:hAnsi="宋体"/>
          <w:sz w:val="24"/>
          <w:szCs w:val="24"/>
        </w:rPr>
        <w:br w:type="page"/>
      </w:r>
    </w:p>
    <w:p>
      <w:pPr>
        <w:widowControl/>
        <w:jc w:val="left"/>
        <w:rPr>
          <w:rFonts w:ascii="Times New Roman" w:hAnsi="Times New Roman" w:eastAsia="宋体"/>
          <w:b/>
          <w:bCs/>
          <w:sz w:val="32"/>
          <w:szCs w:val="32"/>
        </w:rPr>
      </w:pPr>
    </w:p>
    <w:p>
      <w:pPr>
        <w:jc w:val="center"/>
        <w:rPr>
          <w:rFonts w:ascii="Times New Roman" w:hAnsi="Times New Roman" w:eastAsia="宋体"/>
          <w:b/>
          <w:bCs/>
          <w:sz w:val="32"/>
          <w:szCs w:val="32"/>
        </w:rPr>
      </w:pPr>
      <w:r>
        <w:rPr>
          <w:rFonts w:hint="eastAsia" w:ascii="Times New Roman" w:hAnsi="Times New Roman" w:eastAsia="宋体"/>
          <w:b/>
          <w:bCs/>
          <w:sz w:val="32"/>
          <w:szCs w:val="32"/>
        </w:rPr>
        <w:t>目</w:t>
      </w:r>
      <w:r>
        <w:rPr>
          <w:rFonts w:hint="eastAsia" w:ascii="Times New Roman" w:hAnsi="Times New Roman" w:eastAsia="宋体"/>
          <w:b/>
          <w:bCs/>
          <w:sz w:val="32"/>
          <w:szCs w:val="32"/>
          <w:lang w:val="en-US" w:eastAsia="zh-CN"/>
        </w:rPr>
        <w:t xml:space="preserve">  </w:t>
      </w:r>
      <w:r>
        <w:rPr>
          <w:rFonts w:hint="eastAsia" w:ascii="Times New Roman" w:hAnsi="Times New Roman" w:eastAsia="宋体"/>
          <w:b/>
          <w:bCs/>
          <w:sz w:val="32"/>
          <w:szCs w:val="32"/>
        </w:rPr>
        <w:t>次</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前言·······························································Ⅱ</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1范围······························································1</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2规范性引用文件····················································1</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3术语和定义························································1</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4</w:t>
      </w:r>
      <w:r>
        <w:rPr>
          <w:rFonts w:hint="eastAsia" w:hAnsi="Times New Roman" w:eastAsia="宋体" w:cs="Times New Roman"/>
          <w:lang w:val="en-US" w:eastAsia="zh-CN"/>
        </w:rPr>
        <w:t>制种</w:t>
      </w:r>
      <w:r>
        <w:rPr>
          <w:rFonts w:hint="eastAsia" w:hAnsi="Times New Roman" w:eastAsia="宋体" w:cs="Times New Roman"/>
        </w:rPr>
        <w:t>地选择························································1</w:t>
      </w:r>
    </w:p>
    <w:p>
      <w:pPr>
        <w:pStyle w:val="5"/>
        <w:tabs>
          <w:tab w:val="right" w:leader="dot" w:pos="9241"/>
        </w:tabs>
        <w:spacing w:before="78" w:after="78"/>
        <w:rPr>
          <w:rFonts w:hAnsi="Times New Roman" w:eastAsia="宋体" w:cs="Times New Roman"/>
        </w:rPr>
      </w:pPr>
      <w:r>
        <w:rPr>
          <w:rFonts w:hint="eastAsia" w:hAnsi="Times New Roman" w:eastAsia="宋体" w:cs="Times New Roman"/>
        </w:rPr>
        <w:t>5播种育苗··························································1</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rPr>
        <w:t>6</w:t>
      </w:r>
      <w:r>
        <w:rPr>
          <w:rFonts w:hint="eastAsia" w:hAnsi="Times New Roman" w:eastAsia="宋体" w:cs="Times New Roman"/>
          <w:lang w:val="en-US" w:eastAsia="zh-CN"/>
        </w:rPr>
        <w:t>整地</w:t>
      </w:r>
      <w:r>
        <w:rPr>
          <w:rFonts w:hint="default" w:hAnsi="Times New Roman" w:eastAsia="宋体" w:cs="Times New Roman"/>
          <w:lang w:val="en-US" w:eastAsia="zh-CN"/>
        </w:rPr>
        <w:t>作畦</w:t>
      </w:r>
      <w:r>
        <w:rPr>
          <w:rFonts w:hint="eastAsia" w:hAnsi="Times New Roman" w:eastAsia="宋体" w:cs="Times New Roman"/>
        </w:rPr>
        <w:t>··························································1</w:t>
      </w:r>
    </w:p>
    <w:p>
      <w:pPr>
        <w:pStyle w:val="5"/>
        <w:tabs>
          <w:tab w:val="right" w:leader="dot" w:pos="9241"/>
        </w:tabs>
        <w:spacing w:before="78" w:after="78"/>
        <w:rPr>
          <w:rFonts w:hint="eastAsia" w:hAnsi="Times New Roman" w:eastAsia="宋体" w:cs="Times New Roman"/>
          <w:lang w:val="en-US" w:eastAsia="zh-CN"/>
        </w:rPr>
      </w:pPr>
      <w:r>
        <w:rPr>
          <w:rFonts w:hint="eastAsia" w:hAnsi="Times New Roman" w:eastAsia="宋体" w:cs="Times New Roman"/>
          <w:lang w:val="en-US" w:eastAsia="zh-CN"/>
        </w:rPr>
        <w:t>7定植</w:t>
      </w:r>
      <w:r>
        <w:rPr>
          <w:rFonts w:hint="eastAsia" w:hAnsi="Times New Roman" w:eastAsia="宋体" w:cs="Times New Roman"/>
        </w:rPr>
        <w:t>·························································</w:t>
      </w:r>
      <w:r>
        <w:rPr>
          <w:rFonts w:hint="eastAsia" w:hAnsi="Times New Roman" w:eastAsia="宋体" w:cs="Times New Roman"/>
          <w:lang w:val="en-US" w:eastAsia="zh-CN"/>
        </w:rPr>
        <w:t>2</w:t>
      </w:r>
    </w:p>
    <w:p>
      <w:pPr>
        <w:pStyle w:val="5"/>
        <w:tabs>
          <w:tab w:val="right" w:leader="dot" w:pos="9241"/>
        </w:tabs>
        <w:spacing w:before="78" w:after="78"/>
        <w:rPr>
          <w:rFonts w:hint="eastAsia" w:hAnsi="Times New Roman" w:eastAsia="宋体" w:cs="Times New Roman"/>
          <w:lang w:val="en-US" w:eastAsia="zh-CN"/>
        </w:rPr>
      </w:pPr>
      <w:r>
        <w:rPr>
          <w:rFonts w:hint="eastAsia" w:hAnsi="Times New Roman" w:eastAsia="宋体" w:cs="Times New Roman"/>
          <w:lang w:val="en-US" w:eastAsia="zh-CN"/>
        </w:rPr>
        <w:t>8搭架引蔓</w:t>
      </w:r>
      <w:r>
        <w:rPr>
          <w:rFonts w:hint="eastAsia" w:hAnsi="Times New Roman" w:eastAsia="宋体" w:cs="Times New Roman"/>
        </w:rPr>
        <w:t>···························································2</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lang w:val="en-US" w:eastAsia="zh-CN"/>
        </w:rPr>
        <w:t>9</w:t>
      </w:r>
      <w:r>
        <w:rPr>
          <w:rFonts w:hint="eastAsia" w:hAnsi="Times New Roman" w:eastAsia="宋体" w:cs="Times New Roman"/>
        </w:rPr>
        <w:t>人工授粉··························································2</w:t>
      </w:r>
    </w:p>
    <w:p>
      <w:pPr>
        <w:rPr>
          <w:rFonts w:hint="default" w:eastAsia="宋体"/>
          <w:lang w:val="en-US" w:eastAsia="zh-CN"/>
        </w:rPr>
      </w:pPr>
      <w:r>
        <w:rPr>
          <w:rFonts w:hint="eastAsia" w:hAnsi="Times New Roman" w:eastAsia="宋体" w:cs="Times New Roman"/>
          <w:lang w:val="en-US" w:eastAsia="zh-CN"/>
        </w:rPr>
        <w:t>10及时除杂</w:t>
      </w:r>
      <w:r>
        <w:rPr>
          <w:rFonts w:hint="eastAsia" w:hAnsi="Times New Roman" w:eastAsia="宋体" w:cs="Times New Roman"/>
        </w:rPr>
        <w:t>····························································2</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lang w:val="en-US" w:eastAsia="zh-CN"/>
        </w:rPr>
        <w:t>11</w:t>
      </w:r>
      <w:r>
        <w:rPr>
          <w:rFonts w:hint="eastAsia" w:hAnsi="Times New Roman" w:eastAsia="宋体" w:cs="Times New Roman"/>
        </w:rPr>
        <w:t>病虫害防治·······················································2</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lang w:val="en-US" w:eastAsia="zh-CN"/>
        </w:rPr>
        <w:t>12</w:t>
      </w:r>
      <w:r>
        <w:rPr>
          <w:rFonts w:hAnsi="Times New Roman" w:eastAsia="宋体" w:cs="Times New Roman"/>
        </w:rPr>
        <w:t xml:space="preserve"> </w:t>
      </w:r>
      <w:r>
        <w:rPr>
          <w:rFonts w:hint="eastAsia" w:hAnsi="Times New Roman" w:eastAsia="宋体" w:cs="Times New Roman"/>
        </w:rPr>
        <w:t>种子</w:t>
      </w:r>
      <w:r>
        <w:rPr>
          <w:rFonts w:hint="eastAsia" w:hAnsi="Times New Roman" w:eastAsia="宋体" w:cs="Times New Roman"/>
          <w:lang w:val="en-US" w:eastAsia="zh-CN"/>
        </w:rPr>
        <w:t>采收</w:t>
      </w:r>
      <w:r>
        <w:rPr>
          <w:rFonts w:hint="eastAsia" w:hAnsi="Times New Roman" w:eastAsia="宋体" w:cs="Times New Roman"/>
        </w:rPr>
        <w:t>·························································2</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rPr>
        <w:t>1</w:t>
      </w:r>
      <w:r>
        <w:rPr>
          <w:rFonts w:hint="eastAsia" w:hAnsi="Times New Roman" w:eastAsia="宋体" w:cs="Times New Roman"/>
          <w:lang w:val="en-US" w:eastAsia="zh-CN"/>
        </w:rPr>
        <w:t>3</w:t>
      </w:r>
      <w:r>
        <w:rPr>
          <w:rFonts w:hint="eastAsia" w:hAnsi="Times New Roman" w:eastAsia="宋体" w:cs="Times New Roman"/>
        </w:rPr>
        <w:t xml:space="preserve"> 质量检测·························································2</w:t>
      </w:r>
    </w:p>
    <w:p>
      <w:pPr>
        <w:pStyle w:val="5"/>
        <w:tabs>
          <w:tab w:val="right" w:leader="dot" w:pos="9241"/>
        </w:tabs>
        <w:spacing w:before="78" w:after="78"/>
        <w:rPr>
          <w:rFonts w:hint="eastAsia" w:hAnsi="Times New Roman" w:eastAsia="宋体" w:cs="Times New Roman"/>
        </w:rPr>
      </w:pPr>
      <w:r>
        <w:rPr>
          <w:rFonts w:hint="eastAsia" w:hAnsi="Times New Roman" w:eastAsia="宋体" w:cs="Times New Roman"/>
        </w:rPr>
        <w:t>附录A（资料性附录）主要病虫害防治··································3</w:t>
      </w:r>
    </w:p>
    <w:p>
      <w:pPr>
        <w:pStyle w:val="5"/>
        <w:tabs>
          <w:tab w:val="right" w:leader="dot" w:pos="9241"/>
        </w:tabs>
        <w:spacing w:before="78" w:after="78"/>
        <w:rPr>
          <w:rFonts w:hint="eastAsia" w:hAnsi="Times New Roman" w:eastAsia="宋体" w:cs="Times New Roman"/>
          <w:lang w:val="en-US" w:eastAsia="zh-CN"/>
        </w:rPr>
      </w:pPr>
      <w:r>
        <w:rPr>
          <w:rFonts w:hint="eastAsia" w:hAnsi="Times New Roman" w:eastAsia="宋体" w:cs="Times New Roman"/>
        </w:rPr>
        <w:t>附录</w:t>
      </w:r>
      <w:r>
        <w:rPr>
          <w:rFonts w:hAnsi="Times New Roman" w:eastAsia="宋体" w:cs="Times New Roman"/>
        </w:rPr>
        <w:t>B</w:t>
      </w:r>
      <w:r>
        <w:rPr>
          <w:rFonts w:hint="eastAsia" w:hAnsi="Times New Roman" w:eastAsia="宋体" w:cs="Times New Roman"/>
        </w:rPr>
        <w:t>（资料性附录）生产栽培档案····································</w:t>
      </w:r>
      <w:r>
        <w:rPr>
          <w:rFonts w:hint="eastAsia" w:hAnsi="Times New Roman" w:eastAsia="宋体" w:cs="Times New Roman"/>
          <w:lang w:val="en-US" w:eastAsia="zh-CN"/>
        </w:rPr>
        <w:t>4</w:t>
      </w:r>
    </w:p>
    <w:p>
      <w:pPr>
        <w:pStyle w:val="5"/>
        <w:tabs>
          <w:tab w:val="right" w:leader="dot" w:pos="9241"/>
        </w:tabs>
        <w:spacing w:before="78" w:after="78"/>
        <w:rPr>
          <w:rFonts w:hAnsi="Times New Roman" w:eastAsia="宋体" w:cs="Times New Roman"/>
        </w:rPr>
      </w:pPr>
      <w:r>
        <w:rPr>
          <w:rFonts w:hAnsi="Times New Roman" w:eastAsia="宋体" w:cs="Times New Roman"/>
        </w:rPr>
        <w:br w:type="page"/>
      </w:r>
    </w:p>
    <w:p>
      <w:pPr>
        <w:jc w:val="center"/>
        <w:rPr>
          <w:rFonts w:hint="eastAsia" w:ascii="Times New Roman" w:hAnsi="Times New Roman" w:eastAsia="宋体"/>
          <w:sz w:val="24"/>
          <w:szCs w:val="24"/>
        </w:rPr>
      </w:pPr>
      <w:r>
        <w:rPr>
          <w:rFonts w:hint="eastAsia" w:ascii="Times New Roman" w:hAnsi="Times New Roman" w:eastAsia="宋体"/>
          <w:b/>
          <w:bCs/>
          <w:sz w:val="32"/>
          <w:szCs w:val="32"/>
        </w:rPr>
        <w:t>前言</w:t>
      </w:r>
    </w:p>
    <w:p>
      <w:pPr>
        <w:spacing w:line="360" w:lineRule="auto"/>
        <w:rPr>
          <w:rFonts w:hint="eastAsia" w:ascii="Times New Roman" w:hAnsi="Times New Roman" w:eastAsia="宋体"/>
          <w:sz w:val="24"/>
          <w:szCs w:val="24"/>
        </w:rPr>
      </w:pP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本标准按照G</w:t>
      </w:r>
      <w:r>
        <w:rPr>
          <w:rFonts w:ascii="Times New Roman" w:hAnsi="Times New Roman" w:eastAsia="宋体"/>
          <w:sz w:val="24"/>
          <w:szCs w:val="24"/>
        </w:rPr>
        <w:t>B/T 1.1-2009</w:t>
      </w:r>
      <w:r>
        <w:rPr>
          <w:rFonts w:hint="eastAsia" w:ascii="Times New Roman" w:hAnsi="Times New Roman" w:eastAsia="宋体"/>
          <w:sz w:val="24"/>
          <w:szCs w:val="24"/>
        </w:rPr>
        <w:t>给出的规则起草。</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本标准可能涉及某些专利，发布单位不承担识别责任。</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本标准由湖南省农业标准化技术委员会提出。</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本标准由湖南省农业标准化技术委员会归口。</w:t>
      </w:r>
    </w:p>
    <w:p>
      <w:pPr>
        <w:spacing w:line="360" w:lineRule="auto"/>
        <w:rPr>
          <w:rFonts w:ascii="Times New Roman" w:hAnsi="Times New Roman" w:eastAsia="宋体"/>
          <w:sz w:val="24"/>
          <w:szCs w:val="24"/>
        </w:rPr>
      </w:pPr>
      <w:r>
        <w:rPr>
          <w:rFonts w:hint="eastAsia" w:ascii="Times New Roman" w:hAnsi="Times New Roman" w:eastAsia="宋体"/>
          <w:sz w:val="24"/>
          <w:szCs w:val="24"/>
        </w:rPr>
        <w:t>本标准起草单位：</w:t>
      </w:r>
      <w:r>
        <w:rPr>
          <w:rFonts w:hint="eastAsia" w:ascii="Times New Roman" w:hAnsi="Times New Roman" w:eastAsia="宋体"/>
          <w:sz w:val="24"/>
          <w:szCs w:val="24"/>
          <w:lang w:val="en-US" w:eastAsia="zh-CN"/>
        </w:rPr>
        <w:t>长沙市农业科学研究院</w:t>
      </w:r>
      <w:r>
        <w:rPr>
          <w:rFonts w:hint="eastAsia" w:ascii="Times New Roman" w:hAnsi="Times New Roman" w:eastAsia="宋体"/>
          <w:sz w:val="24"/>
          <w:szCs w:val="24"/>
        </w:rPr>
        <w:t>。</w:t>
      </w:r>
    </w:p>
    <w:p>
      <w:pPr>
        <w:spacing w:line="360" w:lineRule="auto"/>
        <w:rPr>
          <w:rFonts w:hint="default" w:ascii="Times New Roman" w:hAnsi="Times New Roman" w:eastAsia="宋体"/>
          <w:sz w:val="24"/>
          <w:szCs w:val="24"/>
          <w:lang w:val="en-US" w:eastAsia="zh-CN"/>
        </w:rPr>
      </w:pPr>
      <w:r>
        <w:rPr>
          <w:rFonts w:hint="eastAsia" w:ascii="Times New Roman" w:hAnsi="Times New Roman" w:eastAsia="宋体"/>
          <w:sz w:val="24"/>
          <w:szCs w:val="24"/>
        </w:rPr>
        <w:t>本标准起草人：</w:t>
      </w:r>
      <w:r>
        <w:rPr>
          <w:rFonts w:hint="eastAsia" w:ascii="Times New Roman" w:hAnsi="Times New Roman" w:eastAsia="宋体"/>
          <w:color w:val="auto"/>
          <w:sz w:val="24"/>
          <w:szCs w:val="24"/>
          <w:lang w:val="en-US" w:eastAsia="zh-CN"/>
        </w:rPr>
        <w:t>邓稳桥  王安乐</w:t>
      </w:r>
      <w:r>
        <w:rPr>
          <w:rFonts w:hint="eastAsia" w:ascii="Times New Roman" w:hAnsi="Times New Roman" w:eastAsia="宋体"/>
          <w:sz w:val="24"/>
          <w:szCs w:val="24"/>
          <w:lang w:val="en-US" w:eastAsia="zh-CN"/>
        </w:rPr>
        <w:t xml:space="preserve">  刘素兰  周清华  谭远宝</w:t>
      </w:r>
    </w:p>
    <w:p>
      <w:pPr>
        <w:widowControl/>
        <w:jc w:val="left"/>
        <w:rPr>
          <w:rFonts w:ascii="Times New Roman" w:hAnsi="Times New Roman" w:eastAsia="宋体"/>
          <w:b/>
          <w:bCs/>
          <w:sz w:val="32"/>
          <w:szCs w:val="32"/>
        </w:rPr>
      </w:pPr>
    </w:p>
    <w:p>
      <w:pPr>
        <w:pStyle w:val="13"/>
        <w:jc w:val="center"/>
        <w:rPr>
          <w:rFonts w:hint="eastAsia"/>
        </w:rPr>
      </w:pPr>
      <w:r>
        <w:rPr>
          <w:rFonts w:hint="eastAsia"/>
          <w:lang w:eastAsia="zh-CN"/>
        </w:rPr>
        <w:t>春季苦瓜杂交制种技术</w:t>
      </w:r>
      <w:r>
        <w:rPr>
          <w:rFonts w:hint="eastAsia"/>
        </w:rPr>
        <w:t>规程</w:t>
      </w:r>
    </w:p>
    <w:p>
      <w:pPr>
        <w:pStyle w:val="16"/>
        <w:rPr>
          <w:rFonts w:hint="eastAsia"/>
        </w:rPr>
      </w:pPr>
      <w:bookmarkStart w:id="0" w:name="_Toc24915035"/>
      <w:bookmarkStart w:id="1" w:name="_Toc25743003"/>
      <w:bookmarkStart w:id="2" w:name="_Toc25230026"/>
      <w:bookmarkStart w:id="3" w:name="_Toc25142295"/>
      <w:bookmarkStart w:id="4" w:name="_Toc25047478"/>
      <w:bookmarkStart w:id="5" w:name="_Toc25142488"/>
      <w:bookmarkStart w:id="6" w:name="_Toc25222296"/>
      <w:bookmarkStart w:id="7" w:name="_Toc25782436"/>
      <w:bookmarkStart w:id="8" w:name="_Toc25782637"/>
      <w:bookmarkStart w:id="9" w:name="_Toc24914610"/>
      <w:bookmarkStart w:id="10" w:name="_Toc25219719"/>
      <w:bookmarkStart w:id="11" w:name="_Toc25047017"/>
      <w:bookmarkStart w:id="12" w:name="_Toc25217884"/>
      <w:r>
        <w:rPr>
          <w:rFonts w:hint="eastAsia"/>
        </w:rPr>
        <w:t>范围</w:t>
      </w:r>
      <w:bookmarkEnd w:id="0"/>
      <w:bookmarkEnd w:id="1"/>
      <w:bookmarkEnd w:id="2"/>
      <w:bookmarkEnd w:id="3"/>
      <w:bookmarkEnd w:id="4"/>
      <w:bookmarkEnd w:id="5"/>
      <w:bookmarkEnd w:id="6"/>
      <w:bookmarkEnd w:id="7"/>
      <w:bookmarkEnd w:id="8"/>
      <w:bookmarkEnd w:id="9"/>
      <w:bookmarkEnd w:id="10"/>
      <w:bookmarkEnd w:id="11"/>
      <w:bookmarkEnd w:id="12"/>
    </w:p>
    <w:p>
      <w:pPr>
        <w:ind w:firstLine="420" w:firstLineChars="200"/>
        <w:rPr>
          <w:rFonts w:hint="eastAsia" w:ascii="宋体" w:hAnsi="宋体" w:eastAsia="宋体" w:cs="宋体"/>
          <w:sz w:val="24"/>
          <w:szCs w:val="24"/>
        </w:rPr>
      </w:pPr>
      <w:bookmarkStart w:id="13" w:name="_Toc25142296"/>
      <w:bookmarkStart w:id="14" w:name="_Toc25782638"/>
      <w:bookmarkStart w:id="15" w:name="_Toc25782437"/>
      <w:bookmarkStart w:id="16" w:name="_Toc24914611"/>
      <w:bookmarkStart w:id="17" w:name="_Toc25047479"/>
      <w:bookmarkStart w:id="18" w:name="_Toc25222297"/>
      <w:bookmarkStart w:id="19" w:name="_Toc24915036"/>
      <w:bookmarkStart w:id="20" w:name="_Toc25047018"/>
      <w:bookmarkStart w:id="21" w:name="_Toc25743004"/>
      <w:bookmarkStart w:id="22" w:name="_Toc25217885"/>
      <w:bookmarkStart w:id="23" w:name="_Toc25142489"/>
      <w:bookmarkStart w:id="24" w:name="_Toc25230027"/>
      <w:bookmarkStart w:id="25" w:name="_Toc25219720"/>
      <w:r>
        <w:rPr>
          <w:rFonts w:hint="eastAsia" w:ascii="宋体" w:hAnsi="宋体" w:eastAsia="宋体" w:cs="宋体"/>
          <w:kern w:val="0"/>
          <w:szCs w:val="21"/>
        </w:rPr>
        <w:t>本标准适用于湖南省地区的</w:t>
      </w:r>
      <w:r>
        <w:rPr>
          <w:rFonts w:hint="eastAsia" w:ascii="宋体" w:hAnsi="宋体" w:eastAsia="宋体" w:cs="宋体"/>
          <w:kern w:val="0"/>
          <w:szCs w:val="21"/>
          <w:lang w:eastAsia="zh-CN"/>
        </w:rPr>
        <w:t>春季苦瓜杂交制种技术</w:t>
      </w:r>
      <w:r>
        <w:rPr>
          <w:rFonts w:hint="eastAsia" w:ascii="宋体" w:hAnsi="宋体" w:eastAsia="宋体" w:cs="宋体"/>
          <w:kern w:val="0"/>
          <w:szCs w:val="21"/>
        </w:rPr>
        <w:t>。</w:t>
      </w:r>
    </w:p>
    <w:p>
      <w:pPr>
        <w:pStyle w:val="16"/>
        <w:rPr>
          <w:rFonts w:hint="eastAsia"/>
        </w:rPr>
      </w:pPr>
      <w:r>
        <w:rPr>
          <w:rFonts w:hint="eastAsia"/>
        </w:rPr>
        <w:t>规范性引用文件</w:t>
      </w:r>
      <w:bookmarkEnd w:id="13"/>
      <w:bookmarkEnd w:id="14"/>
      <w:bookmarkEnd w:id="15"/>
      <w:bookmarkEnd w:id="16"/>
      <w:bookmarkEnd w:id="17"/>
      <w:bookmarkEnd w:id="18"/>
      <w:bookmarkEnd w:id="19"/>
      <w:bookmarkEnd w:id="20"/>
      <w:bookmarkEnd w:id="21"/>
      <w:bookmarkEnd w:id="22"/>
      <w:bookmarkEnd w:id="23"/>
      <w:bookmarkEnd w:id="24"/>
      <w:bookmarkEnd w:id="25"/>
    </w:p>
    <w:p>
      <w:pPr>
        <w:pStyle w:val="11"/>
        <w:rPr>
          <w:rFonts w:hint="eastAsia" w:ascii="宋体" w:hAnsi="宋体" w:eastAsia="宋体" w:cs="宋体"/>
          <w:kern w:val="0"/>
          <w:sz w:val="21"/>
          <w:szCs w:val="21"/>
          <w:lang w:val="en-US" w:eastAsia="zh-CN" w:bidi="ar-SA"/>
        </w:rPr>
      </w:pPr>
      <w:bookmarkStart w:id="26" w:name="_Toc24915037"/>
      <w:bookmarkStart w:id="27" w:name="_Toc25219721"/>
      <w:bookmarkStart w:id="28" w:name="_Toc25230028"/>
      <w:bookmarkStart w:id="29" w:name="_Toc25217886"/>
      <w:bookmarkStart w:id="30" w:name="_Toc25047019"/>
      <w:bookmarkStart w:id="31" w:name="_Toc25222298"/>
      <w:bookmarkStart w:id="32" w:name="_Toc25047480"/>
      <w:bookmarkStart w:id="33" w:name="_Toc25142490"/>
      <w:bookmarkStart w:id="34" w:name="_Toc25142297"/>
      <w:r>
        <w:rPr>
          <w:rFonts w:hint="eastAsia" w:ascii="宋体" w:hAnsi="宋体" w:eastAsia="宋体" w:cs="宋体"/>
          <w:kern w:val="0"/>
          <w:sz w:val="21"/>
          <w:szCs w:val="21"/>
          <w:lang w:val="en-US" w:eastAsia="zh-CN" w:bidi="ar-SA"/>
        </w:rPr>
        <w:t>下列文件对于本标准的应用是必不可少的。凡是注日期的引用文件，仅所注日期的版本适用于本标准。凡是不注日期的引用文件，其最新版本（包括所有的修改单）适用于本标准。</w:t>
      </w:r>
    </w:p>
    <w:p>
      <w:pPr>
        <w:pStyle w:val="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GB 16715.1  瓜菜作物种子  瓜类</w:t>
      </w:r>
    </w:p>
    <w:p>
      <w:pPr>
        <w:pStyle w:val="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GB/T 8321农药合理使用准则</w:t>
      </w:r>
    </w:p>
    <w:p>
      <w:pPr>
        <w:pStyle w:val="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NY 5010无公害食品蔬菜产地环境条件</w:t>
      </w:r>
    </w:p>
    <w:bookmarkEnd w:id="26"/>
    <w:bookmarkEnd w:id="27"/>
    <w:bookmarkEnd w:id="28"/>
    <w:bookmarkEnd w:id="29"/>
    <w:bookmarkEnd w:id="30"/>
    <w:bookmarkEnd w:id="31"/>
    <w:bookmarkEnd w:id="32"/>
    <w:bookmarkEnd w:id="33"/>
    <w:bookmarkEnd w:id="34"/>
    <w:p>
      <w:pPr>
        <w:pStyle w:val="16"/>
        <w:rPr>
          <w:rFonts w:hint="eastAsia"/>
        </w:rPr>
      </w:pPr>
      <w:r>
        <w:rPr>
          <w:rFonts w:hint="eastAsia"/>
        </w:rPr>
        <w:t>术语</w:t>
      </w:r>
    </w:p>
    <w:p>
      <w:pPr>
        <w:pStyle w:val="12"/>
        <w:rPr>
          <w:rFonts w:hint="eastAsia"/>
        </w:rPr>
      </w:pPr>
      <w:r>
        <w:rPr>
          <w:rFonts w:hint="eastAsia"/>
          <w:lang w:val="en-US" w:eastAsia="zh-CN"/>
        </w:rPr>
        <w:t>母本</w:t>
      </w:r>
    </w:p>
    <w:p>
      <w:pPr>
        <w:pStyle w:val="11"/>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杂交的亲本之一。是指不同植株的花进行异花传粉时，接收花粉的植株。</w:t>
      </w:r>
    </w:p>
    <w:p>
      <w:pPr>
        <w:pStyle w:val="12"/>
        <w:rPr>
          <w:rFonts w:hint="eastAsia"/>
        </w:rPr>
      </w:pPr>
      <w:bookmarkStart w:id="35" w:name="_Toc25230030"/>
      <w:bookmarkStart w:id="36" w:name="_Toc25782641"/>
      <w:bookmarkStart w:id="37" w:name="_Toc25219723"/>
      <w:bookmarkStart w:id="38" w:name="_Toc25142492"/>
      <w:bookmarkStart w:id="39" w:name="_Toc25217888"/>
      <w:bookmarkStart w:id="40" w:name="_Toc25142299"/>
      <w:bookmarkStart w:id="41" w:name="_Toc25782440"/>
      <w:bookmarkStart w:id="42" w:name="_Toc25743007"/>
      <w:bookmarkStart w:id="43" w:name="_Toc25222300"/>
      <w:r>
        <w:rPr>
          <w:rFonts w:hint="eastAsia"/>
          <w:lang w:val="en-US" w:eastAsia="zh-CN"/>
        </w:rPr>
        <w:t>父本</w:t>
      </w:r>
    </w:p>
    <w:p>
      <w:pPr>
        <w:pStyle w:val="12"/>
        <w:numPr>
          <w:ilvl w:val="0"/>
          <w:numId w:val="0"/>
        </w:numPr>
        <w:ind w:firstLine="420" w:firstLineChars="200"/>
        <w:rPr>
          <w:rFonts w:hint="eastAsia" w:ascii="宋体" w:hAnsi="Times New Roman" w:eastAsia="Calibri" w:cs="Times New Roman"/>
          <w:sz w:val="21"/>
          <w:szCs w:val="22"/>
          <w:lang w:val="en-US" w:eastAsia="zh-CN" w:bidi="ar-SA"/>
        </w:rPr>
      </w:pPr>
      <w:r>
        <w:rPr>
          <w:rFonts w:hint="eastAsia" w:ascii="宋体" w:hAnsi="宋体" w:eastAsia="宋体" w:cs="宋体"/>
          <w:kern w:val="0"/>
          <w:sz w:val="21"/>
          <w:szCs w:val="21"/>
          <w:lang w:val="en-US" w:eastAsia="zh-CN" w:bidi="ar-SA"/>
        </w:rPr>
        <w:t>杂交的亲本之一。是指不同植株的花进行异花传粉时，提供花粉的植株。</w:t>
      </w:r>
    </w:p>
    <w:bookmarkEnd w:id="35"/>
    <w:bookmarkEnd w:id="36"/>
    <w:bookmarkEnd w:id="37"/>
    <w:bookmarkEnd w:id="38"/>
    <w:bookmarkEnd w:id="39"/>
    <w:bookmarkEnd w:id="40"/>
    <w:bookmarkEnd w:id="41"/>
    <w:bookmarkEnd w:id="42"/>
    <w:bookmarkEnd w:id="43"/>
    <w:p>
      <w:pPr>
        <w:pStyle w:val="16"/>
        <w:rPr>
          <w:rFonts w:hint="eastAsia" w:ascii="宋体" w:eastAsia="Calibri"/>
          <w:szCs w:val="22"/>
        </w:rPr>
      </w:pPr>
      <w:bookmarkStart w:id="44" w:name="_Toc25222302"/>
      <w:bookmarkStart w:id="45" w:name="_Toc25230032"/>
      <w:bookmarkStart w:id="46" w:name="_Toc25142301"/>
      <w:bookmarkStart w:id="47" w:name="_Toc25217890"/>
      <w:bookmarkStart w:id="48" w:name="_Toc25219725"/>
      <w:bookmarkStart w:id="49" w:name="_Toc25142494"/>
      <w:r>
        <w:rPr>
          <w:rFonts w:hint="eastAsia"/>
          <w:lang w:val="en-US" w:eastAsia="zh-CN"/>
        </w:rPr>
        <w:t>制种地</w:t>
      </w:r>
      <w:r>
        <w:rPr>
          <w:rFonts w:hint="eastAsia"/>
        </w:rPr>
        <w:t>选择</w:t>
      </w:r>
    </w:p>
    <w:p>
      <w:pPr>
        <w:pStyle w:val="16"/>
        <w:numPr>
          <w:ilvl w:val="0"/>
          <w:numId w:val="0"/>
        </w:numPr>
        <w:ind w:firstLine="420" w:firstLineChars="200"/>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选择地势较高、排灌方便、土层深厚、结构疏松、肥力较高、pH值6.5左右的砂壤土、壤土。制种地周围500m内不得种植其他苦瓜品种。</w:t>
      </w:r>
      <w:bookmarkEnd w:id="44"/>
      <w:bookmarkEnd w:id="45"/>
      <w:bookmarkEnd w:id="46"/>
      <w:bookmarkEnd w:id="47"/>
      <w:bookmarkEnd w:id="48"/>
      <w:bookmarkEnd w:id="49"/>
    </w:p>
    <w:p>
      <w:pPr>
        <w:spacing w:line="480" w:lineRule="auto"/>
        <w:rPr>
          <w:rFonts w:hint="eastAsia" w:ascii="黑体" w:hAnsi="Calibri" w:eastAsia="黑体"/>
          <w:kern w:val="0"/>
        </w:rPr>
      </w:pPr>
      <w:r>
        <w:rPr>
          <w:rFonts w:hint="eastAsia" w:ascii="黑体" w:hAnsi="Calibri" w:eastAsia="黑体"/>
          <w:kern w:val="0"/>
        </w:rPr>
        <w:t>5  播种育苗</w:t>
      </w:r>
    </w:p>
    <w:p>
      <w:pPr>
        <w:ind w:firstLine="420" w:firstLineChars="200"/>
        <w:rPr>
          <w:rFonts w:hint="eastAsia" w:ascii="宋体" w:hAnsi="宋体" w:eastAsia="宋体" w:cs="宋体"/>
          <w:sz w:val="24"/>
          <w:szCs w:val="24"/>
        </w:rPr>
      </w:pPr>
      <w:r>
        <w:rPr>
          <w:rFonts w:hint="eastAsia" w:ascii="宋体" w:hAnsi="宋体" w:eastAsia="宋体" w:cs="宋体"/>
          <w:kern w:val="0"/>
          <w:sz w:val="21"/>
          <w:szCs w:val="22"/>
          <w:lang w:val="en-US" w:eastAsia="zh-CN" w:bidi="ar-SA"/>
        </w:rPr>
        <w:t>一般在3月下旬播种父本，母本较父本推迟7～10d播种，播种前将种子用55℃左右的温水浸泡1～2h，并不断搅拌种子，使其受热均匀，再用清水浸泡4h左右，取出种子用清水冲洗晾干后置于30℃环境下催芽，注意保持种子湿度，待出芽60%时点播到50孔的穴盘中，每穴播1粒，播种后覆盖一层营养土透洒清水，待床土缩水后，再用营养土将显露的种子盖没，然后覆盖地膜，加盖一层塑料小拱棚，待2/3的种子拱土后，及时揭去地膜。</w:t>
      </w:r>
    </w:p>
    <w:p>
      <w:pPr>
        <w:pStyle w:val="16"/>
        <w:numPr>
          <w:ilvl w:val="0"/>
          <w:numId w:val="0"/>
        </w:numPr>
        <w:rPr>
          <w:rFonts w:hint="default"/>
          <w:szCs w:val="22"/>
          <w:lang w:val="en-US" w:eastAsia="zh-CN"/>
        </w:rPr>
      </w:pPr>
      <w:r>
        <w:rPr>
          <w:rFonts w:hint="eastAsia"/>
        </w:rPr>
        <w:t xml:space="preserve">6  </w:t>
      </w:r>
      <w:r>
        <w:rPr>
          <w:rFonts w:hint="eastAsia"/>
          <w:lang w:val="en-US" w:eastAsia="zh-CN"/>
        </w:rPr>
        <w:t>整</w:t>
      </w:r>
      <w:r>
        <w:rPr>
          <w:rFonts w:hint="eastAsia"/>
          <w:szCs w:val="22"/>
          <w:lang w:val="en-US" w:eastAsia="zh-CN"/>
        </w:rPr>
        <w:t>地</w:t>
      </w:r>
      <w:r>
        <w:rPr>
          <w:rFonts w:hint="default"/>
          <w:szCs w:val="22"/>
          <w:lang w:val="en-US" w:eastAsia="zh-CN"/>
        </w:rPr>
        <w:t>作畦</w:t>
      </w:r>
    </w:p>
    <w:p>
      <w:pPr>
        <w:ind w:firstLine="420" w:firstLineChars="200"/>
        <w:rPr>
          <w:rFonts w:hint="eastAsia" w:ascii="宋体" w:hAnsi="宋体" w:eastAsia="宋体" w:cs="宋体"/>
          <w:kern w:val="0"/>
          <w:sz w:val="21"/>
          <w:szCs w:val="22"/>
          <w:lang w:val="en-US" w:eastAsia="zh-CN" w:bidi="ar-SA"/>
        </w:rPr>
      </w:pPr>
      <w:r>
        <w:rPr>
          <w:rFonts w:hint="eastAsia" w:ascii="宋体" w:hAnsi="宋体" w:eastAsia="宋体" w:cs="宋体"/>
          <w:kern w:val="0"/>
          <w:sz w:val="21"/>
          <w:szCs w:val="22"/>
          <w:lang w:val="en-US" w:eastAsia="zh-CN" w:bidi="ar-SA"/>
        </w:rPr>
        <w:t>基肥以有机肥为主，一般每亩施腐熟有机</w:t>
      </w:r>
      <w:r>
        <w:rPr>
          <w:rFonts w:hint="eastAsia" w:ascii="宋体" w:hAnsi="宋体" w:eastAsia="宋体" w:cs="宋体"/>
          <w:color w:val="auto"/>
          <w:kern w:val="0"/>
          <w:sz w:val="21"/>
          <w:szCs w:val="22"/>
          <w:lang w:val="en-US" w:eastAsia="zh-CN" w:bidi="ar-SA"/>
        </w:rPr>
        <w:t>肥500kg、</w:t>
      </w:r>
      <w:r>
        <w:rPr>
          <w:rFonts w:hint="eastAsia" w:ascii="宋体" w:hAnsi="宋体" w:eastAsia="宋体" w:cs="宋体"/>
          <w:kern w:val="0"/>
          <w:sz w:val="21"/>
          <w:szCs w:val="22"/>
          <w:lang w:val="en-US" w:eastAsia="zh-CN" w:bidi="ar-SA"/>
        </w:rPr>
        <w:t>菜枯100kg、三元复合肥50kg。将肥料均匀撒于地面，深翻30cm。按包沟1.5m整地作畦，畦高25cm，将畦面整平略成龟背型，开好排水沟。</w:t>
      </w:r>
    </w:p>
    <w:p>
      <w:pPr>
        <w:pStyle w:val="11"/>
        <w:ind w:left="0" w:leftChars="0" w:firstLine="0" w:firstLineChars="0"/>
        <w:rPr>
          <w:rFonts w:hint="eastAsia"/>
          <w:lang w:val="en-US" w:eastAsia="zh-CN"/>
        </w:rPr>
      </w:pPr>
    </w:p>
    <w:p>
      <w:pPr>
        <w:spacing w:line="480" w:lineRule="auto"/>
        <w:rPr>
          <w:rFonts w:hint="eastAsia" w:ascii="黑体" w:hAnsi="Calibri" w:eastAsia="黑体"/>
          <w:kern w:val="0"/>
          <w:lang w:val="en-US" w:eastAsia="zh-CN"/>
        </w:rPr>
      </w:pPr>
      <w:r>
        <w:rPr>
          <w:rFonts w:hint="eastAsia" w:ascii="黑体" w:hAnsi="Calibri" w:eastAsia="黑体"/>
          <w:kern w:val="0"/>
        </w:rPr>
        <w:t>7</w:t>
      </w:r>
      <w:r>
        <w:rPr>
          <w:rFonts w:hint="eastAsia" w:ascii="黑体" w:hAnsi="Calibri" w:eastAsia="黑体"/>
          <w:kern w:val="0"/>
          <w:lang w:val="en-US" w:eastAsia="zh-CN"/>
        </w:rPr>
        <w:t xml:space="preserve">  定植</w:t>
      </w:r>
    </w:p>
    <w:p>
      <w:pPr>
        <w:ind w:firstLine="420" w:firstLineChars="200"/>
        <w:rPr>
          <w:rFonts w:hint="eastAsia" w:ascii="宋体" w:hAnsi="宋体" w:eastAsia="宋体" w:cs="宋体"/>
          <w:kern w:val="0"/>
          <w:sz w:val="21"/>
          <w:szCs w:val="22"/>
          <w:lang w:val="en-US" w:eastAsia="zh-CN" w:bidi="ar-SA"/>
        </w:rPr>
      </w:pPr>
      <w:r>
        <w:rPr>
          <w:rFonts w:hint="default" w:ascii="宋体" w:hAnsi="宋体" w:eastAsia="宋体" w:cs="宋体"/>
          <w:kern w:val="0"/>
          <w:sz w:val="21"/>
          <w:szCs w:val="22"/>
          <w:lang w:val="en-US" w:eastAsia="zh-CN" w:bidi="ar-SA"/>
        </w:rPr>
        <w:t>父本于4月中、下旬定植，每穴2株，每畦栽2行，株距0.5</w:t>
      </w:r>
      <w:r>
        <w:rPr>
          <w:rFonts w:hint="eastAsia" w:ascii="宋体" w:hAnsi="宋体" w:eastAsia="宋体" w:cs="宋体"/>
          <w:kern w:val="0"/>
          <w:sz w:val="21"/>
          <w:szCs w:val="22"/>
          <w:lang w:val="en-US" w:eastAsia="zh-CN" w:bidi="ar-SA"/>
        </w:rPr>
        <w:t>m</w:t>
      </w:r>
      <w:r>
        <w:rPr>
          <w:rFonts w:hint="default" w:ascii="宋体" w:hAnsi="宋体" w:eastAsia="宋体" w:cs="宋体"/>
          <w:kern w:val="0"/>
          <w:sz w:val="21"/>
          <w:szCs w:val="22"/>
          <w:lang w:val="en-US" w:eastAsia="zh-CN" w:bidi="ar-SA"/>
        </w:rPr>
        <w:t>；母本在子叶展开后移栽，每穴1株，每畦栽2行，株距0.4</w:t>
      </w:r>
      <w:r>
        <w:rPr>
          <w:rFonts w:hint="eastAsia" w:ascii="宋体" w:hAnsi="宋体" w:eastAsia="宋体" w:cs="宋体"/>
          <w:kern w:val="0"/>
          <w:sz w:val="21"/>
          <w:szCs w:val="22"/>
          <w:lang w:val="en-US" w:eastAsia="zh-CN" w:bidi="ar-SA"/>
        </w:rPr>
        <w:t>m</w:t>
      </w:r>
      <w:r>
        <w:rPr>
          <w:rFonts w:hint="default" w:ascii="宋体" w:hAnsi="宋体" w:eastAsia="宋体" w:cs="宋体"/>
          <w:kern w:val="0"/>
          <w:sz w:val="21"/>
          <w:szCs w:val="22"/>
          <w:lang w:val="en-US" w:eastAsia="zh-CN" w:bidi="ar-SA"/>
        </w:rPr>
        <w:t>，母本</w:t>
      </w:r>
      <w:r>
        <w:rPr>
          <w:rFonts w:hint="eastAsia" w:ascii="宋体" w:hAnsi="宋体" w:eastAsia="宋体" w:cs="宋体"/>
          <w:kern w:val="0"/>
          <w:sz w:val="21"/>
          <w:szCs w:val="22"/>
          <w:lang w:val="en-US" w:eastAsia="zh-CN" w:bidi="ar-SA"/>
        </w:rPr>
        <w:t>每667</w:t>
      </w:r>
      <w:r>
        <w:rPr>
          <w:rFonts w:ascii="Times New Roman" w:hAnsi="Times New Roman" w:eastAsia="宋体"/>
          <w:szCs w:val="21"/>
        </w:rPr>
        <w:t>㎡</w:t>
      </w:r>
      <w:r>
        <w:rPr>
          <w:rFonts w:hint="default" w:ascii="宋体" w:hAnsi="宋体" w:eastAsia="宋体" w:cs="宋体"/>
          <w:kern w:val="0"/>
          <w:sz w:val="21"/>
          <w:szCs w:val="22"/>
          <w:lang w:val="en-US" w:eastAsia="zh-CN" w:bidi="ar-SA"/>
        </w:rPr>
        <w:t>栽2</w:t>
      </w:r>
      <w:r>
        <w:rPr>
          <w:rFonts w:hint="eastAsia" w:ascii="宋体" w:hAnsi="宋体" w:eastAsia="宋体" w:cs="宋体"/>
          <w:kern w:val="0"/>
          <w:sz w:val="21"/>
          <w:szCs w:val="22"/>
          <w:lang w:val="en-US" w:eastAsia="zh-CN" w:bidi="ar-SA"/>
        </w:rPr>
        <w:t>2</w:t>
      </w:r>
      <w:r>
        <w:rPr>
          <w:rFonts w:hint="default" w:ascii="宋体" w:hAnsi="宋体" w:eastAsia="宋体" w:cs="宋体"/>
          <w:kern w:val="0"/>
          <w:sz w:val="21"/>
          <w:szCs w:val="22"/>
          <w:lang w:val="en-US" w:eastAsia="zh-CN" w:bidi="ar-SA"/>
        </w:rPr>
        <w:t>00株</w:t>
      </w:r>
      <w:r>
        <w:rPr>
          <w:rFonts w:hint="eastAsia" w:ascii="宋体" w:hAnsi="宋体" w:eastAsia="宋体" w:cs="宋体"/>
          <w:kern w:val="0"/>
          <w:sz w:val="21"/>
          <w:szCs w:val="22"/>
          <w:lang w:val="en-US" w:eastAsia="zh-CN" w:bidi="ar-SA"/>
        </w:rPr>
        <w:t>左右</w:t>
      </w:r>
      <w:r>
        <w:rPr>
          <w:rFonts w:hint="default" w:ascii="宋体" w:hAnsi="宋体" w:eastAsia="宋体" w:cs="宋体"/>
          <w:kern w:val="0"/>
          <w:sz w:val="21"/>
          <w:szCs w:val="22"/>
          <w:lang w:val="en-US" w:eastAsia="zh-CN" w:bidi="ar-SA"/>
        </w:rPr>
        <w:t>，父母本栽植比例为1</w:t>
      </w:r>
      <w:r>
        <w:rPr>
          <w:rFonts w:hint="eastAsia" w:ascii="宋体" w:hAnsi="宋体" w:eastAsia="宋体" w:cs="宋体"/>
          <w:kern w:val="0"/>
          <w:sz w:val="21"/>
          <w:szCs w:val="22"/>
          <w:lang w:val="en-US" w:eastAsia="zh-CN" w:bidi="ar-SA"/>
        </w:rPr>
        <w:t>：</w:t>
      </w:r>
      <w:r>
        <w:rPr>
          <w:rFonts w:hint="default" w:ascii="宋体" w:hAnsi="宋体" w:eastAsia="宋体" w:cs="宋体"/>
          <w:kern w:val="0"/>
          <w:sz w:val="21"/>
          <w:szCs w:val="22"/>
          <w:lang w:val="en-US" w:eastAsia="zh-CN" w:bidi="ar-SA"/>
        </w:rPr>
        <w:t>10。</w:t>
      </w:r>
      <w:r>
        <w:rPr>
          <w:rFonts w:hint="eastAsia" w:ascii="宋体" w:hAnsi="宋体" w:eastAsia="宋体" w:cs="宋体"/>
          <w:kern w:val="0"/>
          <w:sz w:val="21"/>
          <w:szCs w:val="22"/>
          <w:lang w:val="en-US" w:eastAsia="zh-CN" w:bidi="ar-SA"/>
        </w:rPr>
        <w:t xml:space="preserve">  </w:t>
      </w:r>
    </w:p>
    <w:p>
      <w:pPr>
        <w:spacing w:line="480" w:lineRule="auto"/>
        <w:rPr>
          <w:rFonts w:hint="default" w:ascii="黑体" w:hAnsi="Calibri" w:eastAsia="黑体"/>
          <w:kern w:val="0"/>
          <w:lang w:val="en-US" w:eastAsia="zh-CN"/>
        </w:rPr>
      </w:pPr>
      <w:r>
        <w:rPr>
          <w:rFonts w:hint="eastAsia" w:ascii="黑体" w:hAnsi="Calibri" w:eastAsia="黑体"/>
          <w:kern w:val="0"/>
          <w:lang w:val="en-US" w:eastAsia="zh-CN"/>
        </w:rPr>
        <w:t>8  搭架引蔓</w:t>
      </w:r>
    </w:p>
    <w:p>
      <w:pPr>
        <w:spacing w:line="240" w:lineRule="auto"/>
        <w:rPr>
          <w:rFonts w:hint="default" w:ascii="宋体" w:hAnsi="宋体" w:eastAsia="Calibri" w:cs="仿宋_GB2312"/>
          <w:kern w:val="0"/>
          <w:sz w:val="21"/>
          <w:szCs w:val="21"/>
          <w:lang w:val="en-US" w:eastAsia="zh-CN" w:bidi="ar-SA"/>
        </w:rPr>
      </w:pPr>
      <w:r>
        <w:rPr>
          <w:rFonts w:hint="eastAsia" w:ascii="黑体" w:hAnsi="Calibri" w:eastAsia="黑体"/>
          <w:kern w:val="0"/>
          <w:lang w:val="en-US" w:eastAsia="zh-CN"/>
        </w:rPr>
        <w:t xml:space="preserve">  </w:t>
      </w:r>
      <w:r>
        <w:rPr>
          <w:rFonts w:hint="eastAsia" w:ascii="宋体" w:hAnsi="宋体" w:eastAsia="宋体" w:cs="宋体"/>
          <w:kern w:val="0"/>
          <w:sz w:val="21"/>
          <w:szCs w:val="22"/>
          <w:lang w:val="en-US" w:eastAsia="zh-CN" w:bidi="ar-SA"/>
        </w:rPr>
        <w:t xml:space="preserve"> </w:t>
      </w:r>
      <w:r>
        <w:rPr>
          <w:rFonts w:hint="default" w:ascii="宋体" w:hAnsi="宋体" w:eastAsia="宋体" w:cs="宋体"/>
          <w:kern w:val="0"/>
          <w:sz w:val="21"/>
          <w:szCs w:val="22"/>
          <w:lang w:val="en-US" w:eastAsia="zh-CN" w:bidi="ar-SA"/>
        </w:rPr>
        <w:t>当</w:t>
      </w:r>
      <w:r>
        <w:rPr>
          <w:rFonts w:hint="eastAsia" w:ascii="宋体" w:hAnsi="宋体" w:eastAsia="宋体" w:cs="宋体"/>
          <w:kern w:val="0"/>
          <w:sz w:val="21"/>
          <w:szCs w:val="22"/>
          <w:lang w:val="en-US" w:eastAsia="zh-CN" w:bidi="ar-SA"/>
        </w:rPr>
        <w:t>父、母本</w:t>
      </w:r>
      <w:r>
        <w:rPr>
          <w:rFonts w:hint="default" w:ascii="宋体" w:hAnsi="宋体" w:eastAsia="宋体" w:cs="宋体"/>
          <w:kern w:val="0"/>
          <w:sz w:val="21"/>
          <w:szCs w:val="22"/>
          <w:lang w:val="en-US" w:eastAsia="zh-CN" w:bidi="ar-SA"/>
        </w:rPr>
        <w:t>主蔓长至50cm左右时，及时搭“人”字形竹架，并引蔓上架，</w:t>
      </w:r>
      <w:r>
        <w:rPr>
          <w:rFonts w:hint="eastAsia" w:ascii="宋体" w:hAnsi="宋体" w:eastAsia="宋体" w:cs="宋体"/>
          <w:kern w:val="0"/>
          <w:sz w:val="21"/>
          <w:szCs w:val="22"/>
          <w:lang w:val="en-US" w:eastAsia="zh-CN" w:bidi="ar-SA"/>
        </w:rPr>
        <w:t>母本</w:t>
      </w:r>
      <w:r>
        <w:rPr>
          <w:rFonts w:hint="default" w:ascii="宋体" w:hAnsi="宋体" w:eastAsia="宋体" w:cs="宋体"/>
          <w:kern w:val="0"/>
          <w:sz w:val="21"/>
          <w:szCs w:val="22"/>
          <w:lang w:val="en-US" w:eastAsia="zh-CN" w:bidi="ar-SA"/>
        </w:rPr>
        <w:t>去掉所有的侧枝和雄花</w:t>
      </w:r>
      <w:r>
        <w:rPr>
          <w:rFonts w:hint="eastAsia" w:ascii="宋体" w:hAnsi="宋体" w:eastAsia="宋体" w:cs="宋体"/>
          <w:kern w:val="0"/>
          <w:sz w:val="21"/>
          <w:szCs w:val="22"/>
          <w:lang w:val="en-US" w:eastAsia="zh-CN" w:bidi="ar-SA"/>
        </w:rPr>
        <w:t>花蕾，父本需保留侧枝和雄花花蕾。</w:t>
      </w:r>
    </w:p>
    <w:p>
      <w:pPr>
        <w:spacing w:line="480" w:lineRule="auto"/>
        <w:rPr>
          <w:rFonts w:hint="eastAsia" w:ascii="黑体" w:hAnsi="Calibri" w:eastAsia="黑体"/>
          <w:kern w:val="0"/>
        </w:rPr>
      </w:pPr>
      <w:r>
        <w:rPr>
          <w:rFonts w:hint="eastAsia" w:ascii="黑体" w:hAnsi="Calibri" w:eastAsia="黑体"/>
          <w:kern w:val="0"/>
          <w:lang w:val="en-US" w:eastAsia="zh-CN"/>
        </w:rPr>
        <w:t xml:space="preserve">9  </w:t>
      </w:r>
      <w:r>
        <w:rPr>
          <w:rFonts w:hint="eastAsia" w:ascii="黑体" w:hAnsi="Calibri" w:eastAsia="黑体"/>
          <w:kern w:val="0"/>
        </w:rPr>
        <w:t>人工授粉</w:t>
      </w:r>
    </w:p>
    <w:p>
      <w:pPr>
        <w:spacing w:line="240" w:lineRule="auto"/>
        <w:ind w:firstLine="420" w:firstLineChars="200"/>
        <w:rPr>
          <w:rFonts w:hint="default" w:ascii="宋体" w:hAnsi="宋体" w:eastAsia="宋体" w:cs="宋体"/>
          <w:kern w:val="0"/>
          <w:sz w:val="21"/>
          <w:szCs w:val="22"/>
          <w:lang w:val="en-US" w:eastAsia="zh-CN" w:bidi="ar-SA"/>
        </w:rPr>
      </w:pPr>
      <w:r>
        <w:rPr>
          <w:rFonts w:hint="default" w:ascii="宋体" w:hAnsi="宋体" w:eastAsia="宋体" w:cs="宋体"/>
          <w:kern w:val="0"/>
          <w:sz w:val="21"/>
          <w:szCs w:val="22"/>
          <w:lang w:val="en-US" w:eastAsia="zh-CN" w:bidi="ar-SA"/>
        </w:rPr>
        <w:t>母本进入开花期，为保证杂交种子纯度，整个授粉期将母本植株上的雄花全部去掉，同时将母本植株离地面50～60cm内的雌花全部去掉。授粉期间，须每天下午去雄，第二天清晨再清理一遍，确保母本没有开</w:t>
      </w:r>
      <w:r>
        <w:rPr>
          <w:rFonts w:hint="eastAsia" w:ascii="宋体" w:hAnsi="宋体" w:eastAsia="宋体" w:cs="宋体"/>
          <w:kern w:val="0"/>
          <w:sz w:val="21"/>
          <w:szCs w:val="22"/>
          <w:lang w:val="en-US" w:eastAsia="zh-CN" w:bidi="ar-SA"/>
        </w:rPr>
        <w:t>放</w:t>
      </w:r>
      <w:r>
        <w:rPr>
          <w:rFonts w:hint="default" w:ascii="宋体" w:hAnsi="宋体" w:eastAsia="宋体" w:cs="宋体"/>
          <w:kern w:val="0"/>
          <w:sz w:val="21"/>
          <w:szCs w:val="22"/>
          <w:lang w:val="en-US" w:eastAsia="zh-CN" w:bidi="ar-SA"/>
        </w:rPr>
        <w:t>的雄花。第二天上午</w:t>
      </w:r>
      <w:r>
        <w:rPr>
          <w:rFonts w:hint="eastAsia" w:ascii="宋体" w:hAnsi="宋体" w:eastAsia="宋体" w:cs="宋体"/>
          <w:kern w:val="0"/>
          <w:sz w:val="21"/>
          <w:szCs w:val="22"/>
          <w:lang w:val="en-US" w:eastAsia="zh-CN" w:bidi="ar-SA"/>
        </w:rPr>
        <w:t>7:00</w:t>
      </w:r>
      <w:r>
        <w:rPr>
          <w:rFonts w:hint="default" w:ascii="宋体" w:hAnsi="宋体" w:eastAsia="宋体" w:cs="宋体"/>
          <w:kern w:val="0"/>
          <w:sz w:val="21"/>
          <w:szCs w:val="22"/>
          <w:lang w:val="en-US" w:eastAsia="zh-CN" w:bidi="ar-SA"/>
        </w:rPr>
        <w:t>～</w:t>
      </w:r>
      <w:r>
        <w:rPr>
          <w:rFonts w:hint="eastAsia" w:ascii="宋体" w:hAnsi="宋体" w:eastAsia="宋体" w:cs="宋体"/>
          <w:kern w:val="0"/>
          <w:sz w:val="21"/>
          <w:szCs w:val="22"/>
          <w:lang w:val="en-US" w:eastAsia="zh-CN" w:bidi="ar-SA"/>
        </w:rPr>
        <w:t>10:00</w:t>
      </w:r>
      <w:r>
        <w:rPr>
          <w:rFonts w:hint="default" w:ascii="宋体" w:hAnsi="宋体" w:eastAsia="宋体" w:cs="宋体"/>
          <w:kern w:val="0"/>
          <w:sz w:val="21"/>
          <w:szCs w:val="22"/>
          <w:lang w:val="en-US" w:eastAsia="zh-CN" w:bidi="ar-SA"/>
        </w:rPr>
        <w:t>取父本上的雄花进行人工授粉</w:t>
      </w:r>
      <w:r>
        <w:rPr>
          <w:rFonts w:hint="eastAsia" w:ascii="宋体" w:hAnsi="宋体" w:eastAsia="宋体" w:cs="宋体"/>
          <w:kern w:val="0"/>
          <w:sz w:val="21"/>
          <w:szCs w:val="22"/>
          <w:lang w:val="en-US" w:eastAsia="zh-CN" w:bidi="ar-SA"/>
        </w:rPr>
        <w:t>母本上的雌花</w:t>
      </w:r>
      <w:r>
        <w:rPr>
          <w:rFonts w:hint="default" w:ascii="宋体" w:hAnsi="宋体" w:eastAsia="宋体" w:cs="宋体"/>
          <w:kern w:val="0"/>
          <w:sz w:val="21"/>
          <w:szCs w:val="22"/>
          <w:lang w:val="en-US" w:eastAsia="zh-CN" w:bidi="ar-SA"/>
        </w:rPr>
        <w:t>，1朵雄花可以授3～4朵雌花，一般每株母本上授粉4～5个</w:t>
      </w:r>
      <w:r>
        <w:rPr>
          <w:rFonts w:hint="eastAsia" w:ascii="宋体" w:hAnsi="宋体" w:eastAsia="宋体" w:cs="宋体"/>
          <w:kern w:val="0"/>
          <w:sz w:val="21"/>
          <w:szCs w:val="22"/>
          <w:lang w:val="en-US" w:eastAsia="zh-CN" w:bidi="ar-SA"/>
        </w:rPr>
        <w:t>雌花</w:t>
      </w:r>
      <w:r>
        <w:rPr>
          <w:rFonts w:hint="default" w:ascii="宋体" w:hAnsi="宋体" w:eastAsia="宋体" w:cs="宋体"/>
          <w:kern w:val="0"/>
          <w:sz w:val="21"/>
          <w:szCs w:val="22"/>
          <w:lang w:val="en-US" w:eastAsia="zh-CN" w:bidi="ar-SA"/>
        </w:rPr>
        <w:t>后打顶。</w:t>
      </w:r>
      <w:r>
        <w:rPr>
          <w:rFonts w:hint="default" w:ascii="宋体" w:hAnsi="宋体" w:eastAsia="宋体" w:cs="宋体"/>
          <w:color w:val="auto"/>
          <w:kern w:val="0"/>
          <w:sz w:val="21"/>
          <w:szCs w:val="22"/>
          <w:lang w:val="en-US" w:eastAsia="zh-CN" w:bidi="ar-SA"/>
        </w:rPr>
        <w:t>同时对授完粉的雌花做标记。</w:t>
      </w:r>
    </w:p>
    <w:p>
      <w:pPr>
        <w:spacing w:line="240" w:lineRule="auto"/>
        <w:ind w:firstLine="420" w:firstLineChars="200"/>
        <w:rPr>
          <w:rFonts w:hint="default" w:ascii="宋体" w:hAnsi="宋体" w:eastAsia="宋体" w:cs="宋体"/>
          <w:kern w:val="0"/>
          <w:sz w:val="21"/>
          <w:szCs w:val="22"/>
          <w:lang w:val="en-US" w:eastAsia="zh-CN" w:bidi="ar-SA"/>
        </w:rPr>
      </w:pPr>
    </w:p>
    <w:p>
      <w:pPr>
        <w:spacing w:line="480" w:lineRule="auto"/>
        <w:rPr>
          <w:rFonts w:hint="eastAsia" w:ascii="黑体" w:hAnsi="Calibri" w:eastAsia="黑体"/>
          <w:color w:val="auto"/>
          <w:kern w:val="0"/>
          <w:lang w:val="en-US" w:eastAsia="zh-CN"/>
        </w:rPr>
      </w:pPr>
      <w:r>
        <w:rPr>
          <w:rFonts w:hint="eastAsia" w:ascii="黑体" w:hAnsi="Calibri" w:eastAsia="黑体"/>
          <w:color w:val="auto"/>
          <w:kern w:val="0"/>
          <w:lang w:val="en-US" w:eastAsia="zh-CN"/>
        </w:rPr>
        <w:t>10   及时除杂</w:t>
      </w:r>
    </w:p>
    <w:p>
      <w:pPr>
        <w:spacing w:line="240" w:lineRule="auto"/>
        <w:rPr>
          <w:rFonts w:hint="default" w:ascii="黑体" w:hAnsi="Calibri" w:eastAsia="黑体"/>
          <w:kern w:val="0"/>
          <w:lang w:val="en-US" w:eastAsia="zh-CN"/>
        </w:rPr>
      </w:pPr>
      <w:r>
        <w:rPr>
          <w:rFonts w:hint="eastAsia" w:ascii="黑体" w:hAnsi="Calibri" w:eastAsia="黑体"/>
          <w:color w:val="FF0000"/>
          <w:kern w:val="0"/>
          <w:lang w:val="en-US" w:eastAsia="zh-CN"/>
        </w:rPr>
        <w:t xml:space="preserve"> </w:t>
      </w:r>
      <w:r>
        <w:rPr>
          <w:rFonts w:hint="eastAsia" w:ascii="宋体" w:hAnsi="宋体" w:eastAsia="宋体" w:cs="宋体"/>
          <w:kern w:val="0"/>
          <w:sz w:val="21"/>
          <w:szCs w:val="22"/>
          <w:lang w:val="en-US" w:eastAsia="zh-CN" w:bidi="ar-SA"/>
        </w:rPr>
        <w:t xml:space="preserve">   整个制程期间在授粉前根据植株株叶形态拨除与父母本不一致的杂株；授粉根据花的形态同时进行第二除杂；采种前收种同时进行果实特征进行综合除杂。</w:t>
      </w:r>
    </w:p>
    <w:p>
      <w:pPr>
        <w:pStyle w:val="16"/>
        <w:numPr>
          <w:ilvl w:val="0"/>
          <w:numId w:val="0"/>
        </w:numPr>
        <w:rPr>
          <w:rFonts w:hint="eastAsia" w:ascii="宋体" w:eastAsia="Calibri"/>
          <w:szCs w:val="22"/>
        </w:rPr>
      </w:pPr>
      <w:r>
        <w:rPr>
          <w:rFonts w:hint="eastAsia"/>
          <w:color w:val="auto"/>
          <w:lang w:val="en-US" w:eastAsia="zh-CN"/>
        </w:rPr>
        <w:t>11</w:t>
      </w:r>
      <w:r>
        <w:rPr>
          <w:rFonts w:hint="eastAsia"/>
        </w:rPr>
        <w:t xml:space="preserve">   病虫害防治</w:t>
      </w:r>
    </w:p>
    <w:p>
      <w:pPr>
        <w:ind w:firstLine="420" w:firstLineChars="200"/>
        <w:rPr>
          <w:rFonts w:hint="eastAsia" w:ascii="宋体" w:eastAsia="Calibri"/>
          <w:szCs w:val="22"/>
        </w:rPr>
      </w:pPr>
      <w:r>
        <w:rPr>
          <w:rFonts w:hint="default" w:ascii="宋体" w:hAnsi="宋体" w:eastAsia="Calibri" w:cs="仿宋_GB2312"/>
          <w:kern w:val="0"/>
          <w:sz w:val="21"/>
          <w:szCs w:val="21"/>
          <w:lang w:val="en-US" w:eastAsia="zh-CN" w:bidi="ar-SA"/>
        </w:rPr>
        <w:t>采取以“农业防治、物理防治、生物防治为主，化学防治为辅”的原则，早预防、早发现早治疗的方法，进行苦瓜病虫害的合理防治。病害重点防治霜霉病、疫病、枯萎病和白粉病；虫害重点防治蚜虫、地老虎、瓜绢螟、根结线虫。</w:t>
      </w:r>
    </w:p>
    <w:p>
      <w:pPr>
        <w:pStyle w:val="16"/>
        <w:numPr>
          <w:ilvl w:val="0"/>
          <w:numId w:val="0"/>
        </w:numPr>
        <w:rPr>
          <w:rFonts w:hint="eastAsia" w:ascii="宋体" w:eastAsia="Calibri"/>
          <w:szCs w:val="22"/>
        </w:rPr>
      </w:pPr>
      <w:r>
        <w:rPr>
          <w:rFonts w:hint="eastAsia"/>
          <w:color w:val="auto"/>
          <w:lang w:val="en-US" w:eastAsia="zh-CN"/>
        </w:rPr>
        <w:t>12</w:t>
      </w:r>
      <w:r>
        <w:rPr>
          <w:rFonts w:hint="eastAsia"/>
          <w:color w:val="auto"/>
        </w:rPr>
        <w:t xml:space="preserve"> </w:t>
      </w:r>
      <w:r>
        <w:rPr>
          <w:rFonts w:hint="eastAsia"/>
        </w:rPr>
        <w:t xml:space="preserve">  种子采收</w:t>
      </w:r>
    </w:p>
    <w:p>
      <w:pPr>
        <w:spacing w:line="240" w:lineRule="auto"/>
        <w:ind w:firstLine="420" w:firstLineChars="200"/>
        <w:rPr>
          <w:rFonts w:hint="eastAsia" w:ascii="宋体" w:hAnsi="宋体" w:eastAsia="宋体" w:cs="宋体"/>
          <w:kern w:val="0"/>
          <w:sz w:val="21"/>
          <w:szCs w:val="22"/>
          <w:lang w:val="en-US" w:eastAsia="zh-CN" w:bidi="ar-SA"/>
        </w:rPr>
      </w:pPr>
      <w:r>
        <w:rPr>
          <w:rFonts w:hint="default" w:ascii="宋体" w:hAnsi="宋体" w:eastAsia="宋体" w:cs="宋体"/>
          <w:kern w:val="0"/>
          <w:sz w:val="21"/>
          <w:szCs w:val="22"/>
          <w:lang w:val="en-US" w:eastAsia="zh-CN" w:bidi="ar-SA"/>
        </w:rPr>
        <w:t>母本上种瓜一般7月上中旬采收，即授粉后25～30</w:t>
      </w:r>
      <w:r>
        <w:rPr>
          <w:rFonts w:hint="eastAsia" w:ascii="宋体" w:hAnsi="宋体" w:eastAsia="宋体" w:cs="宋体"/>
          <w:kern w:val="0"/>
          <w:sz w:val="21"/>
          <w:szCs w:val="22"/>
          <w:lang w:val="en-US" w:eastAsia="zh-CN" w:bidi="ar-SA"/>
        </w:rPr>
        <w:t>d</w:t>
      </w:r>
      <w:r>
        <w:rPr>
          <w:rFonts w:hint="default" w:ascii="宋体" w:hAnsi="宋体" w:eastAsia="宋体" w:cs="宋体"/>
          <w:kern w:val="0"/>
          <w:sz w:val="21"/>
          <w:szCs w:val="22"/>
          <w:lang w:val="en-US" w:eastAsia="zh-CN" w:bidi="ar-SA"/>
        </w:rPr>
        <w:t>果实转红后采收，当天采收当天洗种，去掉瘪子和杂质，用簸箕或网筛晒干</w:t>
      </w:r>
      <w:r>
        <w:rPr>
          <w:rFonts w:hint="eastAsia" w:ascii="宋体" w:hAnsi="宋体" w:eastAsia="宋体" w:cs="宋体"/>
          <w:kern w:val="0"/>
          <w:sz w:val="21"/>
          <w:szCs w:val="22"/>
          <w:lang w:val="en-US" w:eastAsia="zh-CN" w:bidi="ar-SA"/>
        </w:rPr>
        <w:t>，</w:t>
      </w:r>
      <w:r>
        <w:rPr>
          <w:rFonts w:hint="default" w:ascii="宋体" w:hAnsi="宋体" w:eastAsia="宋体" w:cs="宋体"/>
          <w:kern w:val="0"/>
          <w:sz w:val="21"/>
          <w:szCs w:val="22"/>
          <w:lang w:val="en-US" w:eastAsia="zh-CN" w:bidi="ar-SA"/>
        </w:rPr>
        <w:t>忌直接放在水泥坪上暴晒，</w:t>
      </w:r>
      <w:r>
        <w:rPr>
          <w:rFonts w:hint="eastAsia" w:ascii="宋体" w:hAnsi="宋体" w:eastAsia="宋体" w:cs="宋体"/>
          <w:kern w:val="0"/>
          <w:sz w:val="21"/>
          <w:szCs w:val="22"/>
          <w:lang w:val="en-US" w:eastAsia="zh-CN" w:bidi="ar-SA"/>
        </w:rPr>
        <w:t>以免种子被烤坏而丧失发芽能力。当种子</w:t>
      </w:r>
      <w:r>
        <w:rPr>
          <w:rFonts w:hint="default" w:ascii="宋体" w:hAnsi="宋体" w:eastAsia="宋体" w:cs="宋体"/>
          <w:kern w:val="0"/>
          <w:sz w:val="21"/>
          <w:szCs w:val="22"/>
          <w:lang w:val="en-US" w:eastAsia="zh-CN" w:bidi="ar-SA"/>
        </w:rPr>
        <w:t>晒干</w:t>
      </w:r>
      <w:r>
        <w:rPr>
          <w:rFonts w:hint="eastAsia" w:ascii="宋体" w:hAnsi="宋体" w:eastAsia="宋体" w:cs="宋体"/>
          <w:kern w:val="0"/>
          <w:sz w:val="21"/>
          <w:szCs w:val="22"/>
          <w:lang w:val="en-US" w:eastAsia="zh-CN" w:bidi="ar-SA"/>
        </w:rPr>
        <w:t>含水量达到9%左右</w:t>
      </w:r>
      <w:r>
        <w:rPr>
          <w:rFonts w:hint="default" w:ascii="宋体" w:hAnsi="宋体" w:eastAsia="宋体" w:cs="宋体"/>
          <w:kern w:val="0"/>
          <w:sz w:val="21"/>
          <w:szCs w:val="22"/>
          <w:lang w:val="en-US" w:eastAsia="zh-CN" w:bidi="ar-SA"/>
        </w:rPr>
        <w:t>用干净的纤维袋装好存放于干燥处。</w:t>
      </w:r>
    </w:p>
    <w:p>
      <w:pPr>
        <w:spacing w:line="480" w:lineRule="auto"/>
        <w:rPr>
          <w:rFonts w:hint="eastAsia" w:ascii="黑体" w:hAnsi="Calibri" w:eastAsia="黑体"/>
          <w:kern w:val="0"/>
        </w:rPr>
      </w:pPr>
      <w:r>
        <w:rPr>
          <w:rFonts w:hint="eastAsia" w:ascii="黑体" w:hAnsi="Calibri" w:eastAsia="黑体"/>
          <w:color w:val="auto"/>
          <w:kern w:val="0"/>
        </w:rPr>
        <w:t>1</w:t>
      </w:r>
      <w:r>
        <w:rPr>
          <w:rFonts w:hint="eastAsia" w:ascii="黑体" w:hAnsi="Calibri" w:eastAsia="黑体"/>
          <w:color w:val="auto"/>
          <w:kern w:val="0"/>
          <w:lang w:val="en-US" w:eastAsia="zh-CN"/>
        </w:rPr>
        <w:t>3</w:t>
      </w:r>
      <w:r>
        <w:rPr>
          <w:rFonts w:hint="eastAsia" w:ascii="黑体" w:hAnsi="Calibri" w:eastAsia="黑体"/>
          <w:kern w:val="0"/>
        </w:rPr>
        <w:t xml:space="preserve">  种子质量检测</w:t>
      </w:r>
    </w:p>
    <w:p>
      <w:pPr>
        <w:widowControl/>
        <w:ind w:firstLine="420" w:firstLineChars="200"/>
        <w:jc w:val="left"/>
        <w:rPr>
          <w:rFonts w:hint="eastAsia" w:ascii="宋体" w:hAnsi="宋体" w:eastAsia="宋体" w:cs="宋体"/>
          <w:sz w:val="24"/>
          <w:szCs w:val="24"/>
          <w:lang w:val="en-US" w:eastAsia="zh-CN"/>
        </w:rPr>
      </w:pPr>
      <w:r>
        <w:rPr>
          <w:rFonts w:hint="eastAsia" w:ascii="宋体" w:hAnsi="宋体" w:eastAsia="宋体" w:cs="宋体"/>
          <w:kern w:val="0"/>
        </w:rPr>
        <w:t>种子晒干后</w:t>
      </w:r>
      <w:r>
        <w:rPr>
          <w:rFonts w:hint="eastAsia" w:ascii="宋体" w:hAnsi="宋体" w:eastAsia="宋体" w:cs="宋体"/>
          <w:kern w:val="0"/>
          <w:lang w:val="en-US" w:eastAsia="zh-CN"/>
        </w:rPr>
        <w:t>再一次进行</w:t>
      </w:r>
      <w:r>
        <w:rPr>
          <w:rFonts w:hint="eastAsia" w:ascii="宋体" w:hAnsi="宋体" w:eastAsia="宋体" w:cs="宋体"/>
          <w:kern w:val="0"/>
        </w:rPr>
        <w:t>室内筛选，</w:t>
      </w:r>
      <w:r>
        <w:rPr>
          <w:rFonts w:hint="eastAsia" w:ascii="宋体" w:hAnsi="宋体" w:eastAsia="宋体" w:cs="宋体"/>
          <w:kern w:val="0"/>
          <w:lang w:val="en-US" w:eastAsia="zh-CN"/>
        </w:rPr>
        <w:t>筛选出不饱满的种子和</w:t>
      </w:r>
      <w:r>
        <w:rPr>
          <w:rFonts w:hint="eastAsia" w:ascii="宋体" w:hAnsi="宋体" w:eastAsia="宋体" w:cs="宋体"/>
          <w:kern w:val="0"/>
        </w:rPr>
        <w:t>杂质。种子筛选好后，进行发芽率、发芽势</w:t>
      </w:r>
      <w:r>
        <w:rPr>
          <w:rFonts w:hint="eastAsia" w:ascii="宋体" w:hAnsi="宋体" w:eastAsia="宋体" w:cs="宋体"/>
          <w:kern w:val="0"/>
          <w:lang w:eastAsia="zh-CN"/>
        </w:rPr>
        <w:t>、</w:t>
      </w:r>
      <w:r>
        <w:rPr>
          <w:rFonts w:hint="eastAsia" w:ascii="宋体" w:hAnsi="宋体" w:eastAsia="宋体" w:cs="宋体"/>
          <w:kern w:val="0"/>
          <w:lang w:val="en-US" w:eastAsia="zh-CN"/>
        </w:rPr>
        <w:t>水份、纯度</w:t>
      </w:r>
      <w:r>
        <w:rPr>
          <w:rFonts w:hint="eastAsia" w:ascii="宋体" w:hAnsi="宋体" w:eastAsia="宋体" w:cs="宋体"/>
          <w:kern w:val="0"/>
        </w:rPr>
        <w:t>的测定，种子</w:t>
      </w:r>
      <w:r>
        <w:rPr>
          <w:rFonts w:hint="eastAsia" w:ascii="宋体" w:hAnsi="宋体" w:eastAsia="宋体" w:cs="宋体"/>
          <w:kern w:val="0"/>
          <w:lang w:val="en-US" w:eastAsia="zh-CN"/>
        </w:rPr>
        <w:t>要求</w:t>
      </w:r>
      <w:r>
        <w:rPr>
          <w:rFonts w:hint="eastAsia" w:ascii="宋体" w:hAnsi="宋体" w:eastAsia="宋体" w:cs="宋体"/>
          <w:kern w:val="0"/>
        </w:rPr>
        <w:t>符合国家种子质量</w:t>
      </w:r>
      <w:r>
        <w:rPr>
          <w:rFonts w:hint="eastAsia" w:ascii="宋体" w:hAnsi="宋体" w:eastAsia="宋体" w:cs="宋体"/>
          <w:kern w:val="0"/>
          <w:lang w:val="en-US" w:eastAsia="zh-CN"/>
        </w:rPr>
        <w:t>标准</w:t>
      </w:r>
      <w:r>
        <w:rPr>
          <w:rFonts w:hint="eastAsia" w:ascii="宋体" w:hAnsi="宋体" w:eastAsia="宋体" w:cs="宋体"/>
          <w:kern w:val="0"/>
        </w:rPr>
        <w:t>，要求纯度不低于9</w:t>
      </w:r>
      <w:r>
        <w:rPr>
          <w:rFonts w:hint="eastAsia" w:ascii="宋体" w:hAnsi="宋体" w:eastAsia="宋体" w:cs="宋体"/>
          <w:kern w:val="0"/>
          <w:lang w:val="en-US" w:eastAsia="zh-CN"/>
        </w:rPr>
        <w:t>5</w:t>
      </w:r>
      <w:r>
        <w:rPr>
          <w:rFonts w:hint="eastAsia" w:ascii="宋体" w:hAnsi="宋体" w:eastAsia="宋体" w:cs="宋体"/>
          <w:kern w:val="0"/>
        </w:rPr>
        <w:t>%，</w:t>
      </w:r>
    </w:p>
    <w:p>
      <w:pPr>
        <w:widowControl/>
        <w:jc w:val="left"/>
        <w:rPr>
          <w:rFonts w:hint="eastAsia" w:ascii="宋体" w:hAnsi="宋体" w:eastAsia="宋体" w:cs="宋体"/>
          <w:sz w:val="24"/>
          <w:szCs w:val="24"/>
        </w:rPr>
      </w:pPr>
      <w:r>
        <w:rPr>
          <w:rFonts w:hint="eastAsia" w:ascii="宋体" w:hAnsi="宋体" w:eastAsia="宋体" w:cs="宋体"/>
          <w:kern w:val="0"/>
        </w:rPr>
        <w:t>净度不低于9</w:t>
      </w:r>
      <w:r>
        <w:rPr>
          <w:rFonts w:hint="eastAsia" w:ascii="宋体" w:hAnsi="宋体" w:eastAsia="宋体" w:cs="宋体"/>
          <w:kern w:val="0"/>
          <w:lang w:val="en-US" w:eastAsia="zh-CN"/>
        </w:rPr>
        <w:t>8</w:t>
      </w:r>
      <w:r>
        <w:rPr>
          <w:rFonts w:hint="eastAsia" w:ascii="宋体" w:hAnsi="宋体" w:eastAsia="宋体" w:cs="宋体"/>
          <w:kern w:val="0"/>
        </w:rPr>
        <w:t>%，发芽率不低于</w:t>
      </w:r>
      <w:r>
        <w:rPr>
          <w:rFonts w:hint="eastAsia" w:ascii="宋体" w:hAnsi="宋体" w:eastAsia="宋体" w:cs="宋体"/>
          <w:kern w:val="0"/>
          <w:lang w:val="en-US" w:eastAsia="zh-CN"/>
        </w:rPr>
        <w:t>80</w:t>
      </w:r>
      <w:r>
        <w:rPr>
          <w:rFonts w:hint="eastAsia" w:ascii="宋体" w:hAnsi="宋体" w:eastAsia="宋体" w:cs="宋体"/>
          <w:kern w:val="0"/>
        </w:rPr>
        <w:t>%，水</w:t>
      </w:r>
      <w:r>
        <w:rPr>
          <w:rFonts w:hint="eastAsia" w:ascii="宋体" w:hAnsi="宋体" w:eastAsia="宋体" w:cs="宋体"/>
          <w:kern w:val="0"/>
          <w:lang w:val="en-US" w:eastAsia="zh-CN"/>
        </w:rPr>
        <w:t>份</w:t>
      </w:r>
      <w:r>
        <w:rPr>
          <w:rFonts w:hint="eastAsia" w:ascii="宋体" w:hAnsi="宋体" w:eastAsia="宋体" w:cs="宋体"/>
          <w:kern w:val="0"/>
        </w:rPr>
        <w:t>不高于9%。</w:t>
      </w: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hint="eastAsia" w:ascii="Times New Roman" w:hAnsi="Times New Roman" w:eastAsia="宋体"/>
          <w:b/>
          <w:bCs/>
          <w:sz w:val="24"/>
          <w:szCs w:val="24"/>
        </w:rPr>
      </w:pP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附录A</w:t>
      </w: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（资料性目录）</w:t>
      </w:r>
    </w:p>
    <w:p>
      <w:pPr>
        <w:ind w:firstLine="482" w:firstLineChars="200"/>
        <w:jc w:val="center"/>
        <w:rPr>
          <w:rFonts w:ascii="Times New Roman" w:hAnsi="Times New Roman" w:eastAsia="宋体"/>
          <w:b/>
          <w:bCs/>
          <w:sz w:val="24"/>
          <w:szCs w:val="24"/>
        </w:rPr>
      </w:pPr>
      <w:r>
        <w:rPr>
          <w:rFonts w:hint="eastAsia" w:ascii="Times New Roman" w:hAnsi="Times New Roman" w:eastAsia="宋体"/>
          <w:b/>
          <w:bCs/>
          <w:sz w:val="24"/>
          <w:szCs w:val="24"/>
        </w:rPr>
        <w:t>苦瓜主要病虫害防治</w:t>
      </w:r>
    </w:p>
    <w:p>
      <w:pPr>
        <w:spacing w:line="480" w:lineRule="auto"/>
        <w:ind w:firstLine="482" w:firstLineChars="200"/>
        <w:jc w:val="center"/>
        <w:rPr>
          <w:rFonts w:hint="eastAsia" w:ascii="Times New Roman" w:hAnsi="Times New Roman" w:eastAsia="宋体"/>
          <w:b/>
          <w:bCs/>
          <w:sz w:val="24"/>
          <w:szCs w:val="24"/>
        </w:rPr>
      </w:pPr>
      <w:r>
        <w:rPr>
          <w:rFonts w:hint="eastAsia" w:ascii="Times New Roman" w:hAnsi="Times New Roman" w:eastAsia="宋体"/>
          <w:b/>
          <w:bCs/>
          <w:sz w:val="24"/>
          <w:szCs w:val="24"/>
        </w:rPr>
        <w:t>表A</w:t>
      </w:r>
      <w:r>
        <w:rPr>
          <w:rFonts w:ascii="Times New Roman" w:hAnsi="Times New Roman" w:eastAsia="宋体"/>
          <w:b/>
          <w:bCs/>
          <w:sz w:val="24"/>
          <w:szCs w:val="24"/>
        </w:rPr>
        <w:t xml:space="preserve"> </w:t>
      </w:r>
      <w:r>
        <w:rPr>
          <w:rFonts w:hint="eastAsia" w:ascii="Times New Roman" w:hAnsi="Times New Roman" w:eastAsia="宋体"/>
          <w:b/>
          <w:bCs/>
          <w:sz w:val="24"/>
          <w:szCs w:val="24"/>
        </w:rPr>
        <w:t>主要病虫害防治方法表</w:t>
      </w:r>
    </w:p>
    <w:tbl>
      <w:tblPr>
        <w:tblStyle w:val="7"/>
        <w:tblW w:w="0" w:type="auto"/>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6801"/>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noWrap w:val="0"/>
            <w:vAlign w:val="center"/>
          </w:tcPr>
          <w:p>
            <w:pPr>
              <w:spacing w:line="500" w:lineRule="exact"/>
              <w:jc w:val="center"/>
              <w:rPr>
                <w:rFonts w:hint="eastAsia" w:ascii="宋体" w:hAnsi="宋体"/>
                <w:szCs w:val="21"/>
              </w:rPr>
            </w:pPr>
            <w:r>
              <w:rPr>
                <w:rFonts w:hint="eastAsia" w:ascii="宋体" w:hAnsi="宋体"/>
                <w:szCs w:val="21"/>
              </w:rPr>
              <w:t>序号</w:t>
            </w:r>
          </w:p>
        </w:tc>
        <w:tc>
          <w:tcPr>
            <w:tcW w:w="1139" w:type="dxa"/>
            <w:noWrap w:val="0"/>
            <w:vAlign w:val="center"/>
          </w:tcPr>
          <w:p>
            <w:pPr>
              <w:spacing w:line="500" w:lineRule="exact"/>
              <w:jc w:val="center"/>
              <w:rPr>
                <w:rFonts w:hint="eastAsia" w:ascii="宋体" w:hAnsi="宋体"/>
                <w:szCs w:val="21"/>
              </w:rPr>
            </w:pPr>
            <w:r>
              <w:rPr>
                <w:rFonts w:hint="eastAsia" w:ascii="宋体" w:hAnsi="宋体"/>
                <w:szCs w:val="21"/>
              </w:rPr>
              <w:t>防治对象</w:t>
            </w:r>
          </w:p>
        </w:tc>
        <w:tc>
          <w:tcPr>
            <w:tcW w:w="6801" w:type="dxa"/>
            <w:noWrap w:val="0"/>
            <w:vAlign w:val="center"/>
          </w:tcPr>
          <w:p>
            <w:pPr>
              <w:spacing w:line="500" w:lineRule="exact"/>
              <w:jc w:val="center"/>
              <w:rPr>
                <w:rFonts w:hint="eastAsia" w:ascii="宋体" w:hAnsi="宋体"/>
                <w:szCs w:val="21"/>
              </w:rPr>
            </w:pPr>
            <w:r>
              <w:rPr>
                <w:rFonts w:hint="eastAsia" w:ascii="宋体" w:hAnsi="宋体"/>
                <w:szCs w:val="21"/>
              </w:rPr>
              <w:t>药剂及使用方法</w:t>
            </w:r>
          </w:p>
        </w:tc>
        <w:tc>
          <w:tcPr>
            <w:tcW w:w="1276" w:type="dxa"/>
            <w:noWrap w:val="0"/>
            <w:vAlign w:val="top"/>
          </w:tcPr>
          <w:p>
            <w:pPr>
              <w:jc w:val="center"/>
              <w:rPr>
                <w:rFonts w:hint="eastAsia" w:ascii="宋体" w:hAnsi="宋体"/>
                <w:szCs w:val="21"/>
              </w:rPr>
            </w:pPr>
            <w:r>
              <w:rPr>
                <w:rFonts w:hint="eastAsia" w:ascii="宋体" w:hAnsi="宋体"/>
                <w:szCs w:val="21"/>
              </w:rPr>
              <w:t>安全间隔期（天）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w:t>
            </w:r>
          </w:p>
        </w:tc>
        <w:tc>
          <w:tcPr>
            <w:tcW w:w="1139" w:type="dxa"/>
            <w:noWrap w:val="0"/>
            <w:vAlign w:val="center"/>
          </w:tcPr>
          <w:p>
            <w:pPr>
              <w:jc w:val="center"/>
              <w:rPr>
                <w:rFonts w:hint="eastAsia" w:ascii="宋体" w:hAnsi="宋体"/>
                <w:szCs w:val="21"/>
              </w:rPr>
            </w:pPr>
            <w:r>
              <w:rPr>
                <w:rFonts w:hint="eastAsia" w:ascii="宋体" w:hAnsi="宋体"/>
                <w:szCs w:val="21"/>
              </w:rPr>
              <w:t>猝倒病</w:t>
            </w:r>
          </w:p>
        </w:tc>
        <w:tc>
          <w:tcPr>
            <w:tcW w:w="6801" w:type="dxa"/>
            <w:noWrap w:val="0"/>
            <w:vAlign w:val="center"/>
          </w:tcPr>
          <w:p>
            <w:pPr>
              <w:rPr>
                <w:rFonts w:hint="eastAsia" w:ascii="宋体" w:hAnsi="宋体"/>
                <w:color w:val="FF0000"/>
                <w:szCs w:val="21"/>
              </w:rPr>
            </w:pPr>
            <w:r>
              <w:rPr>
                <w:rFonts w:hint="eastAsia" w:ascii="宋体" w:hAnsi="宋体"/>
                <w:szCs w:val="21"/>
              </w:rPr>
              <w:t>可喷洒25%瑞毒霉可湿性粉剂800～1000倍液</w:t>
            </w:r>
            <w:r>
              <w:rPr>
                <w:rFonts w:hint="eastAsia" w:ascii="宋体" w:hAnsi="宋体"/>
                <w:szCs w:val="21"/>
                <w:lang w:eastAsia="zh-CN"/>
              </w:rPr>
              <w:t>或</w:t>
            </w:r>
            <w:r>
              <w:rPr>
                <w:rFonts w:hint="eastAsia" w:ascii="宋体" w:hAnsi="宋体"/>
                <w:szCs w:val="21"/>
              </w:rPr>
              <w:t>72.2%普力克水剂400倍液，连防2～3次。</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2</w:t>
            </w:r>
          </w:p>
        </w:tc>
        <w:tc>
          <w:tcPr>
            <w:tcW w:w="1139" w:type="dxa"/>
            <w:noWrap w:val="0"/>
            <w:vAlign w:val="center"/>
          </w:tcPr>
          <w:p>
            <w:pPr>
              <w:jc w:val="center"/>
              <w:rPr>
                <w:rFonts w:hint="eastAsia" w:ascii="宋体" w:hAnsi="宋体"/>
                <w:szCs w:val="21"/>
              </w:rPr>
            </w:pPr>
            <w:r>
              <w:rPr>
                <w:rFonts w:hint="eastAsia" w:ascii="宋体" w:hAnsi="宋体"/>
                <w:szCs w:val="21"/>
                <w:lang w:eastAsia="zh-CN"/>
              </w:rPr>
              <w:t>立枯</w:t>
            </w:r>
            <w:r>
              <w:rPr>
                <w:rFonts w:hint="eastAsia" w:ascii="宋体" w:hAnsi="宋体"/>
                <w:szCs w:val="21"/>
              </w:rPr>
              <w:t>病</w:t>
            </w:r>
          </w:p>
        </w:tc>
        <w:tc>
          <w:tcPr>
            <w:tcW w:w="6801" w:type="dxa"/>
            <w:noWrap w:val="0"/>
            <w:vAlign w:val="center"/>
          </w:tcPr>
          <w:p>
            <w:pPr>
              <w:rPr>
                <w:rFonts w:hint="eastAsia" w:ascii="宋体" w:hAnsi="宋体"/>
                <w:szCs w:val="21"/>
              </w:rPr>
            </w:pPr>
            <w:r>
              <w:rPr>
                <w:rFonts w:hint="eastAsia" w:ascii="宋体" w:hAnsi="宋体"/>
                <w:szCs w:val="21"/>
              </w:rPr>
              <w:t>可喷洒69％安克锰锌水分散粒剂或可湿性粉剂1000～1200倍液，或80％多·福·锌(绿亨2号)可湿性粉剂600～800倍液，或95％绿亨1号精品4000倍液，连续2～3次。</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3</w:t>
            </w:r>
          </w:p>
        </w:tc>
        <w:tc>
          <w:tcPr>
            <w:tcW w:w="1139" w:type="dxa"/>
            <w:noWrap w:val="0"/>
            <w:vAlign w:val="center"/>
          </w:tcPr>
          <w:p>
            <w:pPr>
              <w:jc w:val="center"/>
              <w:rPr>
                <w:rFonts w:hint="eastAsia" w:ascii="宋体" w:hAnsi="宋体"/>
                <w:szCs w:val="21"/>
                <w:lang w:eastAsia="zh-CN"/>
              </w:rPr>
            </w:pPr>
            <w:r>
              <w:rPr>
                <w:rFonts w:hint="eastAsia" w:ascii="宋体" w:hAnsi="宋体"/>
                <w:szCs w:val="21"/>
                <w:lang w:eastAsia="zh-CN"/>
              </w:rPr>
              <w:t>霜霉病</w:t>
            </w:r>
          </w:p>
        </w:tc>
        <w:tc>
          <w:tcPr>
            <w:tcW w:w="6801" w:type="dxa"/>
            <w:noWrap w:val="0"/>
            <w:vAlign w:val="center"/>
          </w:tcPr>
          <w:p>
            <w:pPr>
              <w:rPr>
                <w:rFonts w:hint="eastAsia" w:ascii="宋体" w:hAnsi="宋体"/>
                <w:szCs w:val="21"/>
              </w:rPr>
            </w:pPr>
            <w:r>
              <w:rPr>
                <w:rFonts w:hint="eastAsia" w:ascii="宋体" w:hAnsi="宋体"/>
                <w:szCs w:val="21"/>
              </w:rPr>
              <w:t>喷洒64%杀毒矾可湿性粉剂500倍液、50%甲霜铜或甲霜铝铜600倍液、72%霜脲锰锌(克抗灵)可湿性粉剂或72%杜邦克露可湿性粉剂800倍液</w:t>
            </w:r>
            <w:r>
              <w:rPr>
                <w:rFonts w:hint="eastAsia" w:ascii="宋体" w:hAnsi="宋体"/>
                <w:szCs w:val="21"/>
                <w:lang w:eastAsia="zh-CN"/>
              </w:rPr>
              <w:t>。</w:t>
            </w:r>
          </w:p>
        </w:tc>
        <w:tc>
          <w:tcPr>
            <w:tcW w:w="1276" w:type="dxa"/>
            <w:noWrap w:val="0"/>
            <w:vAlign w:val="top"/>
          </w:tcPr>
          <w:p>
            <w:pPr>
              <w:spacing w:line="400" w:lineRule="exact"/>
              <w:jc w:val="center"/>
              <w:rPr>
                <w:rFonts w:hint="eastAsia" w:ascii="宋体" w:hAnsi="宋体" w:eastAsia="宋体"/>
                <w:szCs w:val="21"/>
                <w:lang w:val="en-US" w:eastAsia="zh-CN"/>
              </w:rPr>
            </w:pPr>
            <w:r>
              <w:rPr>
                <w:rFonts w:hint="eastAsia" w:ascii="宋体" w:hAnsi="宋体"/>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4</w:t>
            </w:r>
          </w:p>
        </w:tc>
        <w:tc>
          <w:tcPr>
            <w:tcW w:w="1139" w:type="dxa"/>
            <w:noWrap w:val="0"/>
            <w:vAlign w:val="center"/>
          </w:tcPr>
          <w:p>
            <w:pPr>
              <w:jc w:val="center"/>
              <w:rPr>
                <w:rFonts w:hint="eastAsia" w:ascii="宋体" w:hAnsi="宋体"/>
                <w:szCs w:val="21"/>
              </w:rPr>
            </w:pPr>
            <w:r>
              <w:rPr>
                <w:rFonts w:hint="eastAsia" w:ascii="宋体" w:hAnsi="宋体"/>
                <w:szCs w:val="21"/>
              </w:rPr>
              <w:t>疫病</w:t>
            </w:r>
          </w:p>
        </w:tc>
        <w:tc>
          <w:tcPr>
            <w:tcW w:w="6801" w:type="dxa"/>
            <w:noWrap w:val="0"/>
            <w:vAlign w:val="center"/>
          </w:tcPr>
          <w:p>
            <w:pPr>
              <w:rPr>
                <w:rFonts w:hint="eastAsia" w:ascii="宋体" w:hAnsi="宋体"/>
                <w:szCs w:val="21"/>
              </w:rPr>
            </w:pPr>
            <w:r>
              <w:rPr>
                <w:rFonts w:hint="eastAsia" w:ascii="宋体" w:hAnsi="宋体"/>
                <w:szCs w:val="21"/>
              </w:rPr>
              <w:t>喷洒25%瑞毒霉可湿性粉剂1000 倍液；58%雷多米尔锰锌可湿性粉剂500倍液；72%克露可湿性粉剂500～800倍液。</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5</w:t>
            </w:r>
          </w:p>
        </w:tc>
        <w:tc>
          <w:tcPr>
            <w:tcW w:w="1139" w:type="dxa"/>
            <w:noWrap w:val="0"/>
            <w:vAlign w:val="center"/>
          </w:tcPr>
          <w:p>
            <w:pPr>
              <w:jc w:val="center"/>
              <w:rPr>
                <w:rFonts w:hint="eastAsia" w:ascii="宋体" w:hAnsi="宋体"/>
                <w:szCs w:val="21"/>
              </w:rPr>
            </w:pPr>
            <w:r>
              <w:rPr>
                <w:rFonts w:hint="eastAsia" w:ascii="宋体" w:hAnsi="宋体"/>
                <w:szCs w:val="21"/>
              </w:rPr>
              <w:t>病毒病</w:t>
            </w:r>
          </w:p>
        </w:tc>
        <w:tc>
          <w:tcPr>
            <w:tcW w:w="6801" w:type="dxa"/>
            <w:noWrap w:val="0"/>
            <w:vAlign w:val="center"/>
          </w:tcPr>
          <w:p>
            <w:pPr>
              <w:pStyle w:val="6"/>
              <w:keepNext w:val="0"/>
              <w:keepLines w:val="0"/>
              <w:widowControl/>
              <w:suppressLineNumbers w:val="0"/>
              <w:pBdr>
                <w:left w:val="none" w:color="auto" w:sz="0" w:space="0"/>
                <w:right w:val="none" w:color="auto" w:sz="0" w:space="0"/>
              </w:pBdr>
              <w:shd w:val="clear" w:color="auto" w:fill="FFFFFF"/>
              <w:spacing w:before="0" w:beforeAutospacing="0" w:line="400" w:lineRule="atLeast"/>
              <w:ind w:left="0" w:firstLine="0"/>
              <w:jc w:val="both"/>
              <w:rPr>
                <w:rFonts w:hint="eastAsia" w:ascii="宋体" w:hAnsi="宋体"/>
                <w:szCs w:val="21"/>
              </w:rPr>
            </w:pPr>
            <w:r>
              <w:rPr>
                <w:rFonts w:hint="eastAsia" w:ascii="宋体" w:hAnsi="宋体"/>
                <w:kern w:val="2"/>
                <w:sz w:val="21"/>
                <w:szCs w:val="21"/>
                <w:lang w:val="en-US" w:eastAsia="zh-CN" w:bidi="ar-SA"/>
              </w:rPr>
              <w:t>连续喷洒2</w:t>
            </w:r>
            <w:r>
              <w:rPr>
                <w:rFonts w:hint="default" w:ascii="宋体" w:hAnsi="宋体"/>
                <w:kern w:val="2"/>
                <w:sz w:val="21"/>
                <w:szCs w:val="21"/>
                <w:lang w:val="en-US" w:eastAsia="zh-CN" w:bidi="ar-SA"/>
              </w:rPr>
              <w:t>～</w:t>
            </w:r>
            <w:r>
              <w:rPr>
                <w:rFonts w:hint="eastAsia" w:ascii="宋体" w:hAnsi="宋体"/>
                <w:kern w:val="2"/>
                <w:sz w:val="21"/>
                <w:szCs w:val="21"/>
                <w:lang w:val="en-US" w:eastAsia="zh-CN" w:bidi="ar-SA"/>
              </w:rPr>
              <w:t>3次600倍植物病毒疫苗水溶液、800倍病毒A水溶液或600倍植物助壮素水溶液进行防治，每7</w:t>
            </w:r>
            <w:r>
              <w:rPr>
                <w:rFonts w:hint="default" w:ascii="宋体" w:hAnsi="宋体"/>
                <w:kern w:val="2"/>
                <w:sz w:val="21"/>
                <w:szCs w:val="21"/>
                <w:lang w:val="en-US" w:eastAsia="zh-CN" w:bidi="ar-SA"/>
              </w:rPr>
              <w:t>～</w:t>
            </w:r>
            <w:r>
              <w:rPr>
                <w:rFonts w:hint="eastAsia" w:ascii="宋体" w:hAnsi="宋体"/>
                <w:kern w:val="2"/>
                <w:sz w:val="21"/>
                <w:szCs w:val="21"/>
                <w:lang w:val="en-US" w:eastAsia="zh-CN" w:bidi="ar-SA"/>
              </w:rPr>
              <w:t>10天喷洒一次。</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6</w:t>
            </w:r>
          </w:p>
        </w:tc>
        <w:tc>
          <w:tcPr>
            <w:tcW w:w="1139" w:type="dxa"/>
            <w:noWrap w:val="0"/>
            <w:vAlign w:val="center"/>
          </w:tcPr>
          <w:p>
            <w:pPr>
              <w:jc w:val="center"/>
              <w:rPr>
                <w:rFonts w:hint="eastAsia" w:ascii="宋体" w:hAnsi="宋体"/>
                <w:szCs w:val="21"/>
              </w:rPr>
            </w:pPr>
            <w:r>
              <w:rPr>
                <w:rFonts w:hint="eastAsia" w:ascii="宋体" w:hAnsi="宋体"/>
                <w:szCs w:val="21"/>
              </w:rPr>
              <w:t>炭疽病</w:t>
            </w:r>
          </w:p>
        </w:tc>
        <w:tc>
          <w:tcPr>
            <w:tcW w:w="6801" w:type="dxa"/>
            <w:noWrap w:val="0"/>
            <w:vAlign w:val="center"/>
          </w:tcPr>
          <w:p>
            <w:pPr>
              <w:rPr>
                <w:rFonts w:hint="eastAsia" w:ascii="宋体" w:hAnsi="宋体"/>
                <w:szCs w:val="21"/>
              </w:rPr>
            </w:pPr>
            <w:r>
              <w:rPr>
                <w:rFonts w:hint="eastAsia" w:ascii="宋体" w:hAnsi="宋体"/>
                <w:szCs w:val="21"/>
              </w:rPr>
              <w:t>喷洒50%</w:t>
            </w:r>
            <w:r>
              <w:rPr>
                <w:rFonts w:hint="default" w:ascii="宋体" w:hAnsi="宋体"/>
                <w:szCs w:val="21"/>
              </w:rPr>
              <w:fldChar w:fldCharType="begin"/>
            </w:r>
            <w:r>
              <w:rPr>
                <w:rFonts w:hint="default" w:ascii="宋体" w:hAnsi="宋体"/>
                <w:szCs w:val="21"/>
              </w:rPr>
              <w:instrText xml:space="preserve"> HYPERLINK "http://baike.baidu.com/view/143531.htm" \t "http://baike.baidu.com/_blank" </w:instrText>
            </w:r>
            <w:r>
              <w:rPr>
                <w:rFonts w:hint="default" w:ascii="宋体" w:hAnsi="宋体"/>
                <w:szCs w:val="21"/>
              </w:rPr>
              <w:fldChar w:fldCharType="separate"/>
            </w:r>
            <w:r>
              <w:rPr>
                <w:rFonts w:hint="default" w:ascii="宋体" w:hAnsi="宋体"/>
                <w:szCs w:val="21"/>
              </w:rPr>
              <w:t>甲基硫菌灵</w:t>
            </w:r>
            <w:r>
              <w:rPr>
                <w:rFonts w:hint="default" w:ascii="宋体" w:hAnsi="宋体"/>
                <w:szCs w:val="21"/>
              </w:rPr>
              <w:fldChar w:fldCharType="end"/>
            </w:r>
            <w:r>
              <w:rPr>
                <w:rFonts w:hint="default" w:ascii="宋体" w:hAnsi="宋体"/>
                <w:szCs w:val="21"/>
              </w:rPr>
              <w:t>可湿性粉剂700倍液加75%</w:t>
            </w:r>
            <w:r>
              <w:rPr>
                <w:rFonts w:hint="default" w:ascii="宋体" w:hAnsi="宋体"/>
                <w:szCs w:val="21"/>
              </w:rPr>
              <w:fldChar w:fldCharType="begin"/>
            </w:r>
            <w:r>
              <w:rPr>
                <w:rFonts w:hint="default" w:ascii="宋体" w:hAnsi="宋体"/>
                <w:szCs w:val="21"/>
              </w:rPr>
              <w:instrText xml:space="preserve"> HYPERLINK "http://baike.baidu.com/view/143486.htm" \t "http://baike.baidu.com/_blank" </w:instrText>
            </w:r>
            <w:r>
              <w:rPr>
                <w:rFonts w:hint="default" w:ascii="宋体" w:hAnsi="宋体"/>
                <w:szCs w:val="21"/>
              </w:rPr>
              <w:fldChar w:fldCharType="separate"/>
            </w:r>
            <w:r>
              <w:rPr>
                <w:rFonts w:hint="default" w:ascii="宋体" w:hAnsi="宋体"/>
                <w:szCs w:val="21"/>
              </w:rPr>
              <w:t>百菌清</w:t>
            </w:r>
            <w:r>
              <w:rPr>
                <w:rFonts w:hint="default" w:ascii="宋体" w:hAnsi="宋体"/>
                <w:szCs w:val="21"/>
              </w:rPr>
              <w:fldChar w:fldCharType="end"/>
            </w:r>
            <w:r>
              <w:rPr>
                <w:rFonts w:hint="default" w:ascii="宋体" w:hAnsi="宋体"/>
                <w:szCs w:val="21"/>
              </w:rPr>
              <w:t>可湿性粉剂700倍液或36%甲基硫菌灵悬浮剂400～500倍液、50%</w:t>
            </w:r>
            <w:r>
              <w:rPr>
                <w:rFonts w:hint="default" w:ascii="宋体" w:hAnsi="宋体"/>
                <w:szCs w:val="21"/>
              </w:rPr>
              <w:fldChar w:fldCharType="begin"/>
            </w:r>
            <w:r>
              <w:rPr>
                <w:rFonts w:hint="default" w:ascii="宋体" w:hAnsi="宋体"/>
                <w:szCs w:val="21"/>
              </w:rPr>
              <w:instrText xml:space="preserve"> HYPERLINK "http://baike.baidu.com/view/360643.htm" \t "http://baike.baidu.com/_blank" </w:instrText>
            </w:r>
            <w:r>
              <w:rPr>
                <w:rFonts w:hint="default" w:ascii="宋体" w:hAnsi="宋体"/>
                <w:szCs w:val="21"/>
              </w:rPr>
              <w:fldChar w:fldCharType="separate"/>
            </w:r>
            <w:r>
              <w:rPr>
                <w:rFonts w:hint="default" w:ascii="宋体" w:hAnsi="宋体"/>
                <w:szCs w:val="21"/>
              </w:rPr>
              <w:t>苯菌灵</w:t>
            </w:r>
            <w:r>
              <w:rPr>
                <w:rFonts w:hint="default" w:ascii="宋体" w:hAnsi="宋体"/>
                <w:szCs w:val="21"/>
              </w:rPr>
              <w:fldChar w:fldCharType="end"/>
            </w:r>
            <w:r>
              <w:rPr>
                <w:rFonts w:hint="default" w:ascii="宋体" w:hAnsi="宋体"/>
                <w:szCs w:val="21"/>
              </w:rPr>
              <w:t>可湿性粉剂1500倍液、60%防霉宝超微可湿性粉剂800倍液</w:t>
            </w:r>
            <w:r>
              <w:rPr>
                <w:rFonts w:hint="eastAsia" w:ascii="宋体" w:hAnsi="宋体"/>
                <w:szCs w:val="21"/>
                <w:lang w:eastAsia="zh-CN"/>
              </w:rPr>
              <w:t>，</w:t>
            </w:r>
            <w:r>
              <w:rPr>
                <w:rFonts w:hint="default" w:ascii="宋体" w:hAnsi="宋体"/>
                <w:szCs w:val="21"/>
              </w:rPr>
              <w:t>隔7～10天1次，</w:t>
            </w:r>
            <w:r>
              <w:rPr>
                <w:rFonts w:hint="eastAsia" w:ascii="宋体" w:hAnsi="宋体"/>
                <w:szCs w:val="21"/>
              </w:rPr>
              <w:t>连防2～3次。</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7</w:t>
            </w:r>
          </w:p>
        </w:tc>
        <w:tc>
          <w:tcPr>
            <w:tcW w:w="1139" w:type="dxa"/>
            <w:noWrap w:val="0"/>
            <w:vAlign w:val="center"/>
          </w:tcPr>
          <w:p>
            <w:pPr>
              <w:jc w:val="center"/>
              <w:rPr>
                <w:rFonts w:hint="eastAsia" w:ascii="宋体" w:hAnsi="宋体"/>
                <w:szCs w:val="21"/>
              </w:rPr>
            </w:pPr>
            <w:r>
              <w:rPr>
                <w:rFonts w:hint="eastAsia" w:ascii="宋体" w:hAnsi="宋体"/>
                <w:szCs w:val="21"/>
                <w:lang w:eastAsia="zh-CN"/>
              </w:rPr>
              <w:t>枯萎病</w:t>
            </w:r>
          </w:p>
        </w:tc>
        <w:tc>
          <w:tcPr>
            <w:tcW w:w="6801" w:type="dxa"/>
            <w:noWrap w:val="0"/>
            <w:vAlign w:val="center"/>
          </w:tcPr>
          <w:p>
            <w:pPr>
              <w:rPr>
                <w:rFonts w:hint="eastAsia" w:ascii="宋体" w:hAnsi="宋体"/>
                <w:szCs w:val="21"/>
              </w:rPr>
            </w:pPr>
            <w:r>
              <w:rPr>
                <w:rFonts w:hint="eastAsia" w:ascii="宋体" w:hAnsi="宋体"/>
                <w:szCs w:val="21"/>
              </w:rPr>
              <w:t>病穴及邻近植株灌淋50%苯菌灵可湿性粉剂1500倍液或40%多·硫悬浮剂500倍液、60%琥·乙膦铝（DTM）可湿性粉剂400倍液、36%甲基硫菌灵悬浮剂400倍液、20%甲基立枯磷乳油900～1000倍液、10%双效灵水剂250倍液，每株灌对好的药液0．5升，连防2～3次。</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8</w:t>
            </w:r>
          </w:p>
        </w:tc>
        <w:tc>
          <w:tcPr>
            <w:tcW w:w="1139" w:type="dxa"/>
            <w:noWrap w:val="0"/>
            <w:vAlign w:val="center"/>
          </w:tcPr>
          <w:p>
            <w:pPr>
              <w:jc w:val="center"/>
              <w:rPr>
                <w:rFonts w:hint="eastAsia" w:ascii="宋体" w:hAnsi="宋体"/>
                <w:szCs w:val="21"/>
              </w:rPr>
            </w:pPr>
            <w:r>
              <w:rPr>
                <w:rFonts w:hint="eastAsia" w:ascii="宋体" w:hAnsi="宋体"/>
                <w:szCs w:val="21"/>
              </w:rPr>
              <w:t>蚜虫</w:t>
            </w:r>
          </w:p>
        </w:tc>
        <w:tc>
          <w:tcPr>
            <w:tcW w:w="6801" w:type="dxa"/>
            <w:noWrap w:val="0"/>
            <w:vAlign w:val="center"/>
          </w:tcPr>
          <w:p>
            <w:pPr>
              <w:rPr>
                <w:rFonts w:hint="eastAsia" w:ascii="宋体" w:hAnsi="宋体"/>
                <w:szCs w:val="21"/>
              </w:rPr>
            </w:pPr>
            <w:r>
              <w:rPr>
                <w:rFonts w:hint="eastAsia" w:ascii="宋体" w:hAnsi="宋体"/>
                <w:szCs w:val="21"/>
              </w:rPr>
              <w:t>可用</w:t>
            </w:r>
            <w:r>
              <w:rPr>
                <w:rFonts w:hint="default" w:ascii="宋体" w:hAnsi="宋体"/>
                <w:szCs w:val="21"/>
              </w:rPr>
              <w:t>1.8%阿维菌素（虫螨克）3000～5000倍，10％吡虫啉可湿粉2000倍液防治，50%抗蚜威可湿粉1500～2000倍液</w:t>
            </w:r>
            <w:r>
              <w:rPr>
                <w:rFonts w:hint="eastAsia" w:ascii="宋体" w:hAnsi="宋体"/>
                <w:szCs w:val="21"/>
              </w:rPr>
              <w:t>喷雾。</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9</w:t>
            </w:r>
          </w:p>
        </w:tc>
        <w:tc>
          <w:tcPr>
            <w:tcW w:w="1139" w:type="dxa"/>
            <w:noWrap w:val="0"/>
            <w:vAlign w:val="center"/>
          </w:tcPr>
          <w:p>
            <w:pPr>
              <w:jc w:val="center"/>
              <w:rPr>
                <w:rFonts w:hint="eastAsia" w:ascii="宋体" w:hAnsi="宋体"/>
                <w:szCs w:val="21"/>
              </w:rPr>
            </w:pPr>
            <w:r>
              <w:rPr>
                <w:rFonts w:hint="eastAsia" w:ascii="宋体" w:hAnsi="宋体"/>
                <w:szCs w:val="21"/>
              </w:rPr>
              <w:t>地老虎</w:t>
            </w:r>
          </w:p>
        </w:tc>
        <w:tc>
          <w:tcPr>
            <w:tcW w:w="6801" w:type="dxa"/>
            <w:noWrap w:val="0"/>
            <w:vAlign w:val="center"/>
          </w:tcPr>
          <w:p>
            <w:pPr>
              <w:rPr>
                <w:rFonts w:hint="eastAsia" w:ascii="宋体" w:hAnsi="宋体"/>
                <w:szCs w:val="21"/>
              </w:rPr>
            </w:pPr>
            <w:r>
              <w:rPr>
                <w:rFonts w:hint="eastAsia" w:ascii="宋体" w:hAnsi="宋体"/>
                <w:szCs w:val="21"/>
              </w:rPr>
              <w:t>在3龄幼虫未入土前可喷75%辛硫磷2000～3000倍液或40%菊杀乳油2000～3000倍液或50%敌敌畏1000倍液。3龄以上幼虫可用毒饵诱杀，用96%敌百虫0.5公斤加水25～50公斤，拌炒香豆饼，玉米面，麸皮50公斤，每亩用毒饵4～5公斤，在傍晚洒于根际。</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10</w:t>
            </w:r>
          </w:p>
        </w:tc>
        <w:tc>
          <w:tcPr>
            <w:tcW w:w="1139" w:type="dxa"/>
            <w:noWrap w:val="0"/>
            <w:vAlign w:val="center"/>
          </w:tcPr>
          <w:p>
            <w:pPr>
              <w:jc w:val="center"/>
              <w:rPr>
                <w:rFonts w:hint="eastAsia" w:ascii="宋体" w:hAnsi="宋体"/>
                <w:szCs w:val="21"/>
              </w:rPr>
            </w:pPr>
            <w:r>
              <w:rPr>
                <w:rFonts w:hint="eastAsia" w:ascii="宋体" w:hAnsi="宋体"/>
                <w:szCs w:val="21"/>
              </w:rPr>
              <w:t>蛴螬</w:t>
            </w:r>
          </w:p>
          <w:p>
            <w:pPr>
              <w:jc w:val="center"/>
              <w:rPr>
                <w:rFonts w:hint="eastAsia" w:ascii="宋体" w:hAnsi="宋体"/>
                <w:szCs w:val="21"/>
              </w:rPr>
            </w:pPr>
            <w:r>
              <w:rPr>
                <w:rFonts w:hint="eastAsia" w:ascii="宋体" w:hAnsi="宋体"/>
                <w:szCs w:val="21"/>
              </w:rPr>
              <w:t>蝼蛄</w:t>
            </w:r>
          </w:p>
        </w:tc>
        <w:tc>
          <w:tcPr>
            <w:tcW w:w="6801" w:type="dxa"/>
            <w:noWrap w:val="0"/>
            <w:vAlign w:val="center"/>
          </w:tcPr>
          <w:p>
            <w:pPr>
              <w:rPr>
                <w:rFonts w:hint="eastAsia" w:ascii="宋体" w:hAnsi="宋体"/>
                <w:szCs w:val="21"/>
              </w:rPr>
            </w:pPr>
            <w:r>
              <w:rPr>
                <w:rFonts w:hint="eastAsia" w:ascii="宋体" w:hAnsi="宋体"/>
                <w:szCs w:val="21"/>
              </w:rPr>
              <w:t>可用75%辛硫磷2000倍或50%西维因800倍液浇根，蝼蛄亦用毒饵。</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11</w:t>
            </w:r>
          </w:p>
        </w:tc>
        <w:tc>
          <w:tcPr>
            <w:tcW w:w="113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瓜绢螟</w:t>
            </w:r>
          </w:p>
        </w:tc>
        <w:tc>
          <w:tcPr>
            <w:tcW w:w="6801" w:type="dxa"/>
            <w:noWrap w:val="0"/>
            <w:vAlign w:val="center"/>
          </w:tcPr>
          <w:p>
            <w:pPr>
              <w:rPr>
                <w:rFonts w:hint="eastAsia" w:ascii="宋体" w:hAnsi="宋体"/>
                <w:szCs w:val="21"/>
              </w:rPr>
            </w:pPr>
            <w:r>
              <w:rPr>
                <w:rFonts w:hint="eastAsia" w:ascii="宋体" w:hAnsi="宋体"/>
                <w:szCs w:val="21"/>
              </w:rPr>
              <w:t>在幼虫1～3龄时，喷洒2%天达</w:t>
            </w:r>
            <w:r>
              <w:rPr>
                <w:rFonts w:hint="eastAsia" w:ascii="宋体" w:hAnsi="宋体"/>
                <w:szCs w:val="21"/>
              </w:rPr>
              <w:fldChar w:fldCharType="begin"/>
            </w:r>
            <w:r>
              <w:rPr>
                <w:rFonts w:hint="eastAsia" w:ascii="宋体" w:hAnsi="宋体"/>
                <w:szCs w:val="21"/>
              </w:rPr>
              <w:instrText xml:space="preserve"> HYPERLINK "http://www.baike.com/sowiki/%E9%98%BF%E7%BB%B4%E8%8F%8C%E7%B4%A0?prd=content_doc_search" \o "阿维菌素" </w:instrText>
            </w:r>
            <w:r>
              <w:rPr>
                <w:rFonts w:hint="eastAsia" w:ascii="宋体" w:hAnsi="宋体"/>
                <w:szCs w:val="21"/>
              </w:rPr>
              <w:fldChar w:fldCharType="separate"/>
            </w:r>
            <w:r>
              <w:rPr>
                <w:rFonts w:hint="eastAsia" w:ascii="宋体" w:hAnsi="宋体"/>
                <w:szCs w:val="21"/>
              </w:rPr>
              <w:t>阿维菌素</w:t>
            </w:r>
            <w:r>
              <w:rPr>
                <w:rFonts w:hint="eastAsia" w:ascii="宋体" w:hAnsi="宋体"/>
                <w:szCs w:val="21"/>
              </w:rPr>
              <w:fldChar w:fldCharType="end"/>
            </w:r>
            <w:r>
              <w:rPr>
                <w:rFonts w:hint="eastAsia" w:ascii="宋体" w:hAnsi="宋体"/>
                <w:szCs w:val="21"/>
              </w:rPr>
              <w:t>乳油2000倍液、2.5%敌杀死乳油1500倍液、20%氰戊菊酯乳油2000倍液、48%</w:t>
            </w:r>
            <w:r>
              <w:rPr>
                <w:rFonts w:hint="eastAsia" w:ascii="宋体" w:hAnsi="宋体"/>
                <w:szCs w:val="21"/>
              </w:rPr>
              <w:fldChar w:fldCharType="begin"/>
            </w:r>
            <w:r>
              <w:rPr>
                <w:rFonts w:hint="eastAsia" w:ascii="宋体" w:hAnsi="宋体"/>
                <w:szCs w:val="21"/>
              </w:rPr>
              <w:instrText xml:space="preserve"> HYPERLINK "http://www.baike.com/sowiki/%E4%B9%90%E6%96%AF%E6%9C%AC?prd=content_doc_search" \o "乐斯本" </w:instrText>
            </w:r>
            <w:r>
              <w:rPr>
                <w:rFonts w:hint="eastAsia" w:ascii="宋体" w:hAnsi="宋体"/>
                <w:szCs w:val="21"/>
              </w:rPr>
              <w:fldChar w:fldCharType="separate"/>
            </w:r>
            <w:r>
              <w:rPr>
                <w:rFonts w:hint="eastAsia" w:ascii="宋体" w:hAnsi="宋体"/>
                <w:szCs w:val="21"/>
              </w:rPr>
              <w:t>乐斯本</w:t>
            </w:r>
            <w:r>
              <w:rPr>
                <w:rFonts w:hint="eastAsia" w:ascii="宋体" w:hAnsi="宋体"/>
                <w:szCs w:val="21"/>
              </w:rPr>
              <w:fldChar w:fldCharType="end"/>
            </w:r>
            <w:r>
              <w:rPr>
                <w:rFonts w:hint="eastAsia" w:ascii="宋体" w:hAnsi="宋体"/>
                <w:szCs w:val="21"/>
              </w:rPr>
              <w:t>乳油或48％天达</w:t>
            </w:r>
            <w:r>
              <w:rPr>
                <w:rFonts w:hint="eastAsia" w:ascii="宋体" w:hAnsi="宋体"/>
                <w:szCs w:val="21"/>
              </w:rPr>
              <w:fldChar w:fldCharType="begin"/>
            </w:r>
            <w:r>
              <w:rPr>
                <w:rFonts w:hint="eastAsia" w:ascii="宋体" w:hAnsi="宋体"/>
                <w:szCs w:val="21"/>
              </w:rPr>
              <w:instrText xml:space="preserve"> HYPERLINK "http://www.baike.com/sowiki/%E6%AF%92%E6%AD%BB%E8%9C%B1?prd=content_doc_search" \o "毒死蜱" </w:instrText>
            </w:r>
            <w:r>
              <w:rPr>
                <w:rFonts w:hint="eastAsia" w:ascii="宋体" w:hAnsi="宋体"/>
                <w:szCs w:val="21"/>
              </w:rPr>
              <w:fldChar w:fldCharType="separate"/>
            </w:r>
            <w:r>
              <w:rPr>
                <w:rFonts w:hint="eastAsia" w:ascii="宋体" w:hAnsi="宋体"/>
                <w:szCs w:val="21"/>
              </w:rPr>
              <w:t>毒死蜱</w:t>
            </w:r>
            <w:r>
              <w:rPr>
                <w:rFonts w:hint="eastAsia" w:ascii="宋体" w:hAnsi="宋体"/>
                <w:szCs w:val="21"/>
              </w:rPr>
              <w:fldChar w:fldCharType="end"/>
            </w:r>
            <w:r>
              <w:rPr>
                <w:rFonts w:hint="eastAsia" w:ascii="宋体" w:hAnsi="宋体"/>
                <w:szCs w:val="21"/>
              </w:rPr>
              <w:t>1000倍液、5%高效氯氰菊酯乳油1000倍液</w:t>
            </w:r>
            <w:r>
              <w:rPr>
                <w:rFonts w:hint="eastAsia" w:ascii="宋体" w:hAnsi="宋体" w:eastAsia="宋体" w:cs="宋体"/>
                <w:b w:val="0"/>
                <w:i w:val="0"/>
                <w:caps w:val="0"/>
                <w:color w:val="333333"/>
                <w:spacing w:val="0"/>
                <w:sz w:val="21"/>
                <w:szCs w:val="21"/>
                <w:shd w:val="clear" w:color="auto" w:fill="FFFFFF"/>
              </w:rPr>
              <w:t>。</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706" w:type="dxa"/>
            <w:noWrap w:val="0"/>
            <w:vAlign w:val="center"/>
          </w:tcPr>
          <w:p>
            <w:pPr>
              <w:spacing w:line="500" w:lineRule="exact"/>
              <w:jc w:val="center"/>
              <w:rPr>
                <w:rFonts w:hint="eastAsia" w:ascii="宋体" w:hAnsi="宋体"/>
                <w:szCs w:val="21"/>
              </w:rPr>
            </w:pPr>
            <w:r>
              <w:rPr>
                <w:rFonts w:hint="eastAsia" w:ascii="宋体" w:hAnsi="宋体"/>
                <w:szCs w:val="21"/>
              </w:rPr>
              <w:t>12</w:t>
            </w:r>
          </w:p>
        </w:tc>
        <w:tc>
          <w:tcPr>
            <w:tcW w:w="1139" w:type="dxa"/>
            <w:noWrap w:val="0"/>
            <w:vAlign w:val="center"/>
          </w:tcPr>
          <w:p>
            <w:pPr>
              <w:jc w:val="center"/>
              <w:rPr>
                <w:rFonts w:hint="eastAsia" w:ascii="宋体" w:hAnsi="宋体" w:eastAsia="宋体"/>
                <w:szCs w:val="21"/>
                <w:lang w:eastAsia="zh-CN"/>
              </w:rPr>
            </w:pPr>
            <w:r>
              <w:rPr>
                <w:rFonts w:hint="eastAsia" w:ascii="宋体" w:hAnsi="宋体"/>
                <w:szCs w:val="21"/>
                <w:lang w:eastAsia="zh-CN"/>
              </w:rPr>
              <w:t>瓜实蝇</w:t>
            </w:r>
          </w:p>
        </w:tc>
        <w:tc>
          <w:tcPr>
            <w:tcW w:w="6801" w:type="dxa"/>
            <w:noWrap w:val="0"/>
            <w:vAlign w:val="center"/>
          </w:tcPr>
          <w:p>
            <w:pPr>
              <w:rPr>
                <w:rFonts w:hint="eastAsia" w:ascii="宋体" w:hAnsi="宋体"/>
                <w:szCs w:val="21"/>
              </w:rPr>
            </w:pPr>
            <w:r>
              <w:rPr>
                <w:rFonts w:hint="eastAsia" w:ascii="宋体" w:hAnsi="宋体"/>
                <w:szCs w:val="21"/>
              </w:rPr>
              <w:t>在幼瓜期，用1000倍锐劲特水溶液，或2500倍功夫水溶液喷洒幼瓜2～3次，每4～5天一次，并及时摘除畸形果，集中园外烧毁或深埋</w:t>
            </w:r>
            <w:r>
              <w:rPr>
                <w:rFonts w:hint="eastAsia" w:ascii="宋体" w:hAnsi="宋体"/>
                <w:szCs w:val="21"/>
                <w:lang w:eastAsia="zh-CN"/>
              </w:rPr>
              <w:t>；或在大棚类悬挂粘蝇板诱杀成虫。</w:t>
            </w:r>
            <w:r>
              <w:rPr>
                <w:rFonts w:hint="eastAsia" w:ascii="宋体" w:hAnsi="宋体"/>
                <w:szCs w:val="21"/>
              </w:rPr>
              <w:t> </w:t>
            </w:r>
          </w:p>
        </w:tc>
        <w:tc>
          <w:tcPr>
            <w:tcW w:w="1276" w:type="dxa"/>
            <w:noWrap w:val="0"/>
            <w:vAlign w:val="top"/>
          </w:tcPr>
          <w:p>
            <w:pPr>
              <w:spacing w:line="400" w:lineRule="exact"/>
              <w:jc w:val="center"/>
              <w:rPr>
                <w:rFonts w:hint="eastAsia" w:ascii="宋体" w:hAnsi="宋体"/>
                <w:szCs w:val="21"/>
              </w:rPr>
            </w:pPr>
            <w:r>
              <w:rPr>
                <w:rFonts w:hint="eastAsia" w:ascii="宋体" w:hAnsi="宋体"/>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06" w:type="dxa"/>
            <w:noWrap w:val="0"/>
            <w:vAlign w:val="top"/>
          </w:tcPr>
          <w:p>
            <w:pPr>
              <w:spacing w:line="500" w:lineRule="exact"/>
              <w:jc w:val="center"/>
              <w:rPr>
                <w:rFonts w:hint="eastAsia" w:ascii="宋体" w:hAnsi="宋体" w:eastAsia="宋体"/>
                <w:szCs w:val="21"/>
                <w:lang w:val="en-US" w:eastAsia="zh-CN"/>
              </w:rPr>
            </w:pPr>
            <w:r>
              <w:rPr>
                <w:rFonts w:hint="eastAsia" w:ascii="宋体" w:hAnsi="宋体"/>
                <w:szCs w:val="21"/>
                <w:lang w:val="en-US" w:eastAsia="zh-CN"/>
              </w:rPr>
              <w:t>13</w:t>
            </w:r>
          </w:p>
        </w:tc>
        <w:tc>
          <w:tcPr>
            <w:tcW w:w="1139" w:type="dxa"/>
            <w:noWrap w:val="0"/>
            <w:vAlign w:val="center"/>
          </w:tcPr>
          <w:p>
            <w:pPr>
              <w:jc w:val="center"/>
              <w:rPr>
                <w:rFonts w:hint="eastAsia" w:ascii="宋体" w:hAnsi="宋体"/>
                <w:szCs w:val="21"/>
                <w:lang w:eastAsia="zh-CN"/>
              </w:rPr>
            </w:pPr>
            <w:r>
              <w:rPr>
                <w:rFonts w:hint="eastAsia" w:ascii="宋体" w:hAnsi="宋体"/>
                <w:szCs w:val="21"/>
                <w:lang w:eastAsia="zh-CN"/>
              </w:rPr>
              <w:t>根结线虫</w:t>
            </w:r>
          </w:p>
        </w:tc>
        <w:tc>
          <w:tcPr>
            <w:tcW w:w="6801" w:type="dxa"/>
            <w:noWrap w:val="0"/>
            <w:vAlign w:val="center"/>
          </w:tcPr>
          <w:p>
            <w:pPr>
              <w:jc w:val="center"/>
              <w:rPr>
                <w:rFonts w:hint="eastAsia" w:ascii="宋体" w:hAnsi="宋体"/>
                <w:szCs w:val="21"/>
              </w:rPr>
            </w:pPr>
            <w:r>
              <w:rPr>
                <w:rFonts w:hint="eastAsia" w:ascii="宋体" w:hAnsi="宋体"/>
                <w:szCs w:val="21"/>
                <w:lang w:eastAsia="zh-CN"/>
              </w:rPr>
              <w:t>幼苗</w:t>
            </w:r>
            <w:r>
              <w:rPr>
                <w:rFonts w:hint="eastAsia" w:ascii="宋体" w:hAnsi="宋体"/>
                <w:szCs w:val="21"/>
              </w:rPr>
              <w:t>成</w:t>
            </w:r>
            <w:r>
              <w:rPr>
                <w:rFonts w:hint="eastAsia" w:ascii="宋体" w:hAnsi="宋体"/>
                <w:szCs w:val="21"/>
                <w:lang w:eastAsia="zh-CN"/>
              </w:rPr>
              <w:t>活</w:t>
            </w:r>
            <w:r>
              <w:rPr>
                <w:rFonts w:hint="eastAsia" w:ascii="宋体" w:hAnsi="宋体"/>
                <w:szCs w:val="21"/>
              </w:rPr>
              <w:t>后用</w:t>
            </w:r>
            <w:r>
              <w:rPr>
                <w:rFonts w:hint="eastAsia" w:ascii="宋体" w:hAnsi="宋体"/>
                <w:szCs w:val="21"/>
                <w:lang w:eastAsia="zh-CN"/>
              </w:rPr>
              <w:t>根线宝或</w:t>
            </w:r>
            <w:r>
              <w:rPr>
                <w:rFonts w:hint="eastAsia" w:ascii="宋体" w:hAnsi="宋体"/>
                <w:szCs w:val="21"/>
              </w:rPr>
              <w:t>750倍液噻唑膦200毫升灌蔸预防根结线虫病</w:t>
            </w:r>
            <w:r>
              <w:rPr>
                <w:rFonts w:hint="eastAsia" w:ascii="宋体" w:hAnsi="宋体"/>
                <w:szCs w:val="21"/>
                <w:lang w:eastAsia="zh-CN"/>
              </w:rPr>
              <w:t>。</w:t>
            </w:r>
          </w:p>
        </w:tc>
        <w:tc>
          <w:tcPr>
            <w:tcW w:w="1276" w:type="dxa"/>
            <w:noWrap w:val="0"/>
            <w:vAlign w:val="top"/>
          </w:tcPr>
          <w:p>
            <w:pPr>
              <w:spacing w:line="400" w:lineRule="exact"/>
              <w:jc w:val="center"/>
              <w:rPr>
                <w:rFonts w:hint="eastAsia" w:ascii="宋体" w:hAnsi="宋体"/>
                <w:szCs w:val="21"/>
              </w:rPr>
            </w:pPr>
          </w:p>
        </w:tc>
      </w:tr>
    </w:tbl>
    <w:p>
      <w:pPr>
        <w:widowControl/>
        <w:jc w:val="left"/>
        <w:rPr>
          <w:rFonts w:ascii="Times New Roman" w:hAnsi="Times New Roman" w:eastAsia="宋体"/>
          <w:sz w:val="24"/>
          <w:szCs w:val="24"/>
        </w:rPr>
      </w:pPr>
      <w:r>
        <w:rPr>
          <w:rFonts w:ascii="Times New Roman" w:hAnsi="Times New Roman" w:eastAsia="宋体"/>
          <w:sz w:val="24"/>
          <w:szCs w:val="24"/>
        </w:rPr>
        <w:br w:type="page"/>
      </w:r>
    </w:p>
    <w:p>
      <w:pPr>
        <w:pStyle w:val="10"/>
        <w:spacing w:line="324" w:lineRule="exact"/>
        <w:jc w:val="center"/>
        <w:rPr>
          <w:rFonts w:hint="default" w:ascii="Times New Roman" w:hAnsi="Times New Roman" w:eastAsia="宋体"/>
          <w:b/>
          <w:sz w:val="24"/>
          <w:szCs w:val="24"/>
        </w:rPr>
      </w:pPr>
      <w:r>
        <w:rPr>
          <w:rFonts w:hint="default" w:ascii="Times New Roman" w:hAnsi="Times New Roman" w:eastAsia="宋体"/>
          <w:b/>
          <w:sz w:val="24"/>
          <w:szCs w:val="24"/>
        </w:rPr>
        <w:t>附录B</w:t>
      </w:r>
    </w:p>
    <w:p>
      <w:pPr>
        <w:spacing w:after="156" w:afterLines="50" w:line="324" w:lineRule="exact"/>
        <w:jc w:val="center"/>
        <w:rPr>
          <w:rFonts w:ascii="Times New Roman" w:hAnsi="Times New Roman" w:eastAsia="宋体"/>
          <w:b/>
          <w:sz w:val="24"/>
          <w:szCs w:val="24"/>
        </w:rPr>
      </w:pPr>
      <w:r>
        <w:rPr>
          <w:rFonts w:ascii="Times New Roman" w:hAnsi="Times New Roman" w:eastAsia="宋体"/>
          <w:b/>
          <w:sz w:val="24"/>
          <w:szCs w:val="24"/>
        </w:rPr>
        <w:t>（规范性目录）</w:t>
      </w:r>
    </w:p>
    <w:p>
      <w:pPr>
        <w:spacing w:after="156" w:afterLines="50" w:line="324" w:lineRule="exact"/>
        <w:ind w:firstLine="3132" w:firstLineChars="1300"/>
        <w:rPr>
          <w:rFonts w:ascii="Times New Roman" w:hAnsi="Times New Roman" w:eastAsia="宋体"/>
          <w:b/>
          <w:sz w:val="24"/>
          <w:szCs w:val="24"/>
        </w:rPr>
      </w:pPr>
      <w:r>
        <w:rPr>
          <w:rFonts w:hint="eastAsia" w:ascii="Times New Roman" w:hAnsi="Times New Roman" w:eastAsia="宋体"/>
          <w:b/>
          <w:sz w:val="24"/>
          <w:szCs w:val="24"/>
        </w:rPr>
        <w:t>苦瓜</w:t>
      </w:r>
      <w:r>
        <w:rPr>
          <w:rFonts w:hint="eastAsia" w:ascii="Times New Roman" w:hAnsi="Times New Roman" w:eastAsia="宋体"/>
          <w:b/>
          <w:sz w:val="24"/>
          <w:szCs w:val="24"/>
          <w:lang w:val="en-US" w:eastAsia="zh-CN"/>
        </w:rPr>
        <w:t>杂交制种</w:t>
      </w:r>
      <w:r>
        <w:rPr>
          <w:rFonts w:hint="eastAsia" w:ascii="Times New Roman" w:hAnsi="Times New Roman" w:eastAsia="宋体"/>
          <w:b/>
          <w:sz w:val="24"/>
          <w:szCs w:val="24"/>
        </w:rPr>
        <w:t>繁育</w:t>
      </w:r>
      <w:r>
        <w:rPr>
          <w:rFonts w:ascii="Times New Roman" w:hAnsi="Times New Roman" w:eastAsia="宋体"/>
          <w:b/>
          <w:sz w:val="24"/>
          <w:szCs w:val="24"/>
        </w:rPr>
        <w:t>档案</w:t>
      </w:r>
    </w:p>
    <w:p>
      <w:pPr>
        <w:spacing w:after="156" w:afterLines="50" w:line="324" w:lineRule="exact"/>
        <w:ind w:firstLine="241" w:firstLineChars="100"/>
        <w:jc w:val="center"/>
        <w:rPr>
          <w:rFonts w:ascii="Times New Roman" w:hAnsi="Times New Roman" w:eastAsia="宋体"/>
          <w:b/>
          <w:bCs/>
          <w:kern w:val="0"/>
          <w:sz w:val="24"/>
          <w:szCs w:val="24"/>
        </w:rPr>
      </w:pPr>
      <w:r>
        <w:rPr>
          <w:rFonts w:hint="eastAsia" w:ascii="Times New Roman" w:hAnsi="Times New Roman" w:eastAsia="宋体"/>
          <w:b/>
          <w:bCs/>
          <w:kern w:val="0"/>
          <w:sz w:val="24"/>
          <w:szCs w:val="24"/>
        </w:rPr>
        <w:t>表</w:t>
      </w:r>
      <w:r>
        <w:rPr>
          <w:rFonts w:ascii="Times New Roman" w:hAnsi="Times New Roman" w:eastAsia="宋体"/>
          <w:b/>
          <w:bCs/>
          <w:kern w:val="0"/>
          <w:sz w:val="24"/>
          <w:szCs w:val="24"/>
        </w:rPr>
        <w:t>B.1 农事活动记载表</w:t>
      </w:r>
    </w:p>
    <w:tbl>
      <w:tblPr>
        <w:tblStyle w:val="7"/>
        <w:tblW w:w="93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7"/>
        <w:gridCol w:w="706"/>
        <w:gridCol w:w="2158"/>
        <w:gridCol w:w="1417"/>
        <w:gridCol w:w="1560"/>
        <w:gridCol w:w="1417"/>
        <w:gridCol w:w="13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5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hint="eastAsia" w:ascii="Times New Roman" w:hAnsi="Times New Roman" w:eastAsia="宋体"/>
                <w:szCs w:val="21"/>
                <w:lang w:val="en-US" w:eastAsia="zh-CN"/>
              </w:rPr>
              <w:t>田块</w:t>
            </w:r>
            <w:r>
              <w:rPr>
                <w:rFonts w:ascii="Times New Roman" w:hAnsi="Times New Roman" w:eastAsia="宋体"/>
                <w:szCs w:val="21"/>
              </w:rPr>
              <w:t>名称</w:t>
            </w:r>
          </w:p>
        </w:tc>
        <w:tc>
          <w:tcPr>
            <w:tcW w:w="215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序号</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土壤种类、肥力、前茬作物</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操作日期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操作内容与方法</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完成情况及效果</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1</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tabs>
                <w:tab w:val="left" w:pos="603"/>
              </w:tabs>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2</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w:t>
            </w:r>
          </w:p>
        </w:tc>
        <w:tc>
          <w:tcPr>
            <w:tcW w:w="28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0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spacing w:after="156" w:afterLines="50" w:line="324" w:lineRule="exact"/>
        <w:rPr>
          <w:rFonts w:ascii="Times New Roman" w:hAnsi="Times New Roman" w:eastAsia="宋体"/>
          <w:kern w:val="0"/>
          <w:sz w:val="24"/>
          <w:szCs w:val="24"/>
        </w:rPr>
      </w:pPr>
    </w:p>
    <w:p>
      <w:pPr>
        <w:spacing w:after="156" w:afterLines="50" w:line="324" w:lineRule="exact"/>
        <w:ind w:firstLine="241" w:firstLineChars="100"/>
        <w:jc w:val="center"/>
        <w:rPr>
          <w:rFonts w:ascii="Times New Roman" w:hAnsi="Times New Roman" w:eastAsia="宋体"/>
          <w:b/>
          <w:bCs/>
          <w:kern w:val="0"/>
          <w:sz w:val="24"/>
          <w:szCs w:val="24"/>
        </w:rPr>
      </w:pPr>
      <w:r>
        <w:rPr>
          <w:rFonts w:ascii="Times New Roman" w:hAnsi="Times New Roman" w:eastAsia="宋体"/>
          <w:b/>
          <w:bCs/>
          <w:kern w:val="0"/>
          <w:sz w:val="24"/>
          <w:szCs w:val="24"/>
        </w:rPr>
        <w:t>B.2投入品使用记载表</w:t>
      </w:r>
    </w:p>
    <w:tbl>
      <w:tblPr>
        <w:tblStyle w:val="7"/>
        <w:tblW w:w="9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91"/>
        <w:gridCol w:w="988"/>
        <w:gridCol w:w="843"/>
        <w:gridCol w:w="844"/>
        <w:gridCol w:w="1292"/>
        <w:gridCol w:w="1085"/>
        <w:gridCol w:w="995"/>
        <w:gridCol w:w="1106"/>
        <w:gridCol w:w="13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77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hint="eastAsia" w:ascii="Times New Roman" w:hAnsi="Times New Roman" w:eastAsia="宋体"/>
                <w:szCs w:val="21"/>
                <w:lang w:val="en-US" w:eastAsia="zh-CN"/>
              </w:rPr>
              <w:t>田块</w:t>
            </w:r>
            <w:r>
              <w:rPr>
                <w:rFonts w:ascii="Times New Roman" w:hAnsi="Times New Roman" w:eastAsia="宋体"/>
                <w:szCs w:val="21"/>
              </w:rPr>
              <w:t>名称</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2136"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250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序号</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品名</w:t>
            </w: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种类</w:t>
            </w: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来源</w:t>
            </w: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使用日期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用量</w:t>
            </w: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方法</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效果</w:t>
            </w: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1</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2</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79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w:t>
            </w:r>
          </w:p>
        </w:tc>
        <w:tc>
          <w:tcPr>
            <w:tcW w:w="98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84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29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0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99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39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spacing w:after="156" w:afterLines="50" w:line="324" w:lineRule="exact"/>
        <w:rPr>
          <w:rFonts w:ascii="Times New Roman" w:hAnsi="Times New Roman" w:eastAsia="宋体"/>
          <w:kern w:val="0"/>
          <w:sz w:val="24"/>
          <w:szCs w:val="24"/>
        </w:rPr>
      </w:pPr>
    </w:p>
    <w:p>
      <w:pPr>
        <w:spacing w:after="156" w:afterLines="50" w:line="324" w:lineRule="exact"/>
        <w:ind w:firstLine="241" w:firstLineChars="100"/>
        <w:jc w:val="center"/>
        <w:rPr>
          <w:rFonts w:ascii="Times New Roman" w:hAnsi="Times New Roman" w:eastAsia="宋体"/>
          <w:b/>
          <w:bCs/>
          <w:kern w:val="0"/>
          <w:sz w:val="24"/>
          <w:szCs w:val="24"/>
        </w:rPr>
      </w:pPr>
      <w:r>
        <w:rPr>
          <w:rFonts w:ascii="Times New Roman" w:hAnsi="Times New Roman" w:eastAsia="宋体"/>
          <w:b/>
          <w:bCs/>
          <w:kern w:val="0"/>
          <w:sz w:val="24"/>
          <w:szCs w:val="24"/>
        </w:rPr>
        <w:t>B.3物候期记载表</w:t>
      </w:r>
    </w:p>
    <w:tbl>
      <w:tblPr>
        <w:tblStyle w:val="7"/>
        <w:tblW w:w="93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306"/>
        <w:gridCol w:w="1434"/>
        <w:gridCol w:w="1638"/>
        <w:gridCol w:w="1639"/>
        <w:gridCol w:w="23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0" w:hRule="atLeast"/>
          <w:jc w:val="center"/>
        </w:trPr>
        <w:tc>
          <w:tcPr>
            <w:tcW w:w="374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面积(667㎡)</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品种</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育苗期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移栽期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始收期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终收期</w:t>
            </w:r>
          </w:p>
          <w:p>
            <w:pPr>
              <w:spacing w:line="260" w:lineRule="exact"/>
              <w:jc w:val="center"/>
              <w:rPr>
                <w:rFonts w:ascii="Times New Roman" w:hAnsi="Times New Roman" w:eastAsia="宋体"/>
                <w:szCs w:val="21"/>
              </w:rPr>
            </w:pPr>
            <w:r>
              <w:rPr>
                <w:rFonts w:ascii="Times New Roman" w:hAnsi="Times New Roman" w:eastAsia="宋体"/>
                <w:szCs w:val="21"/>
              </w:rPr>
              <w:t>(月、日)</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r>
              <w:rPr>
                <w:rFonts w:ascii="Times New Roman" w:hAnsi="Times New Roman" w:eastAsia="宋体"/>
                <w:szCs w:val="21"/>
              </w:rPr>
              <w:t>记载人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2" w:hRule="atLeast"/>
          <w:jc w:val="center"/>
        </w:trPr>
        <w:tc>
          <w:tcPr>
            <w:tcW w:w="2306"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8"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16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c>
          <w:tcPr>
            <w:tcW w:w="233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Times New Roman" w:hAnsi="Times New Roman" w:eastAsia="宋体"/>
                <w:szCs w:val="21"/>
              </w:rPr>
            </w:pPr>
          </w:p>
        </w:tc>
      </w:tr>
    </w:tbl>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ascii="Times New Roman" w:hAnsi="Times New Roman" w:eastAsia="宋体"/>
          <w:sz w:val="24"/>
          <w:szCs w:val="24"/>
        </w:rPr>
      </w:pPr>
    </w:p>
    <w:p>
      <w:pPr>
        <w:rPr>
          <w:rFonts w:hint="eastAsia" w:ascii="Times New Roman" w:hAnsi="Times New Roman" w:eastAsia="宋体"/>
          <w:b/>
          <w:sz w:val="24"/>
          <w:szCs w:val="24"/>
        </w:rPr>
      </w:pPr>
    </w:p>
    <w:sectPr>
      <w:footerReference r:id="rId3"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1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33E5"/>
    <w:rsid w:val="00030A38"/>
    <w:rsid w:val="000336E4"/>
    <w:rsid w:val="00085BA1"/>
    <w:rsid w:val="000A192C"/>
    <w:rsid w:val="000E2019"/>
    <w:rsid w:val="002548F4"/>
    <w:rsid w:val="00267214"/>
    <w:rsid w:val="002810D8"/>
    <w:rsid w:val="00300717"/>
    <w:rsid w:val="00325758"/>
    <w:rsid w:val="00352CCB"/>
    <w:rsid w:val="00381ACD"/>
    <w:rsid w:val="003A5FB1"/>
    <w:rsid w:val="003D4823"/>
    <w:rsid w:val="004448BC"/>
    <w:rsid w:val="004D0F28"/>
    <w:rsid w:val="00503F52"/>
    <w:rsid w:val="005041F2"/>
    <w:rsid w:val="005168A1"/>
    <w:rsid w:val="0055130A"/>
    <w:rsid w:val="00554571"/>
    <w:rsid w:val="00581D91"/>
    <w:rsid w:val="006379B2"/>
    <w:rsid w:val="0065440C"/>
    <w:rsid w:val="00753253"/>
    <w:rsid w:val="00764761"/>
    <w:rsid w:val="007C10B0"/>
    <w:rsid w:val="007F68AC"/>
    <w:rsid w:val="00847833"/>
    <w:rsid w:val="00890809"/>
    <w:rsid w:val="00892817"/>
    <w:rsid w:val="008B05AF"/>
    <w:rsid w:val="00965FE7"/>
    <w:rsid w:val="009D588D"/>
    <w:rsid w:val="00B718E5"/>
    <w:rsid w:val="00BC3153"/>
    <w:rsid w:val="00C56D2F"/>
    <w:rsid w:val="00CA1BA8"/>
    <w:rsid w:val="00D533AF"/>
    <w:rsid w:val="00D7348E"/>
    <w:rsid w:val="00D91A70"/>
    <w:rsid w:val="00DB7071"/>
    <w:rsid w:val="00DD13A3"/>
    <w:rsid w:val="00E062FE"/>
    <w:rsid w:val="00E729B5"/>
    <w:rsid w:val="00E7429A"/>
    <w:rsid w:val="00E82E13"/>
    <w:rsid w:val="00E953A7"/>
    <w:rsid w:val="00EB3F85"/>
    <w:rsid w:val="00EE2394"/>
    <w:rsid w:val="00EE5040"/>
    <w:rsid w:val="00F1444C"/>
    <w:rsid w:val="00F5180E"/>
    <w:rsid w:val="00F54305"/>
    <w:rsid w:val="03C17DA5"/>
    <w:rsid w:val="04A21E74"/>
    <w:rsid w:val="176B2ADA"/>
    <w:rsid w:val="2C0C0C3D"/>
    <w:rsid w:val="35647AAE"/>
    <w:rsid w:val="3FAC5BE8"/>
    <w:rsid w:val="48133BE8"/>
    <w:rsid w:val="4A2F0269"/>
    <w:rsid w:val="4EA6438E"/>
    <w:rsid w:val="56214847"/>
    <w:rsid w:val="6433261F"/>
    <w:rsid w:val="694A2415"/>
    <w:rsid w:val="73126618"/>
    <w:rsid w:val="73BA3881"/>
    <w:rsid w:val="77071D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3">
    <w:name w:val="footer"/>
    <w:basedOn w:val="1"/>
    <w:link w:val="18"/>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Lines="25" w:afterLines="25"/>
      <w:jc w:val="left"/>
    </w:pPr>
    <w:rPr>
      <w:rFonts w:ascii="宋体"/>
      <w:szCs w:val="21"/>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Arial Unicode MS" w:hAnsi="Arial Unicode MS" w:eastAsia="Arial Unicode MS" w:cs="Times New Roman"/>
      <w:kern w:val="0"/>
      <w:sz w:val="20"/>
      <w:szCs w:val="20"/>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Calibri" w:cs="Times New Roman"/>
      <w:sz w:val="21"/>
      <w:lang w:val="en-US" w:eastAsia="zh-CN" w:bidi="ar-SA"/>
    </w:rPr>
  </w:style>
  <w:style w:type="paragraph" w:customStyle="1" w:styleId="12">
    <w:name w:val="一级条标题"/>
    <w:next w:val="11"/>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3">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styleId="15">
    <w:name w:val="List Paragraph"/>
    <w:basedOn w:val="1"/>
    <w:qFormat/>
    <w:uiPriority w:val="34"/>
    <w:pPr>
      <w:ind w:firstLine="420" w:firstLineChars="200"/>
    </w:pPr>
  </w:style>
  <w:style w:type="paragraph" w:customStyle="1" w:styleId="16">
    <w:name w:val="章标题"/>
    <w:next w:val="11"/>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7">
    <w:name w:val="标准书脚_奇数页"/>
    <w:qFormat/>
    <w:uiPriority w:val="0"/>
    <w:pPr>
      <w:spacing w:before="120"/>
      <w:ind w:right="198"/>
      <w:jc w:val="right"/>
    </w:pPr>
    <w:rPr>
      <w:rFonts w:ascii="宋体" w:hAnsi="Times New Roman" w:eastAsia="Calibri" w:cs="Times New Roman"/>
      <w:sz w:val="18"/>
      <w:szCs w:val="18"/>
      <w:lang w:val="en-US" w:eastAsia="zh-CN" w:bidi="ar-SA"/>
    </w:rPr>
  </w:style>
  <w:style w:type="character" w:customStyle="1" w:styleId="18">
    <w:name w:val="页脚 Char"/>
    <w:basedOn w:val="9"/>
    <w:link w:val="3"/>
    <w:qFormat/>
    <w:uiPriority w:val="99"/>
    <w:rPr>
      <w:sz w:val="18"/>
      <w:szCs w:val="18"/>
    </w:rPr>
  </w:style>
  <w:style w:type="character" w:customStyle="1" w:styleId="19">
    <w:name w:val="页眉 Char"/>
    <w:basedOn w:val="9"/>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568</Words>
  <Characters>3240</Characters>
  <Lines>27</Lines>
  <Paragraphs>7</Paragraphs>
  <TotalTime>1</TotalTime>
  <ScaleCrop>false</ScaleCrop>
  <LinksUpToDate>false</LinksUpToDate>
  <CharactersWithSpaces>3801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2019-11-22T14:22:00Z</dcterms:created>
  <dc:creator>blue9</dc:creator>
  <cp:lastModifiedBy>亦苦丝甜</cp:lastModifiedBy>
  <dcterms:modified xsi:type="dcterms:W3CDTF">2020-12-10T08:14:41Z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