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50B" w:rsidRDefault="000B3F50">
      <w:pPr>
        <w:jc w:val="right"/>
        <w:rPr>
          <w:rFonts w:ascii="方正小标宋简体" w:eastAsia="方正小标宋简体" w:hAnsi="黑体"/>
          <w:sz w:val="84"/>
          <w:szCs w:val="84"/>
        </w:rPr>
      </w:pPr>
      <w:r>
        <w:rPr>
          <w:rFonts w:ascii="方正小标宋简体" w:eastAsia="方正小标宋简体" w:hAnsi="黑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-151765</wp:posOffset>
                </wp:positionV>
                <wp:extent cx="1247140" cy="900430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140" cy="9004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050B" w:rsidRDefault="000B3F50">
                            <w:pPr>
                              <w:jc w:val="left"/>
                              <w:rPr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32"/>
                              </w:rPr>
                              <w:t>CS XX.XX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32"/>
                              </w:rPr>
                              <w:br/>
                              <w:t>NXX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6" style="position:absolute;left:0;text-align:left;margin-left:5.45pt;margin-top:-11.95pt;width:98.2pt;height:70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" fillcolor="white [3212]" stroked="f" strokeweight="1pt">
                <v:textbox>
                  <w:txbxContent>
                    <w:p w:rsidR="0069050B" w:rsidRDefault="000B3F50">
                      <w:pPr>
                        <w:jc w:val="left"/>
                        <w:rPr>
                          <w:color w:val="000000" w:themeColor="text1"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32"/>
                        </w:rPr>
                        <w:t>I</w:t>
                      </w:r>
                      <w:r>
                        <w:rPr>
                          <w:color w:val="000000" w:themeColor="text1"/>
                          <w:sz w:val="28"/>
                          <w:szCs w:val="32"/>
                        </w:rPr>
                        <w:t>CS XX.XX</w:t>
                      </w:r>
                      <w:r>
                        <w:rPr>
                          <w:color w:val="000000" w:themeColor="text1"/>
                          <w:sz w:val="28"/>
                          <w:szCs w:val="32"/>
                        </w:rPr>
                        <w:br/>
                        <w:t>NXX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 w:hAnsi="黑体"/>
          <w:sz w:val="96"/>
          <w:szCs w:val="96"/>
        </w:rPr>
        <w:t>DB</w:t>
      </w:r>
    </w:p>
    <w:p w:rsidR="0069050B" w:rsidRDefault="000B3F50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hint="eastAsia"/>
          <w:spacing w:val="320"/>
          <w:kern w:val="20"/>
          <w:sz w:val="72"/>
          <w:szCs w:val="72"/>
        </w:rPr>
        <w:t>湖南省地方标</w:t>
      </w:r>
      <w:r>
        <w:rPr>
          <w:rFonts w:hint="eastAsia"/>
          <w:spacing w:val="20"/>
          <w:kern w:val="20"/>
          <w:sz w:val="72"/>
          <w:szCs w:val="72"/>
        </w:rPr>
        <w:t>准</w:t>
      </w:r>
      <w:r>
        <w:rPr>
          <w:sz w:val="32"/>
          <w:szCs w:val="36"/>
        </w:rPr>
        <w:t>DB43/T  XXX-</w:t>
      </w:r>
      <w:r>
        <w:rPr>
          <w:rFonts w:hint="eastAsia"/>
          <w:sz w:val="32"/>
          <w:szCs w:val="36"/>
        </w:rPr>
        <w:t>2020</w:t>
      </w:r>
    </w:p>
    <w:p w:rsidR="0069050B" w:rsidRDefault="000B3F50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34925</wp:posOffset>
                </wp:positionV>
                <wp:extent cx="5791200" cy="0"/>
                <wp:effectExtent l="14605" t="8255" r="13970" b="1079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psCustomData="http://www.wps.cn/officeDocument/2013/wpsCustomData">
            <w:pict>
              <v:line id="Line 5" o:spid="_x0000_s1026" o:spt="20" style="position:absolute;left:0pt;margin-left:0pt;margin-top:2.75pt;height:0pt;width:456pt;z-index:251661312;mso-width-relative:page;mso-height-relative:page;" filled="f" stroked="t" coordsize="21600,21600" o:gfxdata="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I0nu4LUAAAABAEAAA8AAAAAAAAAAQAgAAAAIgAAAGRycy9kb3ducmV2&#10;LnhtbFBLAQIUABQAAAAIAIdO4kBsVy3ixwEAAJUDAAAOAAAAAAAAAAEAIAAAACMBAABkcnMvZTJv&#10;RG9jLnhtbFBLBQYAAAAABgAGAFkBAABcBQAAAAA=&#10;">
                <v:fill on="f" focussize="0,0"/>
                <v:stroke weight="1pt" color="#000000 [3229]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69050B" w:rsidRDefault="0069050B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</w:p>
    <w:p w:rsidR="0069050B" w:rsidRDefault="0069050B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</w:p>
    <w:p w:rsidR="0069050B" w:rsidRDefault="0069050B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</w:p>
    <w:p w:rsidR="0069050B" w:rsidRDefault="000B3F50">
      <w:pPr>
        <w:jc w:val="center"/>
        <w:rPr>
          <w:rFonts w:ascii="黑体" w:eastAsia="黑体" w:hAnsi="黑体"/>
          <w:sz w:val="52"/>
          <w:szCs w:val="52"/>
        </w:rPr>
      </w:pPr>
      <w:bookmarkStart w:id="0" w:name="_Hlk41742152"/>
      <w:r>
        <w:rPr>
          <w:rFonts w:ascii="黑体" w:eastAsia="黑体" w:hAnsi="黑体" w:hint="eastAsia"/>
          <w:sz w:val="52"/>
          <w:szCs w:val="52"/>
        </w:rPr>
        <w:t>绿色设计产品评价技术规范</w:t>
      </w:r>
    </w:p>
    <w:p w:rsidR="0069050B" w:rsidRDefault="000B3F50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智能计量插座</w:t>
      </w:r>
      <w:bookmarkEnd w:id="0"/>
    </w:p>
    <w:p w:rsidR="0069050B" w:rsidRDefault="000B3F50">
      <w:pPr>
        <w:jc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>T</w:t>
      </w:r>
      <w:r>
        <w:rPr>
          <w:sz w:val="32"/>
          <w:szCs w:val="36"/>
        </w:rPr>
        <w:t>echnical specifications for green-design product assessment</w:t>
      </w:r>
      <w:r>
        <w:rPr>
          <w:rFonts w:hint="eastAsia"/>
          <w:sz w:val="32"/>
          <w:szCs w:val="36"/>
        </w:rPr>
        <w:t>—</w:t>
      </w:r>
    </w:p>
    <w:p w:rsidR="0069050B" w:rsidRDefault="000B3F50">
      <w:pPr>
        <w:jc w:val="center"/>
        <w:rPr>
          <w:sz w:val="32"/>
          <w:szCs w:val="36"/>
        </w:rPr>
      </w:pPr>
      <w:r>
        <w:rPr>
          <w:sz w:val="32"/>
          <w:szCs w:val="36"/>
        </w:rPr>
        <w:t>Intelligent metering socket</w:t>
      </w:r>
    </w:p>
    <w:p w:rsidR="0069050B" w:rsidRDefault="0069050B">
      <w:pPr>
        <w:jc w:val="center"/>
        <w:rPr>
          <w:sz w:val="32"/>
          <w:szCs w:val="36"/>
        </w:rPr>
      </w:pPr>
    </w:p>
    <w:p w:rsidR="0069050B" w:rsidRDefault="0069050B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</w:p>
    <w:p w:rsidR="0069050B" w:rsidRDefault="0069050B">
      <w:pPr>
        <w:rPr>
          <w:rFonts w:ascii="宋体" w:eastAsia="宋体" w:hAnsi="宋体"/>
          <w:sz w:val="32"/>
          <w:szCs w:val="36"/>
        </w:rPr>
      </w:pPr>
    </w:p>
    <w:p w:rsidR="0069050B" w:rsidRDefault="0069050B" w:rsidP="00361851">
      <w:pPr>
        <w:rPr>
          <w:rFonts w:ascii="宋体" w:eastAsia="宋体" w:hAnsi="宋体"/>
          <w:sz w:val="32"/>
          <w:szCs w:val="36"/>
        </w:rPr>
      </w:pPr>
    </w:p>
    <w:p w:rsidR="0069050B" w:rsidRDefault="000B3F50">
      <w:pPr>
        <w:spacing w:line="500" w:lineRule="exact"/>
        <w:ind w:rightChars="-171" w:right="-359" w:firstLineChars="50" w:firstLine="150"/>
        <w:rPr>
          <w:rFonts w:ascii="方正黑体简体" w:eastAsia="方正黑体简体"/>
          <w:bCs/>
          <w:color w:val="000000"/>
          <w:sz w:val="28"/>
          <w:szCs w:val="28"/>
        </w:rPr>
      </w:pPr>
      <w:r>
        <w:rPr>
          <w:rFonts w:ascii="方正黑体简体" w:eastAsia="方正黑体简体" w:hint="eastAsia"/>
          <w:bCs/>
          <w:color w:val="000000"/>
          <w:sz w:val="30"/>
          <w:szCs w:val="30"/>
        </w:rPr>
        <w:t xml:space="preserve">2020-**-**发布         　　</w:t>
      </w:r>
      <w:proofErr w:type="gramStart"/>
      <w:r>
        <w:rPr>
          <w:rFonts w:ascii="方正黑体简体" w:eastAsia="方正黑体简体" w:hint="eastAsia"/>
          <w:bCs/>
          <w:color w:val="000000"/>
          <w:sz w:val="30"/>
          <w:szCs w:val="30"/>
        </w:rPr>
        <w:t xml:space="preserve">　</w:t>
      </w:r>
      <w:proofErr w:type="gramEnd"/>
      <w:r>
        <w:rPr>
          <w:rFonts w:ascii="方正黑体简体" w:eastAsia="方正黑体简体" w:hint="eastAsia"/>
          <w:bCs/>
          <w:color w:val="000000"/>
          <w:sz w:val="30"/>
          <w:szCs w:val="30"/>
        </w:rPr>
        <w:t xml:space="preserve">                 2020-**-**实施</w:t>
      </w:r>
    </w:p>
    <w:p w:rsidR="0069050B" w:rsidRDefault="000B3F50">
      <w:pPr>
        <w:jc w:val="center"/>
        <w:rPr>
          <w:rFonts w:ascii="宋体" w:eastAsia="宋体" w:hAnsi="宋体"/>
          <w:sz w:val="32"/>
          <w:szCs w:val="36"/>
        </w:rPr>
      </w:pPr>
      <w:r>
        <w:rPr>
          <w:rFonts w:ascii="宋体" w:eastAsia="宋体" w:hAnsi="宋体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71120</wp:posOffset>
                </wp:positionV>
                <wp:extent cx="5781675" cy="9525"/>
                <wp:effectExtent l="0" t="0" r="28575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1675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psCustomData="http://www.wps.cn/officeDocument/2013/wpsCustomData">
            <w:pict>
              <v:line id="_x0000_s1026" o:spid="_x0000_s1026" o:spt="20" style="position:absolute;left:0pt;flip:y;margin-top:5.6pt;height:0.75pt;width:455.25pt;mso-position-horizontal:right;mso-position-horizontal-relative:margin;z-index:251665408;mso-width-relative:page;mso-height-relative:page;" filled="f" stroked="t" coordsize="21600,21600" o:gfxdata="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9Y6VjTAAAABgEAAA8AAAAAAAAAAQAgAAAAIgAAAGRy&#10;cy9kb3ducmV2LnhtbFBLAQIUABQAAAAIAIdO4kBnE5Rn0QEAAHEDAAAOAAAAAAAAAAEAIAAAACIB&#10;AABkcnMvZTJvRG9jLnhtbFBLBQYAAAAABgAGAFkBAABl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69050B" w:rsidRDefault="000B3F50">
      <w:pPr>
        <w:ind w:firstLineChars="200" w:firstLine="1116"/>
        <w:rPr>
          <w:color w:val="000000"/>
        </w:rPr>
      </w:pPr>
      <w:r>
        <w:rPr>
          <w:rFonts w:ascii="方正黑体简体" w:eastAsia="方正黑体简体" w:hint="eastAsia"/>
          <w:bCs/>
          <w:color w:val="000000"/>
          <w:spacing w:val="24"/>
          <w:w w:val="150"/>
          <w:sz w:val="34"/>
          <w:szCs w:val="34"/>
        </w:rPr>
        <w:t>湖南省市场监督管理局</w:t>
      </w:r>
      <w:r>
        <w:rPr>
          <w:rFonts w:ascii="方正黑体简体" w:eastAsia="方正黑体简体" w:hint="eastAsia"/>
          <w:bCs/>
          <w:color w:val="000000"/>
          <w:spacing w:val="20"/>
          <w:sz w:val="34"/>
          <w:szCs w:val="34"/>
        </w:rPr>
        <w:t xml:space="preserve">  </w:t>
      </w:r>
      <w:r>
        <w:rPr>
          <w:rFonts w:ascii="方正黑体简体" w:eastAsia="方正黑体简体" w:hint="eastAsia"/>
          <w:bCs/>
          <w:color w:val="000000"/>
          <w:sz w:val="30"/>
          <w:szCs w:val="30"/>
        </w:rPr>
        <w:t>发 布</w:t>
      </w:r>
    </w:p>
    <w:p w:rsidR="0069050B" w:rsidRDefault="00361851">
      <w:pPr>
        <w:spacing w:line="360" w:lineRule="auto"/>
        <w:jc w:val="center"/>
        <w:rPr>
          <w:rFonts w:ascii="黑体" w:eastAsia="黑体" w:hAnsi="黑体"/>
          <w:b/>
          <w:sz w:val="28"/>
          <w:szCs w:val="28"/>
        </w:rPr>
        <w:sectPr w:rsidR="0069050B">
          <w:headerReference w:type="default" r:id="rId9"/>
          <w:pgSz w:w="11906" w:h="16838"/>
          <w:pgMar w:top="1134" w:right="1418" w:bottom="1134" w:left="1418" w:header="851" w:footer="992" w:gutter="0"/>
          <w:cols w:space="425"/>
          <w:titlePg/>
          <w:docGrid w:type="lines" w:linePitch="312"/>
        </w:sectPr>
      </w:pPr>
      <w:r>
        <w:rPr>
          <w:rFonts w:ascii="黑体" w:eastAsia="黑体" w:hAnsi="黑体" w:hint="eastAsia"/>
          <w:b/>
          <w:sz w:val="28"/>
          <w:szCs w:val="28"/>
        </w:rPr>
        <w:t xml:space="preserve">                     </w:t>
      </w:r>
    </w:p>
    <w:p w:rsidR="0069050B" w:rsidRDefault="0069050B" w:rsidP="00361851">
      <w:pPr>
        <w:spacing w:line="360" w:lineRule="auto"/>
        <w:rPr>
          <w:rFonts w:ascii="宋体" w:eastAsia="宋体" w:hAnsi="宋体"/>
          <w:b/>
          <w:bCs/>
          <w:sz w:val="32"/>
          <w:szCs w:val="32"/>
        </w:rPr>
      </w:pPr>
    </w:p>
    <w:sdt>
      <w:sdtPr>
        <w:rPr>
          <w:rFonts w:ascii="宋体" w:eastAsia="宋体" w:hAnsi="宋体"/>
          <w:b/>
          <w:bCs/>
          <w:sz w:val="28"/>
          <w:szCs w:val="28"/>
        </w:rPr>
        <w:id w:val="147483148"/>
        <w15:color w:val="DBDBDB"/>
        <w:docPartObj>
          <w:docPartGallery w:val="Table of Contents"/>
          <w:docPartUnique/>
        </w:docPartObj>
      </w:sdtPr>
      <w:sdtEndPr>
        <w:rPr>
          <w:rFonts w:hint="eastAsia"/>
          <w:sz w:val="21"/>
          <w:szCs w:val="32"/>
        </w:rPr>
      </w:sdtEndPr>
      <w:sdtContent>
        <w:p w:rsidR="0069050B" w:rsidRDefault="000B3F50">
          <w:pPr>
            <w:jc w:val="center"/>
            <w:rPr>
              <w:b/>
              <w:bCs/>
              <w:sz w:val="28"/>
              <w:szCs w:val="28"/>
            </w:rPr>
          </w:pPr>
          <w:r>
            <w:rPr>
              <w:rFonts w:ascii="宋体" w:eastAsia="宋体" w:hAnsi="宋体"/>
              <w:b/>
              <w:bCs/>
              <w:sz w:val="28"/>
              <w:szCs w:val="28"/>
            </w:rPr>
            <w:t>目录</w:t>
          </w:r>
        </w:p>
        <w:p w:rsidR="0069050B" w:rsidRDefault="000B3F50" w:rsidP="00361851">
          <w:pPr>
            <w:pStyle w:val="10"/>
            <w:tabs>
              <w:tab w:val="right" w:leader="dot" w:pos="9070"/>
            </w:tabs>
          </w:pPr>
          <w:r>
            <w:rPr>
              <w:rFonts w:ascii="宋体" w:eastAsia="宋体" w:hAnsi="宋体" w:hint="eastAsia"/>
              <w:b/>
              <w:bCs/>
              <w:sz w:val="32"/>
              <w:szCs w:val="32"/>
            </w:rPr>
            <w:fldChar w:fldCharType="begin"/>
          </w:r>
          <w:r>
            <w:rPr>
              <w:rFonts w:ascii="宋体" w:eastAsia="宋体" w:hAnsi="宋体" w:hint="eastAsia"/>
              <w:b/>
              <w:bCs/>
              <w:sz w:val="32"/>
              <w:szCs w:val="32"/>
            </w:rPr>
            <w:instrText xml:space="preserve">TOC \o "1-2" \h \u </w:instrText>
          </w:r>
          <w:r>
            <w:rPr>
              <w:rFonts w:ascii="宋体" w:eastAsia="宋体" w:hAnsi="宋体" w:hint="eastAsia"/>
              <w:b/>
              <w:bCs/>
              <w:sz w:val="32"/>
              <w:szCs w:val="32"/>
            </w:rPr>
            <w:fldChar w:fldCharType="separate"/>
          </w:r>
          <w:hyperlink w:anchor="_Toc12302" w:history="1">
            <w:r>
              <w:rPr>
                <w:rFonts w:ascii="宋体" w:eastAsia="宋体" w:hAnsi="宋体" w:cstheme="minorBidi"/>
                <w:bCs/>
                <w:kern w:val="2"/>
                <w:szCs w:val="21"/>
              </w:rPr>
              <w:t xml:space="preserve">1 </w:t>
            </w:r>
            <w:r>
              <w:rPr>
                <w:rFonts w:ascii="宋体" w:eastAsia="宋体" w:hAnsi="宋体" w:cstheme="minorBidi" w:hint="eastAsia"/>
                <w:bCs/>
                <w:kern w:val="2"/>
                <w:szCs w:val="21"/>
              </w:rPr>
              <w:t>范围</w:t>
            </w:r>
            <w:r>
              <w:tab/>
            </w:r>
            <w:fldSimple w:instr=" PAGEREF _Toc12302 ">
              <w:r>
                <w:t>1</w:t>
              </w:r>
            </w:fldSimple>
          </w:hyperlink>
        </w:p>
        <w:p w:rsidR="0069050B" w:rsidRDefault="00F83FE6">
          <w:pPr>
            <w:pStyle w:val="20"/>
            <w:tabs>
              <w:tab w:val="right" w:leader="dot" w:pos="9070"/>
            </w:tabs>
          </w:pPr>
          <w:hyperlink w:anchor="_Toc6274" w:history="1">
            <w:r w:rsidR="000B3F50">
              <w:rPr>
                <w:rFonts w:ascii="宋体" w:eastAsia="宋体" w:hAnsi="宋体" w:cstheme="minorBidi"/>
                <w:bCs/>
                <w:kern w:val="2"/>
                <w:szCs w:val="21"/>
              </w:rPr>
              <w:t xml:space="preserve">2 </w:t>
            </w:r>
            <w:r w:rsidR="000B3F50">
              <w:rPr>
                <w:rFonts w:ascii="宋体" w:eastAsia="宋体" w:hAnsi="宋体" w:cstheme="minorBidi" w:hint="eastAsia"/>
                <w:bCs/>
                <w:kern w:val="2"/>
                <w:szCs w:val="21"/>
              </w:rPr>
              <w:t>规范性引用文件</w:t>
            </w:r>
            <w:r w:rsidR="000B3F50">
              <w:tab/>
            </w:r>
            <w:fldSimple w:instr=" PAGEREF _Toc6274 ">
              <w:r w:rsidR="000B3F50">
                <w:t>1</w:t>
              </w:r>
            </w:fldSimple>
          </w:hyperlink>
        </w:p>
        <w:p w:rsidR="0069050B" w:rsidRDefault="00F83FE6">
          <w:pPr>
            <w:pStyle w:val="20"/>
            <w:tabs>
              <w:tab w:val="right" w:leader="dot" w:pos="9070"/>
            </w:tabs>
          </w:pPr>
          <w:hyperlink w:anchor="_Toc21567" w:history="1">
            <w:r w:rsidR="000B3F50">
              <w:rPr>
                <w:rFonts w:ascii="宋体" w:eastAsia="宋体" w:hAnsi="宋体" w:cstheme="minorBidi"/>
                <w:bCs/>
                <w:kern w:val="2"/>
                <w:szCs w:val="21"/>
              </w:rPr>
              <w:t xml:space="preserve">3 </w:t>
            </w:r>
            <w:r w:rsidR="000B3F50">
              <w:rPr>
                <w:rFonts w:ascii="宋体" w:eastAsia="宋体" w:hAnsi="宋体" w:cstheme="minorBidi" w:hint="eastAsia"/>
                <w:bCs/>
                <w:kern w:val="2"/>
                <w:szCs w:val="21"/>
              </w:rPr>
              <w:t>术语和定义</w:t>
            </w:r>
            <w:r w:rsidR="000B3F50">
              <w:tab/>
            </w:r>
            <w:fldSimple w:instr=" PAGEREF _Toc21567 ">
              <w:r w:rsidR="000B3F50">
                <w:t>2</w:t>
              </w:r>
            </w:fldSimple>
          </w:hyperlink>
        </w:p>
        <w:p w:rsidR="0069050B" w:rsidRDefault="00F83FE6">
          <w:pPr>
            <w:pStyle w:val="20"/>
            <w:tabs>
              <w:tab w:val="right" w:leader="dot" w:pos="9070"/>
            </w:tabs>
          </w:pPr>
          <w:hyperlink w:anchor="_Toc18670" w:history="1">
            <w:r w:rsidR="000B3F50">
              <w:rPr>
                <w:rFonts w:ascii="宋体" w:eastAsia="宋体" w:hAnsi="宋体" w:cstheme="minorBidi"/>
                <w:bCs/>
                <w:kern w:val="2"/>
                <w:szCs w:val="21"/>
              </w:rPr>
              <w:t xml:space="preserve">4 </w:t>
            </w:r>
            <w:r w:rsidR="000B3F50">
              <w:rPr>
                <w:rFonts w:ascii="宋体" w:eastAsia="宋体" w:hAnsi="宋体" w:cstheme="minorBidi" w:hint="eastAsia"/>
                <w:bCs/>
                <w:kern w:val="2"/>
                <w:szCs w:val="21"/>
              </w:rPr>
              <w:t>评价要求</w:t>
            </w:r>
            <w:r w:rsidR="000B3F50">
              <w:tab/>
            </w:r>
            <w:fldSimple w:instr=" PAGEREF _Toc18670 ">
              <w:r w:rsidR="000B3F50">
                <w:t>2</w:t>
              </w:r>
            </w:fldSimple>
          </w:hyperlink>
        </w:p>
        <w:p w:rsidR="0069050B" w:rsidRDefault="00F83FE6">
          <w:pPr>
            <w:pStyle w:val="20"/>
            <w:tabs>
              <w:tab w:val="right" w:leader="dot" w:pos="9070"/>
            </w:tabs>
          </w:pPr>
          <w:hyperlink w:anchor="_Toc7578" w:history="1">
            <w:r w:rsidR="000B3F50">
              <w:rPr>
                <w:rFonts w:ascii="宋体" w:eastAsia="宋体" w:hAnsi="宋体" w:cs="宋体"/>
                <w:bCs/>
                <w:szCs w:val="21"/>
              </w:rPr>
              <w:t xml:space="preserve">4.1 </w:t>
            </w:r>
            <w:r w:rsidR="000B3F50">
              <w:rPr>
                <w:rFonts w:ascii="宋体" w:eastAsia="宋体" w:hAnsi="宋体" w:cs="宋体" w:hint="eastAsia"/>
                <w:bCs/>
                <w:szCs w:val="21"/>
              </w:rPr>
              <w:t>基本要求</w:t>
            </w:r>
            <w:r w:rsidR="000B3F50">
              <w:tab/>
            </w:r>
            <w:fldSimple w:instr=" PAGEREF _Toc7578 ">
              <w:r w:rsidR="000B3F50">
                <w:t>2</w:t>
              </w:r>
            </w:fldSimple>
          </w:hyperlink>
        </w:p>
        <w:p w:rsidR="0069050B" w:rsidRDefault="00F83FE6">
          <w:pPr>
            <w:pStyle w:val="20"/>
            <w:tabs>
              <w:tab w:val="right" w:leader="dot" w:pos="9070"/>
            </w:tabs>
          </w:pPr>
          <w:hyperlink w:anchor="_Toc18459" w:history="1">
            <w:r w:rsidR="000B3F50">
              <w:rPr>
                <w:rFonts w:ascii="宋体" w:eastAsia="宋体" w:hAnsi="宋体" w:cs="宋体"/>
                <w:bCs/>
                <w:szCs w:val="21"/>
              </w:rPr>
              <w:t xml:space="preserve">4.2 </w:t>
            </w:r>
            <w:r w:rsidR="000B3F50">
              <w:rPr>
                <w:rFonts w:ascii="宋体" w:eastAsia="宋体" w:hAnsi="宋体" w:cs="宋体" w:hint="eastAsia"/>
                <w:bCs/>
                <w:szCs w:val="21"/>
              </w:rPr>
              <w:t>评价指标要求</w:t>
            </w:r>
            <w:r w:rsidR="000B3F50">
              <w:tab/>
            </w:r>
            <w:fldSimple w:instr=" PAGEREF _Toc18459 ">
              <w:r w:rsidR="000B3F50">
                <w:t>3</w:t>
              </w:r>
            </w:fldSimple>
          </w:hyperlink>
        </w:p>
        <w:p w:rsidR="0069050B" w:rsidRDefault="00F83FE6">
          <w:pPr>
            <w:pStyle w:val="20"/>
            <w:tabs>
              <w:tab w:val="right" w:leader="dot" w:pos="9070"/>
            </w:tabs>
          </w:pPr>
          <w:hyperlink w:anchor="_Toc19700" w:history="1">
            <w:r w:rsidR="000B3F50">
              <w:rPr>
                <w:rFonts w:ascii="宋体" w:eastAsia="宋体" w:hAnsi="宋体" w:cstheme="minorBidi"/>
                <w:bCs/>
                <w:kern w:val="2"/>
                <w:szCs w:val="21"/>
              </w:rPr>
              <w:t xml:space="preserve">5 </w:t>
            </w:r>
            <w:r w:rsidR="000B3F50">
              <w:rPr>
                <w:rFonts w:ascii="宋体" w:eastAsia="宋体" w:hAnsi="宋体" w:cstheme="minorBidi" w:hint="eastAsia"/>
                <w:bCs/>
                <w:kern w:val="2"/>
                <w:szCs w:val="21"/>
              </w:rPr>
              <w:t>产品生命周期评价报告编制方法</w:t>
            </w:r>
            <w:r w:rsidR="000B3F50">
              <w:tab/>
            </w:r>
            <w:fldSimple w:instr=" PAGEREF _Toc19700 ">
              <w:r w:rsidR="000B3F50">
                <w:t>5</w:t>
              </w:r>
            </w:fldSimple>
          </w:hyperlink>
        </w:p>
        <w:p w:rsidR="0069050B" w:rsidRDefault="00F83FE6">
          <w:pPr>
            <w:pStyle w:val="20"/>
            <w:tabs>
              <w:tab w:val="right" w:leader="dot" w:pos="9070"/>
            </w:tabs>
          </w:pPr>
          <w:hyperlink w:anchor="_Toc30598" w:history="1">
            <w:r w:rsidR="000B3F50">
              <w:rPr>
                <w:rFonts w:ascii="宋体" w:eastAsia="宋体" w:hAnsi="宋体" w:cs="宋体"/>
                <w:bCs/>
                <w:szCs w:val="21"/>
              </w:rPr>
              <w:t xml:space="preserve">5.1 </w:t>
            </w:r>
            <w:r w:rsidR="000B3F50">
              <w:rPr>
                <w:rFonts w:ascii="宋体" w:eastAsia="宋体" w:hAnsi="宋体" w:cs="宋体" w:hint="eastAsia"/>
                <w:bCs/>
                <w:szCs w:val="21"/>
              </w:rPr>
              <w:t>生命周期评价方法</w:t>
            </w:r>
            <w:r w:rsidR="000B3F50">
              <w:tab/>
            </w:r>
            <w:fldSimple w:instr=" PAGEREF _Toc30598 ">
              <w:r w:rsidR="000B3F50">
                <w:t>5</w:t>
              </w:r>
            </w:fldSimple>
          </w:hyperlink>
        </w:p>
        <w:p w:rsidR="0069050B" w:rsidRDefault="00F83FE6">
          <w:pPr>
            <w:pStyle w:val="20"/>
            <w:tabs>
              <w:tab w:val="right" w:leader="dot" w:pos="9070"/>
            </w:tabs>
          </w:pPr>
          <w:hyperlink w:anchor="_Toc14828" w:history="1">
            <w:r w:rsidR="000B3F50">
              <w:rPr>
                <w:rFonts w:ascii="宋体" w:eastAsia="宋体" w:hAnsi="宋体" w:cs="宋体"/>
                <w:bCs/>
                <w:szCs w:val="21"/>
              </w:rPr>
              <w:t xml:space="preserve">5.2 </w:t>
            </w:r>
            <w:r w:rsidR="000B3F50">
              <w:rPr>
                <w:rFonts w:ascii="宋体" w:eastAsia="宋体" w:hAnsi="宋体" w:cs="宋体" w:hint="eastAsia"/>
                <w:bCs/>
                <w:szCs w:val="21"/>
              </w:rPr>
              <w:t>生命周期评价报告框架</w:t>
            </w:r>
            <w:r w:rsidR="000B3F50">
              <w:tab/>
            </w:r>
            <w:fldSimple w:instr=" PAGEREF _Toc14828 ">
              <w:r w:rsidR="000B3F50">
                <w:t>5</w:t>
              </w:r>
            </w:fldSimple>
          </w:hyperlink>
        </w:p>
        <w:p w:rsidR="0069050B" w:rsidRDefault="00F83FE6">
          <w:pPr>
            <w:pStyle w:val="20"/>
            <w:tabs>
              <w:tab w:val="right" w:leader="dot" w:pos="9070"/>
            </w:tabs>
          </w:pPr>
          <w:hyperlink w:anchor="_Toc9244" w:history="1">
            <w:r w:rsidR="000B3F50">
              <w:rPr>
                <w:rFonts w:ascii="宋体" w:eastAsia="宋体" w:hAnsi="宋体" w:cstheme="minorBidi"/>
                <w:bCs/>
                <w:kern w:val="2"/>
                <w:szCs w:val="21"/>
              </w:rPr>
              <w:t xml:space="preserve">6 </w:t>
            </w:r>
            <w:r w:rsidR="000B3F50">
              <w:rPr>
                <w:rFonts w:ascii="宋体" w:eastAsia="宋体" w:hAnsi="宋体" w:cstheme="minorBidi" w:hint="eastAsia"/>
                <w:bCs/>
                <w:kern w:val="2"/>
                <w:szCs w:val="21"/>
              </w:rPr>
              <w:t>评价方法和流程</w:t>
            </w:r>
            <w:r w:rsidR="000B3F50">
              <w:tab/>
            </w:r>
            <w:fldSimple w:instr=" PAGEREF _Toc9244 ">
              <w:r w:rsidR="000B3F50">
                <w:t>6</w:t>
              </w:r>
            </w:fldSimple>
          </w:hyperlink>
        </w:p>
        <w:p w:rsidR="0069050B" w:rsidRDefault="00F83FE6">
          <w:pPr>
            <w:pStyle w:val="20"/>
            <w:tabs>
              <w:tab w:val="right" w:leader="dot" w:pos="9070"/>
            </w:tabs>
          </w:pPr>
          <w:hyperlink w:anchor="_Toc10838" w:history="1">
            <w:r w:rsidR="000B3F50">
              <w:rPr>
                <w:rFonts w:ascii="宋体" w:eastAsia="宋体" w:hAnsi="宋体" w:cs="宋体"/>
                <w:bCs/>
                <w:szCs w:val="21"/>
              </w:rPr>
              <w:t xml:space="preserve">6.1 </w:t>
            </w:r>
            <w:r w:rsidR="000B3F50">
              <w:rPr>
                <w:rFonts w:ascii="宋体" w:eastAsia="宋体" w:hAnsi="宋体" w:cs="宋体" w:hint="eastAsia"/>
                <w:bCs/>
                <w:szCs w:val="21"/>
              </w:rPr>
              <w:t>评价方法</w:t>
            </w:r>
            <w:r w:rsidR="000B3F50">
              <w:tab/>
            </w:r>
            <w:fldSimple w:instr=" PAGEREF _Toc10838 ">
              <w:r w:rsidR="000B3F50">
                <w:t>6</w:t>
              </w:r>
            </w:fldSimple>
          </w:hyperlink>
        </w:p>
        <w:p w:rsidR="0069050B" w:rsidRDefault="00F83FE6">
          <w:pPr>
            <w:pStyle w:val="20"/>
            <w:tabs>
              <w:tab w:val="right" w:leader="dot" w:pos="9070"/>
            </w:tabs>
          </w:pPr>
          <w:hyperlink w:anchor="_Toc32375" w:history="1">
            <w:r w:rsidR="000B3F50">
              <w:rPr>
                <w:rFonts w:ascii="宋体" w:eastAsia="宋体" w:hAnsi="宋体" w:cs="宋体"/>
                <w:bCs/>
                <w:szCs w:val="21"/>
              </w:rPr>
              <w:t xml:space="preserve">6.2 </w:t>
            </w:r>
            <w:r w:rsidR="000B3F50">
              <w:rPr>
                <w:rFonts w:ascii="宋体" w:eastAsia="宋体" w:hAnsi="宋体" w:cs="宋体" w:hint="eastAsia"/>
                <w:bCs/>
                <w:szCs w:val="21"/>
              </w:rPr>
              <w:t>评价流程</w:t>
            </w:r>
            <w:r w:rsidR="000B3F50">
              <w:tab/>
            </w:r>
            <w:fldSimple w:instr=" PAGEREF _Toc32375 ">
              <w:r w:rsidR="000B3F50">
                <w:t>6</w:t>
              </w:r>
            </w:fldSimple>
          </w:hyperlink>
        </w:p>
        <w:p w:rsidR="0069050B" w:rsidRDefault="00F83FE6">
          <w:pPr>
            <w:pStyle w:val="10"/>
            <w:tabs>
              <w:tab w:val="right" w:leader="dot" w:pos="9070"/>
            </w:tabs>
          </w:pPr>
          <w:hyperlink w:anchor="_Toc28186" w:history="1">
            <w:r w:rsidR="000B3F50">
              <w:rPr>
                <w:rFonts w:ascii="宋体" w:eastAsia="宋体" w:hAnsi="宋体" w:cs="宋体" w:hint="eastAsia"/>
                <w:bCs/>
                <w:szCs w:val="32"/>
              </w:rPr>
              <w:t>附录A（资料性附录）</w:t>
            </w:r>
            <w:r w:rsidR="000B3F50">
              <w:tab/>
            </w:r>
            <w:fldSimple w:instr=" PAGEREF _Toc28186 ">
              <w:r w:rsidR="000B3F50">
                <w:t>8</w:t>
              </w:r>
            </w:fldSimple>
          </w:hyperlink>
        </w:p>
        <w:p w:rsidR="0069050B" w:rsidRDefault="00F83FE6">
          <w:pPr>
            <w:pStyle w:val="10"/>
            <w:tabs>
              <w:tab w:val="right" w:leader="dot" w:pos="9070"/>
            </w:tabs>
          </w:pPr>
          <w:hyperlink w:anchor="_Toc14794" w:history="1">
            <w:r w:rsidR="000B3F50">
              <w:rPr>
                <w:rFonts w:hint="eastAsia"/>
                <w:szCs w:val="32"/>
              </w:rPr>
              <w:t>智能计量插座产品全生命周期评价方法</w:t>
            </w:r>
            <w:r w:rsidR="000B3F50">
              <w:tab/>
            </w:r>
            <w:fldSimple w:instr=" PAGEREF _Toc14794 ">
              <w:r w:rsidR="000B3F50">
                <w:t>8</w:t>
              </w:r>
            </w:fldSimple>
          </w:hyperlink>
        </w:p>
        <w:p w:rsidR="0069050B" w:rsidRDefault="00F83FE6">
          <w:pPr>
            <w:pStyle w:val="20"/>
            <w:tabs>
              <w:tab w:val="right" w:leader="dot" w:pos="9070"/>
            </w:tabs>
          </w:pPr>
          <w:hyperlink w:anchor="_Toc10979" w:history="1">
            <w:r w:rsidR="000B3F50">
              <w:rPr>
                <w:rFonts w:ascii="宋体" w:eastAsia="宋体" w:hAnsi="宋体" w:cstheme="minorBidi" w:hint="eastAsia"/>
                <w:bCs/>
                <w:kern w:val="2"/>
                <w:szCs w:val="21"/>
              </w:rPr>
              <w:t>A1 概况</w:t>
            </w:r>
            <w:r w:rsidR="000B3F50">
              <w:tab/>
            </w:r>
            <w:fldSimple w:instr=" PAGEREF _Toc10979 ">
              <w:r w:rsidR="000B3F50">
                <w:t>8</w:t>
              </w:r>
            </w:fldSimple>
          </w:hyperlink>
        </w:p>
        <w:p w:rsidR="0069050B" w:rsidRDefault="00F83FE6">
          <w:pPr>
            <w:pStyle w:val="20"/>
            <w:tabs>
              <w:tab w:val="right" w:leader="dot" w:pos="9070"/>
            </w:tabs>
          </w:pPr>
          <w:hyperlink w:anchor="_Toc12114" w:history="1">
            <w:r w:rsidR="000B3F50">
              <w:rPr>
                <w:rFonts w:ascii="宋体" w:eastAsia="宋体" w:hAnsi="宋体" w:cstheme="minorBidi" w:hint="eastAsia"/>
                <w:bCs/>
                <w:kern w:val="2"/>
                <w:szCs w:val="21"/>
              </w:rPr>
              <w:t>A2范围确定</w:t>
            </w:r>
            <w:r w:rsidR="000B3F50">
              <w:tab/>
            </w:r>
            <w:fldSimple w:instr=" PAGEREF _Toc12114 ">
              <w:r w:rsidR="000B3F50">
                <w:t>8</w:t>
              </w:r>
            </w:fldSimple>
          </w:hyperlink>
        </w:p>
        <w:p w:rsidR="0069050B" w:rsidRDefault="00F83FE6">
          <w:pPr>
            <w:pStyle w:val="20"/>
            <w:tabs>
              <w:tab w:val="right" w:leader="dot" w:pos="9070"/>
            </w:tabs>
          </w:pPr>
          <w:hyperlink w:anchor="_Toc24134" w:history="1">
            <w:r w:rsidR="000B3F50">
              <w:rPr>
                <w:rFonts w:ascii="宋体" w:eastAsia="宋体" w:hAnsi="宋体" w:cstheme="minorBidi" w:hint="eastAsia"/>
                <w:bCs/>
                <w:kern w:val="2"/>
                <w:szCs w:val="21"/>
              </w:rPr>
              <w:t>A 3 生命周期清单分析</w:t>
            </w:r>
            <w:r w:rsidR="000B3F50">
              <w:tab/>
            </w:r>
            <w:fldSimple w:instr=" PAGEREF _Toc24134 ">
              <w:r w:rsidR="000B3F50">
                <w:t>9</w:t>
              </w:r>
            </w:fldSimple>
          </w:hyperlink>
        </w:p>
        <w:p w:rsidR="0069050B" w:rsidRDefault="00F83FE6">
          <w:pPr>
            <w:pStyle w:val="20"/>
            <w:tabs>
              <w:tab w:val="right" w:leader="dot" w:pos="9070"/>
            </w:tabs>
          </w:pPr>
          <w:hyperlink w:anchor="_Toc4691" w:history="1">
            <w:r w:rsidR="000B3F50">
              <w:rPr>
                <w:rFonts w:ascii="宋体" w:eastAsia="宋体" w:hAnsi="宋体" w:cstheme="minorBidi" w:hint="eastAsia"/>
                <w:bCs/>
                <w:kern w:val="2"/>
                <w:szCs w:val="21"/>
              </w:rPr>
              <w:t>A 4生命周期评价报告</w:t>
            </w:r>
            <w:r w:rsidR="000B3F50">
              <w:tab/>
            </w:r>
            <w:fldSimple w:instr=" PAGEREF _Toc4691 ">
              <w:r w:rsidR="000B3F50">
                <w:t>11</w:t>
              </w:r>
            </w:fldSimple>
          </w:hyperlink>
        </w:p>
        <w:p w:rsidR="00361851" w:rsidRDefault="000B3F50" w:rsidP="00361851">
          <w:pPr>
            <w:spacing w:line="360" w:lineRule="auto"/>
            <w:rPr>
              <w:rFonts w:ascii="宋体" w:eastAsia="宋体" w:hAnsi="宋体"/>
              <w:b/>
              <w:bCs/>
              <w:szCs w:val="32"/>
            </w:rPr>
          </w:pPr>
          <w:r>
            <w:rPr>
              <w:rFonts w:ascii="宋体" w:eastAsia="宋体" w:hAnsi="宋体" w:hint="eastAsia"/>
              <w:bCs/>
              <w:szCs w:val="32"/>
            </w:rPr>
            <w:lastRenderedPageBreak/>
            <w:fldChar w:fldCharType="end"/>
          </w:r>
        </w:p>
      </w:sdtContent>
    </w:sdt>
    <w:p w:rsidR="0069050B" w:rsidRPr="00361851" w:rsidRDefault="000B3F50" w:rsidP="00361851">
      <w:pPr>
        <w:jc w:val="center"/>
        <w:rPr>
          <w:b/>
          <w:bCs/>
          <w:sz w:val="32"/>
          <w:szCs w:val="32"/>
        </w:rPr>
      </w:pPr>
      <w:bookmarkStart w:id="1" w:name="_Toc10017"/>
      <w:bookmarkStart w:id="2" w:name="_Toc30984"/>
      <w:r>
        <w:rPr>
          <w:rFonts w:hint="eastAsia"/>
          <w:b/>
          <w:bCs/>
          <w:sz w:val="32"/>
          <w:szCs w:val="32"/>
        </w:rPr>
        <w:t>前言</w:t>
      </w:r>
      <w:bookmarkEnd w:id="1"/>
      <w:bookmarkEnd w:id="2"/>
    </w:p>
    <w:p w:rsidR="0069050B" w:rsidRDefault="000B3F50">
      <w:pPr>
        <w:spacing w:line="480" w:lineRule="auto"/>
        <w:ind w:firstLineChars="202" w:firstLine="424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本标准按照</w:t>
      </w:r>
      <w:r>
        <w:rPr>
          <w:rFonts w:ascii="宋体" w:eastAsia="宋体" w:hAnsi="宋体"/>
          <w:szCs w:val="21"/>
        </w:rPr>
        <w:t>GB/T1.1-2009给出的规则起草。</w:t>
      </w:r>
    </w:p>
    <w:p w:rsidR="0069050B" w:rsidRDefault="000B3F50">
      <w:pPr>
        <w:spacing w:line="480" w:lineRule="auto"/>
        <w:ind w:firstLineChars="202" w:firstLine="424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本标准由威胜集团</w:t>
      </w:r>
      <w:r>
        <w:rPr>
          <w:rFonts w:ascii="宋体" w:eastAsia="宋体" w:hAnsi="宋体"/>
          <w:szCs w:val="21"/>
        </w:rPr>
        <w:t>有限公司</w:t>
      </w:r>
      <w:r>
        <w:rPr>
          <w:rFonts w:ascii="宋体" w:eastAsia="宋体" w:hAnsi="宋体" w:hint="eastAsia"/>
          <w:szCs w:val="21"/>
        </w:rPr>
        <w:t>提出。</w:t>
      </w:r>
    </w:p>
    <w:p w:rsidR="0069050B" w:rsidRDefault="000B3F50">
      <w:pPr>
        <w:spacing w:line="480" w:lineRule="auto"/>
        <w:ind w:firstLineChars="202" w:firstLine="424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本标准由湖南省仪器仪表标准化技术委员会（</w:t>
      </w:r>
      <w:r>
        <w:rPr>
          <w:rFonts w:ascii="宋体" w:eastAsia="宋体" w:hAnsi="宋体"/>
          <w:szCs w:val="21"/>
        </w:rPr>
        <w:t>HUN/TC38</w:t>
      </w:r>
      <w:r>
        <w:rPr>
          <w:rFonts w:ascii="宋体" w:eastAsia="宋体" w:hAnsi="宋体" w:hint="eastAsia"/>
          <w:szCs w:val="21"/>
        </w:rPr>
        <w:t>）归口。</w:t>
      </w:r>
    </w:p>
    <w:p w:rsidR="0069050B" w:rsidRDefault="000B3F50">
      <w:pPr>
        <w:spacing w:line="480" w:lineRule="auto"/>
        <w:ind w:firstLineChars="202" w:firstLine="424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本标准起草单位：威胜集团有限公司、湖南省仪器仪表行业协会、浙江托泰电器有限公司、湖南省建筑设计院有限公司、湖南省</w:t>
      </w:r>
      <w:r>
        <w:rPr>
          <w:rFonts w:ascii="宋体" w:eastAsia="宋体" w:hAnsi="宋体"/>
          <w:szCs w:val="21"/>
        </w:rPr>
        <w:t>计量检测研究院</w:t>
      </w:r>
      <w:r>
        <w:rPr>
          <w:rFonts w:ascii="宋体" w:eastAsia="宋体" w:hAnsi="宋体" w:hint="eastAsia"/>
          <w:szCs w:val="21"/>
        </w:rPr>
        <w:t>。</w:t>
      </w:r>
    </w:p>
    <w:p w:rsidR="0069050B" w:rsidRDefault="000B3F50">
      <w:pPr>
        <w:spacing w:line="480" w:lineRule="auto"/>
        <w:ind w:firstLineChars="202" w:firstLine="424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本标准主要起草人：任</w:t>
      </w:r>
      <w:r>
        <w:rPr>
          <w:rFonts w:ascii="宋体" w:eastAsia="宋体" w:hAnsi="宋体"/>
          <w:szCs w:val="21"/>
        </w:rPr>
        <w:t>智</w:t>
      </w:r>
      <w:r>
        <w:rPr>
          <w:rFonts w:ascii="宋体" w:eastAsia="宋体" w:hAnsi="宋体" w:hint="eastAsia"/>
          <w:szCs w:val="21"/>
        </w:rPr>
        <w:t>仁</w:t>
      </w:r>
      <w:r>
        <w:rPr>
          <w:rFonts w:ascii="宋体" w:eastAsia="宋体" w:hAnsi="宋体"/>
          <w:szCs w:val="21"/>
        </w:rPr>
        <w:t>、周宣、徐振轩、</w:t>
      </w:r>
      <w:r w:rsidR="003E6BA3">
        <w:rPr>
          <w:rFonts w:ascii="宋体" w:eastAsia="宋体" w:hAnsi="宋体" w:hint="eastAsia"/>
          <w:szCs w:val="21"/>
        </w:rPr>
        <w:t>王卫</w:t>
      </w:r>
      <w:r w:rsidR="003E6BA3">
        <w:rPr>
          <w:rFonts w:ascii="宋体" w:eastAsia="宋体" w:hAnsi="宋体"/>
          <w:szCs w:val="21"/>
        </w:rPr>
        <w:t>华、袁</w:t>
      </w:r>
      <w:r w:rsidR="003E6BA3">
        <w:rPr>
          <w:rFonts w:ascii="宋体" w:eastAsia="宋体" w:hAnsi="宋体" w:hint="eastAsia"/>
          <w:szCs w:val="21"/>
        </w:rPr>
        <w:t>卿卿</w:t>
      </w:r>
      <w:r w:rsidR="003E6BA3">
        <w:rPr>
          <w:rFonts w:ascii="宋体" w:eastAsia="宋体" w:hAnsi="宋体"/>
          <w:szCs w:val="21"/>
        </w:rPr>
        <w:t>、彭国</w:t>
      </w:r>
      <w:r w:rsidR="003E6BA3">
        <w:rPr>
          <w:rFonts w:ascii="宋体" w:eastAsia="宋体" w:hAnsi="宋体" w:hint="eastAsia"/>
          <w:szCs w:val="21"/>
        </w:rPr>
        <w:t>亮、</w:t>
      </w:r>
      <w:r w:rsidR="003E6BA3">
        <w:rPr>
          <w:rFonts w:ascii="宋体" w:eastAsia="宋体" w:hAnsi="宋体"/>
          <w:szCs w:val="21"/>
        </w:rPr>
        <w:t>周</w:t>
      </w:r>
      <w:r w:rsidR="003E6BA3">
        <w:rPr>
          <w:rFonts w:ascii="宋体" w:eastAsia="宋体" w:hAnsi="宋体" w:hint="eastAsia"/>
          <w:szCs w:val="21"/>
        </w:rPr>
        <w:t>为</w:t>
      </w:r>
      <w:r w:rsidR="003E6BA3">
        <w:rPr>
          <w:rFonts w:ascii="宋体" w:eastAsia="宋体" w:hAnsi="宋体"/>
          <w:szCs w:val="21"/>
        </w:rPr>
        <w:t>、薛</w:t>
      </w:r>
      <w:r w:rsidR="003E6BA3">
        <w:rPr>
          <w:rFonts w:ascii="宋体" w:eastAsia="宋体" w:hAnsi="宋体" w:hint="eastAsia"/>
          <w:szCs w:val="21"/>
        </w:rPr>
        <w:t>雷</w:t>
      </w:r>
      <w:r w:rsidR="003E6BA3">
        <w:rPr>
          <w:rFonts w:ascii="宋体" w:eastAsia="宋体" w:hAnsi="宋体"/>
          <w:szCs w:val="21"/>
        </w:rPr>
        <w:t>、谢达、汤博、</w:t>
      </w:r>
      <w:r w:rsidR="003E6BA3">
        <w:rPr>
          <w:rFonts w:ascii="宋体" w:eastAsia="宋体" w:hAnsi="宋体" w:hint="eastAsia"/>
          <w:szCs w:val="21"/>
        </w:rPr>
        <w:t>尤</w:t>
      </w:r>
      <w:r w:rsidR="003E6BA3">
        <w:rPr>
          <w:rFonts w:ascii="宋体" w:eastAsia="宋体" w:hAnsi="宋体"/>
          <w:szCs w:val="21"/>
        </w:rPr>
        <w:t>胜</w:t>
      </w:r>
      <w:r w:rsidR="003E6BA3">
        <w:rPr>
          <w:rFonts w:ascii="宋体" w:eastAsia="宋体" w:hAnsi="宋体" w:hint="eastAsia"/>
          <w:szCs w:val="21"/>
        </w:rPr>
        <w:t>锡</w:t>
      </w:r>
      <w:r w:rsidR="003E6BA3">
        <w:rPr>
          <w:rFonts w:ascii="宋体" w:eastAsia="宋体" w:hAnsi="宋体"/>
          <w:szCs w:val="21"/>
        </w:rPr>
        <w:t>、沈利丰、</w:t>
      </w:r>
      <w:r w:rsidR="003E6BA3">
        <w:rPr>
          <w:rFonts w:ascii="宋体" w:eastAsia="宋体" w:hAnsi="宋体" w:hint="eastAsia"/>
          <w:szCs w:val="21"/>
        </w:rPr>
        <w:t>李芳</w:t>
      </w:r>
      <w:r w:rsidR="003E6BA3">
        <w:rPr>
          <w:rFonts w:ascii="宋体" w:eastAsia="宋体" w:hAnsi="宋体"/>
          <w:szCs w:val="21"/>
        </w:rPr>
        <w:t>林。</w:t>
      </w:r>
      <w:bookmarkStart w:id="3" w:name="_GoBack"/>
      <w:bookmarkEnd w:id="3"/>
    </w:p>
    <w:p w:rsidR="0069050B" w:rsidRDefault="0069050B">
      <w:pPr>
        <w:ind w:firstLineChars="202" w:firstLine="566"/>
        <w:rPr>
          <w:sz w:val="28"/>
          <w:szCs w:val="32"/>
        </w:rPr>
      </w:pPr>
    </w:p>
    <w:p w:rsidR="0069050B" w:rsidRDefault="0069050B">
      <w:pPr>
        <w:spacing w:line="360" w:lineRule="auto"/>
        <w:rPr>
          <w:rFonts w:ascii="宋体" w:eastAsia="宋体" w:hAnsi="宋体"/>
          <w:sz w:val="24"/>
          <w:szCs w:val="24"/>
        </w:rPr>
        <w:sectPr w:rsidR="0069050B">
          <w:footerReference w:type="default" r:id="rId10"/>
          <w:footerReference w:type="first" r:id="rId11"/>
          <w:pgSz w:w="11906" w:h="16838"/>
          <w:pgMar w:top="1134" w:right="1418" w:bottom="1134" w:left="1418" w:header="851" w:footer="992" w:gutter="0"/>
          <w:cols w:space="425"/>
          <w:titlePg/>
          <w:docGrid w:type="lines" w:linePitch="312"/>
        </w:sectPr>
      </w:pPr>
    </w:p>
    <w:p w:rsidR="0069050B" w:rsidRDefault="000B3F50">
      <w:pPr>
        <w:pStyle w:val="1"/>
        <w:jc w:val="center"/>
        <w:rPr>
          <w:sz w:val="32"/>
          <w:szCs w:val="32"/>
        </w:rPr>
      </w:pPr>
      <w:bookmarkStart w:id="4" w:name="_Toc24007"/>
      <w:r>
        <w:rPr>
          <w:rFonts w:hint="eastAsia"/>
          <w:sz w:val="32"/>
          <w:szCs w:val="32"/>
        </w:rPr>
        <w:lastRenderedPageBreak/>
        <w:t>绿色设计产品评价技术规范 智能计量插座</w:t>
      </w:r>
      <w:bookmarkEnd w:id="4"/>
    </w:p>
    <w:p w:rsidR="0069050B" w:rsidRDefault="0069050B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69050B" w:rsidRDefault="000B3F50">
      <w:pPr>
        <w:pStyle w:val="2"/>
        <w:numPr>
          <w:ilvl w:val="0"/>
          <w:numId w:val="1"/>
        </w:numPr>
        <w:rPr>
          <w:rFonts w:ascii="宋体" w:eastAsia="宋体" w:hAnsi="宋体" w:cstheme="minorBidi"/>
          <w:sz w:val="21"/>
          <w:szCs w:val="21"/>
        </w:rPr>
      </w:pPr>
      <w:bookmarkStart w:id="5" w:name="_Toc12302"/>
      <w:r>
        <w:rPr>
          <w:rFonts w:ascii="宋体" w:eastAsia="宋体" w:hAnsi="宋体" w:cstheme="minorBidi" w:hint="eastAsia"/>
          <w:sz w:val="21"/>
          <w:szCs w:val="21"/>
        </w:rPr>
        <w:t>范围</w:t>
      </w:r>
      <w:bookmarkEnd w:id="5"/>
    </w:p>
    <w:p w:rsidR="0069050B" w:rsidRDefault="000B3F50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本标准规定了智能计量插座绿色设计产品评价的术语和定义、评价要求、产品全生命周期评价方法流程。</w:t>
      </w:r>
    </w:p>
    <w:p w:rsidR="0069050B" w:rsidRDefault="000B3F50">
      <w:pPr>
        <w:spacing w:line="360" w:lineRule="auto"/>
        <w:ind w:firstLineChars="200" w:firstLine="420"/>
        <w:rPr>
          <w:rFonts w:ascii="宋体" w:eastAsia="宋体" w:hAnsi="宋体"/>
          <w:b/>
          <w:bCs/>
          <w:color w:val="FF0000"/>
          <w:szCs w:val="21"/>
        </w:rPr>
      </w:pPr>
      <w:r>
        <w:rPr>
          <w:rFonts w:ascii="宋体" w:eastAsia="宋体" w:hAnsi="宋体" w:hint="eastAsia"/>
          <w:szCs w:val="21"/>
        </w:rPr>
        <w:t>本标准适用于具有电能计量功能的、仅用于交流电、额定电压不超过</w:t>
      </w:r>
      <w:r>
        <w:rPr>
          <w:rFonts w:ascii="宋体" w:eastAsia="宋体" w:hAnsi="宋体"/>
          <w:szCs w:val="21"/>
        </w:rPr>
        <w:t>250V</w:t>
      </w:r>
      <w:r>
        <w:rPr>
          <w:rFonts w:ascii="宋体" w:eastAsia="宋体" w:hAnsi="宋体" w:hint="eastAsia"/>
          <w:szCs w:val="21"/>
        </w:rPr>
        <w:t>、额定电流不超过</w:t>
      </w:r>
      <w:r>
        <w:rPr>
          <w:rFonts w:ascii="宋体" w:eastAsia="宋体" w:hAnsi="宋体"/>
          <w:szCs w:val="21"/>
        </w:rPr>
        <w:t>16A的智能计量插座的绿色</w:t>
      </w:r>
      <w:r>
        <w:rPr>
          <w:rFonts w:ascii="宋体" w:eastAsia="宋体" w:hAnsi="宋体" w:hint="eastAsia"/>
          <w:szCs w:val="21"/>
        </w:rPr>
        <w:t>设计</w:t>
      </w:r>
      <w:r>
        <w:rPr>
          <w:rFonts w:ascii="宋体" w:eastAsia="宋体" w:hAnsi="宋体"/>
          <w:szCs w:val="21"/>
        </w:rPr>
        <w:t>产品评价。</w:t>
      </w:r>
    </w:p>
    <w:p w:rsidR="0069050B" w:rsidRDefault="000B3F50">
      <w:pPr>
        <w:pStyle w:val="2"/>
        <w:numPr>
          <w:ilvl w:val="0"/>
          <w:numId w:val="1"/>
        </w:numPr>
        <w:rPr>
          <w:rFonts w:ascii="宋体" w:eastAsia="宋体" w:hAnsi="宋体" w:cstheme="minorBidi"/>
          <w:sz w:val="21"/>
          <w:szCs w:val="21"/>
        </w:rPr>
      </w:pPr>
      <w:bookmarkStart w:id="6" w:name="_Toc6274"/>
      <w:r>
        <w:rPr>
          <w:rFonts w:ascii="宋体" w:eastAsia="宋体" w:hAnsi="宋体" w:cstheme="minorBidi" w:hint="eastAsia"/>
          <w:sz w:val="21"/>
          <w:szCs w:val="21"/>
        </w:rPr>
        <w:t>规范性引用文件</w:t>
      </w:r>
      <w:bookmarkEnd w:id="6"/>
    </w:p>
    <w:p w:rsidR="0069050B" w:rsidRDefault="000B3F50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 w:rsidR="0069050B" w:rsidRDefault="000B3F50">
      <w:pPr>
        <w:pStyle w:val="aa"/>
        <w:spacing w:line="360" w:lineRule="auto"/>
        <w:ind w:left="430" w:firstLineChars="0" w:firstLine="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 xml:space="preserve">GB/T 191 </w:t>
      </w:r>
      <w:r>
        <w:rPr>
          <w:rFonts w:ascii="宋体" w:eastAsia="宋体" w:hAnsi="宋体" w:hint="eastAsia"/>
          <w:szCs w:val="21"/>
        </w:rPr>
        <w:t>包装储运图示标志</w:t>
      </w:r>
    </w:p>
    <w:p w:rsidR="0069050B" w:rsidRDefault="000B3F50">
      <w:pPr>
        <w:pStyle w:val="aa"/>
        <w:spacing w:line="360" w:lineRule="auto"/>
        <w:ind w:left="430" w:firstLineChars="0" w:firstLine="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 xml:space="preserve">GB 1002-2008 </w:t>
      </w:r>
      <w:r>
        <w:rPr>
          <w:rFonts w:ascii="宋体" w:eastAsia="宋体" w:hAnsi="宋体" w:hint="eastAsia"/>
          <w:szCs w:val="21"/>
        </w:rPr>
        <w:t>家用和类似用途单相插头插座型式、基本参数和尺寸</w:t>
      </w:r>
    </w:p>
    <w:p w:rsidR="0069050B" w:rsidRDefault="000B3F50">
      <w:pPr>
        <w:pStyle w:val="aa"/>
        <w:spacing w:line="360" w:lineRule="auto"/>
        <w:ind w:left="430" w:firstLineChars="0" w:firstLine="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 xml:space="preserve">GB 2099.1-2008 </w:t>
      </w:r>
      <w:r>
        <w:rPr>
          <w:rFonts w:ascii="宋体" w:eastAsia="宋体" w:hAnsi="宋体" w:hint="eastAsia"/>
          <w:szCs w:val="21"/>
        </w:rPr>
        <w:t>家用和类似用途插头</w:t>
      </w:r>
      <w:proofErr w:type="gramStart"/>
      <w:r>
        <w:rPr>
          <w:rFonts w:ascii="宋体" w:eastAsia="宋体" w:hAnsi="宋体" w:hint="eastAsia"/>
          <w:szCs w:val="21"/>
        </w:rPr>
        <w:t>插座第</w:t>
      </w:r>
      <w:proofErr w:type="gramEnd"/>
      <w:r>
        <w:rPr>
          <w:rFonts w:ascii="宋体" w:eastAsia="宋体" w:hAnsi="宋体"/>
          <w:szCs w:val="21"/>
        </w:rPr>
        <w:t xml:space="preserve"> 1 </w:t>
      </w:r>
      <w:r>
        <w:rPr>
          <w:rFonts w:ascii="宋体" w:eastAsia="宋体" w:hAnsi="宋体" w:hint="eastAsia"/>
          <w:szCs w:val="21"/>
        </w:rPr>
        <w:t>部分：通用要求</w:t>
      </w:r>
    </w:p>
    <w:p w:rsidR="0069050B" w:rsidRDefault="000B3F50">
      <w:pPr>
        <w:pStyle w:val="aa"/>
        <w:spacing w:line="360" w:lineRule="auto"/>
        <w:ind w:left="430" w:firstLineChars="0" w:firstLine="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 xml:space="preserve">GB 2099.3-2015 </w:t>
      </w:r>
      <w:r>
        <w:rPr>
          <w:rFonts w:ascii="宋体" w:eastAsia="宋体" w:hAnsi="宋体" w:hint="eastAsia"/>
          <w:szCs w:val="21"/>
        </w:rPr>
        <w:t>家用和类似用途插头插座第</w:t>
      </w:r>
      <w:r>
        <w:rPr>
          <w:rFonts w:ascii="宋体" w:eastAsia="宋体" w:hAnsi="宋体"/>
          <w:szCs w:val="21"/>
        </w:rPr>
        <w:t xml:space="preserve">2-5 </w:t>
      </w:r>
      <w:r>
        <w:rPr>
          <w:rFonts w:ascii="宋体" w:eastAsia="宋体" w:hAnsi="宋体" w:hint="eastAsia"/>
          <w:szCs w:val="21"/>
        </w:rPr>
        <w:t>部分：转换器的特殊要求</w:t>
      </w:r>
    </w:p>
    <w:p w:rsidR="0069050B" w:rsidRDefault="000B3F50">
      <w:pPr>
        <w:pStyle w:val="aa"/>
        <w:spacing w:line="360" w:lineRule="auto"/>
        <w:ind w:left="430" w:firstLineChars="0" w:firstLine="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 xml:space="preserve">GB 2099.7-2015 </w:t>
      </w:r>
      <w:r>
        <w:rPr>
          <w:rFonts w:ascii="宋体" w:eastAsia="宋体" w:hAnsi="宋体" w:hint="eastAsia"/>
          <w:szCs w:val="21"/>
        </w:rPr>
        <w:t>家用和类似用途插头</w:t>
      </w:r>
      <w:proofErr w:type="gramStart"/>
      <w:r>
        <w:rPr>
          <w:rFonts w:ascii="宋体" w:eastAsia="宋体" w:hAnsi="宋体" w:hint="eastAsia"/>
          <w:szCs w:val="21"/>
        </w:rPr>
        <w:t>插座第</w:t>
      </w:r>
      <w:proofErr w:type="gramEnd"/>
      <w:r>
        <w:rPr>
          <w:rFonts w:ascii="宋体" w:eastAsia="宋体" w:hAnsi="宋体"/>
          <w:szCs w:val="21"/>
        </w:rPr>
        <w:t xml:space="preserve"> 2-7 </w:t>
      </w:r>
      <w:r>
        <w:rPr>
          <w:rFonts w:ascii="宋体" w:eastAsia="宋体" w:hAnsi="宋体" w:hint="eastAsia"/>
          <w:szCs w:val="21"/>
        </w:rPr>
        <w:t>部分：延长线插座的特殊要求</w:t>
      </w:r>
    </w:p>
    <w:p w:rsidR="0069050B" w:rsidRDefault="000B3F50">
      <w:pPr>
        <w:pStyle w:val="aa"/>
        <w:spacing w:line="360" w:lineRule="auto"/>
        <w:ind w:left="430" w:firstLineChars="0" w:firstLine="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 xml:space="preserve">GB 17167 </w:t>
      </w:r>
      <w:r>
        <w:rPr>
          <w:rFonts w:ascii="宋体" w:eastAsia="宋体" w:hAnsi="宋体" w:hint="eastAsia"/>
          <w:szCs w:val="21"/>
        </w:rPr>
        <w:t>用能单位能源计量器具配备和管理通则</w:t>
      </w:r>
    </w:p>
    <w:p w:rsidR="0069050B" w:rsidRDefault="000B3F50">
      <w:pPr>
        <w:pStyle w:val="aa"/>
        <w:spacing w:line="360" w:lineRule="auto"/>
        <w:ind w:left="430" w:firstLineChars="0" w:firstLine="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 xml:space="preserve">GB/T 16288 </w:t>
      </w:r>
      <w:r>
        <w:rPr>
          <w:rFonts w:ascii="宋体" w:eastAsia="宋体" w:hAnsi="宋体" w:hint="eastAsia"/>
          <w:szCs w:val="21"/>
        </w:rPr>
        <w:t>塑料制品的标志</w:t>
      </w:r>
    </w:p>
    <w:p w:rsidR="0069050B" w:rsidRDefault="000B3F50">
      <w:pPr>
        <w:pStyle w:val="aa"/>
        <w:spacing w:line="360" w:lineRule="auto"/>
        <w:ind w:left="430" w:firstLineChars="0" w:firstLine="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 xml:space="preserve">GB/T 16716.4 </w:t>
      </w:r>
      <w:r>
        <w:rPr>
          <w:rFonts w:ascii="宋体" w:eastAsia="宋体" w:hAnsi="宋体" w:hint="eastAsia"/>
          <w:szCs w:val="21"/>
        </w:rPr>
        <w:t>包装与环境第</w:t>
      </w:r>
      <w:r>
        <w:rPr>
          <w:rFonts w:ascii="宋体" w:eastAsia="宋体" w:hAnsi="宋体"/>
          <w:szCs w:val="21"/>
        </w:rPr>
        <w:t>4部分：材料循环再生</w:t>
      </w:r>
    </w:p>
    <w:p w:rsidR="0069050B" w:rsidRDefault="000B3F50">
      <w:pPr>
        <w:pStyle w:val="aa"/>
        <w:spacing w:line="360" w:lineRule="auto"/>
        <w:ind w:left="430" w:firstLineChars="0" w:firstLine="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 xml:space="preserve">GB/T 18455 </w:t>
      </w:r>
      <w:r>
        <w:rPr>
          <w:rFonts w:ascii="宋体" w:eastAsia="宋体" w:hAnsi="宋体" w:hint="eastAsia"/>
          <w:szCs w:val="21"/>
        </w:rPr>
        <w:t>包装回收标志</w:t>
      </w:r>
    </w:p>
    <w:p w:rsidR="0069050B" w:rsidRDefault="000B3F50">
      <w:pPr>
        <w:pStyle w:val="aa"/>
        <w:spacing w:line="360" w:lineRule="auto"/>
        <w:ind w:left="430" w:firstLineChars="0" w:firstLine="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 xml:space="preserve">GB/T 19001 </w:t>
      </w:r>
      <w:r>
        <w:rPr>
          <w:rFonts w:ascii="宋体" w:eastAsia="宋体" w:hAnsi="宋体" w:hint="eastAsia"/>
          <w:szCs w:val="21"/>
        </w:rPr>
        <w:t>质量</w:t>
      </w:r>
      <w:r>
        <w:rPr>
          <w:rFonts w:ascii="宋体" w:eastAsia="宋体" w:hAnsi="宋体"/>
          <w:szCs w:val="21"/>
        </w:rPr>
        <w:t>管理</w:t>
      </w:r>
      <w:r>
        <w:rPr>
          <w:rFonts w:ascii="宋体" w:eastAsia="宋体" w:hAnsi="宋体" w:hint="eastAsia"/>
          <w:szCs w:val="21"/>
        </w:rPr>
        <w:t>体系要求</w:t>
      </w:r>
    </w:p>
    <w:p w:rsidR="0069050B" w:rsidRDefault="000B3F50">
      <w:pPr>
        <w:pStyle w:val="aa"/>
        <w:spacing w:line="360" w:lineRule="auto"/>
        <w:ind w:left="430" w:firstLineChars="0" w:firstLine="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 xml:space="preserve">GB/T 23331 </w:t>
      </w:r>
      <w:r>
        <w:rPr>
          <w:rFonts w:ascii="宋体" w:eastAsia="宋体" w:hAnsi="宋体" w:hint="eastAsia"/>
          <w:szCs w:val="21"/>
        </w:rPr>
        <w:t>能源</w:t>
      </w:r>
      <w:r>
        <w:rPr>
          <w:rFonts w:ascii="宋体" w:eastAsia="宋体" w:hAnsi="宋体"/>
          <w:szCs w:val="21"/>
        </w:rPr>
        <w:t>管理</w:t>
      </w:r>
      <w:r>
        <w:rPr>
          <w:rFonts w:ascii="宋体" w:eastAsia="宋体" w:hAnsi="宋体" w:hint="eastAsia"/>
          <w:szCs w:val="21"/>
        </w:rPr>
        <w:t>体系要求</w:t>
      </w:r>
    </w:p>
    <w:p w:rsidR="0069050B" w:rsidRDefault="000B3F50">
      <w:pPr>
        <w:pStyle w:val="aa"/>
        <w:spacing w:line="360" w:lineRule="auto"/>
        <w:ind w:left="430" w:firstLineChars="0" w:firstLine="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 xml:space="preserve">GB/T 24001 </w:t>
      </w:r>
      <w:r>
        <w:rPr>
          <w:rFonts w:ascii="宋体" w:eastAsia="宋体" w:hAnsi="宋体" w:hint="eastAsia"/>
          <w:szCs w:val="21"/>
        </w:rPr>
        <w:t>环境管理体系要求及使用指南</w:t>
      </w:r>
    </w:p>
    <w:p w:rsidR="0069050B" w:rsidRDefault="000B3F50">
      <w:pPr>
        <w:pStyle w:val="aa"/>
        <w:spacing w:line="360" w:lineRule="auto"/>
        <w:ind w:left="430" w:firstLineChars="0" w:firstLine="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 xml:space="preserve">GB/T 24040 </w:t>
      </w:r>
      <w:r>
        <w:rPr>
          <w:rFonts w:ascii="宋体" w:eastAsia="宋体" w:hAnsi="宋体" w:hint="eastAsia"/>
          <w:szCs w:val="21"/>
        </w:rPr>
        <w:t>环境管理生命周期评价原则与框架</w:t>
      </w:r>
    </w:p>
    <w:p w:rsidR="0069050B" w:rsidRDefault="000B3F50">
      <w:pPr>
        <w:pStyle w:val="aa"/>
        <w:spacing w:line="360" w:lineRule="auto"/>
        <w:ind w:left="430" w:firstLineChars="0" w:firstLine="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 xml:space="preserve">GB/T 24044 </w:t>
      </w:r>
      <w:r>
        <w:rPr>
          <w:rFonts w:ascii="宋体" w:eastAsia="宋体" w:hAnsi="宋体" w:hint="eastAsia"/>
          <w:szCs w:val="21"/>
        </w:rPr>
        <w:t>环境管理生命周期评价要求与指南</w:t>
      </w:r>
    </w:p>
    <w:p w:rsidR="0069050B" w:rsidRDefault="000B3F50">
      <w:pPr>
        <w:pStyle w:val="aa"/>
        <w:spacing w:line="360" w:lineRule="auto"/>
        <w:ind w:left="430" w:firstLineChars="0" w:firstLine="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 xml:space="preserve">GB/T 26125-2011 </w:t>
      </w:r>
      <w:r>
        <w:rPr>
          <w:rFonts w:ascii="宋体" w:eastAsia="宋体" w:hAnsi="宋体" w:hint="eastAsia"/>
          <w:szCs w:val="21"/>
        </w:rPr>
        <w:t>电子电气产品六种限用物质（铅、汞、镉、六价铬、多溴联苯和多溴二苯醚）的测定</w:t>
      </w:r>
    </w:p>
    <w:p w:rsidR="0069050B" w:rsidRDefault="000B3F50">
      <w:pPr>
        <w:pStyle w:val="aa"/>
        <w:spacing w:line="360" w:lineRule="auto"/>
        <w:ind w:left="430" w:firstLineChars="0" w:firstLine="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lastRenderedPageBreak/>
        <w:t xml:space="preserve">GB/T 26572-2011 </w:t>
      </w:r>
      <w:r>
        <w:rPr>
          <w:rFonts w:ascii="宋体" w:eastAsia="宋体" w:hAnsi="宋体" w:hint="eastAsia"/>
          <w:szCs w:val="21"/>
        </w:rPr>
        <w:t>电子电气产品中限用物质的限量要求</w:t>
      </w:r>
    </w:p>
    <w:p w:rsidR="0069050B" w:rsidRDefault="000B3F50">
      <w:pPr>
        <w:pStyle w:val="aa"/>
        <w:spacing w:line="360" w:lineRule="auto"/>
        <w:ind w:left="430" w:firstLineChars="0" w:firstLine="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 xml:space="preserve">GB/T 29786-2013 </w:t>
      </w:r>
      <w:r>
        <w:rPr>
          <w:rFonts w:ascii="宋体" w:eastAsia="宋体" w:hAnsi="宋体" w:hint="eastAsia"/>
          <w:szCs w:val="21"/>
        </w:rPr>
        <w:t>电子电气产品中邻苯二甲酸酯的测定</w:t>
      </w:r>
    </w:p>
    <w:p w:rsidR="0069050B" w:rsidRDefault="000B3F50">
      <w:pPr>
        <w:pStyle w:val="aa"/>
        <w:spacing w:line="360" w:lineRule="auto"/>
        <w:ind w:left="430" w:firstLineChars="0" w:firstLine="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 xml:space="preserve">GB/T 28001 </w:t>
      </w:r>
      <w:r>
        <w:rPr>
          <w:rFonts w:ascii="宋体" w:eastAsia="宋体" w:hAnsi="宋体" w:hint="eastAsia"/>
          <w:szCs w:val="21"/>
        </w:rPr>
        <w:t>职业健康安全管理体系规范</w:t>
      </w:r>
    </w:p>
    <w:p w:rsidR="0069050B" w:rsidRDefault="000B3F50">
      <w:pPr>
        <w:pStyle w:val="aa"/>
        <w:spacing w:line="360" w:lineRule="auto"/>
        <w:ind w:left="430" w:firstLineChars="0" w:firstLine="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 xml:space="preserve">GB/T 32161-2015 </w:t>
      </w:r>
      <w:r>
        <w:rPr>
          <w:rFonts w:ascii="宋体" w:eastAsia="宋体" w:hAnsi="宋体" w:hint="eastAsia"/>
          <w:szCs w:val="21"/>
        </w:rPr>
        <w:t>生态设计产品评价通则</w:t>
      </w:r>
    </w:p>
    <w:p w:rsidR="0069050B" w:rsidRDefault="000B3F50">
      <w:pPr>
        <w:pStyle w:val="aa"/>
        <w:spacing w:line="360" w:lineRule="auto"/>
        <w:ind w:left="430" w:firstLineChars="0" w:firstLine="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 xml:space="preserve">GB/T 32162  </w:t>
      </w:r>
      <w:r>
        <w:rPr>
          <w:rFonts w:ascii="宋体" w:eastAsia="宋体" w:hAnsi="宋体" w:hint="eastAsia"/>
          <w:szCs w:val="21"/>
        </w:rPr>
        <w:t>生态设计产品标识</w:t>
      </w:r>
    </w:p>
    <w:p w:rsidR="0069050B" w:rsidRDefault="000B3F50">
      <w:pPr>
        <w:pStyle w:val="2"/>
        <w:numPr>
          <w:ilvl w:val="0"/>
          <w:numId w:val="1"/>
        </w:numPr>
        <w:rPr>
          <w:rFonts w:ascii="宋体" w:eastAsia="宋体" w:hAnsi="宋体" w:cstheme="minorBidi"/>
          <w:sz w:val="21"/>
          <w:szCs w:val="21"/>
        </w:rPr>
      </w:pPr>
      <w:bookmarkStart w:id="7" w:name="_Toc21567"/>
      <w:r>
        <w:rPr>
          <w:rFonts w:ascii="宋体" w:eastAsia="宋体" w:hAnsi="宋体" w:cstheme="minorBidi" w:hint="eastAsia"/>
          <w:sz w:val="21"/>
          <w:szCs w:val="21"/>
        </w:rPr>
        <w:t>术语和定义</w:t>
      </w:r>
      <w:bookmarkEnd w:id="7"/>
    </w:p>
    <w:p w:rsidR="0069050B" w:rsidRDefault="000B3F50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GB 1002-2008、GB 2099.1-2008、GB 2099.3-2015、GB 2099.7-2015等界定的以及下列术语和定义适用于本文件。</w:t>
      </w:r>
    </w:p>
    <w:p w:rsidR="0069050B" w:rsidRDefault="000B3F50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3.1 智能计量插座：</w:t>
      </w:r>
    </w:p>
    <w:p w:rsidR="0069050B" w:rsidRDefault="0081725E" w:rsidP="00504F91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504F91">
        <w:rPr>
          <w:rFonts w:ascii="宋体" w:eastAsia="宋体" w:hAnsi="宋体" w:hint="eastAsia"/>
          <w:szCs w:val="21"/>
        </w:rPr>
        <w:t>用于连接电源与用电设备，能够采集接入用电设备的用电信息，能够准确计量用电设备使用的电能量，能通过</w:t>
      </w:r>
      <w:r w:rsidR="00946418" w:rsidRPr="00504F91">
        <w:rPr>
          <w:rFonts w:ascii="宋体" w:eastAsia="宋体" w:hAnsi="宋体" w:hint="eastAsia"/>
          <w:szCs w:val="21"/>
        </w:rPr>
        <w:t>通讯网络</w:t>
      </w:r>
      <w:r w:rsidRPr="00504F91">
        <w:rPr>
          <w:rFonts w:ascii="宋体" w:eastAsia="宋体" w:hAnsi="宋体" w:hint="eastAsia"/>
          <w:szCs w:val="21"/>
        </w:rPr>
        <w:t>将数据传输给远程服务器，并能通过</w:t>
      </w:r>
      <w:r w:rsidR="00946418" w:rsidRPr="00504F91">
        <w:rPr>
          <w:rFonts w:ascii="宋体" w:eastAsia="宋体" w:hAnsi="宋体" w:hint="eastAsia"/>
          <w:szCs w:val="21"/>
        </w:rPr>
        <w:t>通讯网络</w:t>
      </w:r>
      <w:r w:rsidRPr="00504F91">
        <w:rPr>
          <w:rFonts w:ascii="宋体" w:eastAsia="宋体" w:hAnsi="宋体" w:hint="eastAsia"/>
          <w:szCs w:val="21"/>
        </w:rPr>
        <w:t>接受远程服务器</w:t>
      </w:r>
      <w:r w:rsidR="00946418" w:rsidRPr="00504F91">
        <w:rPr>
          <w:rFonts w:ascii="宋体" w:eastAsia="宋体" w:hAnsi="宋体" w:hint="eastAsia"/>
          <w:szCs w:val="21"/>
        </w:rPr>
        <w:t>的数据与控制指令，</w:t>
      </w:r>
      <w:r w:rsidRPr="00504F91">
        <w:rPr>
          <w:rFonts w:ascii="宋体" w:eastAsia="宋体" w:hAnsi="宋体" w:hint="eastAsia"/>
          <w:szCs w:val="21"/>
        </w:rPr>
        <w:t>可实现电源远程通断、定时通断等智能化功能的电源插座及转换器。</w:t>
      </w:r>
    </w:p>
    <w:p w:rsidR="0069050B" w:rsidRDefault="000B3F50">
      <w:pPr>
        <w:pStyle w:val="2"/>
        <w:numPr>
          <w:ilvl w:val="0"/>
          <w:numId w:val="1"/>
        </w:numPr>
        <w:rPr>
          <w:rFonts w:ascii="宋体" w:eastAsia="宋体" w:hAnsi="宋体" w:cstheme="minorBidi"/>
          <w:sz w:val="21"/>
          <w:szCs w:val="21"/>
        </w:rPr>
      </w:pPr>
      <w:bookmarkStart w:id="8" w:name="_Toc18670"/>
      <w:r>
        <w:rPr>
          <w:rFonts w:ascii="宋体" w:eastAsia="宋体" w:hAnsi="宋体" w:cstheme="minorBidi" w:hint="eastAsia"/>
          <w:sz w:val="21"/>
          <w:szCs w:val="21"/>
        </w:rPr>
        <w:t>评价要求</w:t>
      </w:r>
      <w:bookmarkEnd w:id="8"/>
    </w:p>
    <w:p w:rsidR="0069050B" w:rsidRDefault="000B3F50">
      <w:pPr>
        <w:pStyle w:val="3"/>
        <w:numPr>
          <w:ilvl w:val="1"/>
          <w:numId w:val="1"/>
        </w:numPr>
        <w:rPr>
          <w:rFonts w:ascii="宋体" w:eastAsia="宋体" w:hAnsi="宋体" w:cs="宋体"/>
          <w:sz w:val="21"/>
          <w:szCs w:val="21"/>
        </w:rPr>
      </w:pPr>
      <w:bookmarkStart w:id="9" w:name="_Toc7578"/>
      <w:r>
        <w:rPr>
          <w:rFonts w:ascii="宋体" w:eastAsia="宋体" w:hAnsi="宋体" w:cs="宋体" w:hint="eastAsia"/>
          <w:sz w:val="21"/>
          <w:szCs w:val="21"/>
        </w:rPr>
        <w:t>基本要求</w:t>
      </w:r>
      <w:bookmarkEnd w:id="9"/>
    </w:p>
    <w:p w:rsidR="0069050B" w:rsidRDefault="000B3F50">
      <w:pPr>
        <w:pStyle w:val="ab"/>
        <w:numPr>
          <w:ilvl w:val="2"/>
          <w:numId w:val="1"/>
        </w:numPr>
        <w:spacing w:line="360" w:lineRule="auto"/>
        <w:ind w:left="0" w:firstLine="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生产企业的污染物排放</w:t>
      </w:r>
      <w:r>
        <w:rPr>
          <w:rFonts w:ascii="宋体" w:eastAsia="宋体" w:hAnsi="宋体" w:hint="eastAsia"/>
          <w:szCs w:val="21"/>
        </w:rPr>
        <w:t>应达到国家和湖南省污染物排放标准的要求，污染物总量控制应达到国家和湖南省污染物排放问题控制指标；应严格执行节能环保相关国家标准并提供标准清单，截止评价日近三年无重大质量、安全和环境事故。</w:t>
      </w:r>
    </w:p>
    <w:p w:rsidR="0069050B" w:rsidRDefault="000B3F50">
      <w:pPr>
        <w:pStyle w:val="ab"/>
        <w:numPr>
          <w:ilvl w:val="2"/>
          <w:numId w:val="1"/>
        </w:numPr>
        <w:spacing w:line="360" w:lineRule="auto"/>
        <w:ind w:left="0" w:firstLine="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生产企业应按照</w:t>
      </w:r>
      <w:r>
        <w:rPr>
          <w:rFonts w:ascii="宋体" w:eastAsia="宋体" w:hAnsi="宋体"/>
          <w:szCs w:val="21"/>
        </w:rPr>
        <w:t>GB/T 19001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/>
          <w:szCs w:val="21"/>
        </w:rPr>
        <w:t>GB/T 24001</w:t>
      </w:r>
      <w:r>
        <w:rPr>
          <w:rFonts w:ascii="宋体" w:eastAsia="宋体" w:hAnsi="宋体" w:hint="eastAsia"/>
          <w:szCs w:val="21"/>
        </w:rPr>
        <w:t>和</w:t>
      </w:r>
      <w:r>
        <w:rPr>
          <w:rFonts w:ascii="宋体" w:eastAsia="宋体" w:hAnsi="宋体"/>
          <w:szCs w:val="21"/>
        </w:rPr>
        <w:t>GB/T 28001</w:t>
      </w:r>
      <w:r>
        <w:rPr>
          <w:rFonts w:ascii="宋体" w:eastAsia="宋体" w:hAnsi="宋体" w:hint="eastAsia"/>
          <w:szCs w:val="21"/>
        </w:rPr>
        <w:t>分别建立、实施、保持并持续改进质量管理体系、环境管理系统和职业健康安全管理体系。</w:t>
      </w:r>
    </w:p>
    <w:p w:rsidR="0069050B" w:rsidRDefault="000B3F50">
      <w:pPr>
        <w:pStyle w:val="ab"/>
        <w:numPr>
          <w:ilvl w:val="2"/>
          <w:numId w:val="1"/>
        </w:numPr>
        <w:spacing w:line="360" w:lineRule="auto"/>
        <w:ind w:left="0" w:firstLine="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生产企业应按照</w:t>
      </w:r>
      <w:r>
        <w:rPr>
          <w:rFonts w:ascii="宋体" w:eastAsia="宋体" w:hAnsi="宋体"/>
          <w:szCs w:val="21"/>
        </w:rPr>
        <w:t xml:space="preserve">GB/T </w:t>
      </w:r>
      <w:r>
        <w:rPr>
          <w:rFonts w:ascii="宋体" w:eastAsia="宋体" w:hAnsi="宋体" w:hint="eastAsia"/>
          <w:szCs w:val="21"/>
        </w:rPr>
        <w:t>32161的相关要求开展产品绿色设计工作，设计工作在考虑环境要求的同时，还应适当考虑产品的耐用性、可靠性、可维修性、可重复使用性、可再制造、模块化、智能化以及对环境产生不良影响部件的易拆解性和易回收性等，应形成产品绿色设计方案。</w:t>
      </w:r>
    </w:p>
    <w:p w:rsidR="0069050B" w:rsidRDefault="000B3F50">
      <w:pPr>
        <w:pStyle w:val="ab"/>
        <w:numPr>
          <w:ilvl w:val="2"/>
          <w:numId w:val="1"/>
        </w:numPr>
        <w:spacing w:line="360" w:lineRule="auto"/>
        <w:ind w:left="0" w:firstLine="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生产企业应采用国家鼓励的先进技术和工艺，不得使用国家或有关部门发布的淘汰或禁止的技术、工艺、装备及相关物质；设计、生产过程中应以节约材料为原则制定要求。</w:t>
      </w:r>
    </w:p>
    <w:p w:rsidR="0069050B" w:rsidRDefault="000B3F50">
      <w:pPr>
        <w:pStyle w:val="ab"/>
        <w:numPr>
          <w:ilvl w:val="2"/>
          <w:numId w:val="1"/>
        </w:numPr>
        <w:spacing w:line="360" w:lineRule="auto"/>
        <w:ind w:left="0" w:firstLine="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生产企业应开展绿色供应链管理，并建立绿色供应链管理绩效评价机制和程序，确定评价指标和评价方法；生产企业应对产品主要原材料供应方、生产协作方、相关服务方等提出相关质量、环境、能源和安全等方面的管理要求。</w:t>
      </w:r>
    </w:p>
    <w:p w:rsidR="0069050B" w:rsidRDefault="000B3F50">
      <w:pPr>
        <w:pStyle w:val="ab"/>
        <w:numPr>
          <w:ilvl w:val="2"/>
          <w:numId w:val="1"/>
        </w:numPr>
        <w:spacing w:line="360" w:lineRule="auto"/>
        <w:ind w:left="0" w:firstLine="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lastRenderedPageBreak/>
        <w:t>产品说明书中应包含有害物质使用、需特殊处理材料及产品废弃后的有关循环利用的相关要求说明；生产企业宜通过适当的方式发布产品拆解技术指导信息，信息应便于相关组织获取。</w:t>
      </w:r>
    </w:p>
    <w:p w:rsidR="0069050B" w:rsidRDefault="000B3F50">
      <w:pPr>
        <w:pStyle w:val="ab"/>
        <w:numPr>
          <w:ilvl w:val="2"/>
          <w:numId w:val="1"/>
        </w:numPr>
        <w:spacing w:line="360" w:lineRule="auto"/>
        <w:ind w:left="0" w:firstLine="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产品质量应符合相关产品标准的规定，应满足强制性产品认证要求。</w:t>
      </w:r>
    </w:p>
    <w:p w:rsidR="0069050B" w:rsidRDefault="000B3F50">
      <w:pPr>
        <w:pStyle w:val="ab"/>
        <w:numPr>
          <w:ilvl w:val="2"/>
          <w:numId w:val="1"/>
        </w:numPr>
        <w:spacing w:line="360" w:lineRule="auto"/>
        <w:ind w:left="0" w:firstLine="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产品包装应符合</w:t>
      </w:r>
      <w:r>
        <w:rPr>
          <w:rFonts w:ascii="宋体" w:eastAsia="宋体" w:hAnsi="宋体"/>
          <w:szCs w:val="21"/>
        </w:rPr>
        <w:t>GB/T 191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/>
          <w:szCs w:val="21"/>
        </w:rPr>
        <w:t>GB/T 16716.4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/>
          <w:szCs w:val="21"/>
        </w:rPr>
        <w:t>GB/T 18455</w:t>
      </w:r>
      <w:r>
        <w:rPr>
          <w:rFonts w:ascii="宋体" w:eastAsia="宋体" w:hAnsi="宋体" w:hint="eastAsia"/>
          <w:szCs w:val="21"/>
        </w:rPr>
        <w:t>的要求。</w:t>
      </w:r>
    </w:p>
    <w:p w:rsidR="0069050B" w:rsidRDefault="000B3F50">
      <w:pPr>
        <w:pStyle w:val="3"/>
        <w:numPr>
          <w:ilvl w:val="1"/>
          <w:numId w:val="1"/>
        </w:numPr>
        <w:rPr>
          <w:rFonts w:ascii="宋体" w:eastAsia="宋体" w:hAnsi="宋体" w:cs="宋体"/>
          <w:sz w:val="21"/>
          <w:szCs w:val="21"/>
        </w:rPr>
      </w:pPr>
      <w:bookmarkStart w:id="10" w:name="_Toc18459"/>
      <w:r>
        <w:rPr>
          <w:rFonts w:ascii="宋体" w:eastAsia="宋体" w:hAnsi="宋体" w:cs="宋体" w:hint="eastAsia"/>
          <w:sz w:val="21"/>
          <w:szCs w:val="21"/>
        </w:rPr>
        <w:t>评价指标要求</w:t>
      </w:r>
      <w:bookmarkEnd w:id="10"/>
    </w:p>
    <w:p w:rsidR="0069050B" w:rsidRDefault="000B3F50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智能计量插座的评价指标体系由一级指标和二级指标组成。一级指标包括资源属性、能源属性、环境属性和产品属性等四类指标；二级指标为四类属性指标中的具体评价项目，包括了指标名称、基准值、判定依据等，评价指标具体要求见表</w:t>
      </w:r>
      <w:r>
        <w:rPr>
          <w:rFonts w:ascii="宋体" w:eastAsia="宋体" w:hAnsi="宋体"/>
          <w:szCs w:val="21"/>
        </w:rPr>
        <w:t>1。</w:t>
      </w:r>
    </w:p>
    <w:p w:rsidR="0069050B" w:rsidRDefault="0069050B">
      <w:pPr>
        <w:spacing w:line="360" w:lineRule="auto"/>
        <w:jc w:val="center"/>
        <w:rPr>
          <w:rFonts w:ascii="宋体" w:eastAsia="宋体" w:hAnsi="宋体"/>
          <w:b/>
          <w:bCs/>
          <w:szCs w:val="21"/>
        </w:rPr>
      </w:pPr>
    </w:p>
    <w:p w:rsidR="0069050B" w:rsidRDefault="000B3F50">
      <w:pPr>
        <w:spacing w:line="360" w:lineRule="auto"/>
        <w:jc w:val="center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表</w:t>
      </w:r>
      <w:r>
        <w:rPr>
          <w:rFonts w:ascii="宋体" w:eastAsia="宋体" w:hAnsi="宋体"/>
          <w:b/>
          <w:bCs/>
          <w:szCs w:val="21"/>
        </w:rPr>
        <w:t xml:space="preserve">1 </w:t>
      </w:r>
      <w:r>
        <w:rPr>
          <w:rFonts w:ascii="宋体" w:eastAsia="宋体" w:hAnsi="宋体" w:hint="eastAsia"/>
          <w:b/>
          <w:bCs/>
          <w:szCs w:val="21"/>
        </w:rPr>
        <w:t>智能计量插座评价指标要求</w:t>
      </w:r>
    </w:p>
    <w:tbl>
      <w:tblPr>
        <w:tblStyle w:val="a8"/>
        <w:tblW w:w="9498" w:type="dxa"/>
        <w:jc w:val="center"/>
        <w:tblLook w:val="04A0" w:firstRow="1" w:lastRow="0" w:firstColumn="1" w:lastColumn="0" w:noHBand="0" w:noVBand="1"/>
      </w:tblPr>
      <w:tblGrid>
        <w:gridCol w:w="1135"/>
        <w:gridCol w:w="1559"/>
        <w:gridCol w:w="709"/>
        <w:gridCol w:w="709"/>
        <w:gridCol w:w="2268"/>
        <w:gridCol w:w="1984"/>
        <w:gridCol w:w="1134"/>
      </w:tblGrid>
      <w:tr w:rsidR="0069050B">
        <w:trPr>
          <w:jc w:val="center"/>
        </w:trPr>
        <w:tc>
          <w:tcPr>
            <w:tcW w:w="1135" w:type="dxa"/>
          </w:tcPr>
          <w:p w:rsidR="0069050B" w:rsidRDefault="000B3F5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一级指标</w:t>
            </w:r>
          </w:p>
        </w:tc>
        <w:tc>
          <w:tcPr>
            <w:tcW w:w="1559" w:type="dxa"/>
          </w:tcPr>
          <w:p w:rsidR="0069050B" w:rsidRDefault="000B3F5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二级指标</w:t>
            </w:r>
          </w:p>
        </w:tc>
        <w:tc>
          <w:tcPr>
            <w:tcW w:w="709" w:type="dxa"/>
          </w:tcPr>
          <w:p w:rsidR="0069050B" w:rsidRDefault="000B3F5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单位</w:t>
            </w:r>
          </w:p>
        </w:tc>
        <w:tc>
          <w:tcPr>
            <w:tcW w:w="709" w:type="dxa"/>
          </w:tcPr>
          <w:p w:rsidR="0069050B" w:rsidRDefault="000B3F5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指标</w:t>
            </w:r>
            <w:r>
              <w:rPr>
                <w:rFonts w:ascii="宋体" w:eastAsia="宋体" w:hAnsi="宋体"/>
                <w:b/>
                <w:bCs/>
                <w:szCs w:val="21"/>
              </w:rPr>
              <w:t>方向</w:t>
            </w:r>
          </w:p>
        </w:tc>
        <w:tc>
          <w:tcPr>
            <w:tcW w:w="2268" w:type="dxa"/>
          </w:tcPr>
          <w:p w:rsidR="0069050B" w:rsidRDefault="000B3F5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基准值</w:t>
            </w:r>
          </w:p>
        </w:tc>
        <w:tc>
          <w:tcPr>
            <w:tcW w:w="1984" w:type="dxa"/>
          </w:tcPr>
          <w:p w:rsidR="0069050B" w:rsidRDefault="000B3F5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判定依据</w:t>
            </w:r>
          </w:p>
        </w:tc>
        <w:tc>
          <w:tcPr>
            <w:tcW w:w="1134" w:type="dxa"/>
          </w:tcPr>
          <w:p w:rsidR="0069050B" w:rsidRDefault="000B3F5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所属</w:t>
            </w:r>
            <w:r>
              <w:rPr>
                <w:rFonts w:ascii="宋体" w:eastAsia="宋体" w:hAnsi="宋体"/>
                <w:b/>
                <w:bCs/>
                <w:szCs w:val="21"/>
              </w:rPr>
              <w:t>阶段</w:t>
            </w:r>
          </w:p>
        </w:tc>
      </w:tr>
      <w:tr w:rsidR="0069050B">
        <w:trPr>
          <w:jc w:val="center"/>
        </w:trPr>
        <w:tc>
          <w:tcPr>
            <w:tcW w:w="1135" w:type="dxa"/>
            <w:vMerge w:val="restart"/>
            <w:vAlign w:val="center"/>
          </w:tcPr>
          <w:p w:rsidR="0069050B" w:rsidRDefault="000B3F50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资源属性</w:t>
            </w:r>
          </w:p>
        </w:tc>
        <w:tc>
          <w:tcPr>
            <w:tcW w:w="1559" w:type="dxa"/>
            <w:vMerge w:val="restart"/>
            <w:vAlign w:val="center"/>
          </w:tcPr>
          <w:p w:rsidR="0069050B" w:rsidRDefault="000B3F50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限用有害物质</w:t>
            </w:r>
          </w:p>
        </w:tc>
        <w:tc>
          <w:tcPr>
            <w:tcW w:w="709" w:type="dxa"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</w:tcPr>
          <w:p w:rsidR="0069050B" w:rsidRDefault="000B3F5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产品应符合</w:t>
            </w:r>
            <w:r>
              <w:rPr>
                <w:rFonts w:ascii="宋体" w:eastAsia="宋体" w:hAnsi="宋体"/>
                <w:szCs w:val="21"/>
              </w:rPr>
              <w:t>SJ/T 11364</w:t>
            </w:r>
            <w:r>
              <w:rPr>
                <w:rFonts w:ascii="宋体" w:eastAsia="宋体" w:hAnsi="宋体" w:hint="eastAsia"/>
                <w:szCs w:val="21"/>
              </w:rPr>
              <w:t>的标识要求</w:t>
            </w:r>
          </w:p>
        </w:tc>
        <w:tc>
          <w:tcPr>
            <w:tcW w:w="1984" w:type="dxa"/>
          </w:tcPr>
          <w:p w:rsidR="0069050B" w:rsidRDefault="000B3F5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依据</w:t>
            </w:r>
            <w:r>
              <w:rPr>
                <w:rFonts w:ascii="宋体" w:eastAsia="宋体" w:hAnsi="宋体"/>
                <w:szCs w:val="21"/>
              </w:rPr>
              <w:t>SJ/T 11364</w:t>
            </w:r>
            <w:r>
              <w:rPr>
                <w:rFonts w:ascii="宋体" w:eastAsia="宋体" w:hAnsi="宋体" w:hint="eastAsia"/>
                <w:szCs w:val="21"/>
              </w:rPr>
              <w:t>在产品上进行标识</w:t>
            </w:r>
          </w:p>
        </w:tc>
        <w:tc>
          <w:tcPr>
            <w:tcW w:w="1134" w:type="dxa"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69050B">
        <w:trPr>
          <w:jc w:val="center"/>
        </w:trPr>
        <w:tc>
          <w:tcPr>
            <w:tcW w:w="1135" w:type="dxa"/>
            <w:vMerge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Merge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</w:tcPr>
          <w:p w:rsidR="0069050B" w:rsidRDefault="000B3F5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产品应符合</w:t>
            </w:r>
            <w:r>
              <w:rPr>
                <w:rFonts w:ascii="宋体" w:eastAsia="宋体" w:hAnsi="宋体"/>
                <w:szCs w:val="21"/>
              </w:rPr>
              <w:t>GB/T 26572-2011</w:t>
            </w:r>
            <w:r>
              <w:rPr>
                <w:rFonts w:ascii="宋体" w:eastAsia="宋体" w:hAnsi="宋体" w:hint="eastAsia"/>
                <w:szCs w:val="21"/>
              </w:rPr>
              <w:t>中对产品含六种限用物质的限量要求</w:t>
            </w:r>
          </w:p>
        </w:tc>
        <w:tc>
          <w:tcPr>
            <w:tcW w:w="1984" w:type="dxa"/>
          </w:tcPr>
          <w:p w:rsidR="0069050B" w:rsidRDefault="000B3F5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依据</w:t>
            </w:r>
            <w:r>
              <w:rPr>
                <w:rFonts w:ascii="宋体" w:eastAsia="宋体" w:hAnsi="宋体"/>
                <w:szCs w:val="21"/>
              </w:rPr>
              <w:t>GB/T 26125-2011</w:t>
            </w:r>
            <w:r>
              <w:rPr>
                <w:rFonts w:ascii="宋体" w:eastAsia="宋体" w:hAnsi="宋体" w:hint="eastAsia"/>
                <w:szCs w:val="21"/>
              </w:rPr>
              <w:t>测试并提供测试报告</w:t>
            </w:r>
          </w:p>
        </w:tc>
        <w:tc>
          <w:tcPr>
            <w:tcW w:w="1134" w:type="dxa"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69050B">
        <w:trPr>
          <w:jc w:val="center"/>
        </w:trPr>
        <w:tc>
          <w:tcPr>
            <w:tcW w:w="1135" w:type="dxa"/>
            <w:vMerge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Merge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</w:tcPr>
          <w:p w:rsidR="0069050B" w:rsidRDefault="000B3F50">
            <w:pPr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产品中</w:t>
            </w:r>
            <w:r>
              <w:rPr>
                <w:rFonts w:ascii="宋体" w:eastAsia="宋体" w:hAnsi="宋体"/>
                <w:szCs w:val="21"/>
              </w:rPr>
              <w:t>邻苯</w:t>
            </w:r>
            <w:proofErr w:type="gramEnd"/>
            <w:r>
              <w:rPr>
                <w:rFonts w:ascii="宋体" w:eastAsia="宋体" w:hAnsi="宋体"/>
                <w:szCs w:val="21"/>
              </w:rPr>
              <w:t>二甲酸</w:t>
            </w:r>
            <w:r>
              <w:rPr>
                <w:rFonts w:ascii="宋体" w:eastAsia="宋体" w:hAnsi="宋体" w:hint="eastAsia"/>
                <w:szCs w:val="21"/>
              </w:rPr>
              <w:t>二乙丁酯、</w:t>
            </w:r>
            <w:r>
              <w:rPr>
                <w:rFonts w:ascii="宋体" w:eastAsia="宋体" w:hAnsi="宋体"/>
                <w:szCs w:val="21"/>
              </w:rPr>
              <w:t>邻苯二甲酸</w:t>
            </w:r>
            <w:r>
              <w:rPr>
                <w:rFonts w:ascii="宋体" w:eastAsia="宋体" w:hAnsi="宋体" w:hint="eastAsia"/>
                <w:szCs w:val="21"/>
              </w:rPr>
              <w:t>二</w:t>
            </w:r>
            <w:r>
              <w:rPr>
                <w:rFonts w:ascii="宋体" w:eastAsia="宋体" w:hAnsi="宋体"/>
                <w:szCs w:val="21"/>
              </w:rPr>
              <w:t>(2-乙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基己基</w:t>
            </w:r>
            <w:proofErr w:type="gramEnd"/>
            <w:r>
              <w:rPr>
                <w:rFonts w:ascii="宋体" w:eastAsia="宋体" w:hAnsi="宋体"/>
                <w:szCs w:val="21"/>
              </w:rPr>
              <w:t>)</w:t>
            </w:r>
            <w:r>
              <w:rPr>
                <w:rFonts w:ascii="宋体" w:eastAsia="宋体" w:hAnsi="宋体" w:hint="eastAsia"/>
                <w:szCs w:val="21"/>
              </w:rPr>
              <w:t>酯、</w:t>
            </w:r>
            <w:r>
              <w:rPr>
                <w:rFonts w:ascii="宋体" w:eastAsia="宋体" w:hAnsi="宋体"/>
                <w:szCs w:val="21"/>
              </w:rPr>
              <w:t>邻苯二甲酸</w:t>
            </w:r>
            <w:r>
              <w:rPr>
                <w:rFonts w:ascii="宋体" w:eastAsia="宋体" w:hAnsi="宋体" w:hint="eastAsia"/>
                <w:szCs w:val="21"/>
              </w:rPr>
              <w:t>甲苯基丁酯、</w:t>
            </w:r>
            <w:r>
              <w:rPr>
                <w:rFonts w:ascii="宋体" w:eastAsia="宋体" w:hAnsi="宋体"/>
                <w:szCs w:val="21"/>
              </w:rPr>
              <w:t>邻苯二甲酸</w:t>
            </w:r>
            <w:r>
              <w:rPr>
                <w:rFonts w:ascii="宋体" w:eastAsia="宋体" w:hAnsi="宋体" w:hint="eastAsia"/>
                <w:szCs w:val="21"/>
              </w:rPr>
              <w:t>苯基丁基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酯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四种物质含量分别不超过</w:t>
            </w:r>
            <w:r>
              <w:rPr>
                <w:rFonts w:ascii="宋体" w:eastAsia="宋体" w:hAnsi="宋体"/>
                <w:szCs w:val="21"/>
              </w:rPr>
              <w:t>0.1%</w:t>
            </w:r>
          </w:p>
        </w:tc>
        <w:tc>
          <w:tcPr>
            <w:tcW w:w="1984" w:type="dxa"/>
          </w:tcPr>
          <w:p w:rsidR="0069050B" w:rsidRDefault="000B3F5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依据</w:t>
            </w:r>
            <w:r>
              <w:rPr>
                <w:rFonts w:ascii="宋体" w:eastAsia="宋体" w:hAnsi="宋体"/>
                <w:szCs w:val="21"/>
              </w:rPr>
              <w:t>GB/T 29786-2013</w:t>
            </w:r>
            <w:r>
              <w:rPr>
                <w:rFonts w:ascii="宋体" w:eastAsia="宋体" w:hAnsi="宋体" w:hint="eastAsia"/>
                <w:szCs w:val="21"/>
              </w:rPr>
              <w:t>测试并提供测试报告</w:t>
            </w:r>
          </w:p>
        </w:tc>
        <w:tc>
          <w:tcPr>
            <w:tcW w:w="1134" w:type="dxa"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69050B">
        <w:trPr>
          <w:jc w:val="center"/>
        </w:trPr>
        <w:tc>
          <w:tcPr>
            <w:tcW w:w="1135" w:type="dxa"/>
            <w:vMerge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Merge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</w:tcPr>
          <w:p w:rsidR="0069050B" w:rsidRDefault="000B3F5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产品塑料零部件中短链氯化石蜡</w:t>
            </w:r>
            <w:r>
              <w:rPr>
                <w:rFonts w:ascii="宋体" w:eastAsia="宋体" w:hAnsi="宋体"/>
                <w:szCs w:val="21"/>
              </w:rPr>
              <w:t>(SCCPs)</w:t>
            </w:r>
            <w:r>
              <w:rPr>
                <w:rFonts w:ascii="宋体" w:eastAsia="宋体" w:hAnsi="宋体" w:hint="eastAsia"/>
                <w:szCs w:val="21"/>
              </w:rPr>
              <w:t>含量不应大于</w:t>
            </w:r>
            <w:r>
              <w:rPr>
                <w:rFonts w:ascii="宋体" w:eastAsia="宋体" w:hAnsi="宋体"/>
                <w:szCs w:val="21"/>
              </w:rPr>
              <w:t>0.1%</w:t>
            </w:r>
          </w:p>
        </w:tc>
        <w:tc>
          <w:tcPr>
            <w:tcW w:w="1984" w:type="dxa"/>
          </w:tcPr>
          <w:p w:rsidR="0069050B" w:rsidRDefault="000B3F5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依据</w:t>
            </w:r>
            <w:r>
              <w:rPr>
                <w:rFonts w:ascii="宋体" w:eastAsia="宋体" w:hAnsi="宋体"/>
                <w:szCs w:val="21"/>
              </w:rPr>
              <w:t>GB/T 33345</w:t>
            </w:r>
            <w:r>
              <w:rPr>
                <w:rFonts w:ascii="宋体" w:eastAsia="宋体" w:hAnsi="宋体" w:hint="eastAsia"/>
                <w:szCs w:val="21"/>
              </w:rPr>
              <w:t>测试并提供测试报告</w:t>
            </w:r>
          </w:p>
        </w:tc>
        <w:tc>
          <w:tcPr>
            <w:tcW w:w="1134" w:type="dxa"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69050B">
        <w:trPr>
          <w:jc w:val="center"/>
        </w:trPr>
        <w:tc>
          <w:tcPr>
            <w:tcW w:w="1135" w:type="dxa"/>
            <w:vMerge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Merge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</w:tcPr>
          <w:p w:rsidR="0069050B" w:rsidRDefault="000B3F5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产品包装不应使用氢氟氯化碳</w:t>
            </w:r>
            <w:r>
              <w:rPr>
                <w:rFonts w:ascii="宋体" w:eastAsia="宋体" w:hAnsi="宋体"/>
                <w:szCs w:val="21"/>
              </w:rPr>
              <w:t>(HCFCs)</w:t>
            </w:r>
            <w:r>
              <w:rPr>
                <w:rFonts w:ascii="宋体" w:eastAsia="宋体" w:hAnsi="宋体" w:hint="eastAsia"/>
                <w:szCs w:val="21"/>
              </w:rPr>
              <w:t>作为化泡剂</w:t>
            </w:r>
          </w:p>
        </w:tc>
        <w:tc>
          <w:tcPr>
            <w:tcW w:w="1984" w:type="dxa"/>
          </w:tcPr>
          <w:p w:rsidR="0069050B" w:rsidRDefault="000B3F5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依据对供应商的协议文件进行审查，以确定其符合性</w:t>
            </w:r>
          </w:p>
        </w:tc>
        <w:tc>
          <w:tcPr>
            <w:tcW w:w="1134" w:type="dxa"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69050B">
        <w:trPr>
          <w:jc w:val="center"/>
        </w:trPr>
        <w:tc>
          <w:tcPr>
            <w:tcW w:w="1135" w:type="dxa"/>
            <w:vMerge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Merge w:val="restart"/>
          </w:tcPr>
          <w:p w:rsidR="0069050B" w:rsidRDefault="000B3F50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材料种类和重量</w:t>
            </w:r>
          </w:p>
        </w:tc>
        <w:tc>
          <w:tcPr>
            <w:tcW w:w="709" w:type="dxa"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</w:tcPr>
          <w:p w:rsidR="0069050B" w:rsidRDefault="000B3F5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应按照</w:t>
            </w:r>
            <w:r>
              <w:rPr>
                <w:rFonts w:ascii="宋体" w:eastAsia="宋体" w:hAnsi="宋体"/>
                <w:szCs w:val="21"/>
              </w:rPr>
              <w:t>GB/T 16288</w:t>
            </w:r>
            <w:r>
              <w:rPr>
                <w:rFonts w:ascii="宋体" w:eastAsia="宋体" w:hAnsi="宋体" w:hint="eastAsia"/>
                <w:szCs w:val="21"/>
              </w:rPr>
              <w:t>的要求对重量超过</w:t>
            </w:r>
            <w:r>
              <w:rPr>
                <w:rFonts w:ascii="宋体" w:eastAsia="宋体" w:hAnsi="宋体"/>
                <w:szCs w:val="21"/>
              </w:rPr>
              <w:t>25g</w:t>
            </w:r>
            <w:r>
              <w:rPr>
                <w:rFonts w:ascii="宋体" w:eastAsia="宋体" w:hAnsi="宋体" w:hint="eastAsia"/>
                <w:szCs w:val="21"/>
              </w:rPr>
              <w:t>或最大面积的表面积超过</w:t>
            </w:r>
            <w:r>
              <w:rPr>
                <w:rFonts w:ascii="宋体" w:eastAsia="宋体" w:hAnsi="宋体"/>
                <w:szCs w:val="21"/>
              </w:rPr>
              <w:t>10mm*10mm</w:t>
            </w:r>
            <w:r>
              <w:rPr>
                <w:rFonts w:ascii="宋体" w:eastAsia="宋体" w:hAnsi="宋体" w:hint="eastAsia"/>
                <w:szCs w:val="21"/>
              </w:rPr>
              <w:t>的塑料零部件进行标记</w:t>
            </w:r>
            <w:r>
              <w:rPr>
                <w:rFonts w:ascii="宋体" w:eastAsia="宋体" w:hAnsi="宋体"/>
                <w:szCs w:val="21"/>
              </w:rPr>
              <w:t>a</w:t>
            </w:r>
          </w:p>
        </w:tc>
        <w:tc>
          <w:tcPr>
            <w:tcW w:w="1984" w:type="dxa"/>
          </w:tcPr>
          <w:p w:rsidR="0069050B" w:rsidRDefault="000B3F5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依据</w:t>
            </w:r>
            <w:r>
              <w:rPr>
                <w:rFonts w:ascii="宋体" w:eastAsia="宋体" w:hAnsi="宋体"/>
                <w:szCs w:val="21"/>
              </w:rPr>
              <w:t>GB/T 16288</w:t>
            </w:r>
            <w:r>
              <w:rPr>
                <w:rFonts w:ascii="宋体" w:eastAsia="宋体" w:hAnsi="宋体" w:hint="eastAsia"/>
                <w:szCs w:val="21"/>
              </w:rPr>
              <w:t>在产品塑料零部件上进行标记</w:t>
            </w:r>
          </w:p>
        </w:tc>
        <w:tc>
          <w:tcPr>
            <w:tcW w:w="1134" w:type="dxa"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69050B">
        <w:trPr>
          <w:jc w:val="center"/>
        </w:trPr>
        <w:tc>
          <w:tcPr>
            <w:tcW w:w="1135" w:type="dxa"/>
            <w:vMerge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Merge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</w:tcPr>
          <w:p w:rsidR="0069050B" w:rsidRDefault="000B3F5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产品的包装上应有符合</w:t>
            </w:r>
            <w:r>
              <w:rPr>
                <w:rFonts w:ascii="宋体" w:eastAsia="宋体" w:hAnsi="宋体"/>
                <w:szCs w:val="21"/>
              </w:rPr>
              <w:t>GB/T 18455的回收</w:t>
            </w:r>
            <w:r>
              <w:rPr>
                <w:rFonts w:ascii="宋体" w:eastAsia="宋体" w:hAnsi="宋体"/>
                <w:szCs w:val="21"/>
              </w:rPr>
              <w:lastRenderedPageBreak/>
              <w:t>标志</w:t>
            </w:r>
          </w:p>
        </w:tc>
        <w:tc>
          <w:tcPr>
            <w:tcW w:w="1984" w:type="dxa"/>
          </w:tcPr>
          <w:p w:rsidR="0069050B" w:rsidRDefault="000B3F5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依据</w:t>
            </w:r>
            <w:r>
              <w:rPr>
                <w:rFonts w:ascii="宋体" w:eastAsia="宋体" w:hAnsi="宋体"/>
                <w:szCs w:val="21"/>
              </w:rPr>
              <w:t>GB/T 18455在产品包装上标记回</w:t>
            </w:r>
            <w:r>
              <w:rPr>
                <w:rFonts w:ascii="宋体" w:eastAsia="宋体" w:hAnsi="宋体"/>
                <w:szCs w:val="21"/>
              </w:rPr>
              <w:lastRenderedPageBreak/>
              <w:t>收标志</w:t>
            </w:r>
          </w:p>
        </w:tc>
        <w:tc>
          <w:tcPr>
            <w:tcW w:w="1134" w:type="dxa"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69050B">
        <w:trPr>
          <w:jc w:val="center"/>
        </w:trPr>
        <w:tc>
          <w:tcPr>
            <w:tcW w:w="1135" w:type="dxa"/>
            <w:vMerge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</w:tcPr>
          <w:p w:rsidR="0069050B" w:rsidRDefault="000B3F50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材料再生利用</w:t>
            </w:r>
          </w:p>
        </w:tc>
        <w:tc>
          <w:tcPr>
            <w:tcW w:w="709" w:type="dxa"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</w:tcPr>
          <w:p w:rsidR="0069050B" w:rsidRDefault="000B3F5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产品包装材料应为可再生利用或可降解材料</w:t>
            </w:r>
          </w:p>
        </w:tc>
        <w:tc>
          <w:tcPr>
            <w:tcW w:w="1984" w:type="dxa"/>
          </w:tcPr>
          <w:p w:rsidR="0069050B" w:rsidRDefault="000B3F5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依据</w:t>
            </w:r>
            <w:r>
              <w:rPr>
                <w:rFonts w:ascii="宋体" w:eastAsia="宋体" w:hAnsi="宋体"/>
                <w:szCs w:val="21"/>
              </w:rPr>
              <w:t>GB/T 16716.4提供符合性声明</w:t>
            </w:r>
          </w:p>
        </w:tc>
        <w:tc>
          <w:tcPr>
            <w:tcW w:w="1134" w:type="dxa"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69050B">
        <w:trPr>
          <w:jc w:val="center"/>
        </w:trPr>
        <w:tc>
          <w:tcPr>
            <w:tcW w:w="1135" w:type="dxa"/>
            <w:vMerge w:val="restart"/>
            <w:vAlign w:val="center"/>
          </w:tcPr>
          <w:p w:rsidR="0069050B" w:rsidRDefault="000B3F50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能源属性</w:t>
            </w:r>
          </w:p>
        </w:tc>
        <w:tc>
          <w:tcPr>
            <w:tcW w:w="1559" w:type="dxa"/>
          </w:tcPr>
          <w:p w:rsidR="0069050B" w:rsidRDefault="000B3F50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正常模式功耗</w:t>
            </w:r>
          </w:p>
        </w:tc>
        <w:tc>
          <w:tcPr>
            <w:tcW w:w="709" w:type="dxa"/>
          </w:tcPr>
          <w:p w:rsidR="0069050B" w:rsidRDefault="000B3F50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瓦(</w:t>
            </w:r>
            <w:r>
              <w:rPr>
                <w:rFonts w:ascii="宋体" w:eastAsia="宋体" w:hAnsi="宋体"/>
                <w:szCs w:val="21"/>
              </w:rPr>
              <w:t>W)</w:t>
            </w:r>
          </w:p>
        </w:tc>
        <w:tc>
          <w:tcPr>
            <w:tcW w:w="709" w:type="dxa"/>
          </w:tcPr>
          <w:p w:rsidR="0069050B" w:rsidRDefault="000B3F50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正常模式功耗</w:t>
            </w:r>
          </w:p>
        </w:tc>
        <w:tc>
          <w:tcPr>
            <w:tcW w:w="2268" w:type="dxa"/>
          </w:tcPr>
          <w:p w:rsidR="0069050B" w:rsidRDefault="000B3F5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正常工作时产品功率应不大于</w:t>
            </w:r>
            <w:r>
              <w:rPr>
                <w:rFonts w:ascii="宋体" w:eastAsia="宋体" w:hAnsi="宋体"/>
                <w:szCs w:val="21"/>
              </w:rPr>
              <w:t>1W</w:t>
            </w:r>
          </w:p>
        </w:tc>
        <w:tc>
          <w:tcPr>
            <w:tcW w:w="1984" w:type="dxa"/>
          </w:tcPr>
          <w:p w:rsidR="0069050B" w:rsidRDefault="000B3F5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依据</w:t>
            </w:r>
            <w:r>
              <w:rPr>
                <w:rFonts w:ascii="宋体" w:eastAsia="宋体" w:hAnsi="宋体"/>
                <w:szCs w:val="21"/>
              </w:rPr>
              <w:t>IEC62301进行测试并提供测试报告</w:t>
            </w:r>
          </w:p>
        </w:tc>
        <w:tc>
          <w:tcPr>
            <w:tcW w:w="1134" w:type="dxa"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69050B">
        <w:trPr>
          <w:jc w:val="center"/>
        </w:trPr>
        <w:tc>
          <w:tcPr>
            <w:tcW w:w="1135" w:type="dxa"/>
            <w:vMerge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</w:tcPr>
          <w:p w:rsidR="0069050B" w:rsidRDefault="000B3F50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网络模式功耗</w:t>
            </w:r>
          </w:p>
        </w:tc>
        <w:tc>
          <w:tcPr>
            <w:tcW w:w="709" w:type="dxa"/>
          </w:tcPr>
          <w:p w:rsidR="0069050B" w:rsidRDefault="000B3F50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瓦(</w:t>
            </w:r>
            <w:r>
              <w:rPr>
                <w:rFonts w:ascii="宋体" w:eastAsia="宋体" w:hAnsi="宋体"/>
                <w:szCs w:val="21"/>
              </w:rPr>
              <w:t>W)</w:t>
            </w:r>
          </w:p>
        </w:tc>
        <w:tc>
          <w:tcPr>
            <w:tcW w:w="709" w:type="dxa"/>
          </w:tcPr>
          <w:p w:rsidR="0069050B" w:rsidRDefault="000B3F50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网络模式功耗</w:t>
            </w:r>
          </w:p>
        </w:tc>
        <w:tc>
          <w:tcPr>
            <w:tcW w:w="2268" w:type="dxa"/>
          </w:tcPr>
          <w:p w:rsidR="0069050B" w:rsidRDefault="000B3F5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带有网络通讯模块的产品，在维持网络通讯时，功率应不大于</w:t>
            </w:r>
            <w:r>
              <w:rPr>
                <w:rFonts w:ascii="宋体" w:eastAsia="宋体" w:hAnsi="宋体"/>
                <w:szCs w:val="21"/>
              </w:rPr>
              <w:t>0.8W</w:t>
            </w:r>
          </w:p>
        </w:tc>
        <w:tc>
          <w:tcPr>
            <w:tcW w:w="1984" w:type="dxa"/>
          </w:tcPr>
          <w:p w:rsidR="0069050B" w:rsidRDefault="000B3F5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依据</w:t>
            </w:r>
            <w:r>
              <w:rPr>
                <w:rFonts w:ascii="宋体" w:eastAsia="宋体" w:hAnsi="宋体"/>
                <w:szCs w:val="21"/>
              </w:rPr>
              <w:t>IEC62301进行测试并提供测试报告</w:t>
            </w:r>
          </w:p>
        </w:tc>
        <w:tc>
          <w:tcPr>
            <w:tcW w:w="1134" w:type="dxa"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69050B">
        <w:trPr>
          <w:jc w:val="center"/>
        </w:trPr>
        <w:tc>
          <w:tcPr>
            <w:tcW w:w="1135" w:type="dxa"/>
            <w:vMerge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</w:tcPr>
          <w:p w:rsidR="0069050B" w:rsidRDefault="000B3F50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待机模式功耗</w:t>
            </w:r>
          </w:p>
        </w:tc>
        <w:tc>
          <w:tcPr>
            <w:tcW w:w="709" w:type="dxa"/>
          </w:tcPr>
          <w:p w:rsidR="0069050B" w:rsidRDefault="000B3F50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瓦(</w:t>
            </w:r>
            <w:r>
              <w:rPr>
                <w:rFonts w:ascii="宋体" w:eastAsia="宋体" w:hAnsi="宋体"/>
                <w:szCs w:val="21"/>
              </w:rPr>
              <w:t>W)</w:t>
            </w:r>
          </w:p>
        </w:tc>
        <w:tc>
          <w:tcPr>
            <w:tcW w:w="709" w:type="dxa"/>
          </w:tcPr>
          <w:p w:rsidR="0069050B" w:rsidRDefault="000B3F50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待机模式功耗</w:t>
            </w:r>
          </w:p>
        </w:tc>
        <w:tc>
          <w:tcPr>
            <w:tcW w:w="2268" w:type="dxa"/>
          </w:tcPr>
          <w:p w:rsidR="0069050B" w:rsidRDefault="000B3F5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带有待机控制器件的产品待机功率应不大于</w:t>
            </w:r>
            <w:r>
              <w:rPr>
                <w:rFonts w:ascii="宋体" w:eastAsia="宋体" w:hAnsi="宋体"/>
                <w:szCs w:val="21"/>
              </w:rPr>
              <w:t>0.4W</w:t>
            </w:r>
          </w:p>
        </w:tc>
        <w:tc>
          <w:tcPr>
            <w:tcW w:w="1984" w:type="dxa"/>
          </w:tcPr>
          <w:p w:rsidR="0069050B" w:rsidRDefault="000B3F5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依据</w:t>
            </w:r>
            <w:r>
              <w:rPr>
                <w:rFonts w:ascii="宋体" w:eastAsia="宋体" w:hAnsi="宋体"/>
                <w:szCs w:val="21"/>
              </w:rPr>
              <w:t>IEC62301进行测试并提供测试报告</w:t>
            </w:r>
          </w:p>
        </w:tc>
        <w:tc>
          <w:tcPr>
            <w:tcW w:w="1134" w:type="dxa"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69050B">
        <w:trPr>
          <w:jc w:val="center"/>
        </w:trPr>
        <w:tc>
          <w:tcPr>
            <w:tcW w:w="1135" w:type="dxa"/>
            <w:vMerge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</w:tcPr>
          <w:p w:rsidR="0069050B" w:rsidRDefault="000B3F50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关机模式功耗</w:t>
            </w:r>
          </w:p>
        </w:tc>
        <w:tc>
          <w:tcPr>
            <w:tcW w:w="709" w:type="dxa"/>
          </w:tcPr>
          <w:p w:rsidR="0069050B" w:rsidRDefault="000B3F50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瓦(</w:t>
            </w:r>
            <w:r>
              <w:rPr>
                <w:rFonts w:ascii="宋体" w:eastAsia="宋体" w:hAnsi="宋体"/>
                <w:szCs w:val="21"/>
              </w:rPr>
              <w:t>W)</w:t>
            </w:r>
          </w:p>
        </w:tc>
        <w:tc>
          <w:tcPr>
            <w:tcW w:w="709" w:type="dxa"/>
          </w:tcPr>
          <w:p w:rsidR="0069050B" w:rsidRDefault="000B3F50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关机模式功耗</w:t>
            </w:r>
          </w:p>
        </w:tc>
        <w:tc>
          <w:tcPr>
            <w:tcW w:w="2268" w:type="dxa"/>
          </w:tcPr>
          <w:p w:rsidR="0069050B" w:rsidRDefault="000B3F5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带有待机控制器件的产品的关机功率应不大于</w:t>
            </w:r>
            <w:r>
              <w:rPr>
                <w:rFonts w:ascii="宋体" w:eastAsia="宋体" w:hAnsi="宋体"/>
                <w:szCs w:val="21"/>
              </w:rPr>
              <w:t>0.2W</w:t>
            </w:r>
          </w:p>
        </w:tc>
        <w:tc>
          <w:tcPr>
            <w:tcW w:w="1984" w:type="dxa"/>
          </w:tcPr>
          <w:p w:rsidR="0069050B" w:rsidRDefault="000B3F5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依据</w:t>
            </w:r>
            <w:r>
              <w:rPr>
                <w:rFonts w:ascii="宋体" w:eastAsia="宋体" w:hAnsi="宋体"/>
                <w:szCs w:val="21"/>
              </w:rPr>
              <w:t>IEC62301进行测试并提供测试报告</w:t>
            </w:r>
          </w:p>
        </w:tc>
        <w:tc>
          <w:tcPr>
            <w:tcW w:w="1134" w:type="dxa"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69050B">
        <w:trPr>
          <w:jc w:val="center"/>
        </w:trPr>
        <w:tc>
          <w:tcPr>
            <w:tcW w:w="1135" w:type="dxa"/>
            <w:vMerge w:val="restart"/>
            <w:vAlign w:val="center"/>
          </w:tcPr>
          <w:p w:rsidR="0069050B" w:rsidRDefault="000B3F5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环境属性</w:t>
            </w:r>
          </w:p>
        </w:tc>
        <w:tc>
          <w:tcPr>
            <w:tcW w:w="1559" w:type="dxa"/>
          </w:tcPr>
          <w:p w:rsidR="0069050B" w:rsidRDefault="00E9684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电磁兼容</w:t>
            </w:r>
          </w:p>
        </w:tc>
        <w:tc>
          <w:tcPr>
            <w:tcW w:w="709" w:type="dxa"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</w:tcPr>
          <w:p w:rsidR="0069050B" w:rsidRDefault="000B3F5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带有电子器件的产品应符合</w:t>
            </w:r>
            <w:r>
              <w:rPr>
                <w:rFonts w:ascii="宋体" w:eastAsia="宋体" w:hAnsi="宋体"/>
                <w:szCs w:val="21"/>
              </w:rPr>
              <w:t>GB 4343.1和GB 17625.1的要求</w:t>
            </w:r>
          </w:p>
        </w:tc>
        <w:tc>
          <w:tcPr>
            <w:tcW w:w="1984" w:type="dxa"/>
          </w:tcPr>
          <w:p w:rsidR="0069050B" w:rsidRDefault="000B3F5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依据</w:t>
            </w:r>
            <w:r>
              <w:rPr>
                <w:rFonts w:ascii="宋体" w:eastAsia="宋体" w:hAnsi="宋体"/>
                <w:szCs w:val="21"/>
              </w:rPr>
              <w:t>GB 4343.1和GB 17625.1进行测试并提供测试报告</w:t>
            </w:r>
          </w:p>
        </w:tc>
        <w:tc>
          <w:tcPr>
            <w:tcW w:w="1134" w:type="dxa"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69050B">
        <w:trPr>
          <w:jc w:val="center"/>
        </w:trPr>
        <w:tc>
          <w:tcPr>
            <w:tcW w:w="1135" w:type="dxa"/>
            <w:vMerge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</w:tcPr>
          <w:p w:rsidR="0069050B" w:rsidRDefault="000B3F50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污染物排放</w:t>
            </w:r>
          </w:p>
        </w:tc>
        <w:tc>
          <w:tcPr>
            <w:tcW w:w="709" w:type="dxa"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</w:tcPr>
          <w:p w:rsidR="0069050B" w:rsidRDefault="000B3F5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G</w:t>
            </w:r>
            <w:r>
              <w:rPr>
                <w:rFonts w:ascii="宋体" w:eastAsia="宋体" w:hAnsi="宋体"/>
                <w:szCs w:val="21"/>
              </w:rPr>
              <w:t>B/T 24001</w:t>
            </w:r>
            <w:r>
              <w:rPr>
                <w:rFonts w:ascii="宋体" w:eastAsia="宋体" w:hAnsi="宋体" w:hint="eastAsia"/>
                <w:szCs w:val="21"/>
              </w:rPr>
              <w:t>三废物品的排放</w:t>
            </w:r>
          </w:p>
        </w:tc>
        <w:tc>
          <w:tcPr>
            <w:tcW w:w="1984" w:type="dxa"/>
          </w:tcPr>
          <w:p w:rsidR="0069050B" w:rsidRDefault="0069050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69050B">
        <w:trPr>
          <w:jc w:val="center"/>
        </w:trPr>
        <w:tc>
          <w:tcPr>
            <w:tcW w:w="1135" w:type="dxa"/>
            <w:vMerge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</w:tcPr>
          <w:p w:rsidR="0069050B" w:rsidRDefault="000B3F50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生产能耗</w:t>
            </w:r>
          </w:p>
        </w:tc>
        <w:tc>
          <w:tcPr>
            <w:tcW w:w="709" w:type="dxa"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</w:tcPr>
          <w:p w:rsidR="0069050B" w:rsidRDefault="000B3F5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智能插座生产过程单台综合能耗不大于0</w:t>
            </w:r>
            <w:r>
              <w:rPr>
                <w:rFonts w:ascii="宋体" w:eastAsia="宋体" w:hAnsi="宋体"/>
                <w:szCs w:val="21"/>
              </w:rPr>
              <w:t>.032</w:t>
            </w:r>
            <w:r>
              <w:rPr>
                <w:rFonts w:ascii="宋体" w:eastAsia="宋体" w:hAnsi="宋体" w:hint="eastAsia"/>
                <w:szCs w:val="21"/>
              </w:rPr>
              <w:t>tec</w:t>
            </w:r>
            <w:r>
              <w:rPr>
                <w:rFonts w:ascii="宋体" w:eastAsia="宋体" w:hAnsi="宋体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台</w:t>
            </w:r>
          </w:p>
        </w:tc>
        <w:tc>
          <w:tcPr>
            <w:tcW w:w="1984" w:type="dxa"/>
          </w:tcPr>
          <w:p w:rsidR="0069050B" w:rsidRDefault="000B3F5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放到能源属性</w:t>
            </w:r>
          </w:p>
        </w:tc>
        <w:tc>
          <w:tcPr>
            <w:tcW w:w="1134" w:type="dxa"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69050B">
        <w:trPr>
          <w:jc w:val="center"/>
        </w:trPr>
        <w:tc>
          <w:tcPr>
            <w:tcW w:w="1135" w:type="dxa"/>
            <w:vMerge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</w:tcPr>
          <w:p w:rsidR="0069050B" w:rsidRDefault="000B3F50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材料再生利用</w:t>
            </w:r>
          </w:p>
        </w:tc>
        <w:tc>
          <w:tcPr>
            <w:tcW w:w="709" w:type="dxa"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</w:tcPr>
          <w:p w:rsidR="0069050B" w:rsidRDefault="000B3F50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产品包装材料应为可再生利用或可降解材料，产品包装材料上应有符合</w:t>
            </w:r>
            <w:r>
              <w:rPr>
                <w:rFonts w:ascii="宋体" w:eastAsia="宋体" w:hAnsi="宋体"/>
                <w:szCs w:val="21"/>
              </w:rPr>
              <w:t>GB/T 18455</w:t>
            </w:r>
            <w:r>
              <w:rPr>
                <w:rFonts w:ascii="宋体" w:eastAsia="宋体" w:hAnsi="宋体" w:hint="eastAsia"/>
                <w:szCs w:val="21"/>
              </w:rPr>
              <w:t>的回收标志。</w:t>
            </w:r>
          </w:p>
        </w:tc>
        <w:tc>
          <w:tcPr>
            <w:tcW w:w="1984" w:type="dxa"/>
          </w:tcPr>
          <w:p w:rsidR="0069050B" w:rsidRDefault="000B3F50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依据</w:t>
            </w:r>
            <w:r>
              <w:rPr>
                <w:rFonts w:ascii="宋体" w:eastAsia="宋体" w:hAnsi="宋体"/>
                <w:szCs w:val="21"/>
              </w:rPr>
              <w:t>GB/T 18455</w:t>
            </w:r>
            <w:r>
              <w:rPr>
                <w:rFonts w:ascii="宋体" w:eastAsia="宋体" w:hAnsi="宋体" w:hint="eastAsia"/>
                <w:szCs w:val="21"/>
              </w:rPr>
              <w:t>在产品包</w:t>
            </w:r>
          </w:p>
          <w:p w:rsidR="0069050B" w:rsidRDefault="000B3F5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装上标记回收标志</w:t>
            </w:r>
          </w:p>
        </w:tc>
        <w:tc>
          <w:tcPr>
            <w:tcW w:w="1134" w:type="dxa"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69050B">
        <w:trPr>
          <w:jc w:val="center"/>
        </w:trPr>
        <w:tc>
          <w:tcPr>
            <w:tcW w:w="1135" w:type="dxa"/>
            <w:vMerge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</w:tcPr>
          <w:p w:rsidR="0069050B" w:rsidRDefault="000B3F50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产品回收</w:t>
            </w:r>
          </w:p>
          <w:p w:rsidR="0069050B" w:rsidRDefault="000B3F50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处理说明</w:t>
            </w:r>
          </w:p>
        </w:tc>
        <w:tc>
          <w:tcPr>
            <w:tcW w:w="709" w:type="dxa"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</w:tcPr>
          <w:p w:rsidR="0069050B" w:rsidRDefault="000B3F50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电器电子产品上或者产品说明书中应当按照规定提供有关有毒有</w:t>
            </w:r>
          </w:p>
          <w:p w:rsidR="0069050B" w:rsidRDefault="000B3F50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害物质含量、回收处理提示性说明等信息。</w:t>
            </w:r>
          </w:p>
        </w:tc>
        <w:tc>
          <w:tcPr>
            <w:tcW w:w="1984" w:type="dxa"/>
          </w:tcPr>
          <w:p w:rsidR="0069050B" w:rsidRDefault="000B3F50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根据</w:t>
            </w:r>
            <w:r>
              <w:rPr>
                <w:rFonts w:ascii="宋体" w:eastAsia="宋体" w:hAnsi="宋体"/>
                <w:szCs w:val="21"/>
              </w:rPr>
              <w:t xml:space="preserve">SJ/T 11364-2014 </w:t>
            </w:r>
            <w:r>
              <w:rPr>
                <w:rFonts w:ascii="宋体" w:eastAsia="宋体" w:hAnsi="宋体" w:hint="eastAsia"/>
                <w:szCs w:val="21"/>
              </w:rPr>
              <w:t>进</w:t>
            </w:r>
          </w:p>
          <w:p w:rsidR="0069050B" w:rsidRDefault="000B3F50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行标识；对于含有电子线路</w:t>
            </w:r>
          </w:p>
          <w:p w:rsidR="0069050B" w:rsidRDefault="000B3F50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板的产品，参考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《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废弃电器</w:t>
            </w:r>
          </w:p>
          <w:p w:rsidR="0069050B" w:rsidRDefault="000B3F50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电子产品规范拆解处理作</w:t>
            </w:r>
          </w:p>
          <w:p w:rsidR="0069050B" w:rsidRDefault="000B3F50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业及生产管理指南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（</w:t>
            </w:r>
            <w:r>
              <w:rPr>
                <w:rFonts w:ascii="宋体" w:eastAsia="宋体" w:hAnsi="宋体"/>
                <w:szCs w:val="21"/>
              </w:rPr>
              <w:t>2015</w:t>
            </w:r>
          </w:p>
          <w:p w:rsidR="0069050B" w:rsidRDefault="000B3F50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年版）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》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进行回收处理提示</w:t>
            </w:r>
          </w:p>
          <w:p w:rsidR="0069050B" w:rsidRDefault="000B3F50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性说明。</w:t>
            </w:r>
          </w:p>
        </w:tc>
        <w:tc>
          <w:tcPr>
            <w:tcW w:w="1134" w:type="dxa"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69050B">
        <w:trPr>
          <w:jc w:val="center"/>
        </w:trPr>
        <w:tc>
          <w:tcPr>
            <w:tcW w:w="1135" w:type="dxa"/>
            <w:vMerge w:val="restart"/>
            <w:vAlign w:val="center"/>
          </w:tcPr>
          <w:p w:rsidR="0069050B" w:rsidRDefault="000B3F50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产品属性</w:t>
            </w:r>
          </w:p>
        </w:tc>
        <w:tc>
          <w:tcPr>
            <w:tcW w:w="1559" w:type="dxa"/>
          </w:tcPr>
          <w:p w:rsidR="0069050B" w:rsidRDefault="000B3F5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产品使用寿命</w:t>
            </w:r>
          </w:p>
        </w:tc>
        <w:tc>
          <w:tcPr>
            <w:tcW w:w="709" w:type="dxa"/>
          </w:tcPr>
          <w:p w:rsidR="0069050B" w:rsidRDefault="000B3F5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次</w:t>
            </w:r>
          </w:p>
        </w:tc>
        <w:tc>
          <w:tcPr>
            <w:tcW w:w="709" w:type="dxa"/>
          </w:tcPr>
          <w:p w:rsidR="0069050B" w:rsidRDefault="0069050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</w:tcPr>
          <w:p w:rsidR="0069050B" w:rsidRDefault="000B3F5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插座产品的使用寿命应不小于</w:t>
            </w:r>
            <w:r>
              <w:rPr>
                <w:rFonts w:ascii="宋体" w:eastAsia="宋体" w:hAnsi="宋体"/>
                <w:szCs w:val="21"/>
              </w:rPr>
              <w:t>20000次插拔（40000个行程）</w:t>
            </w:r>
          </w:p>
        </w:tc>
        <w:tc>
          <w:tcPr>
            <w:tcW w:w="1984" w:type="dxa"/>
          </w:tcPr>
          <w:p w:rsidR="0069050B" w:rsidRDefault="000B3F5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依据</w:t>
            </w:r>
            <w:r>
              <w:rPr>
                <w:rFonts w:ascii="宋体" w:eastAsia="宋体" w:hAnsi="宋体"/>
                <w:szCs w:val="21"/>
              </w:rPr>
              <w:t>GB/T 2099.1进行测试并提供测试报告</w:t>
            </w:r>
          </w:p>
        </w:tc>
        <w:tc>
          <w:tcPr>
            <w:tcW w:w="1134" w:type="dxa"/>
          </w:tcPr>
          <w:p w:rsidR="0069050B" w:rsidRDefault="000B3F50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具体数据待落实</w:t>
            </w:r>
          </w:p>
        </w:tc>
      </w:tr>
      <w:tr w:rsidR="0069050B">
        <w:trPr>
          <w:jc w:val="center"/>
        </w:trPr>
        <w:tc>
          <w:tcPr>
            <w:tcW w:w="1135" w:type="dxa"/>
            <w:vMerge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</w:tcPr>
          <w:p w:rsidR="0069050B" w:rsidRDefault="000B3F5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电能计量误差</w:t>
            </w:r>
          </w:p>
        </w:tc>
        <w:tc>
          <w:tcPr>
            <w:tcW w:w="709" w:type="dxa"/>
          </w:tcPr>
          <w:p w:rsidR="0069050B" w:rsidRDefault="000B3F5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%</w:t>
            </w:r>
          </w:p>
        </w:tc>
        <w:tc>
          <w:tcPr>
            <w:tcW w:w="709" w:type="dxa"/>
          </w:tcPr>
          <w:p w:rsidR="0069050B" w:rsidRDefault="000B3F5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有功1级</w:t>
            </w:r>
          </w:p>
        </w:tc>
        <w:tc>
          <w:tcPr>
            <w:tcW w:w="2268" w:type="dxa"/>
          </w:tcPr>
          <w:p w:rsidR="0069050B" w:rsidRDefault="000B3F5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产品的电能计量功能应符合G</w:t>
            </w:r>
            <w:r>
              <w:rPr>
                <w:rFonts w:ascii="宋体" w:eastAsia="宋体" w:hAnsi="宋体"/>
                <w:szCs w:val="21"/>
              </w:rPr>
              <w:t>B/T 17215.321</w:t>
            </w:r>
            <w:r>
              <w:rPr>
                <w:rFonts w:ascii="宋体" w:eastAsia="宋体" w:hAnsi="宋体" w:hint="eastAsia"/>
                <w:szCs w:val="21"/>
              </w:rPr>
              <w:t>中</w:t>
            </w:r>
            <w:r>
              <w:rPr>
                <w:rFonts w:ascii="宋体" w:eastAsia="宋体" w:hAnsi="宋体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的要求</w:t>
            </w:r>
          </w:p>
        </w:tc>
        <w:tc>
          <w:tcPr>
            <w:tcW w:w="1984" w:type="dxa"/>
          </w:tcPr>
          <w:p w:rsidR="0069050B" w:rsidRDefault="000B3F5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JJG 596-2012</w:t>
            </w:r>
          </w:p>
        </w:tc>
        <w:tc>
          <w:tcPr>
            <w:tcW w:w="1134" w:type="dxa"/>
          </w:tcPr>
          <w:p w:rsidR="0069050B" w:rsidRDefault="0069050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69050B" w:rsidTr="00504F91">
        <w:trPr>
          <w:trHeight w:val="537"/>
          <w:jc w:val="center"/>
        </w:trPr>
        <w:tc>
          <w:tcPr>
            <w:tcW w:w="9498" w:type="dxa"/>
            <w:gridSpan w:val="7"/>
          </w:tcPr>
          <w:p w:rsidR="009A5C6F" w:rsidRDefault="009A5C6F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</w:tbl>
    <w:p w:rsidR="0069050B" w:rsidRPr="00361851" w:rsidRDefault="0069050B" w:rsidP="00361851">
      <w:pPr>
        <w:spacing w:line="360" w:lineRule="auto"/>
        <w:rPr>
          <w:rFonts w:ascii="宋体" w:eastAsia="宋体" w:hAnsi="宋体"/>
          <w:b/>
          <w:bCs/>
          <w:szCs w:val="21"/>
        </w:rPr>
      </w:pPr>
    </w:p>
    <w:p w:rsidR="0069050B" w:rsidRDefault="000B3F50">
      <w:pPr>
        <w:pStyle w:val="2"/>
        <w:numPr>
          <w:ilvl w:val="0"/>
          <w:numId w:val="1"/>
        </w:numPr>
        <w:rPr>
          <w:rFonts w:ascii="宋体" w:eastAsia="宋体" w:hAnsi="宋体" w:cstheme="minorBidi"/>
          <w:sz w:val="21"/>
          <w:szCs w:val="21"/>
        </w:rPr>
      </w:pPr>
      <w:bookmarkStart w:id="11" w:name="_Toc19700"/>
      <w:r>
        <w:rPr>
          <w:rFonts w:ascii="宋体" w:eastAsia="宋体" w:hAnsi="宋体" w:cstheme="minorBidi" w:hint="eastAsia"/>
          <w:sz w:val="21"/>
          <w:szCs w:val="21"/>
        </w:rPr>
        <w:t>产品生命周期评价报告编制方法</w:t>
      </w:r>
      <w:bookmarkEnd w:id="11"/>
    </w:p>
    <w:p w:rsidR="0069050B" w:rsidRDefault="000B3F50">
      <w:pPr>
        <w:pStyle w:val="3"/>
        <w:numPr>
          <w:ilvl w:val="1"/>
          <w:numId w:val="1"/>
        </w:numPr>
        <w:rPr>
          <w:rFonts w:ascii="宋体" w:eastAsia="宋体" w:hAnsi="宋体" w:cs="宋体"/>
          <w:sz w:val="21"/>
          <w:szCs w:val="21"/>
        </w:rPr>
      </w:pPr>
      <w:bookmarkStart w:id="12" w:name="_Toc30598"/>
      <w:r>
        <w:rPr>
          <w:rFonts w:ascii="宋体" w:eastAsia="宋体" w:hAnsi="宋体" w:cs="宋体" w:hint="eastAsia"/>
          <w:sz w:val="21"/>
          <w:szCs w:val="21"/>
        </w:rPr>
        <w:t>生命周期评价方法</w:t>
      </w:r>
      <w:bookmarkEnd w:id="12"/>
    </w:p>
    <w:p w:rsidR="0069050B" w:rsidRDefault="000B3F50">
      <w:pPr>
        <w:pStyle w:val="aa"/>
        <w:spacing w:line="360" w:lineRule="auto"/>
        <w:ind w:firstLineChars="202" w:firstLine="424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依据</w:t>
      </w:r>
      <w:r>
        <w:rPr>
          <w:rFonts w:ascii="宋体" w:eastAsia="宋体" w:hAnsi="宋体"/>
          <w:szCs w:val="21"/>
        </w:rPr>
        <w:t>GB/T 24040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/>
          <w:szCs w:val="21"/>
        </w:rPr>
        <w:t>GB/T 24044和GB/T 32161-2015</w:t>
      </w:r>
      <w:r>
        <w:rPr>
          <w:rFonts w:ascii="宋体" w:eastAsia="宋体" w:hAnsi="宋体" w:hint="eastAsia"/>
          <w:szCs w:val="21"/>
        </w:rPr>
        <w:t>中的相关要求制定，适用于智能计量插座产品的生命周期评价，参见附录</w:t>
      </w:r>
      <w:r>
        <w:rPr>
          <w:rFonts w:ascii="宋体" w:eastAsia="宋体" w:hAnsi="宋体"/>
          <w:szCs w:val="21"/>
        </w:rPr>
        <w:t>A</w:t>
      </w:r>
      <w:r>
        <w:rPr>
          <w:rFonts w:ascii="宋体" w:eastAsia="宋体" w:hAnsi="宋体" w:hint="eastAsia"/>
          <w:szCs w:val="21"/>
        </w:rPr>
        <w:t>。</w:t>
      </w:r>
    </w:p>
    <w:p w:rsidR="0069050B" w:rsidRDefault="000B3F50">
      <w:pPr>
        <w:pStyle w:val="3"/>
        <w:numPr>
          <w:ilvl w:val="1"/>
          <w:numId w:val="1"/>
        </w:numPr>
        <w:rPr>
          <w:rFonts w:ascii="宋体" w:eastAsia="宋体" w:hAnsi="宋体" w:cs="宋体"/>
          <w:sz w:val="21"/>
          <w:szCs w:val="21"/>
        </w:rPr>
      </w:pPr>
      <w:bookmarkStart w:id="13" w:name="_Toc14828"/>
      <w:r>
        <w:rPr>
          <w:rFonts w:ascii="宋体" w:eastAsia="宋体" w:hAnsi="宋体" w:cs="宋体" w:hint="eastAsia"/>
          <w:sz w:val="21"/>
          <w:szCs w:val="21"/>
        </w:rPr>
        <w:t>生命周期评价报告框架</w:t>
      </w:r>
      <w:bookmarkEnd w:id="13"/>
    </w:p>
    <w:p w:rsidR="0069050B" w:rsidRDefault="000B3F50">
      <w:pPr>
        <w:pStyle w:val="aa"/>
        <w:numPr>
          <w:ilvl w:val="2"/>
          <w:numId w:val="1"/>
        </w:numPr>
        <w:spacing w:line="360" w:lineRule="auto"/>
        <w:ind w:left="851" w:firstLineChars="0" w:hanging="851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基本信息</w:t>
      </w:r>
    </w:p>
    <w:p w:rsidR="0069050B" w:rsidRDefault="000B3F50">
      <w:pPr>
        <w:pStyle w:val="aa"/>
        <w:spacing w:line="360" w:lineRule="auto"/>
        <w:ind w:firstLineChars="202" w:firstLine="424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报告应提供报告信息、申请者信息、评估对象信息、采用的标准清单等基本信息；各信息内容应包括：</w:t>
      </w:r>
    </w:p>
    <w:p w:rsidR="0069050B" w:rsidRDefault="000B3F50">
      <w:pPr>
        <w:pStyle w:val="aa"/>
        <w:numPr>
          <w:ilvl w:val="0"/>
          <w:numId w:val="2"/>
        </w:numPr>
        <w:spacing w:line="360" w:lineRule="auto"/>
        <w:ind w:firstLineChars="202" w:firstLine="424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报告信息：包括报告编号、编制人员、审核人员、发布日期等；</w:t>
      </w:r>
    </w:p>
    <w:p w:rsidR="0069050B" w:rsidRDefault="000B3F50">
      <w:pPr>
        <w:pStyle w:val="aa"/>
        <w:numPr>
          <w:ilvl w:val="0"/>
          <w:numId w:val="2"/>
        </w:numPr>
        <w:spacing w:line="360" w:lineRule="auto"/>
        <w:ind w:firstLineChars="202" w:firstLine="424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申请者信息：包括公司全称、组织机构代码、地址、联系人、联系方式等；</w:t>
      </w:r>
    </w:p>
    <w:p w:rsidR="0069050B" w:rsidRDefault="000B3F50">
      <w:pPr>
        <w:pStyle w:val="aa"/>
        <w:numPr>
          <w:ilvl w:val="0"/>
          <w:numId w:val="2"/>
        </w:numPr>
        <w:spacing w:line="360" w:lineRule="auto"/>
        <w:ind w:firstLineChars="202" w:firstLine="424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评估对象信息：包括产品型号或类型、主要技术参数、制造商及厂址等；</w:t>
      </w:r>
    </w:p>
    <w:p w:rsidR="0069050B" w:rsidRDefault="000B3F50">
      <w:pPr>
        <w:pStyle w:val="aa"/>
        <w:numPr>
          <w:ilvl w:val="0"/>
          <w:numId w:val="2"/>
        </w:numPr>
        <w:spacing w:line="360" w:lineRule="auto"/>
        <w:ind w:firstLineChars="202" w:firstLine="424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采用的标准信息：包括标准名称及标准号等。</w:t>
      </w:r>
    </w:p>
    <w:p w:rsidR="009A5C6F" w:rsidRDefault="009A5C6F" w:rsidP="009A5C6F">
      <w:pPr>
        <w:pStyle w:val="aa"/>
        <w:tabs>
          <w:tab w:val="left" w:pos="312"/>
        </w:tabs>
        <w:spacing w:line="360" w:lineRule="auto"/>
        <w:ind w:left="424" w:firstLineChars="0" w:firstLine="0"/>
        <w:rPr>
          <w:rFonts w:ascii="宋体" w:eastAsia="宋体" w:hAnsi="宋体" w:cs="宋体"/>
          <w:szCs w:val="21"/>
        </w:rPr>
      </w:pPr>
    </w:p>
    <w:p w:rsidR="0069050B" w:rsidRDefault="000B3F50">
      <w:pPr>
        <w:pStyle w:val="aa"/>
        <w:numPr>
          <w:ilvl w:val="2"/>
          <w:numId w:val="1"/>
        </w:numPr>
        <w:spacing w:line="360" w:lineRule="auto"/>
        <w:ind w:left="851" w:firstLineChars="0" w:hanging="851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符合性评价</w:t>
      </w:r>
    </w:p>
    <w:p w:rsidR="0069050B" w:rsidRDefault="000B3F50">
      <w:pPr>
        <w:pStyle w:val="aa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报告中应提供对基本要求和评价指标要求的符合性情况说明，并提供所有评价指标对比基期改进情况的说明。其中报告期为当前评价的年份，一般是指产品参与评价年份的上一年；基期为一个对照年份，一般比报告提前一年。</w:t>
      </w:r>
    </w:p>
    <w:p w:rsidR="009A5C6F" w:rsidRDefault="009A5C6F">
      <w:pPr>
        <w:pStyle w:val="aa"/>
        <w:spacing w:line="360" w:lineRule="auto"/>
        <w:rPr>
          <w:rFonts w:ascii="宋体" w:eastAsia="宋体" w:hAnsi="宋体"/>
          <w:szCs w:val="21"/>
        </w:rPr>
      </w:pPr>
    </w:p>
    <w:p w:rsidR="0069050B" w:rsidRDefault="000B3F50">
      <w:pPr>
        <w:pStyle w:val="aa"/>
        <w:numPr>
          <w:ilvl w:val="2"/>
          <w:numId w:val="1"/>
        </w:numPr>
        <w:spacing w:line="360" w:lineRule="auto"/>
        <w:ind w:left="851" w:firstLineChars="0" w:hanging="851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生命周期评价</w:t>
      </w:r>
    </w:p>
    <w:p w:rsidR="0069050B" w:rsidRDefault="000B3F50">
      <w:pPr>
        <w:pStyle w:val="aa"/>
        <w:spacing w:line="360" w:lineRule="auto"/>
        <w:ind w:firstLineChars="0" w:firstLine="0"/>
        <w:rPr>
          <w:rFonts w:ascii="宋体" w:eastAsia="宋体" w:hAnsi="宋体"/>
          <w:bCs/>
          <w:szCs w:val="21"/>
        </w:rPr>
      </w:pPr>
      <w:r>
        <w:rPr>
          <w:rFonts w:ascii="宋体" w:eastAsia="宋体" w:hAnsi="宋体"/>
          <w:bCs/>
          <w:szCs w:val="21"/>
        </w:rPr>
        <w:t>5.2.3.1</w:t>
      </w:r>
      <w:r>
        <w:rPr>
          <w:rFonts w:ascii="宋体" w:eastAsia="宋体" w:hAnsi="宋体"/>
          <w:b/>
          <w:bCs/>
          <w:szCs w:val="21"/>
        </w:rPr>
        <w:t>评价对象及工具</w:t>
      </w:r>
    </w:p>
    <w:p w:rsidR="0069050B" w:rsidRDefault="000B3F50">
      <w:pPr>
        <w:pStyle w:val="aa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报告中应详细描述评估的对象（智能计量插座）、功能单位和智能计量插座产品主要功能，提供智能计量插座产品的原辅料组成及主要理化性能，绘制并说明智能计量插座产品的系统边界、（如有使用应）披露所使用的基于中国生命周期数据库的软件工具。</w:t>
      </w:r>
    </w:p>
    <w:p w:rsidR="0069050B" w:rsidRDefault="000B3F50">
      <w:pPr>
        <w:pStyle w:val="aa"/>
        <w:spacing w:line="360" w:lineRule="auto"/>
        <w:ind w:firstLineChars="0" w:firstLine="0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/>
          <w:bCs/>
          <w:szCs w:val="21"/>
        </w:rPr>
        <w:t>5.2.3.2</w:t>
      </w:r>
      <w:r>
        <w:rPr>
          <w:rFonts w:ascii="宋体" w:eastAsia="宋体" w:hAnsi="宋体"/>
          <w:b/>
          <w:bCs/>
          <w:szCs w:val="21"/>
        </w:rPr>
        <w:t>生命周期清单分析</w:t>
      </w:r>
    </w:p>
    <w:p w:rsidR="0069050B" w:rsidRDefault="000B3F50">
      <w:pPr>
        <w:pStyle w:val="aa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报告中应提供考虑的生命周期阶段（产品生产阶段和产品包装阶段），说明每个阶段所考虑的清单因子及收集到的现场数据或背景数据，涉及数据分配的情况应说明分配方法和结果。</w:t>
      </w:r>
    </w:p>
    <w:p w:rsidR="0069050B" w:rsidRDefault="000B3F50">
      <w:pPr>
        <w:pStyle w:val="aa"/>
        <w:spacing w:line="360" w:lineRule="auto"/>
        <w:ind w:firstLineChars="0" w:firstLine="0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/>
          <w:bCs/>
          <w:szCs w:val="21"/>
        </w:rPr>
        <w:t>5.2.3.3</w:t>
      </w:r>
      <w:r>
        <w:rPr>
          <w:rFonts w:ascii="宋体" w:eastAsia="宋体" w:hAnsi="宋体"/>
          <w:b/>
          <w:bCs/>
          <w:szCs w:val="21"/>
        </w:rPr>
        <w:t>生命周期影响评价</w:t>
      </w:r>
    </w:p>
    <w:p w:rsidR="0069050B" w:rsidRDefault="000B3F50">
      <w:pPr>
        <w:pStyle w:val="aa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报告中应提供产品生命周期各阶段（产品生产阶段和产品包装阶段）的不同影响类型的计算值，并对不同影响类型在各生命周期阶段的分布情况进行比较分析。</w:t>
      </w:r>
    </w:p>
    <w:p w:rsidR="0069050B" w:rsidRDefault="000B3F50">
      <w:pPr>
        <w:pStyle w:val="aa"/>
        <w:numPr>
          <w:ilvl w:val="2"/>
          <w:numId w:val="1"/>
        </w:numPr>
        <w:spacing w:line="360" w:lineRule="auto"/>
        <w:ind w:left="851" w:firstLineChars="0" w:hanging="851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绿色设计改进方案</w:t>
      </w:r>
    </w:p>
    <w:p w:rsidR="0069050B" w:rsidRDefault="000B3F50">
      <w:pPr>
        <w:pStyle w:val="aa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在分析指标的符合性评价结果以及生命周期评价结果的基础上，提出智能计量插座产品绿色涉及改进的具体方案。</w:t>
      </w:r>
    </w:p>
    <w:p w:rsidR="0069050B" w:rsidRDefault="000B3F50">
      <w:pPr>
        <w:pStyle w:val="aa"/>
        <w:numPr>
          <w:ilvl w:val="2"/>
          <w:numId w:val="1"/>
        </w:numPr>
        <w:spacing w:line="360" w:lineRule="auto"/>
        <w:ind w:left="851" w:firstLineChars="0" w:hanging="851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评价报告主要结论</w:t>
      </w:r>
    </w:p>
    <w:p w:rsidR="0069050B" w:rsidRDefault="000B3F50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应说明该产品对评价指标的符合性结论、生命周期评价结果、提出的改进方案，并根据评价结论初步判断该产品是否为绿色涉及产品。</w:t>
      </w:r>
    </w:p>
    <w:p w:rsidR="0069050B" w:rsidRDefault="000B3F50">
      <w:pPr>
        <w:pStyle w:val="2"/>
        <w:numPr>
          <w:ilvl w:val="0"/>
          <w:numId w:val="1"/>
        </w:numPr>
        <w:rPr>
          <w:rFonts w:ascii="宋体" w:eastAsia="宋体" w:hAnsi="宋体" w:cstheme="minorBidi"/>
          <w:sz w:val="21"/>
          <w:szCs w:val="21"/>
        </w:rPr>
      </w:pPr>
      <w:bookmarkStart w:id="14" w:name="_Toc9244"/>
      <w:r>
        <w:rPr>
          <w:rFonts w:ascii="宋体" w:eastAsia="宋体" w:hAnsi="宋体" w:cstheme="minorBidi" w:hint="eastAsia"/>
          <w:sz w:val="21"/>
          <w:szCs w:val="21"/>
        </w:rPr>
        <w:t>评价方法和流程</w:t>
      </w:r>
      <w:bookmarkEnd w:id="14"/>
    </w:p>
    <w:p w:rsidR="0069050B" w:rsidRDefault="000B3F50">
      <w:pPr>
        <w:pStyle w:val="3"/>
        <w:numPr>
          <w:ilvl w:val="1"/>
          <w:numId w:val="1"/>
        </w:numPr>
        <w:rPr>
          <w:rFonts w:ascii="宋体" w:eastAsia="宋体" w:hAnsi="宋体" w:cs="宋体"/>
          <w:sz w:val="21"/>
          <w:szCs w:val="21"/>
        </w:rPr>
      </w:pPr>
      <w:bookmarkStart w:id="15" w:name="_Toc10838"/>
      <w:r>
        <w:rPr>
          <w:rFonts w:ascii="宋体" w:eastAsia="宋体" w:hAnsi="宋体" w:cs="宋体" w:hint="eastAsia"/>
          <w:sz w:val="21"/>
          <w:szCs w:val="21"/>
        </w:rPr>
        <w:t>评价方法</w:t>
      </w:r>
      <w:bookmarkEnd w:id="15"/>
    </w:p>
    <w:p w:rsidR="0069050B" w:rsidRDefault="000B3F50">
      <w:pPr>
        <w:pStyle w:val="aa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本标准采用指标评价与生命周期评价相结合的方法，可按照</w:t>
      </w:r>
      <w:r>
        <w:rPr>
          <w:rFonts w:ascii="宋体" w:eastAsia="宋体" w:hAnsi="宋体"/>
          <w:szCs w:val="21"/>
        </w:rPr>
        <w:t>4.1和4.2开展自我评价或第三方</w:t>
      </w:r>
      <w:r>
        <w:rPr>
          <w:rFonts w:ascii="宋体" w:eastAsia="宋体" w:hAnsi="宋体" w:hint="eastAsia"/>
          <w:szCs w:val="21"/>
        </w:rPr>
        <w:t>评价，在满足评价指标要求的基础上，采用生命周期评价方法，进行生命周期影响评价，编制生命周期评价报告。绿色设计产品同时满足以下条件，可判定为绿色设计产品：</w:t>
      </w:r>
    </w:p>
    <w:p w:rsidR="0069050B" w:rsidRDefault="000B3F50">
      <w:pPr>
        <w:pStyle w:val="aa"/>
        <w:numPr>
          <w:ilvl w:val="0"/>
          <w:numId w:val="3"/>
        </w:num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满足基本要求（见</w:t>
      </w:r>
      <w:r>
        <w:rPr>
          <w:rFonts w:ascii="宋体" w:eastAsia="宋体" w:hAnsi="宋体"/>
          <w:szCs w:val="21"/>
        </w:rPr>
        <w:t>4.1）和评价指标要求（见4.2）；</w:t>
      </w:r>
    </w:p>
    <w:p w:rsidR="0069050B" w:rsidRDefault="000B3F50">
      <w:pPr>
        <w:pStyle w:val="aa"/>
        <w:numPr>
          <w:ilvl w:val="0"/>
          <w:numId w:val="3"/>
        </w:num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按照</w:t>
      </w:r>
      <w:r>
        <w:rPr>
          <w:rFonts w:ascii="宋体" w:eastAsia="宋体" w:hAnsi="宋体"/>
          <w:szCs w:val="21"/>
        </w:rPr>
        <w:t>5提供生命周期评价报告。</w:t>
      </w:r>
    </w:p>
    <w:p w:rsidR="0069050B" w:rsidRDefault="000B3F50">
      <w:pPr>
        <w:pStyle w:val="3"/>
        <w:numPr>
          <w:ilvl w:val="1"/>
          <w:numId w:val="1"/>
        </w:numPr>
        <w:rPr>
          <w:rFonts w:ascii="宋体" w:eastAsia="宋体" w:hAnsi="宋体" w:cs="宋体"/>
          <w:sz w:val="21"/>
          <w:szCs w:val="21"/>
        </w:rPr>
      </w:pPr>
      <w:bookmarkStart w:id="16" w:name="_Toc32375"/>
      <w:r>
        <w:rPr>
          <w:rFonts w:ascii="宋体" w:eastAsia="宋体" w:hAnsi="宋体" w:cs="宋体" w:hint="eastAsia"/>
          <w:sz w:val="21"/>
          <w:szCs w:val="21"/>
        </w:rPr>
        <w:t>评价流程</w:t>
      </w:r>
      <w:bookmarkEnd w:id="16"/>
    </w:p>
    <w:p w:rsidR="0069050B" w:rsidRDefault="000B3F50">
      <w:pPr>
        <w:pStyle w:val="aa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根据智能计量插座产品的特点，明确评价的范围；根据评价指标体系中的指标和生命周期评价</w:t>
      </w:r>
      <w:r>
        <w:rPr>
          <w:rFonts w:ascii="宋体" w:eastAsia="宋体" w:hAnsi="宋体" w:hint="eastAsia"/>
          <w:szCs w:val="21"/>
        </w:rPr>
        <w:lastRenderedPageBreak/>
        <w:t>方法，收集需要的数据，同时对数据质量进行分析；对照基本要求和评价指标要求，对产品进行评价，符合基本要求和评价指标要求的产品，可判定该产品符合绿色设计产品的评价要求；产品符合基本要求和评价指标要求的生产企业，还应提供该产品的生命周期评价报告。评价流程图如图</w:t>
      </w:r>
      <w:r>
        <w:rPr>
          <w:rFonts w:ascii="宋体" w:eastAsia="宋体" w:hAnsi="宋体"/>
          <w:szCs w:val="21"/>
        </w:rPr>
        <w:t>1所示。</w:t>
      </w:r>
    </w:p>
    <w:p w:rsidR="0069050B" w:rsidRDefault="000B3F50">
      <w:pPr>
        <w:pStyle w:val="aa"/>
        <w:spacing w:line="360" w:lineRule="auto"/>
        <w:ind w:leftChars="-1" w:left="-1" w:firstLineChars="0" w:hanging="1"/>
        <w:jc w:val="center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object w:dxaOrig="9075" w:dyaOrig="58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291.75pt" o:ole="">
            <v:imagedata r:id="rId12" o:title=""/>
            <o:lock v:ext="edit" aspectratio="f"/>
          </v:shape>
          <o:OLEObject Type="Embed" ProgID="Visio.Drawing.11" ShapeID="_x0000_i1025" DrawAspect="Content" ObjectID="_1662980527" r:id="rId13"/>
        </w:object>
      </w:r>
    </w:p>
    <w:p w:rsidR="0069050B" w:rsidRDefault="0069050B">
      <w:pPr>
        <w:widowControl/>
        <w:jc w:val="center"/>
        <w:rPr>
          <w:rFonts w:ascii="宋体" w:eastAsia="宋体" w:hAnsi="宋体"/>
          <w:b/>
          <w:bCs/>
          <w:sz w:val="28"/>
          <w:szCs w:val="28"/>
        </w:rPr>
      </w:pPr>
    </w:p>
    <w:p w:rsidR="0069050B" w:rsidRDefault="0069050B">
      <w:pPr>
        <w:widowControl/>
        <w:jc w:val="center"/>
        <w:rPr>
          <w:rFonts w:ascii="宋体" w:eastAsia="宋体" w:hAnsi="宋体"/>
          <w:b/>
          <w:bCs/>
          <w:sz w:val="28"/>
          <w:szCs w:val="28"/>
        </w:rPr>
      </w:pPr>
    </w:p>
    <w:p w:rsidR="0069050B" w:rsidRDefault="0069050B">
      <w:pPr>
        <w:widowControl/>
        <w:jc w:val="center"/>
        <w:rPr>
          <w:rFonts w:ascii="宋体" w:eastAsia="宋体" w:hAnsi="宋体"/>
          <w:b/>
          <w:bCs/>
          <w:sz w:val="28"/>
          <w:szCs w:val="28"/>
        </w:rPr>
      </w:pPr>
    </w:p>
    <w:p w:rsidR="0069050B" w:rsidRDefault="0069050B">
      <w:pPr>
        <w:widowControl/>
        <w:jc w:val="center"/>
        <w:rPr>
          <w:rFonts w:ascii="宋体" w:eastAsia="宋体" w:hAnsi="宋体"/>
          <w:b/>
          <w:bCs/>
          <w:sz w:val="28"/>
          <w:szCs w:val="28"/>
        </w:rPr>
      </w:pPr>
    </w:p>
    <w:p w:rsidR="0069050B" w:rsidRDefault="0069050B">
      <w:pPr>
        <w:widowControl/>
        <w:jc w:val="center"/>
        <w:rPr>
          <w:rFonts w:ascii="宋体" w:eastAsia="宋体" w:hAnsi="宋体"/>
          <w:b/>
          <w:bCs/>
          <w:sz w:val="28"/>
          <w:szCs w:val="28"/>
        </w:rPr>
      </w:pPr>
    </w:p>
    <w:p w:rsidR="0069050B" w:rsidRDefault="0069050B">
      <w:pPr>
        <w:widowControl/>
        <w:jc w:val="center"/>
        <w:rPr>
          <w:rFonts w:ascii="宋体" w:eastAsia="宋体" w:hAnsi="宋体"/>
          <w:b/>
          <w:bCs/>
          <w:sz w:val="28"/>
          <w:szCs w:val="28"/>
        </w:rPr>
      </w:pPr>
    </w:p>
    <w:p w:rsidR="0069050B" w:rsidRDefault="0069050B">
      <w:pPr>
        <w:widowControl/>
        <w:jc w:val="center"/>
        <w:rPr>
          <w:rFonts w:ascii="宋体" w:eastAsia="宋体" w:hAnsi="宋体"/>
          <w:b/>
          <w:bCs/>
          <w:sz w:val="28"/>
          <w:szCs w:val="28"/>
        </w:rPr>
      </w:pPr>
    </w:p>
    <w:p w:rsidR="0069050B" w:rsidRDefault="0069050B">
      <w:pPr>
        <w:widowControl/>
        <w:jc w:val="center"/>
        <w:rPr>
          <w:rFonts w:ascii="宋体" w:eastAsia="宋体" w:hAnsi="宋体"/>
          <w:b/>
          <w:bCs/>
          <w:sz w:val="28"/>
          <w:szCs w:val="28"/>
        </w:rPr>
      </w:pPr>
    </w:p>
    <w:p w:rsidR="0069050B" w:rsidRDefault="000B3F50">
      <w:pPr>
        <w:jc w:val="center"/>
        <w:outlineLvl w:val="0"/>
        <w:rPr>
          <w:rFonts w:ascii="宋体" w:eastAsia="宋体" w:hAnsi="宋体" w:cs="宋体"/>
          <w:b/>
          <w:bCs/>
          <w:sz w:val="32"/>
          <w:szCs w:val="32"/>
        </w:rPr>
      </w:pPr>
      <w:bookmarkStart w:id="17" w:name="_Toc28186"/>
      <w:r>
        <w:rPr>
          <w:rFonts w:ascii="宋体" w:eastAsia="宋体" w:hAnsi="宋体" w:cs="宋体" w:hint="eastAsia"/>
          <w:b/>
          <w:bCs/>
          <w:sz w:val="32"/>
          <w:szCs w:val="32"/>
        </w:rPr>
        <w:t>附录A（资料性附录）</w:t>
      </w:r>
      <w:bookmarkStart w:id="18" w:name="_Hlk45651008"/>
      <w:bookmarkEnd w:id="17"/>
    </w:p>
    <w:p w:rsidR="0069050B" w:rsidRDefault="000B3F50">
      <w:pPr>
        <w:pStyle w:val="1"/>
        <w:spacing w:line="240" w:lineRule="auto"/>
        <w:jc w:val="center"/>
        <w:rPr>
          <w:sz w:val="32"/>
          <w:szCs w:val="32"/>
        </w:rPr>
      </w:pPr>
      <w:bookmarkStart w:id="19" w:name="_Toc14794"/>
      <w:r>
        <w:rPr>
          <w:rFonts w:hint="eastAsia"/>
          <w:sz w:val="32"/>
          <w:szCs w:val="32"/>
        </w:rPr>
        <w:lastRenderedPageBreak/>
        <w:t>智能计量插座</w:t>
      </w:r>
      <w:bookmarkEnd w:id="18"/>
      <w:r>
        <w:rPr>
          <w:rFonts w:hint="eastAsia"/>
          <w:sz w:val="32"/>
          <w:szCs w:val="32"/>
        </w:rPr>
        <w:t>产品全生命周期评价方法</w:t>
      </w:r>
      <w:bookmarkEnd w:id="19"/>
    </w:p>
    <w:p w:rsidR="0069050B" w:rsidRDefault="000B3F50">
      <w:pPr>
        <w:pStyle w:val="2"/>
        <w:rPr>
          <w:rFonts w:ascii="宋体" w:eastAsia="宋体" w:hAnsi="宋体" w:cstheme="minorBidi"/>
          <w:sz w:val="21"/>
          <w:szCs w:val="21"/>
        </w:rPr>
      </w:pPr>
      <w:bookmarkStart w:id="20" w:name="_Toc10979"/>
      <w:r>
        <w:rPr>
          <w:rFonts w:ascii="宋体" w:eastAsia="宋体" w:hAnsi="宋体" w:cstheme="minorBidi" w:hint="eastAsia"/>
          <w:sz w:val="21"/>
          <w:szCs w:val="21"/>
        </w:rPr>
        <w:t>A1 概况</w:t>
      </w:r>
      <w:bookmarkEnd w:id="20"/>
    </w:p>
    <w:p w:rsidR="0069050B" w:rsidRDefault="000B3F50">
      <w:pPr>
        <w:pStyle w:val="aa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根据</w:t>
      </w:r>
      <w:r>
        <w:rPr>
          <w:rFonts w:ascii="宋体" w:eastAsia="宋体" w:hAnsi="宋体"/>
          <w:szCs w:val="21"/>
        </w:rPr>
        <w:t>GB/T 24040</w:t>
      </w:r>
      <w:r>
        <w:rPr>
          <w:rFonts w:ascii="宋体" w:eastAsia="宋体" w:hAnsi="宋体" w:hint="eastAsia"/>
          <w:szCs w:val="21"/>
        </w:rPr>
        <w:t>和</w:t>
      </w:r>
      <w:r>
        <w:rPr>
          <w:rFonts w:ascii="宋体" w:eastAsia="宋体" w:hAnsi="宋体"/>
          <w:szCs w:val="21"/>
        </w:rPr>
        <w:t>GB/T 24044</w:t>
      </w:r>
      <w:r>
        <w:rPr>
          <w:rFonts w:ascii="宋体" w:eastAsia="宋体" w:hAnsi="宋体" w:hint="eastAsia"/>
          <w:szCs w:val="21"/>
        </w:rPr>
        <w:t>，建立智能计量插座产品的生命周期评价方法。生命周期评价的过程应包括目的和范围的确定、清单分析、解释和报告等。具体如下：</w:t>
      </w:r>
    </w:p>
    <w:p w:rsidR="0069050B" w:rsidRDefault="000B3F50">
      <w:pPr>
        <w:pStyle w:val="aa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a）目的和范围确定：确定评价的目的，确定评价对象及功能单位，界定系统边界和时间边界，明确影响类型、必备要素和可选要素，提出数据及其质量要求，给出评价报告的形式</w:t>
      </w:r>
      <w:r>
        <w:rPr>
          <w:rFonts w:ascii="宋体" w:eastAsia="宋体" w:hAnsi="宋体" w:hint="eastAsia"/>
          <w:szCs w:val="21"/>
        </w:rPr>
        <w:t>；</w:t>
      </w:r>
    </w:p>
    <w:p w:rsidR="0069050B" w:rsidRDefault="000B3F50">
      <w:pPr>
        <w:pStyle w:val="aa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b)清单分析：主要包括数据收集准备、数据的收集、数据的确认、数据与单元过程的关联、数据与功能单位的关联、清单计算方法、数据合并和数据分配等；</w:t>
      </w:r>
    </w:p>
    <w:p w:rsidR="0069050B" w:rsidRDefault="000B3F50">
      <w:pPr>
        <w:pStyle w:val="aa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c)影响评价：选取影响类型、类型参数和特征化模型，将生命周期清单数据划分到所选的影响类型，计算类型特征化值；</w:t>
      </w:r>
    </w:p>
    <w:p w:rsidR="0069050B" w:rsidRDefault="000B3F50">
      <w:pPr>
        <w:pStyle w:val="aa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d)生命周期解释和报告：综合考虑清单分析和影响评价，对评价结果进行完整性、敏感性、一致性和不确定性检查，并对结论、建议和局限性进行说明，编制产品生命周期评价报告。</w:t>
      </w:r>
    </w:p>
    <w:p w:rsidR="0069050B" w:rsidRDefault="000B3F50">
      <w:pPr>
        <w:pStyle w:val="2"/>
        <w:rPr>
          <w:rFonts w:ascii="宋体" w:eastAsia="宋体" w:hAnsi="宋体" w:cstheme="minorBidi"/>
          <w:sz w:val="21"/>
          <w:szCs w:val="21"/>
        </w:rPr>
      </w:pPr>
      <w:bookmarkStart w:id="21" w:name="_Toc12114"/>
      <w:r>
        <w:rPr>
          <w:rFonts w:ascii="宋体" w:eastAsia="宋体" w:hAnsi="宋体" w:cstheme="minorBidi" w:hint="eastAsia"/>
          <w:sz w:val="21"/>
          <w:szCs w:val="21"/>
        </w:rPr>
        <w:t>A2范围确定</w:t>
      </w:r>
      <w:bookmarkEnd w:id="21"/>
    </w:p>
    <w:p w:rsidR="0069050B" w:rsidRDefault="000B3F50">
      <w:pPr>
        <w:pStyle w:val="3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A2.1总则</w:t>
      </w:r>
    </w:p>
    <w:p w:rsidR="0069050B" w:rsidRDefault="000B3F50">
      <w:pPr>
        <w:pStyle w:val="aa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智能计量插座产品生命周期评价可用于以下目的：</w:t>
      </w:r>
    </w:p>
    <w:p w:rsidR="0069050B" w:rsidRDefault="000B3F50">
      <w:pPr>
        <w:pStyle w:val="aa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 xml:space="preserve">a </w:t>
      </w:r>
      <w:r>
        <w:rPr>
          <w:rFonts w:ascii="宋体" w:eastAsia="宋体" w:hAnsi="宋体" w:hint="eastAsia"/>
          <w:szCs w:val="21"/>
        </w:rPr>
        <w:t>）为碳足迹、水足迹、环境足迹等产品环境声明与环境标识的评价提供数据；</w:t>
      </w:r>
    </w:p>
    <w:p w:rsidR="0069050B" w:rsidRDefault="000B3F50">
      <w:pPr>
        <w:pStyle w:val="aa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b )为产品设计、工艺技术评价、生产管理等工作提供评价依据和改进建议，从而大幅提升产品生态友好性。</w:t>
      </w:r>
    </w:p>
    <w:p w:rsidR="0069050B" w:rsidRDefault="000B3F50">
      <w:pPr>
        <w:pStyle w:val="3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 2.2功能单位</w:t>
      </w:r>
    </w:p>
    <w:p w:rsidR="0069050B" w:rsidRDefault="000B3F50">
      <w:pPr>
        <w:pStyle w:val="aa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功能</w:t>
      </w:r>
      <w:r>
        <w:rPr>
          <w:rFonts w:ascii="宋体" w:eastAsia="宋体" w:hAnsi="宋体"/>
          <w:szCs w:val="21"/>
        </w:rPr>
        <w:t>单位必须是</w:t>
      </w:r>
      <w:r>
        <w:rPr>
          <w:rFonts w:ascii="宋体" w:eastAsia="宋体" w:hAnsi="宋体" w:hint="eastAsia"/>
          <w:szCs w:val="21"/>
        </w:rPr>
        <w:t>明确</w:t>
      </w:r>
      <w:r>
        <w:rPr>
          <w:rFonts w:ascii="宋体" w:eastAsia="宋体" w:hAnsi="宋体"/>
          <w:szCs w:val="21"/>
        </w:rPr>
        <w:t>规定</w:t>
      </w:r>
      <w:r>
        <w:rPr>
          <w:rFonts w:ascii="宋体" w:eastAsia="宋体" w:hAnsi="宋体" w:hint="eastAsia"/>
          <w:szCs w:val="21"/>
        </w:rPr>
        <w:t>并且</w:t>
      </w:r>
      <w:r>
        <w:rPr>
          <w:rFonts w:ascii="宋体" w:eastAsia="宋体" w:hAnsi="宋体"/>
          <w:szCs w:val="21"/>
        </w:rPr>
        <w:t>可测量的。本</w:t>
      </w:r>
      <w:r>
        <w:rPr>
          <w:rFonts w:ascii="宋体" w:eastAsia="宋体" w:hAnsi="宋体" w:hint="eastAsia"/>
          <w:szCs w:val="21"/>
        </w:rPr>
        <w:t>标准</w:t>
      </w:r>
      <w:r>
        <w:rPr>
          <w:rFonts w:ascii="宋体" w:eastAsia="宋体" w:hAnsi="宋体"/>
          <w:szCs w:val="21"/>
        </w:rPr>
        <w:t>以1个智能计量插座来</w:t>
      </w:r>
      <w:r>
        <w:rPr>
          <w:rFonts w:ascii="宋体" w:eastAsia="宋体" w:hAnsi="宋体" w:hint="eastAsia"/>
          <w:szCs w:val="21"/>
        </w:rPr>
        <w:t>表示</w:t>
      </w:r>
      <w:r>
        <w:rPr>
          <w:rFonts w:ascii="宋体" w:eastAsia="宋体" w:hAnsi="宋体"/>
          <w:szCs w:val="21"/>
        </w:rPr>
        <w:t>。同时</w:t>
      </w:r>
      <w:r>
        <w:rPr>
          <w:rFonts w:ascii="宋体" w:eastAsia="宋体" w:hAnsi="宋体" w:hint="eastAsia"/>
          <w:szCs w:val="21"/>
        </w:rPr>
        <w:t>考虑主要</w:t>
      </w:r>
      <w:r>
        <w:rPr>
          <w:rFonts w:ascii="宋体" w:eastAsia="宋体" w:hAnsi="宋体"/>
          <w:szCs w:val="21"/>
        </w:rPr>
        <w:t>规格型号、具体功能、使用寿命</w:t>
      </w:r>
      <w:r>
        <w:rPr>
          <w:rFonts w:ascii="宋体" w:eastAsia="宋体" w:hAnsi="宋体" w:hint="eastAsia"/>
          <w:szCs w:val="21"/>
        </w:rPr>
        <w:t>等信息</w:t>
      </w:r>
      <w:r>
        <w:rPr>
          <w:rFonts w:ascii="宋体" w:eastAsia="宋体" w:hAnsi="宋体"/>
          <w:szCs w:val="21"/>
        </w:rPr>
        <w:t>。</w:t>
      </w:r>
    </w:p>
    <w:p w:rsidR="0069050B" w:rsidRDefault="000B3F50">
      <w:pPr>
        <w:pStyle w:val="3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 2.3系统边界</w:t>
      </w:r>
    </w:p>
    <w:p w:rsidR="0069050B" w:rsidRDefault="000B3F50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本标准界定的系统边界包括从原材料及辅料的采购</w:t>
      </w:r>
      <w:r>
        <w:rPr>
          <w:rFonts w:ascii="宋体" w:eastAsia="宋体" w:hAnsi="宋体"/>
          <w:szCs w:val="21"/>
        </w:rPr>
        <w:t>到</w:t>
      </w:r>
      <w:r>
        <w:rPr>
          <w:rFonts w:ascii="宋体" w:eastAsia="宋体" w:hAnsi="宋体" w:hint="eastAsia"/>
          <w:szCs w:val="21"/>
        </w:rPr>
        <w:t>生产、产品生产、产品使用、产品</w:t>
      </w:r>
      <w:r>
        <w:rPr>
          <w:rFonts w:ascii="宋体" w:eastAsia="宋体" w:hAnsi="宋体"/>
          <w:szCs w:val="21"/>
        </w:rPr>
        <w:t>报废、回收、循环利用及处置等</w:t>
      </w:r>
      <w:r>
        <w:rPr>
          <w:rFonts w:ascii="宋体" w:eastAsia="宋体" w:hAnsi="宋体" w:hint="eastAsia"/>
          <w:szCs w:val="21"/>
        </w:rPr>
        <w:t>全</w:t>
      </w:r>
      <w:r>
        <w:rPr>
          <w:rFonts w:ascii="宋体" w:eastAsia="宋体" w:hAnsi="宋体"/>
          <w:szCs w:val="21"/>
        </w:rPr>
        <w:t>生命周期阶段，包括但不限于如下过程：</w:t>
      </w:r>
    </w:p>
    <w:p w:rsidR="0069050B" w:rsidRDefault="000B3F50">
      <w:pP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 xml:space="preserve"> 1) 零部件和元器件的生产；</w:t>
      </w:r>
    </w:p>
    <w:p w:rsidR="0069050B" w:rsidRDefault="000B3F50">
      <w:pP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lastRenderedPageBreak/>
        <w:t xml:space="preserve"> 2) 零部件的生产组装；</w:t>
      </w:r>
    </w:p>
    <w:p w:rsidR="0069050B" w:rsidRDefault="000B3F50">
      <w:pP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 xml:space="preserve"> 3) 原</w:t>
      </w:r>
      <w:r>
        <w:rPr>
          <w:rFonts w:ascii="宋体" w:eastAsia="宋体" w:hAnsi="宋体" w:hint="eastAsia"/>
          <w:szCs w:val="21"/>
        </w:rPr>
        <w:t>材料</w:t>
      </w:r>
      <w:r>
        <w:rPr>
          <w:rFonts w:ascii="宋体" w:eastAsia="宋体" w:hAnsi="宋体"/>
          <w:szCs w:val="21"/>
        </w:rPr>
        <w:t>及</w:t>
      </w:r>
      <w:r>
        <w:rPr>
          <w:rFonts w:ascii="宋体" w:eastAsia="宋体" w:hAnsi="宋体" w:hint="eastAsia"/>
          <w:szCs w:val="21"/>
        </w:rPr>
        <w:t>零部件</w:t>
      </w:r>
      <w:r>
        <w:rPr>
          <w:rFonts w:ascii="宋体" w:eastAsia="宋体" w:hAnsi="宋体"/>
          <w:szCs w:val="21"/>
        </w:rPr>
        <w:t>的运输；</w:t>
      </w:r>
    </w:p>
    <w:p w:rsidR="0069050B" w:rsidRDefault="000B3F50">
      <w:pPr>
        <w:ind w:firstLineChars="50" w:firstLine="105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 xml:space="preserve">4) 产品正常运作过程中的能源和物质消耗，待机状态下的能耗； </w:t>
      </w:r>
    </w:p>
    <w:p w:rsidR="0069050B" w:rsidRDefault="000B3F50">
      <w:pPr>
        <w:ind w:firstLineChars="50" w:firstLine="105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 xml:space="preserve">5) 产品废弃后的回收、拆解、循环利用和处置。 </w:t>
      </w:r>
    </w:p>
    <w:p w:rsidR="0069050B" w:rsidRDefault="0069050B">
      <w:pPr>
        <w:pStyle w:val="aa"/>
        <w:spacing w:line="360" w:lineRule="auto"/>
        <w:ind w:left="430" w:firstLineChars="0" w:firstLine="0"/>
        <w:rPr>
          <w:rFonts w:ascii="宋体" w:eastAsia="宋体" w:hAnsi="宋体"/>
          <w:b/>
          <w:szCs w:val="21"/>
        </w:rPr>
      </w:pPr>
    </w:p>
    <w:p w:rsidR="0069050B" w:rsidRDefault="000B3F50">
      <w:pPr>
        <w:spacing w:line="360" w:lineRule="auto"/>
        <w:rPr>
          <w:rFonts w:ascii="宋体" w:eastAsia="宋体" w:hAnsi="宋体"/>
          <w:b/>
          <w:szCs w:val="21"/>
        </w:rPr>
      </w:pPr>
      <w:r>
        <w:rPr>
          <w:noProof/>
        </w:rPr>
        <w:drawing>
          <wp:inline distT="0" distB="0" distL="0" distR="0">
            <wp:extent cx="5759450" cy="2360295"/>
            <wp:effectExtent l="0" t="0" r="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360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050B" w:rsidRDefault="000B3F50">
      <w:pPr>
        <w:pStyle w:val="3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 2.4 数据取舍原则</w:t>
      </w:r>
    </w:p>
    <w:p w:rsidR="0069050B" w:rsidRDefault="000B3F50">
      <w:pPr>
        <w:pStyle w:val="aa"/>
        <w:spacing w:line="360" w:lineRule="auto"/>
        <w:ind w:firstLineChars="0" w:firstLine="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 xml:space="preserve">a </w:t>
      </w:r>
      <w:r>
        <w:rPr>
          <w:rFonts w:ascii="宋体" w:eastAsia="宋体" w:hAnsi="宋体" w:hint="eastAsia"/>
          <w:szCs w:val="21"/>
        </w:rPr>
        <w:t>）能源</w:t>
      </w:r>
      <w:r>
        <w:rPr>
          <w:rFonts w:ascii="宋体" w:eastAsia="宋体" w:hAnsi="宋体"/>
          <w:szCs w:val="21"/>
        </w:rPr>
        <w:t>的所有输入均列出；</w:t>
      </w:r>
    </w:p>
    <w:p w:rsidR="0069050B" w:rsidRDefault="000B3F50">
      <w:pPr>
        <w:pStyle w:val="aa"/>
        <w:spacing w:line="360" w:lineRule="auto"/>
        <w:ind w:firstLineChars="0" w:firstLine="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b )原材料的所有输入均列出；</w:t>
      </w:r>
    </w:p>
    <w:p w:rsidR="0069050B" w:rsidRDefault="000B3F50">
      <w:pPr>
        <w:pStyle w:val="aa"/>
        <w:spacing w:line="360" w:lineRule="auto"/>
        <w:ind w:firstLineChars="0" w:firstLine="0"/>
        <w:jc w:val="left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szCs w:val="21"/>
        </w:rPr>
        <w:t>c )辅助材料</w:t>
      </w:r>
      <w:r>
        <w:rPr>
          <w:rFonts w:ascii="宋体" w:eastAsia="宋体" w:hAnsi="宋体" w:hint="eastAsia"/>
          <w:szCs w:val="21"/>
        </w:rPr>
        <w:t>质</w:t>
      </w:r>
      <w:r>
        <w:rPr>
          <w:rFonts w:ascii="宋体" w:eastAsia="宋体" w:hAnsi="宋体" w:hint="eastAsia"/>
          <w:color w:val="000000" w:themeColor="text1"/>
          <w:szCs w:val="21"/>
        </w:rPr>
        <w:t>量</w:t>
      </w:r>
      <w:r>
        <w:rPr>
          <w:rFonts w:ascii="宋体" w:eastAsia="宋体" w:hAnsi="宋体"/>
          <w:color w:val="000000" w:themeColor="text1"/>
          <w:szCs w:val="21"/>
        </w:rPr>
        <w:t>小于原</w:t>
      </w:r>
      <w:r>
        <w:rPr>
          <w:rFonts w:ascii="宋体" w:eastAsia="宋体" w:hAnsi="宋体" w:hint="eastAsia"/>
          <w:color w:val="000000" w:themeColor="text1"/>
          <w:szCs w:val="21"/>
        </w:rPr>
        <w:t>材料</w:t>
      </w:r>
      <w:r>
        <w:rPr>
          <w:rFonts w:ascii="宋体" w:eastAsia="宋体" w:hAnsi="宋体"/>
          <w:color w:val="000000" w:themeColor="text1"/>
          <w:szCs w:val="21"/>
        </w:rPr>
        <w:t>总耗0.1%</w:t>
      </w:r>
      <w:r>
        <w:rPr>
          <w:rFonts w:ascii="宋体" w:eastAsia="宋体" w:hAnsi="宋体" w:hint="eastAsia"/>
          <w:color w:val="000000" w:themeColor="text1"/>
          <w:szCs w:val="21"/>
        </w:rPr>
        <w:t>的</w:t>
      </w:r>
      <w:r>
        <w:rPr>
          <w:rFonts w:ascii="宋体" w:eastAsia="宋体" w:hAnsi="宋体"/>
          <w:color w:val="000000" w:themeColor="text1"/>
          <w:szCs w:val="21"/>
        </w:rPr>
        <w:t>项目输入可以忽略；</w:t>
      </w:r>
    </w:p>
    <w:p w:rsidR="0069050B" w:rsidRDefault="000B3F50">
      <w:pPr>
        <w:pStyle w:val="aa"/>
        <w:spacing w:line="360" w:lineRule="auto"/>
        <w:ind w:firstLineChars="0" w:firstLine="0"/>
        <w:jc w:val="left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d )大气、</w:t>
      </w:r>
      <w:r>
        <w:rPr>
          <w:rFonts w:ascii="宋体" w:eastAsia="宋体" w:hAnsi="宋体" w:hint="eastAsia"/>
          <w:color w:val="000000" w:themeColor="text1"/>
          <w:szCs w:val="21"/>
        </w:rPr>
        <w:t>固体</w:t>
      </w:r>
      <w:r>
        <w:rPr>
          <w:rFonts w:ascii="宋体" w:eastAsia="宋体" w:hAnsi="宋体"/>
          <w:color w:val="000000" w:themeColor="text1"/>
          <w:szCs w:val="21"/>
        </w:rPr>
        <w:t>废物的各种排放均列出；</w:t>
      </w:r>
    </w:p>
    <w:p w:rsidR="0069050B" w:rsidRDefault="000B3F50">
      <w:pPr>
        <w:pStyle w:val="aa"/>
        <w:spacing w:line="360" w:lineRule="auto"/>
        <w:ind w:firstLineChars="0" w:firstLine="0"/>
        <w:jc w:val="left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 xml:space="preserve">e) </w:t>
      </w:r>
      <w:r>
        <w:rPr>
          <w:rFonts w:ascii="宋体" w:eastAsia="宋体" w:hAnsi="宋体" w:hint="eastAsia"/>
          <w:color w:val="000000" w:themeColor="text1"/>
          <w:szCs w:val="21"/>
        </w:rPr>
        <w:t>小于</w:t>
      </w:r>
      <w:r>
        <w:rPr>
          <w:rFonts w:ascii="宋体" w:eastAsia="宋体" w:hAnsi="宋体"/>
          <w:color w:val="000000" w:themeColor="text1"/>
          <w:szCs w:val="21"/>
        </w:rPr>
        <w:t>固体废弃物排放总量1%的一般性固体废物可忽略；</w:t>
      </w:r>
    </w:p>
    <w:p w:rsidR="0069050B" w:rsidRDefault="000B3F50">
      <w:pPr>
        <w:pStyle w:val="aa"/>
        <w:spacing w:line="360" w:lineRule="auto"/>
        <w:ind w:firstLineChars="0" w:firstLine="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 xml:space="preserve">f) </w:t>
      </w:r>
      <w:r>
        <w:rPr>
          <w:rFonts w:ascii="宋体" w:eastAsia="宋体" w:hAnsi="宋体" w:hint="eastAsia"/>
          <w:szCs w:val="21"/>
        </w:rPr>
        <w:t>道路、</w:t>
      </w:r>
      <w:r>
        <w:rPr>
          <w:rFonts w:ascii="宋体" w:eastAsia="宋体" w:hAnsi="宋体"/>
          <w:szCs w:val="21"/>
        </w:rPr>
        <w:t>厂房的基础设施、各工序的设备、厂区内人员及生活设施的消耗和排放，均忽略；</w:t>
      </w:r>
    </w:p>
    <w:p w:rsidR="0069050B" w:rsidRDefault="000B3F50">
      <w:pPr>
        <w:pStyle w:val="aa"/>
        <w:spacing w:line="360" w:lineRule="auto"/>
        <w:ind w:firstLineChars="0" w:firstLine="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g)取舍原则不适用于有毒有害物质，任何有毒有害</w:t>
      </w:r>
      <w:r>
        <w:rPr>
          <w:rFonts w:ascii="宋体" w:eastAsia="宋体" w:hAnsi="宋体" w:hint="eastAsia"/>
          <w:szCs w:val="21"/>
        </w:rPr>
        <w:t>的</w:t>
      </w:r>
      <w:r>
        <w:rPr>
          <w:rFonts w:ascii="宋体" w:eastAsia="宋体" w:hAnsi="宋体"/>
          <w:szCs w:val="21"/>
        </w:rPr>
        <w:t>材料和物质均应包含于清单中，不可忽略。</w:t>
      </w:r>
    </w:p>
    <w:p w:rsidR="0069050B" w:rsidRDefault="000B3F50">
      <w:pPr>
        <w:pStyle w:val="2"/>
        <w:rPr>
          <w:rFonts w:ascii="宋体" w:eastAsia="宋体" w:hAnsi="宋体" w:cstheme="minorBidi"/>
          <w:sz w:val="21"/>
          <w:szCs w:val="21"/>
        </w:rPr>
      </w:pPr>
      <w:bookmarkStart w:id="22" w:name="_Toc24134"/>
      <w:r>
        <w:rPr>
          <w:rFonts w:ascii="宋体" w:eastAsia="宋体" w:hAnsi="宋体" w:cstheme="minorBidi" w:hint="eastAsia"/>
          <w:sz w:val="21"/>
          <w:szCs w:val="21"/>
        </w:rPr>
        <w:t>A 3 生命周期清单分析</w:t>
      </w:r>
      <w:bookmarkEnd w:id="22"/>
    </w:p>
    <w:p w:rsidR="0069050B" w:rsidRDefault="000B3F50">
      <w:pPr>
        <w:pStyle w:val="3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 3.1 总则</w:t>
      </w:r>
    </w:p>
    <w:p w:rsidR="0069050B" w:rsidRDefault="000B3F50">
      <w:pPr>
        <w:pStyle w:val="aa"/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应</w:t>
      </w:r>
      <w:r>
        <w:rPr>
          <w:rFonts w:ascii="宋体" w:eastAsia="宋体" w:hAnsi="宋体"/>
          <w:szCs w:val="21"/>
        </w:rPr>
        <w:t>编制智能计量插座产品</w:t>
      </w:r>
      <w:r>
        <w:rPr>
          <w:rFonts w:ascii="宋体" w:eastAsia="宋体" w:hAnsi="宋体" w:hint="eastAsia"/>
          <w:szCs w:val="21"/>
        </w:rPr>
        <w:t>系统</w:t>
      </w:r>
      <w:r>
        <w:rPr>
          <w:rFonts w:ascii="宋体" w:eastAsia="宋体" w:hAnsi="宋体"/>
          <w:szCs w:val="21"/>
        </w:rPr>
        <w:t>边界内的所有材料/</w:t>
      </w:r>
      <w:r>
        <w:rPr>
          <w:rFonts w:ascii="宋体" w:eastAsia="宋体" w:hAnsi="宋体" w:hint="eastAsia"/>
          <w:szCs w:val="21"/>
        </w:rPr>
        <w:t>能源</w:t>
      </w:r>
      <w:r>
        <w:rPr>
          <w:rFonts w:ascii="宋体" w:eastAsia="宋体" w:hAnsi="宋体"/>
          <w:szCs w:val="21"/>
        </w:rPr>
        <w:t>输入输出</w:t>
      </w:r>
      <w:r>
        <w:rPr>
          <w:rFonts w:ascii="宋体" w:eastAsia="宋体" w:hAnsi="宋体" w:hint="eastAsia"/>
          <w:szCs w:val="21"/>
        </w:rPr>
        <w:t>清单</w:t>
      </w:r>
      <w:r>
        <w:rPr>
          <w:rFonts w:ascii="宋体" w:eastAsia="宋体" w:hAnsi="宋体"/>
          <w:szCs w:val="21"/>
        </w:rPr>
        <w:t>，作为产品生命周期</w:t>
      </w:r>
      <w:r>
        <w:rPr>
          <w:rFonts w:ascii="宋体" w:eastAsia="宋体" w:hAnsi="宋体" w:hint="eastAsia"/>
          <w:szCs w:val="21"/>
        </w:rPr>
        <w:t>评价</w:t>
      </w:r>
      <w:r>
        <w:rPr>
          <w:rFonts w:ascii="宋体" w:eastAsia="宋体" w:hAnsi="宋体"/>
          <w:szCs w:val="21"/>
        </w:rPr>
        <w:t>的依据。</w:t>
      </w:r>
    </w:p>
    <w:p w:rsidR="0069050B" w:rsidRDefault="000B3F50">
      <w:pPr>
        <w:pStyle w:val="aa"/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如果</w:t>
      </w:r>
      <w:r>
        <w:rPr>
          <w:rFonts w:ascii="宋体" w:eastAsia="宋体" w:hAnsi="宋体"/>
          <w:szCs w:val="21"/>
        </w:rPr>
        <w:t>数据清单有特殊情况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/>
          <w:szCs w:val="21"/>
        </w:rPr>
        <w:t>异常点或其他问题，应在报告中进行明确说明。</w:t>
      </w:r>
    </w:p>
    <w:p w:rsidR="0069050B" w:rsidRDefault="000B3F50">
      <w:pPr>
        <w:pStyle w:val="aa"/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当</w:t>
      </w:r>
      <w:r>
        <w:rPr>
          <w:rFonts w:ascii="宋体" w:eastAsia="宋体" w:hAnsi="宋体"/>
          <w:szCs w:val="21"/>
        </w:rPr>
        <w:t>数据收集完成后，应对</w:t>
      </w:r>
      <w:r>
        <w:rPr>
          <w:rFonts w:ascii="宋体" w:eastAsia="宋体" w:hAnsi="宋体" w:hint="eastAsia"/>
          <w:szCs w:val="21"/>
        </w:rPr>
        <w:t>收集</w:t>
      </w:r>
      <w:r>
        <w:rPr>
          <w:rFonts w:ascii="宋体" w:eastAsia="宋体" w:hAnsi="宋体"/>
          <w:szCs w:val="21"/>
        </w:rPr>
        <w:t>的数据进行审定。然后</w:t>
      </w:r>
      <w:r>
        <w:rPr>
          <w:rFonts w:ascii="宋体" w:eastAsia="宋体" w:hAnsi="宋体" w:hint="eastAsia"/>
          <w:szCs w:val="21"/>
        </w:rPr>
        <w:t>，</w:t>
      </w:r>
      <w:r>
        <w:rPr>
          <w:rFonts w:ascii="宋体" w:eastAsia="宋体" w:hAnsi="宋体"/>
          <w:szCs w:val="21"/>
        </w:rPr>
        <w:t>确定每个单元过程的基本流，并据此计算出单元过程的定量输入和输出。</w:t>
      </w:r>
      <w:r>
        <w:rPr>
          <w:rFonts w:ascii="宋体" w:eastAsia="宋体" w:hAnsi="宋体" w:hint="eastAsia"/>
          <w:szCs w:val="21"/>
        </w:rPr>
        <w:t>此后</w:t>
      </w:r>
      <w:r>
        <w:rPr>
          <w:rFonts w:ascii="宋体" w:eastAsia="宋体" w:hAnsi="宋体"/>
          <w:szCs w:val="21"/>
        </w:rPr>
        <w:t>，将各个单元过程的输入输出数据除以产品的产量，得到功</w:t>
      </w:r>
      <w:r>
        <w:rPr>
          <w:rFonts w:ascii="宋体" w:eastAsia="宋体" w:hAnsi="宋体"/>
          <w:szCs w:val="21"/>
        </w:rPr>
        <w:lastRenderedPageBreak/>
        <w:t>能单位的资源消耗</w:t>
      </w:r>
      <w:r>
        <w:rPr>
          <w:rFonts w:ascii="宋体" w:eastAsia="宋体" w:hAnsi="宋体" w:hint="eastAsia"/>
          <w:szCs w:val="21"/>
        </w:rPr>
        <w:t>和</w:t>
      </w:r>
      <w:r>
        <w:rPr>
          <w:rFonts w:ascii="宋体" w:eastAsia="宋体" w:hAnsi="宋体"/>
          <w:szCs w:val="21"/>
        </w:rPr>
        <w:t>环境排放</w:t>
      </w:r>
      <w:r>
        <w:rPr>
          <w:rFonts w:ascii="宋体" w:eastAsia="宋体" w:hAnsi="宋体" w:hint="eastAsia"/>
          <w:szCs w:val="21"/>
        </w:rPr>
        <w:t>。</w:t>
      </w:r>
      <w:r>
        <w:rPr>
          <w:rFonts w:ascii="宋体" w:eastAsia="宋体" w:hAnsi="宋体"/>
          <w:szCs w:val="21"/>
        </w:rPr>
        <w:t>最后</w:t>
      </w:r>
      <w:r>
        <w:rPr>
          <w:rFonts w:ascii="宋体" w:eastAsia="宋体" w:hAnsi="宋体" w:hint="eastAsia"/>
          <w:szCs w:val="21"/>
        </w:rPr>
        <w:t>，</w:t>
      </w:r>
      <w:r>
        <w:rPr>
          <w:rFonts w:ascii="宋体" w:eastAsia="宋体" w:hAnsi="宋体"/>
          <w:szCs w:val="21"/>
        </w:rPr>
        <w:t>将产品各</w:t>
      </w:r>
      <w:r>
        <w:rPr>
          <w:rFonts w:ascii="宋体" w:eastAsia="宋体" w:hAnsi="宋体" w:hint="eastAsia"/>
          <w:szCs w:val="21"/>
        </w:rPr>
        <w:t>单元</w:t>
      </w:r>
      <w:r>
        <w:rPr>
          <w:rFonts w:ascii="宋体" w:eastAsia="宋体" w:hAnsi="宋体"/>
          <w:szCs w:val="21"/>
        </w:rPr>
        <w:t>过程中</w:t>
      </w:r>
      <w:r>
        <w:rPr>
          <w:rFonts w:ascii="宋体" w:eastAsia="宋体" w:hAnsi="宋体" w:hint="eastAsia"/>
          <w:szCs w:val="21"/>
        </w:rPr>
        <w:t>相同</w:t>
      </w:r>
      <w:r>
        <w:rPr>
          <w:rFonts w:ascii="宋体" w:eastAsia="宋体" w:hAnsi="宋体"/>
          <w:szCs w:val="21"/>
        </w:rPr>
        <w:t>影响因素的数据求和，以获取该影响因素的总量，为产品及影响评价提供必要的数据。</w:t>
      </w:r>
    </w:p>
    <w:p w:rsidR="0069050B" w:rsidRDefault="000B3F50">
      <w:pPr>
        <w:pStyle w:val="3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 3.2数据收集</w:t>
      </w:r>
    </w:p>
    <w:p w:rsidR="0069050B" w:rsidRDefault="000B3F50">
      <w:pPr>
        <w:spacing w:line="360" w:lineRule="auto"/>
        <w:rPr>
          <w:rFonts w:ascii="宋体" w:eastAsia="宋体" w:hAnsi="宋体"/>
          <w:b/>
          <w:szCs w:val="21"/>
        </w:rPr>
      </w:pPr>
      <w:r>
        <w:rPr>
          <w:rFonts w:ascii="宋体" w:eastAsia="宋体" w:hAnsi="宋体"/>
          <w:b/>
          <w:szCs w:val="21"/>
        </w:rPr>
        <w:t>A 3.2.1概况</w:t>
      </w:r>
    </w:p>
    <w:p w:rsidR="0069050B" w:rsidRDefault="000B3F50">
      <w:pPr>
        <w:pStyle w:val="aa"/>
        <w:spacing w:line="360" w:lineRule="auto"/>
        <w:ind w:left="430" w:firstLineChars="0" w:firstLine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应将</w:t>
      </w:r>
      <w:r>
        <w:rPr>
          <w:rFonts w:ascii="宋体" w:eastAsia="宋体" w:hAnsi="宋体"/>
          <w:szCs w:val="21"/>
        </w:rPr>
        <w:t>以下阶段的数据要素纳入数据清单：</w:t>
      </w:r>
    </w:p>
    <w:p w:rsidR="0069050B" w:rsidRDefault="000B3F50">
      <w:pPr>
        <w:pStyle w:val="aa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原</w:t>
      </w:r>
      <w:r>
        <w:rPr>
          <w:rFonts w:ascii="宋体" w:eastAsia="宋体" w:hAnsi="宋体"/>
          <w:szCs w:val="21"/>
        </w:rPr>
        <w:t>材料采购和预加工</w:t>
      </w:r>
    </w:p>
    <w:p w:rsidR="0069050B" w:rsidRDefault="000B3F50">
      <w:pPr>
        <w:pStyle w:val="aa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生产</w:t>
      </w:r>
      <w:r>
        <w:rPr>
          <w:rFonts w:ascii="宋体" w:eastAsia="宋体" w:hAnsi="宋体"/>
          <w:szCs w:val="21"/>
        </w:rPr>
        <w:t>阶段</w:t>
      </w:r>
    </w:p>
    <w:p w:rsidR="0069050B" w:rsidRDefault="000B3F50">
      <w:pPr>
        <w:pStyle w:val="aa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产品</w:t>
      </w:r>
      <w:r>
        <w:rPr>
          <w:rFonts w:ascii="宋体" w:eastAsia="宋体" w:hAnsi="宋体"/>
          <w:szCs w:val="21"/>
        </w:rPr>
        <w:t>分配和储存</w:t>
      </w:r>
    </w:p>
    <w:p w:rsidR="0069050B" w:rsidRDefault="000B3F50">
      <w:pPr>
        <w:pStyle w:val="aa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使用</w:t>
      </w:r>
      <w:r>
        <w:rPr>
          <w:rFonts w:ascii="宋体" w:eastAsia="宋体" w:hAnsi="宋体"/>
          <w:szCs w:val="21"/>
        </w:rPr>
        <w:t>阶段</w:t>
      </w:r>
    </w:p>
    <w:p w:rsidR="0069050B" w:rsidRDefault="000B3F50">
      <w:pPr>
        <w:pStyle w:val="aa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回收</w:t>
      </w:r>
      <w:r>
        <w:rPr>
          <w:rFonts w:ascii="宋体" w:eastAsia="宋体" w:hAnsi="宋体"/>
          <w:szCs w:val="21"/>
        </w:rPr>
        <w:t>处理</w:t>
      </w:r>
    </w:p>
    <w:p w:rsidR="0069050B" w:rsidRDefault="000B3F50">
      <w:pPr>
        <w:spacing w:line="360" w:lineRule="auto"/>
        <w:rPr>
          <w:rFonts w:ascii="宋体" w:eastAsia="宋体" w:hAnsi="宋体"/>
          <w:b/>
          <w:szCs w:val="21"/>
        </w:rPr>
      </w:pPr>
      <w:r>
        <w:rPr>
          <w:rFonts w:ascii="宋体" w:eastAsia="宋体" w:hAnsi="宋体"/>
          <w:b/>
          <w:szCs w:val="21"/>
        </w:rPr>
        <w:t>A 3.2.2现场数据</w:t>
      </w:r>
      <w:r>
        <w:rPr>
          <w:rFonts w:ascii="宋体" w:eastAsia="宋体" w:hAnsi="宋体" w:hint="eastAsia"/>
          <w:b/>
          <w:szCs w:val="21"/>
        </w:rPr>
        <w:t>采集</w:t>
      </w:r>
    </w:p>
    <w:p w:rsidR="0069050B" w:rsidRDefault="000B3F50">
      <w:pPr>
        <w:pStyle w:val="aa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通过</w:t>
      </w:r>
      <w:r>
        <w:rPr>
          <w:rFonts w:ascii="宋体" w:eastAsia="宋体" w:hAnsi="宋体"/>
          <w:szCs w:val="21"/>
        </w:rPr>
        <w:t>直接测量、采访或问卷调查，从企业直接获得的数据为现场数据</w:t>
      </w:r>
      <w:r>
        <w:rPr>
          <w:rFonts w:ascii="宋体" w:eastAsia="宋体" w:hAnsi="宋体" w:hint="eastAsia"/>
          <w:szCs w:val="21"/>
        </w:rPr>
        <w:t>。</w:t>
      </w:r>
      <w:r>
        <w:rPr>
          <w:rFonts w:ascii="宋体" w:eastAsia="宋体" w:hAnsi="宋体"/>
          <w:szCs w:val="21"/>
        </w:rPr>
        <w:t>数据</w:t>
      </w:r>
      <w:proofErr w:type="gramStart"/>
      <w:r>
        <w:rPr>
          <w:rFonts w:ascii="宋体" w:eastAsia="宋体" w:hAnsi="宋体" w:hint="eastAsia"/>
          <w:szCs w:val="21"/>
        </w:rPr>
        <w:t>宜</w:t>
      </w:r>
      <w:r>
        <w:rPr>
          <w:rFonts w:ascii="宋体" w:eastAsia="宋体" w:hAnsi="宋体"/>
          <w:szCs w:val="21"/>
        </w:rPr>
        <w:t>包括</w:t>
      </w:r>
      <w:proofErr w:type="gramEnd"/>
      <w:r>
        <w:rPr>
          <w:rFonts w:ascii="宋体" w:eastAsia="宋体" w:hAnsi="宋体"/>
          <w:szCs w:val="21"/>
        </w:rPr>
        <w:t>过程所有已知输入和输出。</w:t>
      </w:r>
      <w:proofErr w:type="gramStart"/>
      <w:r>
        <w:rPr>
          <w:rFonts w:ascii="宋体" w:eastAsia="宋体" w:hAnsi="宋体"/>
          <w:szCs w:val="21"/>
        </w:rPr>
        <w:t>输入</w:t>
      </w:r>
      <w:r>
        <w:rPr>
          <w:rFonts w:ascii="宋体" w:eastAsia="宋体" w:hAnsi="宋体" w:hint="eastAsia"/>
          <w:szCs w:val="21"/>
        </w:rPr>
        <w:t>指</w:t>
      </w:r>
      <w:proofErr w:type="gramEnd"/>
      <w:r>
        <w:rPr>
          <w:rFonts w:ascii="宋体" w:eastAsia="宋体" w:hAnsi="宋体"/>
          <w:szCs w:val="21"/>
        </w:rPr>
        <w:t>消耗的能量、水、材料等。</w:t>
      </w:r>
      <w:proofErr w:type="gramStart"/>
      <w:r>
        <w:rPr>
          <w:rFonts w:ascii="宋体" w:eastAsia="宋体" w:hAnsi="宋体"/>
          <w:szCs w:val="21"/>
        </w:rPr>
        <w:t>输出</w:t>
      </w:r>
      <w:r>
        <w:rPr>
          <w:rFonts w:ascii="宋体" w:eastAsia="宋体" w:hAnsi="宋体" w:hint="eastAsia"/>
          <w:szCs w:val="21"/>
        </w:rPr>
        <w:t>指</w:t>
      </w:r>
      <w:proofErr w:type="gramEnd"/>
      <w:r>
        <w:rPr>
          <w:rFonts w:ascii="宋体" w:eastAsia="宋体" w:hAnsi="宋体"/>
          <w:szCs w:val="21"/>
        </w:rPr>
        <w:t>产品、</w:t>
      </w:r>
      <w:r>
        <w:rPr>
          <w:rFonts w:ascii="宋体" w:eastAsia="宋体" w:hAnsi="宋体" w:hint="eastAsia"/>
          <w:szCs w:val="21"/>
        </w:rPr>
        <w:t>副</w:t>
      </w:r>
      <w:r>
        <w:rPr>
          <w:rFonts w:ascii="宋体" w:eastAsia="宋体" w:hAnsi="宋体"/>
          <w:szCs w:val="21"/>
        </w:rPr>
        <w:t>产品的排放物。可</w:t>
      </w:r>
      <w:r>
        <w:rPr>
          <w:rFonts w:ascii="宋体" w:eastAsia="宋体" w:hAnsi="宋体" w:hint="eastAsia"/>
          <w:szCs w:val="21"/>
        </w:rPr>
        <w:t>将</w:t>
      </w:r>
      <w:r>
        <w:rPr>
          <w:rFonts w:ascii="宋体" w:eastAsia="宋体" w:hAnsi="宋体"/>
          <w:szCs w:val="21"/>
        </w:rPr>
        <w:t>排放物分为：排至空气、水体、土壤的</w:t>
      </w:r>
      <w:r>
        <w:rPr>
          <w:rFonts w:ascii="宋体" w:eastAsia="宋体" w:hAnsi="宋体" w:hint="eastAsia"/>
          <w:szCs w:val="21"/>
        </w:rPr>
        <w:t>排放物</w:t>
      </w:r>
      <w:r>
        <w:rPr>
          <w:rFonts w:ascii="宋体" w:eastAsia="宋体" w:hAnsi="宋体"/>
          <w:szCs w:val="21"/>
        </w:rPr>
        <w:t>以及作为固体废弃物的排放物。数据</w:t>
      </w:r>
      <w:r>
        <w:rPr>
          <w:rFonts w:ascii="宋体" w:eastAsia="宋体" w:hAnsi="宋体" w:hint="eastAsia"/>
          <w:szCs w:val="21"/>
        </w:rPr>
        <w:t>收集</w:t>
      </w:r>
      <w:r>
        <w:rPr>
          <w:rFonts w:ascii="宋体" w:eastAsia="宋体" w:hAnsi="宋体"/>
          <w:szCs w:val="21"/>
        </w:rPr>
        <w:t>表参见附录B</w:t>
      </w:r>
    </w:p>
    <w:p w:rsidR="0069050B" w:rsidRDefault="000B3F50">
      <w:pPr>
        <w:pStyle w:val="aa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典型</w:t>
      </w:r>
      <w:r>
        <w:rPr>
          <w:rFonts w:ascii="宋体" w:eastAsia="宋体" w:hAnsi="宋体"/>
          <w:szCs w:val="21"/>
        </w:rPr>
        <w:t>现场数据来源包括：</w:t>
      </w:r>
    </w:p>
    <w:p w:rsidR="0069050B" w:rsidRDefault="000B3F50">
      <w:pPr>
        <w:pStyle w:val="aa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原辅材料</w:t>
      </w:r>
      <w:r>
        <w:rPr>
          <w:rFonts w:ascii="宋体" w:eastAsia="宋体" w:hAnsi="宋体"/>
          <w:szCs w:val="21"/>
        </w:rPr>
        <w:t>出入库记录</w:t>
      </w:r>
    </w:p>
    <w:p w:rsidR="0069050B" w:rsidRDefault="000B3F50">
      <w:pPr>
        <w:pStyle w:val="aa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产品</w:t>
      </w:r>
      <w:r>
        <w:rPr>
          <w:rFonts w:ascii="宋体" w:eastAsia="宋体" w:hAnsi="宋体"/>
          <w:szCs w:val="21"/>
        </w:rPr>
        <w:t>物料清单（BOM）</w:t>
      </w:r>
    </w:p>
    <w:p w:rsidR="0069050B" w:rsidRDefault="000B3F50">
      <w:pPr>
        <w:pStyle w:val="aa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产品</w:t>
      </w:r>
      <w:r>
        <w:rPr>
          <w:rFonts w:ascii="宋体" w:eastAsia="宋体" w:hAnsi="宋体"/>
          <w:szCs w:val="21"/>
        </w:rPr>
        <w:t>使用过程能源消耗和污染排放</w:t>
      </w:r>
    </w:p>
    <w:p w:rsidR="0069050B" w:rsidRDefault="000B3F50">
      <w:pPr>
        <w:pStyle w:val="aa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生产</w:t>
      </w:r>
      <w:r>
        <w:rPr>
          <w:rFonts w:ascii="宋体" w:eastAsia="宋体" w:hAnsi="宋体"/>
          <w:szCs w:val="21"/>
        </w:rPr>
        <w:t>运行数据及统计报表</w:t>
      </w:r>
    </w:p>
    <w:p w:rsidR="0069050B" w:rsidRDefault="000B3F50">
      <w:pPr>
        <w:pStyle w:val="aa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设备</w:t>
      </w:r>
      <w:r>
        <w:rPr>
          <w:rFonts w:ascii="宋体" w:eastAsia="宋体" w:hAnsi="宋体"/>
          <w:szCs w:val="21"/>
        </w:rPr>
        <w:t>仪表的计量数据</w:t>
      </w:r>
    </w:p>
    <w:p w:rsidR="0069050B" w:rsidRDefault="000B3F50">
      <w:pPr>
        <w:pStyle w:val="aa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设备</w:t>
      </w:r>
      <w:r>
        <w:rPr>
          <w:rFonts w:ascii="宋体" w:eastAsia="宋体" w:hAnsi="宋体"/>
          <w:szCs w:val="21"/>
        </w:rPr>
        <w:t>的运行日志</w:t>
      </w:r>
    </w:p>
    <w:p w:rsidR="0069050B" w:rsidRDefault="000B3F50">
      <w:pPr>
        <w:pStyle w:val="aa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过程</w:t>
      </w:r>
      <w:r>
        <w:rPr>
          <w:rFonts w:ascii="宋体" w:eastAsia="宋体" w:hAnsi="宋体"/>
          <w:szCs w:val="21"/>
        </w:rPr>
        <w:t>物料及产品测试结果</w:t>
      </w:r>
    </w:p>
    <w:p w:rsidR="0069050B" w:rsidRDefault="000B3F50">
      <w:pPr>
        <w:pStyle w:val="aa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抽样</w:t>
      </w:r>
      <w:r>
        <w:rPr>
          <w:rFonts w:ascii="宋体" w:eastAsia="宋体" w:hAnsi="宋体"/>
          <w:szCs w:val="21"/>
        </w:rPr>
        <w:t>数据等方面</w:t>
      </w:r>
    </w:p>
    <w:p w:rsidR="0069050B" w:rsidRDefault="000B3F50">
      <w:pPr>
        <w:spacing w:line="360" w:lineRule="auto"/>
        <w:rPr>
          <w:rFonts w:ascii="宋体" w:eastAsia="宋体" w:hAnsi="宋体"/>
          <w:b/>
          <w:szCs w:val="21"/>
        </w:rPr>
      </w:pPr>
      <w:r>
        <w:rPr>
          <w:rFonts w:ascii="宋体" w:eastAsia="宋体" w:hAnsi="宋体"/>
          <w:b/>
          <w:szCs w:val="21"/>
        </w:rPr>
        <w:t>A 3.2.3背景数据采集</w:t>
      </w:r>
    </w:p>
    <w:p w:rsidR="0069050B" w:rsidRDefault="000B3F50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背景</w:t>
      </w:r>
      <w:r>
        <w:rPr>
          <w:rFonts w:ascii="宋体" w:eastAsia="宋体" w:hAnsi="宋体"/>
          <w:szCs w:val="21"/>
        </w:rPr>
        <w:t>数据不是直接</w:t>
      </w:r>
      <w:r>
        <w:rPr>
          <w:rFonts w:ascii="宋体" w:eastAsia="宋体" w:hAnsi="宋体" w:hint="eastAsia"/>
          <w:szCs w:val="21"/>
        </w:rPr>
        <w:t>测量</w:t>
      </w:r>
      <w:r>
        <w:rPr>
          <w:rFonts w:ascii="宋体" w:eastAsia="宋体" w:hAnsi="宋体"/>
          <w:szCs w:val="21"/>
        </w:rPr>
        <w:t>或计算得到的数据。背景</w:t>
      </w:r>
      <w:r>
        <w:rPr>
          <w:rFonts w:ascii="宋体" w:eastAsia="宋体" w:hAnsi="宋体" w:hint="eastAsia"/>
          <w:szCs w:val="21"/>
        </w:rPr>
        <w:t>数据</w:t>
      </w:r>
      <w:r>
        <w:rPr>
          <w:rFonts w:ascii="宋体" w:eastAsia="宋体" w:hAnsi="宋体"/>
          <w:szCs w:val="21"/>
        </w:rPr>
        <w:t>可以为行业平均数据。所</w:t>
      </w:r>
      <w:r>
        <w:rPr>
          <w:rFonts w:ascii="宋体" w:eastAsia="宋体" w:hAnsi="宋体" w:hint="eastAsia"/>
          <w:szCs w:val="21"/>
        </w:rPr>
        <w:t>使用</w:t>
      </w:r>
      <w:r>
        <w:rPr>
          <w:rFonts w:ascii="宋体" w:eastAsia="宋体" w:hAnsi="宋体"/>
          <w:szCs w:val="21"/>
        </w:rPr>
        <w:t>数据的来源应有清楚的文件记载并应载入产品生命周期评价报告。</w:t>
      </w:r>
    </w:p>
    <w:p w:rsidR="0069050B" w:rsidRDefault="000B3F50">
      <w:pPr>
        <w:spacing w:line="360" w:lineRule="auto"/>
        <w:rPr>
          <w:rFonts w:ascii="宋体" w:eastAsia="宋体" w:hAnsi="宋体"/>
          <w:b/>
          <w:szCs w:val="21"/>
        </w:rPr>
      </w:pPr>
      <w:r>
        <w:rPr>
          <w:rFonts w:ascii="宋体" w:eastAsia="宋体" w:hAnsi="宋体"/>
          <w:b/>
          <w:szCs w:val="21"/>
        </w:rPr>
        <w:t>A 3.2.4</w:t>
      </w:r>
      <w:r>
        <w:rPr>
          <w:rFonts w:ascii="宋体" w:eastAsia="宋体" w:hAnsi="宋体" w:hint="eastAsia"/>
          <w:b/>
          <w:szCs w:val="21"/>
        </w:rPr>
        <w:t>生命</w:t>
      </w:r>
      <w:r>
        <w:rPr>
          <w:rFonts w:ascii="宋体" w:eastAsia="宋体" w:hAnsi="宋体"/>
          <w:b/>
          <w:szCs w:val="21"/>
        </w:rPr>
        <w:t>周期各阶段数据</w:t>
      </w:r>
      <w:r>
        <w:rPr>
          <w:rFonts w:ascii="宋体" w:eastAsia="宋体" w:hAnsi="宋体" w:hint="eastAsia"/>
          <w:b/>
          <w:szCs w:val="21"/>
        </w:rPr>
        <w:t>采集</w:t>
      </w:r>
    </w:p>
    <w:p w:rsidR="0069050B" w:rsidRDefault="000B3F50">
      <w:pPr>
        <w:spacing w:line="360" w:lineRule="auto"/>
        <w:rPr>
          <w:rFonts w:ascii="宋体" w:eastAsia="宋体" w:hAnsi="宋体"/>
          <w:b/>
          <w:szCs w:val="21"/>
        </w:rPr>
      </w:pPr>
      <w:r>
        <w:rPr>
          <w:rFonts w:ascii="宋体" w:eastAsia="宋体" w:hAnsi="宋体"/>
          <w:b/>
          <w:szCs w:val="21"/>
        </w:rPr>
        <w:t>A 3.2.4.1原材料采购和预加工</w:t>
      </w:r>
    </w:p>
    <w:p w:rsidR="0069050B" w:rsidRDefault="000B3F50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该</w:t>
      </w:r>
      <w:r>
        <w:rPr>
          <w:rFonts w:ascii="宋体" w:eastAsia="宋体" w:hAnsi="宋体"/>
          <w:szCs w:val="21"/>
        </w:rPr>
        <w:t>阶段始于从大自然提取资源，结束于产品组件进入产品生产，可能包括</w:t>
      </w:r>
      <w:r>
        <w:rPr>
          <w:rFonts w:ascii="宋体" w:eastAsia="宋体" w:hAnsi="宋体" w:hint="eastAsia"/>
          <w:szCs w:val="21"/>
        </w:rPr>
        <w:t>：</w:t>
      </w:r>
    </w:p>
    <w:p w:rsidR="0069050B" w:rsidRDefault="000B3F50">
      <w:pPr>
        <w:pStyle w:val="aa"/>
        <w:numPr>
          <w:ilvl w:val="0"/>
          <w:numId w:val="6"/>
        </w:numPr>
        <w:spacing w:line="360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lastRenderedPageBreak/>
        <w:t>资源</w:t>
      </w:r>
      <w:r>
        <w:rPr>
          <w:rFonts w:ascii="宋体" w:eastAsia="宋体" w:hAnsi="宋体"/>
          <w:szCs w:val="21"/>
        </w:rPr>
        <w:t>开采和提取；</w:t>
      </w:r>
    </w:p>
    <w:p w:rsidR="0069050B" w:rsidRDefault="000B3F50">
      <w:pPr>
        <w:pStyle w:val="aa"/>
        <w:numPr>
          <w:ilvl w:val="0"/>
          <w:numId w:val="6"/>
        </w:numPr>
        <w:spacing w:line="360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所有</w:t>
      </w:r>
      <w:r>
        <w:rPr>
          <w:rFonts w:ascii="宋体" w:eastAsia="宋体" w:hAnsi="宋体"/>
          <w:szCs w:val="21"/>
        </w:rPr>
        <w:t>材料的预加工；</w:t>
      </w:r>
    </w:p>
    <w:p w:rsidR="0069050B" w:rsidRDefault="000B3F50">
      <w:pPr>
        <w:pStyle w:val="aa"/>
        <w:numPr>
          <w:ilvl w:val="0"/>
          <w:numId w:val="6"/>
        </w:numPr>
        <w:spacing w:line="360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零部件</w:t>
      </w:r>
      <w:r>
        <w:rPr>
          <w:rFonts w:ascii="宋体" w:eastAsia="宋体" w:hAnsi="宋体"/>
          <w:szCs w:val="21"/>
        </w:rPr>
        <w:t>生产</w:t>
      </w:r>
    </w:p>
    <w:p w:rsidR="0069050B" w:rsidRDefault="000B3F50">
      <w:pPr>
        <w:pStyle w:val="aa"/>
        <w:numPr>
          <w:ilvl w:val="0"/>
          <w:numId w:val="6"/>
        </w:numPr>
        <w:spacing w:line="360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材料</w:t>
      </w:r>
      <w:r>
        <w:rPr>
          <w:rFonts w:ascii="宋体" w:eastAsia="宋体" w:hAnsi="宋体"/>
          <w:szCs w:val="21"/>
        </w:rPr>
        <w:t>、零部件的材料及运输</w:t>
      </w:r>
    </w:p>
    <w:p w:rsidR="0069050B" w:rsidRDefault="000B3F50">
      <w:pPr>
        <w:spacing w:line="360" w:lineRule="auto"/>
        <w:rPr>
          <w:rFonts w:ascii="宋体" w:eastAsia="宋体" w:hAnsi="宋体"/>
          <w:b/>
          <w:szCs w:val="21"/>
        </w:rPr>
      </w:pPr>
      <w:r>
        <w:rPr>
          <w:rFonts w:ascii="宋体" w:eastAsia="宋体" w:hAnsi="宋体"/>
          <w:b/>
          <w:szCs w:val="21"/>
        </w:rPr>
        <w:t>A 3.2.4.2生产阶段</w:t>
      </w:r>
    </w:p>
    <w:p w:rsidR="0069050B" w:rsidRDefault="000B3F50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该阶段</w:t>
      </w:r>
      <w:r>
        <w:rPr>
          <w:rFonts w:ascii="宋体" w:eastAsia="宋体" w:hAnsi="宋体"/>
          <w:szCs w:val="21"/>
        </w:rPr>
        <w:t>始于原材料进入生产厂址，结束于成品离开生产单位。生产</w:t>
      </w:r>
      <w:r>
        <w:rPr>
          <w:rFonts w:ascii="宋体" w:eastAsia="宋体" w:hAnsi="宋体" w:hint="eastAsia"/>
          <w:szCs w:val="21"/>
        </w:rPr>
        <w:t>活动</w:t>
      </w:r>
      <w:r>
        <w:rPr>
          <w:rFonts w:ascii="宋体" w:eastAsia="宋体" w:hAnsi="宋体"/>
          <w:szCs w:val="21"/>
        </w:rPr>
        <w:t>包括制造、制造过程间半成品的运输，产品包装等。</w:t>
      </w:r>
    </w:p>
    <w:p w:rsidR="0069050B" w:rsidRDefault="000B3F50">
      <w:pPr>
        <w:spacing w:line="360" w:lineRule="auto"/>
        <w:rPr>
          <w:rFonts w:ascii="宋体" w:eastAsia="宋体" w:hAnsi="宋体"/>
          <w:b/>
          <w:szCs w:val="21"/>
        </w:rPr>
      </w:pPr>
      <w:r>
        <w:rPr>
          <w:rFonts w:ascii="宋体" w:eastAsia="宋体" w:hAnsi="宋体"/>
          <w:b/>
          <w:szCs w:val="21"/>
        </w:rPr>
        <w:t>A 3.2.4.3</w:t>
      </w:r>
      <w:r>
        <w:rPr>
          <w:rFonts w:ascii="宋体" w:eastAsia="宋体" w:hAnsi="宋体" w:hint="eastAsia"/>
          <w:b/>
          <w:szCs w:val="21"/>
        </w:rPr>
        <w:t>产品</w:t>
      </w:r>
      <w:r>
        <w:rPr>
          <w:rFonts w:ascii="宋体" w:eastAsia="宋体" w:hAnsi="宋体"/>
          <w:b/>
          <w:szCs w:val="21"/>
        </w:rPr>
        <w:t>分配和储存</w:t>
      </w:r>
    </w:p>
    <w:p w:rsidR="0069050B" w:rsidRDefault="000B3F50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该</w:t>
      </w:r>
      <w:r>
        <w:rPr>
          <w:rFonts w:ascii="宋体" w:eastAsia="宋体" w:hAnsi="宋体"/>
          <w:szCs w:val="21"/>
        </w:rPr>
        <w:t>阶段将智能计量插座</w:t>
      </w:r>
      <w:r>
        <w:rPr>
          <w:rFonts w:ascii="宋体" w:eastAsia="宋体" w:hAnsi="宋体" w:hint="eastAsia"/>
          <w:szCs w:val="21"/>
        </w:rPr>
        <w:t>从生产</w:t>
      </w:r>
      <w:r>
        <w:rPr>
          <w:rFonts w:ascii="宋体" w:eastAsia="宋体" w:hAnsi="宋体"/>
          <w:szCs w:val="21"/>
        </w:rPr>
        <w:t>工厂向消费者</w:t>
      </w:r>
      <w:r>
        <w:rPr>
          <w:rFonts w:ascii="宋体" w:eastAsia="宋体" w:hAnsi="宋体" w:hint="eastAsia"/>
          <w:szCs w:val="21"/>
        </w:rPr>
        <w:t>的</w:t>
      </w:r>
      <w:r>
        <w:rPr>
          <w:rFonts w:ascii="宋体" w:eastAsia="宋体" w:hAnsi="宋体"/>
          <w:szCs w:val="21"/>
        </w:rPr>
        <w:t>转移和储存的过程，包括运输</w:t>
      </w:r>
      <w:r>
        <w:rPr>
          <w:rFonts w:ascii="宋体" w:eastAsia="宋体" w:hAnsi="宋体" w:hint="eastAsia"/>
          <w:szCs w:val="21"/>
        </w:rPr>
        <w:t>的</w:t>
      </w:r>
      <w:r>
        <w:rPr>
          <w:rFonts w:ascii="宋体" w:eastAsia="宋体" w:hAnsi="宋体"/>
          <w:szCs w:val="21"/>
        </w:rPr>
        <w:t>参数等。</w:t>
      </w:r>
    </w:p>
    <w:p w:rsidR="0069050B" w:rsidRDefault="000B3F50">
      <w:pPr>
        <w:spacing w:line="360" w:lineRule="auto"/>
        <w:rPr>
          <w:rFonts w:ascii="宋体" w:eastAsia="宋体" w:hAnsi="宋体"/>
          <w:b/>
          <w:szCs w:val="21"/>
        </w:rPr>
      </w:pPr>
      <w:r>
        <w:rPr>
          <w:rFonts w:ascii="宋体" w:eastAsia="宋体" w:hAnsi="宋体"/>
          <w:b/>
          <w:szCs w:val="21"/>
        </w:rPr>
        <w:t>A 3.2.4.4</w:t>
      </w:r>
      <w:r>
        <w:rPr>
          <w:rFonts w:ascii="宋体" w:eastAsia="宋体" w:hAnsi="宋体" w:hint="eastAsia"/>
          <w:b/>
          <w:szCs w:val="21"/>
        </w:rPr>
        <w:t>使用</w:t>
      </w:r>
      <w:r>
        <w:rPr>
          <w:rFonts w:ascii="宋体" w:eastAsia="宋体" w:hAnsi="宋体"/>
          <w:b/>
          <w:szCs w:val="21"/>
        </w:rPr>
        <w:t>阶段</w:t>
      </w:r>
    </w:p>
    <w:p w:rsidR="0069050B" w:rsidRDefault="000B3F50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该</w:t>
      </w:r>
      <w:r>
        <w:rPr>
          <w:rFonts w:ascii="宋体" w:eastAsia="宋体" w:hAnsi="宋体"/>
          <w:szCs w:val="21"/>
        </w:rPr>
        <w:t>阶段始于消费者拥</w:t>
      </w:r>
      <w:r>
        <w:rPr>
          <w:rFonts w:ascii="宋体" w:eastAsia="宋体" w:hAnsi="宋体" w:hint="eastAsia"/>
          <w:szCs w:val="21"/>
        </w:rPr>
        <w:t>产品</w:t>
      </w:r>
      <w:r>
        <w:rPr>
          <w:rFonts w:ascii="宋体" w:eastAsia="宋体" w:hAnsi="宋体"/>
          <w:szCs w:val="21"/>
        </w:rPr>
        <w:t>，结束于产品报废。</w:t>
      </w:r>
      <w:r>
        <w:rPr>
          <w:rFonts w:ascii="宋体" w:eastAsia="宋体" w:hAnsi="宋体" w:hint="eastAsia"/>
          <w:szCs w:val="21"/>
        </w:rPr>
        <w:t>包括</w:t>
      </w:r>
      <w:r>
        <w:rPr>
          <w:rFonts w:ascii="宋体" w:eastAsia="宋体" w:hAnsi="宋体"/>
          <w:szCs w:val="21"/>
        </w:rPr>
        <w:t>使用/</w:t>
      </w:r>
      <w:r>
        <w:rPr>
          <w:rFonts w:ascii="宋体" w:eastAsia="宋体" w:hAnsi="宋体" w:hint="eastAsia"/>
          <w:szCs w:val="21"/>
        </w:rPr>
        <w:t>消费</w:t>
      </w:r>
      <w:r>
        <w:rPr>
          <w:rFonts w:ascii="宋体" w:eastAsia="宋体" w:hAnsi="宋体"/>
          <w:szCs w:val="21"/>
        </w:rPr>
        <w:t>模式、使用期间的资源、能源消耗等等。</w:t>
      </w:r>
    </w:p>
    <w:p w:rsidR="0069050B" w:rsidRDefault="000B3F50">
      <w:pPr>
        <w:spacing w:line="360" w:lineRule="auto"/>
        <w:rPr>
          <w:rFonts w:ascii="宋体" w:eastAsia="宋体" w:hAnsi="宋体"/>
          <w:b/>
          <w:szCs w:val="21"/>
        </w:rPr>
      </w:pPr>
      <w:r>
        <w:rPr>
          <w:rFonts w:ascii="宋体" w:eastAsia="宋体" w:hAnsi="宋体"/>
          <w:b/>
          <w:szCs w:val="21"/>
        </w:rPr>
        <w:t>A 3.2.4.5</w:t>
      </w:r>
      <w:r>
        <w:rPr>
          <w:rFonts w:ascii="宋体" w:eastAsia="宋体" w:hAnsi="宋体" w:hint="eastAsia"/>
          <w:b/>
          <w:szCs w:val="21"/>
        </w:rPr>
        <w:t>回收</w:t>
      </w:r>
      <w:r>
        <w:rPr>
          <w:rFonts w:ascii="宋体" w:eastAsia="宋体" w:hAnsi="宋体"/>
          <w:b/>
          <w:szCs w:val="21"/>
        </w:rPr>
        <w:t>处理</w:t>
      </w:r>
    </w:p>
    <w:p w:rsidR="0069050B" w:rsidRDefault="000B3F50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该</w:t>
      </w:r>
      <w:r>
        <w:rPr>
          <w:rFonts w:ascii="宋体" w:eastAsia="宋体" w:hAnsi="宋体"/>
          <w:szCs w:val="21"/>
        </w:rPr>
        <w:t>阶段始于</w:t>
      </w:r>
      <w:r>
        <w:rPr>
          <w:rFonts w:ascii="宋体" w:eastAsia="宋体" w:hAnsi="宋体" w:hint="eastAsia"/>
          <w:szCs w:val="21"/>
        </w:rPr>
        <w:t>消费者</w:t>
      </w:r>
      <w:r>
        <w:rPr>
          <w:rFonts w:ascii="宋体" w:eastAsia="宋体" w:hAnsi="宋体"/>
          <w:szCs w:val="21"/>
        </w:rPr>
        <w:t>终止使用，</w:t>
      </w:r>
      <w:r>
        <w:rPr>
          <w:rFonts w:ascii="宋体" w:eastAsia="宋体" w:hAnsi="宋体" w:hint="eastAsia"/>
          <w:szCs w:val="21"/>
        </w:rPr>
        <w:t>结束</w:t>
      </w:r>
      <w:r>
        <w:rPr>
          <w:rFonts w:ascii="宋体" w:eastAsia="宋体" w:hAnsi="宋体"/>
          <w:szCs w:val="21"/>
        </w:rPr>
        <w:t>于产品作为废物返回自然界或进入另一</w:t>
      </w:r>
      <w:r>
        <w:rPr>
          <w:rFonts w:ascii="宋体" w:eastAsia="宋体" w:hAnsi="宋体" w:hint="eastAsia"/>
          <w:szCs w:val="21"/>
        </w:rPr>
        <w:t>产品</w:t>
      </w:r>
      <w:r>
        <w:rPr>
          <w:rFonts w:ascii="宋体" w:eastAsia="宋体" w:hAnsi="宋体"/>
          <w:szCs w:val="21"/>
        </w:rPr>
        <w:t>的生命周期。</w:t>
      </w:r>
    </w:p>
    <w:p w:rsidR="0069050B" w:rsidRDefault="000B3F50">
      <w:pPr>
        <w:spacing w:line="360" w:lineRule="auto"/>
        <w:rPr>
          <w:rFonts w:ascii="宋体" w:eastAsia="宋体" w:hAnsi="宋体"/>
          <w:b/>
          <w:szCs w:val="21"/>
        </w:rPr>
      </w:pPr>
      <w:r>
        <w:rPr>
          <w:rFonts w:ascii="宋体" w:eastAsia="宋体" w:hAnsi="宋体"/>
          <w:b/>
          <w:szCs w:val="21"/>
        </w:rPr>
        <w:t>A 3.3数据计算</w:t>
      </w:r>
    </w:p>
    <w:p w:rsidR="0069050B" w:rsidRDefault="000B3F50">
      <w:pPr>
        <w:spacing w:line="400" w:lineRule="exact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数据</w:t>
      </w:r>
      <w:r>
        <w:rPr>
          <w:rFonts w:ascii="宋体" w:eastAsia="宋体" w:hAnsi="宋体"/>
          <w:szCs w:val="21"/>
        </w:rPr>
        <w:t>收集后，应对所</w:t>
      </w:r>
      <w:r>
        <w:rPr>
          <w:rFonts w:ascii="宋体" w:eastAsia="宋体" w:hAnsi="宋体" w:hint="eastAsia"/>
          <w:szCs w:val="21"/>
        </w:rPr>
        <w:t>收集</w:t>
      </w:r>
      <w:r>
        <w:rPr>
          <w:rFonts w:ascii="宋体" w:eastAsia="宋体" w:hAnsi="宋体"/>
          <w:szCs w:val="21"/>
        </w:rPr>
        <w:t>数据的有效性进行检查，确保数据</w:t>
      </w:r>
      <w:r>
        <w:rPr>
          <w:rFonts w:ascii="宋体" w:eastAsia="宋体" w:hAnsi="宋体" w:hint="eastAsia"/>
          <w:szCs w:val="21"/>
        </w:rPr>
        <w:t>符合</w:t>
      </w:r>
      <w:r>
        <w:rPr>
          <w:rFonts w:ascii="宋体" w:eastAsia="宋体" w:hAnsi="宋体"/>
          <w:szCs w:val="21"/>
        </w:rPr>
        <w:t>质量要求。将</w:t>
      </w:r>
      <w:r>
        <w:rPr>
          <w:rFonts w:ascii="宋体" w:eastAsia="宋体" w:hAnsi="宋体" w:hint="eastAsia"/>
          <w:szCs w:val="21"/>
        </w:rPr>
        <w:t>收集</w:t>
      </w:r>
      <w:r>
        <w:rPr>
          <w:rFonts w:ascii="宋体" w:eastAsia="宋体" w:hAnsi="宋体"/>
          <w:szCs w:val="21"/>
        </w:rPr>
        <w:t>的数据与单元过程进行</w:t>
      </w:r>
      <w:r>
        <w:rPr>
          <w:rFonts w:ascii="宋体" w:eastAsia="宋体" w:hAnsi="宋体" w:hint="eastAsia"/>
          <w:szCs w:val="21"/>
        </w:rPr>
        <w:t>关联</w:t>
      </w:r>
      <w:r>
        <w:rPr>
          <w:rFonts w:ascii="宋体" w:eastAsia="宋体" w:hAnsi="宋体"/>
          <w:szCs w:val="21"/>
        </w:rPr>
        <w:t>，同时与功能单位的基本流进行关联。合并</w:t>
      </w:r>
      <w:r>
        <w:rPr>
          <w:rFonts w:ascii="宋体" w:eastAsia="宋体" w:hAnsi="宋体" w:hint="eastAsia"/>
          <w:szCs w:val="21"/>
        </w:rPr>
        <w:t>来自</w:t>
      </w:r>
      <w:r>
        <w:rPr>
          <w:rFonts w:ascii="宋体" w:eastAsia="宋体" w:hAnsi="宋体"/>
          <w:szCs w:val="21"/>
        </w:rPr>
        <w:t>相同数据类型、相同物质、不同单元过程的数据，以得到整个产品</w:t>
      </w:r>
      <w:r>
        <w:rPr>
          <w:rFonts w:ascii="宋体" w:eastAsia="宋体" w:hAnsi="宋体" w:hint="eastAsia"/>
          <w:szCs w:val="21"/>
        </w:rPr>
        <w:t>系统</w:t>
      </w:r>
      <w:r>
        <w:rPr>
          <w:rFonts w:ascii="宋体" w:eastAsia="宋体" w:hAnsi="宋体"/>
          <w:szCs w:val="21"/>
        </w:rPr>
        <w:t>的能源消耗、原辅材料消耗以及空气排放和固体污染物的排放数据。</w:t>
      </w:r>
    </w:p>
    <w:p w:rsidR="0069050B" w:rsidRDefault="000B3F50">
      <w:pPr>
        <w:pStyle w:val="2"/>
        <w:rPr>
          <w:rFonts w:ascii="宋体" w:eastAsia="宋体" w:hAnsi="宋体" w:cstheme="minorBidi"/>
          <w:sz w:val="21"/>
          <w:szCs w:val="21"/>
        </w:rPr>
      </w:pPr>
      <w:bookmarkStart w:id="23" w:name="_Toc4691"/>
      <w:r>
        <w:rPr>
          <w:rFonts w:ascii="宋体" w:eastAsia="宋体" w:hAnsi="宋体" w:cstheme="minorBidi" w:hint="eastAsia"/>
          <w:sz w:val="21"/>
          <w:szCs w:val="21"/>
        </w:rPr>
        <w:t>A 4生命周期评价报告</w:t>
      </w:r>
      <w:bookmarkEnd w:id="23"/>
    </w:p>
    <w:p w:rsidR="0069050B" w:rsidRDefault="000B3F50">
      <w:pPr>
        <w:spacing w:line="360" w:lineRule="auto"/>
        <w:ind w:firstLineChars="200" w:firstLine="42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Cs w:val="21"/>
        </w:rPr>
        <w:t>产品</w:t>
      </w:r>
      <w:r>
        <w:rPr>
          <w:rFonts w:ascii="宋体" w:eastAsia="宋体" w:hAnsi="宋体"/>
          <w:szCs w:val="21"/>
        </w:rPr>
        <w:t>生命周期评价报告可用于绿色设计产品评价，也可用于产品</w:t>
      </w:r>
      <w:r>
        <w:rPr>
          <w:rFonts w:ascii="宋体" w:eastAsia="宋体" w:hAnsi="宋体" w:hint="eastAsia"/>
          <w:szCs w:val="21"/>
        </w:rPr>
        <w:t>碳足迹、水</w:t>
      </w:r>
      <w:r>
        <w:rPr>
          <w:rFonts w:ascii="宋体" w:eastAsia="宋体" w:hAnsi="宋体"/>
          <w:szCs w:val="21"/>
        </w:rPr>
        <w:t>足迹、环境</w:t>
      </w:r>
      <w:r>
        <w:rPr>
          <w:rFonts w:ascii="宋体" w:eastAsia="宋体" w:hAnsi="宋体" w:hint="eastAsia"/>
          <w:szCs w:val="21"/>
        </w:rPr>
        <w:t>足迹等</w:t>
      </w:r>
      <w:r>
        <w:rPr>
          <w:rFonts w:ascii="宋体" w:eastAsia="宋体" w:hAnsi="宋体"/>
          <w:szCs w:val="21"/>
        </w:rPr>
        <w:t>产品</w:t>
      </w:r>
      <w:r>
        <w:rPr>
          <w:rFonts w:ascii="宋体" w:eastAsia="宋体" w:hAnsi="宋体" w:hint="eastAsia"/>
          <w:szCs w:val="21"/>
        </w:rPr>
        <w:t>环境</w:t>
      </w:r>
      <w:r>
        <w:rPr>
          <w:rFonts w:ascii="宋体" w:eastAsia="宋体" w:hAnsi="宋体"/>
          <w:szCs w:val="21"/>
        </w:rPr>
        <w:t>声明</w:t>
      </w:r>
      <w:r>
        <w:rPr>
          <w:rFonts w:ascii="宋体" w:eastAsia="宋体" w:hAnsi="宋体" w:hint="eastAsia"/>
          <w:szCs w:val="21"/>
        </w:rPr>
        <w:t>与生命</w:t>
      </w:r>
      <w:r>
        <w:rPr>
          <w:rFonts w:ascii="宋体" w:eastAsia="宋体" w:hAnsi="宋体"/>
          <w:szCs w:val="21"/>
        </w:rPr>
        <w:t>周期评价，具体要求可参见相关标准和评价体系的规定。</w:t>
      </w:r>
    </w:p>
    <w:p w:rsidR="0069050B" w:rsidRDefault="0069050B">
      <w:pPr>
        <w:rPr>
          <w:b/>
        </w:rPr>
      </w:pPr>
    </w:p>
    <w:p w:rsidR="0069050B" w:rsidRDefault="0069050B">
      <w:pPr>
        <w:pStyle w:val="aa"/>
        <w:spacing w:line="360" w:lineRule="auto"/>
        <w:ind w:left="360" w:firstLineChars="0" w:firstLine="0"/>
        <w:jc w:val="center"/>
        <w:rPr>
          <w:rFonts w:ascii="宋体" w:eastAsia="宋体" w:hAnsi="宋体"/>
          <w:b/>
          <w:sz w:val="24"/>
          <w:szCs w:val="24"/>
        </w:rPr>
      </w:pPr>
    </w:p>
    <w:sectPr w:rsidR="0069050B">
      <w:footerReference w:type="default" r:id="rId15"/>
      <w:footerReference w:type="first" r:id="rId16"/>
      <w:pgSz w:w="11906" w:h="16838"/>
      <w:pgMar w:top="1134" w:right="1418" w:bottom="1134" w:left="141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FE6" w:rsidRDefault="00F83FE6">
      <w:r>
        <w:separator/>
      </w:r>
    </w:p>
  </w:endnote>
  <w:endnote w:type="continuationSeparator" w:id="0">
    <w:p w:rsidR="00F83FE6" w:rsidRDefault="00F83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50B" w:rsidRDefault="0069050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50B" w:rsidRDefault="0069050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50B" w:rsidRDefault="000B3F5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9050B" w:rsidRDefault="000B3F50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E6BA3">
                            <w:rPr>
                              <w:noProof/>
                            </w:rP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TiixV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69050B" w:rsidRDefault="000B3F50">
                    <w:pPr>
                      <w:pStyle w:val="a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E6BA3">
                      <w:rPr>
                        <w:noProof/>
                      </w:rP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50B" w:rsidRDefault="000B3F5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9050B" w:rsidRDefault="000B3F50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E6BA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4" o:spid="_x0000_s1028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Balwl5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69050B" w:rsidRDefault="000B3F50">
                    <w:pPr>
                      <w:pStyle w:val="a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E6BA3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FE6" w:rsidRDefault="00F83FE6">
      <w:r>
        <w:separator/>
      </w:r>
    </w:p>
  </w:footnote>
  <w:footnote w:type="continuationSeparator" w:id="0">
    <w:p w:rsidR="00F83FE6" w:rsidRDefault="00F83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50B" w:rsidRDefault="000B3F50">
    <w:pPr>
      <w:pStyle w:val="a7"/>
      <w:jc w:val="right"/>
      <w:rPr>
        <w:sz w:val="16"/>
        <w:szCs w:val="16"/>
      </w:rPr>
    </w:pPr>
    <w:r>
      <w:rPr>
        <w:sz w:val="28"/>
        <w:szCs w:val="32"/>
      </w:rPr>
      <w:t>DB43/</w:t>
    </w:r>
    <w:proofErr w:type="gramStart"/>
    <w:r>
      <w:rPr>
        <w:sz w:val="28"/>
        <w:szCs w:val="32"/>
      </w:rPr>
      <w:t>T  XXX</w:t>
    </w:r>
    <w:proofErr w:type="gramEnd"/>
    <w:r>
      <w:rPr>
        <w:sz w:val="28"/>
        <w:szCs w:val="32"/>
      </w:rPr>
      <w:t>-</w:t>
    </w:r>
    <w:r>
      <w:rPr>
        <w:rFonts w:hint="eastAsia"/>
        <w:sz w:val="28"/>
        <w:szCs w:val="32"/>
      </w:rPr>
      <w:t>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3561D43"/>
    <w:multiLevelType w:val="singleLevel"/>
    <w:tmpl w:val="B3561D43"/>
    <w:lvl w:ilvl="0">
      <w:start w:val="1"/>
      <w:numFmt w:val="lowerLetter"/>
      <w:lvlText w:val="%1)"/>
      <w:lvlJc w:val="left"/>
      <w:pPr>
        <w:tabs>
          <w:tab w:val="left" w:pos="312"/>
        </w:tabs>
      </w:pPr>
    </w:lvl>
  </w:abstractNum>
  <w:abstractNum w:abstractNumId="1" w15:restartNumberingAfterBreak="0">
    <w:nsid w:val="24200B4F"/>
    <w:multiLevelType w:val="multilevel"/>
    <w:tmpl w:val="24200B4F"/>
    <w:lvl w:ilvl="0">
      <w:start w:val="1"/>
      <w:numFmt w:val="lowerLetter"/>
      <w:lvlText w:val="%1)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3B6D0E42"/>
    <w:multiLevelType w:val="multilevel"/>
    <w:tmpl w:val="3B6D0E42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upperRoman"/>
      <w:isLgl/>
      <w:lvlText w:val="%1.%2.%3"/>
      <w:lvlJc w:val="left"/>
      <w:pPr>
        <w:ind w:left="1080" w:hanging="108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3A3DDAC"/>
    <w:multiLevelType w:val="singleLevel"/>
    <w:tmpl w:val="43A3DDAC"/>
    <w:lvl w:ilvl="0">
      <w:start w:val="1"/>
      <w:numFmt w:val="lowerLetter"/>
      <w:suff w:val="space"/>
      <w:lvlText w:val="%1）"/>
      <w:lvlJc w:val="left"/>
    </w:lvl>
  </w:abstractNum>
  <w:abstractNum w:abstractNumId="4" w15:restartNumberingAfterBreak="0">
    <w:nsid w:val="659127CA"/>
    <w:multiLevelType w:val="multilevel"/>
    <w:tmpl w:val="659127CA"/>
    <w:lvl w:ilvl="0">
      <w:start w:val="1"/>
      <w:numFmt w:val="lowerLetter"/>
      <w:lvlText w:val="%1)"/>
      <w:lvlJc w:val="left"/>
      <w:pPr>
        <w:ind w:left="790" w:hanging="360"/>
      </w:pPr>
      <w:rPr>
        <w:rFonts w:ascii="宋体" w:eastAsia="宋体" w:hAnsi="宋体" w:hint="default"/>
        <w:b w:val="0"/>
      </w:rPr>
    </w:lvl>
    <w:lvl w:ilvl="1">
      <w:start w:val="1"/>
      <w:numFmt w:val="lowerLetter"/>
      <w:lvlText w:val="%2)"/>
      <w:lvlJc w:val="left"/>
      <w:pPr>
        <w:ind w:left="1270" w:hanging="420"/>
      </w:pPr>
    </w:lvl>
    <w:lvl w:ilvl="2">
      <w:start w:val="1"/>
      <w:numFmt w:val="lowerRoman"/>
      <w:lvlText w:val="%3."/>
      <w:lvlJc w:val="right"/>
      <w:pPr>
        <w:ind w:left="1690" w:hanging="420"/>
      </w:pPr>
    </w:lvl>
    <w:lvl w:ilvl="3">
      <w:start w:val="1"/>
      <w:numFmt w:val="decimal"/>
      <w:lvlText w:val="%4."/>
      <w:lvlJc w:val="left"/>
      <w:pPr>
        <w:ind w:left="2110" w:hanging="420"/>
      </w:pPr>
    </w:lvl>
    <w:lvl w:ilvl="4">
      <w:start w:val="1"/>
      <w:numFmt w:val="lowerLetter"/>
      <w:lvlText w:val="%5)"/>
      <w:lvlJc w:val="left"/>
      <w:pPr>
        <w:ind w:left="2530" w:hanging="420"/>
      </w:pPr>
    </w:lvl>
    <w:lvl w:ilvl="5">
      <w:start w:val="1"/>
      <w:numFmt w:val="lowerRoman"/>
      <w:lvlText w:val="%6."/>
      <w:lvlJc w:val="right"/>
      <w:pPr>
        <w:ind w:left="2950" w:hanging="420"/>
      </w:pPr>
    </w:lvl>
    <w:lvl w:ilvl="6">
      <w:start w:val="1"/>
      <w:numFmt w:val="decimal"/>
      <w:lvlText w:val="%7."/>
      <w:lvlJc w:val="left"/>
      <w:pPr>
        <w:ind w:left="3370" w:hanging="420"/>
      </w:pPr>
    </w:lvl>
    <w:lvl w:ilvl="7">
      <w:start w:val="1"/>
      <w:numFmt w:val="lowerLetter"/>
      <w:lvlText w:val="%8)"/>
      <w:lvlJc w:val="left"/>
      <w:pPr>
        <w:ind w:left="3790" w:hanging="420"/>
      </w:pPr>
    </w:lvl>
    <w:lvl w:ilvl="8">
      <w:start w:val="1"/>
      <w:numFmt w:val="lowerRoman"/>
      <w:lvlText w:val="%9."/>
      <w:lvlJc w:val="right"/>
      <w:pPr>
        <w:ind w:left="4210" w:hanging="420"/>
      </w:pPr>
    </w:lvl>
  </w:abstractNum>
  <w:abstractNum w:abstractNumId="5" w15:restartNumberingAfterBreak="0">
    <w:nsid w:val="78C74513"/>
    <w:multiLevelType w:val="multilevel"/>
    <w:tmpl w:val="78C74513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8CA"/>
    <w:rsid w:val="00023F16"/>
    <w:rsid w:val="00041262"/>
    <w:rsid w:val="00064B8A"/>
    <w:rsid w:val="0007373D"/>
    <w:rsid w:val="00085210"/>
    <w:rsid w:val="00092A22"/>
    <w:rsid w:val="000B3F50"/>
    <w:rsid w:val="000C1668"/>
    <w:rsid w:val="000C4327"/>
    <w:rsid w:val="000E05F1"/>
    <w:rsid w:val="000F1178"/>
    <w:rsid w:val="0010084E"/>
    <w:rsid w:val="001071E9"/>
    <w:rsid w:val="0011341E"/>
    <w:rsid w:val="00115E94"/>
    <w:rsid w:val="0011620E"/>
    <w:rsid w:val="0012096A"/>
    <w:rsid w:val="0012769D"/>
    <w:rsid w:val="00141D2A"/>
    <w:rsid w:val="0016427C"/>
    <w:rsid w:val="00174735"/>
    <w:rsid w:val="001836F1"/>
    <w:rsid w:val="00193746"/>
    <w:rsid w:val="001A0329"/>
    <w:rsid w:val="001B3260"/>
    <w:rsid w:val="001D5179"/>
    <w:rsid w:val="001D620A"/>
    <w:rsid w:val="001E77B0"/>
    <w:rsid w:val="00234281"/>
    <w:rsid w:val="002538E8"/>
    <w:rsid w:val="00256BAC"/>
    <w:rsid w:val="00262A57"/>
    <w:rsid w:val="0026480A"/>
    <w:rsid w:val="00280FE6"/>
    <w:rsid w:val="00281BE3"/>
    <w:rsid w:val="00282EF4"/>
    <w:rsid w:val="0029740E"/>
    <w:rsid w:val="002A698D"/>
    <w:rsid w:val="002B127F"/>
    <w:rsid w:val="002C4CB4"/>
    <w:rsid w:val="002D159A"/>
    <w:rsid w:val="002D3674"/>
    <w:rsid w:val="002E7CDD"/>
    <w:rsid w:val="00316D5F"/>
    <w:rsid w:val="00332757"/>
    <w:rsid w:val="00333594"/>
    <w:rsid w:val="00343400"/>
    <w:rsid w:val="00345836"/>
    <w:rsid w:val="0035511D"/>
    <w:rsid w:val="003569E5"/>
    <w:rsid w:val="00361851"/>
    <w:rsid w:val="0036546D"/>
    <w:rsid w:val="003C02F0"/>
    <w:rsid w:val="003C1E06"/>
    <w:rsid w:val="003C5F46"/>
    <w:rsid w:val="003D1DF3"/>
    <w:rsid w:val="003D3DBC"/>
    <w:rsid w:val="003E6BA3"/>
    <w:rsid w:val="00402830"/>
    <w:rsid w:val="00427372"/>
    <w:rsid w:val="00445C73"/>
    <w:rsid w:val="00454748"/>
    <w:rsid w:val="00457E2C"/>
    <w:rsid w:val="00461C7C"/>
    <w:rsid w:val="004624AF"/>
    <w:rsid w:val="00470FD3"/>
    <w:rsid w:val="00481BAF"/>
    <w:rsid w:val="004B3C1E"/>
    <w:rsid w:val="004C46C5"/>
    <w:rsid w:val="004C6BBD"/>
    <w:rsid w:val="004C7951"/>
    <w:rsid w:val="004E03EE"/>
    <w:rsid w:val="004E5EB5"/>
    <w:rsid w:val="0050145B"/>
    <w:rsid w:val="00504F91"/>
    <w:rsid w:val="00506924"/>
    <w:rsid w:val="00574546"/>
    <w:rsid w:val="005760B1"/>
    <w:rsid w:val="0058331B"/>
    <w:rsid w:val="00590D08"/>
    <w:rsid w:val="0059568F"/>
    <w:rsid w:val="005D0379"/>
    <w:rsid w:val="005F7AF5"/>
    <w:rsid w:val="00604703"/>
    <w:rsid w:val="00622E34"/>
    <w:rsid w:val="00651582"/>
    <w:rsid w:val="006618DB"/>
    <w:rsid w:val="006638C0"/>
    <w:rsid w:val="0067122D"/>
    <w:rsid w:val="00671A22"/>
    <w:rsid w:val="006854B7"/>
    <w:rsid w:val="0069050B"/>
    <w:rsid w:val="00695E94"/>
    <w:rsid w:val="00697149"/>
    <w:rsid w:val="006B1D98"/>
    <w:rsid w:val="006C5D7E"/>
    <w:rsid w:val="006D10FE"/>
    <w:rsid w:val="006E744E"/>
    <w:rsid w:val="006F414C"/>
    <w:rsid w:val="00706404"/>
    <w:rsid w:val="00731C15"/>
    <w:rsid w:val="007320B7"/>
    <w:rsid w:val="00740DD4"/>
    <w:rsid w:val="00741417"/>
    <w:rsid w:val="00751B9D"/>
    <w:rsid w:val="007609A2"/>
    <w:rsid w:val="00773A6B"/>
    <w:rsid w:val="0079229C"/>
    <w:rsid w:val="007A3D64"/>
    <w:rsid w:val="007D660F"/>
    <w:rsid w:val="007F168B"/>
    <w:rsid w:val="00800704"/>
    <w:rsid w:val="0081725E"/>
    <w:rsid w:val="00841F55"/>
    <w:rsid w:val="00855B0A"/>
    <w:rsid w:val="008762E2"/>
    <w:rsid w:val="0089063F"/>
    <w:rsid w:val="008B3834"/>
    <w:rsid w:val="008B75C6"/>
    <w:rsid w:val="008C38C1"/>
    <w:rsid w:val="008D7D2C"/>
    <w:rsid w:val="008F5A0D"/>
    <w:rsid w:val="009032C7"/>
    <w:rsid w:val="009068CA"/>
    <w:rsid w:val="009243C6"/>
    <w:rsid w:val="0092773F"/>
    <w:rsid w:val="00946418"/>
    <w:rsid w:val="009468D8"/>
    <w:rsid w:val="00946A81"/>
    <w:rsid w:val="00947CB6"/>
    <w:rsid w:val="00976D27"/>
    <w:rsid w:val="00981FA6"/>
    <w:rsid w:val="0098393D"/>
    <w:rsid w:val="0099604C"/>
    <w:rsid w:val="00996E26"/>
    <w:rsid w:val="009A5C6F"/>
    <w:rsid w:val="009C4C2A"/>
    <w:rsid w:val="009E2F93"/>
    <w:rsid w:val="009E5FE5"/>
    <w:rsid w:val="009E70C1"/>
    <w:rsid w:val="009F3C3A"/>
    <w:rsid w:val="00A125C7"/>
    <w:rsid w:val="00A26671"/>
    <w:rsid w:val="00A568BB"/>
    <w:rsid w:val="00A727D6"/>
    <w:rsid w:val="00A904E1"/>
    <w:rsid w:val="00A96AD1"/>
    <w:rsid w:val="00AA7327"/>
    <w:rsid w:val="00AC464D"/>
    <w:rsid w:val="00AC6EE7"/>
    <w:rsid w:val="00AC7CE0"/>
    <w:rsid w:val="00AD63E1"/>
    <w:rsid w:val="00B01A39"/>
    <w:rsid w:val="00B02D1C"/>
    <w:rsid w:val="00B2704F"/>
    <w:rsid w:val="00B30060"/>
    <w:rsid w:val="00B34004"/>
    <w:rsid w:val="00B70B9F"/>
    <w:rsid w:val="00B72911"/>
    <w:rsid w:val="00B91B0C"/>
    <w:rsid w:val="00B94EF4"/>
    <w:rsid w:val="00B960A2"/>
    <w:rsid w:val="00BA0E41"/>
    <w:rsid w:val="00BB07CB"/>
    <w:rsid w:val="00BB08DE"/>
    <w:rsid w:val="00BB1814"/>
    <w:rsid w:val="00C062B8"/>
    <w:rsid w:val="00C16846"/>
    <w:rsid w:val="00C22F76"/>
    <w:rsid w:val="00C414CD"/>
    <w:rsid w:val="00C6225E"/>
    <w:rsid w:val="00C64AC4"/>
    <w:rsid w:val="00C64E2F"/>
    <w:rsid w:val="00C67A7F"/>
    <w:rsid w:val="00C90CF1"/>
    <w:rsid w:val="00C92B5A"/>
    <w:rsid w:val="00C96A02"/>
    <w:rsid w:val="00C96B1F"/>
    <w:rsid w:val="00CB3891"/>
    <w:rsid w:val="00CC0C31"/>
    <w:rsid w:val="00CE7CDE"/>
    <w:rsid w:val="00D30B9C"/>
    <w:rsid w:val="00D3499C"/>
    <w:rsid w:val="00D47547"/>
    <w:rsid w:val="00D55278"/>
    <w:rsid w:val="00D60595"/>
    <w:rsid w:val="00D675D7"/>
    <w:rsid w:val="00D82411"/>
    <w:rsid w:val="00D865A9"/>
    <w:rsid w:val="00D936B5"/>
    <w:rsid w:val="00DA194E"/>
    <w:rsid w:val="00DD3433"/>
    <w:rsid w:val="00DD42FC"/>
    <w:rsid w:val="00DF4CBB"/>
    <w:rsid w:val="00E074AE"/>
    <w:rsid w:val="00E2096E"/>
    <w:rsid w:val="00E461FF"/>
    <w:rsid w:val="00E51C4D"/>
    <w:rsid w:val="00E61051"/>
    <w:rsid w:val="00E63FB2"/>
    <w:rsid w:val="00E66FD8"/>
    <w:rsid w:val="00E73731"/>
    <w:rsid w:val="00E96847"/>
    <w:rsid w:val="00EA1A5D"/>
    <w:rsid w:val="00EB0908"/>
    <w:rsid w:val="00EC128C"/>
    <w:rsid w:val="00EE24CC"/>
    <w:rsid w:val="00EE5D79"/>
    <w:rsid w:val="00EF1B01"/>
    <w:rsid w:val="00F175C6"/>
    <w:rsid w:val="00F23B66"/>
    <w:rsid w:val="00F27061"/>
    <w:rsid w:val="00F278BA"/>
    <w:rsid w:val="00F83FE6"/>
    <w:rsid w:val="00F859D0"/>
    <w:rsid w:val="00F93ADB"/>
    <w:rsid w:val="00FA33E5"/>
    <w:rsid w:val="00FC002D"/>
    <w:rsid w:val="00FC7115"/>
    <w:rsid w:val="00FD4A24"/>
    <w:rsid w:val="00FF1F22"/>
    <w:rsid w:val="00FF76A2"/>
    <w:rsid w:val="0142365F"/>
    <w:rsid w:val="041C3108"/>
    <w:rsid w:val="08A032D4"/>
    <w:rsid w:val="0FB16D2C"/>
    <w:rsid w:val="19B81F03"/>
    <w:rsid w:val="19C6295D"/>
    <w:rsid w:val="1B443574"/>
    <w:rsid w:val="1BB42884"/>
    <w:rsid w:val="1D4D7228"/>
    <w:rsid w:val="2F241437"/>
    <w:rsid w:val="334B5EC5"/>
    <w:rsid w:val="36FF4189"/>
    <w:rsid w:val="39F7490C"/>
    <w:rsid w:val="40BD1D8E"/>
    <w:rsid w:val="422D76AF"/>
    <w:rsid w:val="45A916F5"/>
    <w:rsid w:val="47F50313"/>
    <w:rsid w:val="49CB1395"/>
    <w:rsid w:val="4E573D1F"/>
    <w:rsid w:val="502B5902"/>
    <w:rsid w:val="547F51C6"/>
    <w:rsid w:val="56611033"/>
    <w:rsid w:val="5F3D75EE"/>
    <w:rsid w:val="600E42C7"/>
    <w:rsid w:val="60CE7A93"/>
    <w:rsid w:val="685D6322"/>
    <w:rsid w:val="6A0811C6"/>
    <w:rsid w:val="72C001E8"/>
    <w:rsid w:val="7B5719CC"/>
    <w:rsid w:val="7FEC4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B138811-54FF-4C73-BC63-A423AC9D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ind w:left="118"/>
      <w:jc w:val="left"/>
    </w:pPr>
    <w:rPr>
      <w:rFonts w:ascii="宋体" w:eastAsia="宋体" w:hAnsi="宋体"/>
      <w:kern w:val="0"/>
      <w:szCs w:val="21"/>
      <w:lang w:eastAsia="en-US"/>
    </w:rPr>
  </w:style>
  <w:style w:type="paragraph" w:styleId="30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20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paragraph" w:styleId="ab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styleId="ac">
    <w:name w:val="Placeholder Text"/>
    <w:basedOn w:val="a0"/>
    <w:uiPriority w:val="99"/>
    <w:semiHidden/>
    <w:qFormat/>
    <w:rPr>
      <w:color w:val="808080"/>
    </w:rPr>
  </w:style>
  <w:style w:type="character" w:customStyle="1" w:styleId="Char">
    <w:name w:val="正文文本 Char"/>
    <w:basedOn w:val="a0"/>
    <w:link w:val="a3"/>
    <w:uiPriority w:val="1"/>
    <w:rPr>
      <w:rFonts w:ascii="宋体" w:eastAsia="宋体" w:hAnsi="宋体"/>
      <w:sz w:val="21"/>
      <w:szCs w:val="21"/>
      <w:lang w:eastAsia="en-US"/>
    </w:rPr>
  </w:style>
  <w:style w:type="paragraph" w:customStyle="1" w:styleId="WPSOffice1">
    <w:name w:val="WPSOffice手动目录 1"/>
  </w:style>
  <w:style w:type="paragraph" w:customStyle="1" w:styleId="WPSOffice2">
    <w:name w:val="WPSOffice手动目录 2"/>
    <w:pPr>
      <w:ind w:leftChars="200"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97A1DD-8E04-47CC-B774-02DF7CD2E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14</Pages>
  <Words>1234</Words>
  <Characters>7040</Characters>
  <Application>Microsoft Office Word</Application>
  <DocSecurity>0</DocSecurity>
  <Lines>58</Lines>
  <Paragraphs>16</Paragraphs>
  <ScaleCrop>false</ScaleCrop>
  <Company>Microsoft</Company>
  <LinksUpToDate>false</LinksUpToDate>
  <CharactersWithSpaces>8258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xuzhenxuan@wasion.com</dc:creator>
  <cp:lastModifiedBy>彭秀云</cp:lastModifiedBy>
  <cp:revision>13</cp:revision>
  <cp:lastPrinted>2020-09-22T06:47:00Z</cp:lastPrinted>
  <dcterms:created xsi:type="dcterms:W3CDTF">2020-09-26T07:11:00Z</dcterms:created>
  <dcterms:modified xsi:type="dcterms:W3CDTF">2020-09-30T06:16:00Z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