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framePr w:w="0" w:hRule="auto" w:wrap="auto" w:vAnchor="margin" w:hAnchor="text" w:xAlign="left" w:yAlign="inline"/>
        <w:spacing w:line="720" w:lineRule="auto"/>
        <w:rPr>
          <w:rFonts w:hAnsi="黑体" w:cs="宋体"/>
          <w:b/>
          <w:bCs/>
          <w:sz w:val="44"/>
          <w:szCs w:val="44"/>
        </w:rPr>
      </w:pPr>
    </w:p>
    <w:p>
      <w:pPr>
        <w:pStyle w:val="22"/>
        <w:framePr w:w="0" w:hRule="auto" w:wrap="auto" w:vAnchor="margin" w:hAnchor="text" w:xAlign="left" w:yAlign="inline"/>
        <w:spacing w:line="720" w:lineRule="auto"/>
        <w:rPr>
          <w:rFonts w:hAnsi="黑体" w:cs="宋体"/>
          <w:b/>
          <w:bCs/>
          <w:sz w:val="44"/>
          <w:szCs w:val="44"/>
        </w:rPr>
      </w:pPr>
    </w:p>
    <w:p>
      <w:pPr>
        <w:pStyle w:val="22"/>
        <w:framePr w:w="0" w:hRule="auto" w:wrap="auto" w:vAnchor="margin" w:hAnchor="text" w:xAlign="left" w:yAlign="inline"/>
        <w:spacing w:line="720" w:lineRule="auto"/>
        <w:rPr>
          <w:rFonts w:hAnsi="黑体" w:cs="宋体"/>
          <w:b/>
          <w:bCs/>
          <w:sz w:val="44"/>
          <w:szCs w:val="44"/>
        </w:rPr>
      </w:pPr>
    </w:p>
    <w:p>
      <w:pPr>
        <w:pStyle w:val="22"/>
        <w:framePr w:w="0" w:hRule="auto" w:wrap="auto" w:vAnchor="margin" w:hAnchor="text" w:xAlign="left" w:yAlign="inline"/>
        <w:spacing w:line="720" w:lineRule="auto"/>
        <w:rPr>
          <w:rFonts w:hAnsi="黑体" w:cs="宋体"/>
          <w:b/>
          <w:bCs/>
          <w:sz w:val="44"/>
          <w:szCs w:val="44"/>
        </w:rPr>
      </w:pPr>
    </w:p>
    <w:p>
      <w:pPr>
        <w:pStyle w:val="22"/>
        <w:framePr w:w="0" w:hRule="auto" w:wrap="auto" w:vAnchor="margin" w:hAnchor="text" w:xAlign="left" w:yAlign="inline"/>
        <w:spacing w:line="720" w:lineRule="auto"/>
        <w:rPr>
          <w:rFonts w:hAnsi="黑体" w:cs="宋体"/>
          <w:b/>
          <w:bCs/>
          <w:sz w:val="44"/>
          <w:szCs w:val="44"/>
        </w:rPr>
      </w:pPr>
      <w:r>
        <w:rPr>
          <w:rFonts w:hint="eastAsia" w:hAnsi="黑体" w:cs="宋体"/>
          <w:b/>
          <w:bCs/>
          <w:sz w:val="44"/>
          <w:szCs w:val="44"/>
        </w:rPr>
        <w:t>《渔业水体中五氯苯酚的测定</w:t>
      </w:r>
    </w:p>
    <w:p>
      <w:pPr>
        <w:pStyle w:val="22"/>
        <w:framePr w:w="0" w:hRule="auto" w:wrap="auto" w:vAnchor="margin" w:hAnchor="text" w:xAlign="left" w:yAlign="inline"/>
        <w:spacing w:line="720" w:lineRule="auto"/>
        <w:rPr>
          <w:rFonts w:hAnsi="黑体" w:cs="宋体"/>
          <w:b/>
          <w:bCs/>
          <w:sz w:val="44"/>
          <w:szCs w:val="44"/>
        </w:rPr>
      </w:pPr>
      <w:r>
        <w:rPr>
          <w:rFonts w:hint="eastAsia" w:hAnsi="黑体" w:cs="宋体"/>
          <w:b/>
          <w:bCs/>
          <w:sz w:val="44"/>
          <w:szCs w:val="44"/>
        </w:rPr>
        <w:t>液相色谱-串联质谱法》</w:t>
      </w:r>
    </w:p>
    <w:p>
      <w:pPr>
        <w:pStyle w:val="22"/>
        <w:framePr w:w="0" w:hRule="auto" w:wrap="auto" w:vAnchor="margin" w:hAnchor="text" w:xAlign="left" w:yAlign="inline"/>
        <w:spacing w:line="720" w:lineRule="auto"/>
        <w:rPr>
          <w:rFonts w:hAnsi="黑体" w:cs="宋体"/>
          <w:b/>
          <w:bCs/>
          <w:sz w:val="44"/>
          <w:szCs w:val="44"/>
        </w:rPr>
      </w:pPr>
      <w:r>
        <w:rPr>
          <w:rFonts w:hint="eastAsia" w:hAnsi="黑体" w:cs="宋体"/>
          <w:b/>
          <w:bCs/>
          <w:sz w:val="44"/>
          <w:szCs w:val="44"/>
        </w:rPr>
        <w:t>湖南省地方标准征求意见稿编制说明</w:t>
      </w:r>
    </w:p>
    <w:p>
      <w:pPr>
        <w:spacing w:line="720" w:lineRule="auto"/>
        <w:ind w:right="-512"/>
        <w:jc w:val="center"/>
        <w:rPr>
          <w:b/>
          <w:sz w:val="52"/>
        </w:rPr>
      </w:pPr>
    </w:p>
    <w:p>
      <w:pPr>
        <w:spacing w:line="480" w:lineRule="auto"/>
        <w:ind w:right="-512"/>
        <w:jc w:val="center"/>
        <w:rPr>
          <w:sz w:val="36"/>
          <w:szCs w:val="36"/>
        </w:rPr>
      </w:pPr>
    </w:p>
    <w:p>
      <w:pPr>
        <w:spacing w:line="480" w:lineRule="auto"/>
      </w:pPr>
    </w:p>
    <w:p>
      <w:pPr>
        <w:spacing w:line="480" w:lineRule="auto"/>
      </w:pPr>
    </w:p>
    <w:p>
      <w:pPr>
        <w:spacing w:line="480" w:lineRule="auto"/>
      </w:pPr>
    </w:p>
    <w:p>
      <w:pPr>
        <w:spacing w:line="480" w:lineRule="auto"/>
      </w:pPr>
    </w:p>
    <w:p>
      <w:pPr>
        <w:spacing w:line="480" w:lineRule="auto"/>
      </w:pPr>
    </w:p>
    <w:p>
      <w:pPr>
        <w:spacing w:line="480" w:lineRule="auto"/>
      </w:pPr>
    </w:p>
    <w:p>
      <w:pPr>
        <w:spacing w:line="480" w:lineRule="auto"/>
      </w:pPr>
    </w:p>
    <w:p>
      <w:pPr>
        <w:spacing w:line="480" w:lineRule="auto"/>
        <w:jc w:val="center"/>
        <w:rPr>
          <w:rFonts w:ascii="黑体" w:hAnsi="黑体" w:eastAsia="黑体"/>
          <w:sz w:val="36"/>
          <w:szCs w:val="36"/>
        </w:rPr>
      </w:pPr>
      <w:r>
        <w:rPr>
          <w:rFonts w:hint="eastAsia" w:ascii="黑体" w:hAnsi="黑体" w:eastAsia="黑体"/>
          <w:sz w:val="36"/>
          <w:szCs w:val="36"/>
        </w:rPr>
        <w:t>湖南省水产科学研究所</w:t>
      </w:r>
    </w:p>
    <w:p>
      <w:pPr>
        <w:spacing w:line="480" w:lineRule="auto"/>
        <w:jc w:val="center"/>
        <w:rPr>
          <w:rFonts w:ascii="黑体" w:hAnsi="黑体" w:eastAsia="黑体"/>
          <w:sz w:val="36"/>
          <w:szCs w:val="36"/>
        </w:rPr>
        <w:sectPr>
          <w:footerReference r:id="rId3" w:type="default"/>
          <w:footerReference r:id="rId4" w:type="even"/>
          <w:pgSz w:w="11906" w:h="16838"/>
          <w:pgMar w:top="1440" w:right="1800" w:bottom="1440" w:left="1800" w:header="851" w:footer="992" w:gutter="0"/>
          <w:cols w:space="720" w:num="1"/>
          <w:docGrid w:type="lines" w:linePitch="312" w:charSpace="0"/>
        </w:sectPr>
      </w:pPr>
      <w:r>
        <w:rPr>
          <w:rFonts w:hint="eastAsia" w:ascii="黑体" w:hAnsi="黑体" w:eastAsia="黑体"/>
          <w:sz w:val="36"/>
          <w:szCs w:val="36"/>
        </w:rPr>
        <w:t>2020年6月</w:t>
      </w:r>
    </w:p>
    <w:p>
      <w:pPr>
        <w:pStyle w:val="10"/>
        <w:tabs>
          <w:tab w:val="right" w:leader="dot" w:pos="8306"/>
        </w:tabs>
        <w:spacing w:line="360" w:lineRule="auto"/>
        <w:jc w:val="center"/>
        <w:rPr>
          <w:rFonts w:ascii="黑体" w:hAnsi="黑体" w:eastAsia="黑体" w:cs="黑体"/>
          <w:sz w:val="36"/>
          <w:szCs w:val="36"/>
        </w:rPr>
      </w:pPr>
      <w:r>
        <w:rPr>
          <w:rFonts w:hint="eastAsia" w:ascii="黑体" w:hAnsi="黑体" w:eastAsia="黑体" w:cs="黑体"/>
          <w:sz w:val="36"/>
          <w:szCs w:val="36"/>
        </w:rPr>
        <w:t>目录</w:t>
      </w:r>
    </w:p>
    <w:p>
      <w:pPr>
        <w:pStyle w:val="10"/>
        <w:tabs>
          <w:tab w:val="right" w:leader="dot" w:pos="8306"/>
        </w:tabs>
        <w:spacing w:line="360" w:lineRule="auto"/>
        <w:rPr>
          <w:b/>
          <w:bCs/>
          <w:sz w:val="24"/>
        </w:rPr>
      </w:pPr>
      <w:r>
        <w:rPr>
          <w:rFonts w:hint="eastAsia"/>
          <w:b/>
          <w:bCs/>
          <w:sz w:val="36"/>
          <w:szCs w:val="36"/>
        </w:rPr>
        <w:fldChar w:fldCharType="begin"/>
      </w:r>
      <w:r>
        <w:rPr>
          <w:rFonts w:hint="eastAsia"/>
          <w:b/>
          <w:bCs/>
          <w:sz w:val="36"/>
          <w:szCs w:val="36"/>
        </w:rPr>
        <w:instrText xml:space="preserve">TOC \o "1-3" \h \u </w:instrText>
      </w:r>
      <w:r>
        <w:rPr>
          <w:rFonts w:hint="eastAsia"/>
          <w:b/>
          <w:bCs/>
          <w:sz w:val="36"/>
          <w:szCs w:val="36"/>
        </w:rPr>
        <w:fldChar w:fldCharType="separate"/>
      </w:r>
      <w:r>
        <w:fldChar w:fldCharType="begin"/>
      </w:r>
      <w:r>
        <w:instrText xml:space="preserve"> HYPERLINK \l "_Toc18829" </w:instrText>
      </w:r>
      <w:r>
        <w:fldChar w:fldCharType="separate"/>
      </w:r>
      <w:r>
        <w:rPr>
          <w:rFonts w:hint="eastAsia"/>
          <w:b/>
          <w:bCs/>
          <w:sz w:val="24"/>
        </w:rPr>
        <w:t>1概述</w:t>
      </w:r>
      <w:r>
        <w:rPr>
          <w:b/>
          <w:bCs/>
          <w:sz w:val="24"/>
        </w:rPr>
        <w:tab/>
      </w:r>
      <w:r>
        <w:rPr>
          <w:b/>
          <w:bCs/>
          <w:sz w:val="24"/>
        </w:rPr>
        <w:fldChar w:fldCharType="begin"/>
      </w:r>
      <w:r>
        <w:rPr>
          <w:b/>
          <w:bCs/>
          <w:sz w:val="24"/>
        </w:rPr>
        <w:instrText xml:space="preserve"> PAGEREF _Toc18829 </w:instrText>
      </w:r>
      <w:r>
        <w:rPr>
          <w:b/>
          <w:bCs/>
          <w:sz w:val="24"/>
        </w:rPr>
        <w:fldChar w:fldCharType="separate"/>
      </w:r>
      <w:r>
        <w:rPr>
          <w:b/>
          <w:bCs/>
          <w:sz w:val="24"/>
        </w:rPr>
        <w:t>1</w:t>
      </w:r>
      <w:r>
        <w:rPr>
          <w:b/>
          <w:bCs/>
          <w:sz w:val="24"/>
        </w:rPr>
        <w:fldChar w:fldCharType="end"/>
      </w:r>
      <w:r>
        <w:rPr>
          <w:b/>
          <w:bCs/>
          <w:sz w:val="24"/>
        </w:rPr>
        <w:fldChar w:fldCharType="end"/>
      </w:r>
    </w:p>
    <w:p>
      <w:pPr>
        <w:pStyle w:val="11"/>
        <w:tabs>
          <w:tab w:val="right" w:leader="dot" w:pos="8306"/>
        </w:tabs>
        <w:spacing w:line="360" w:lineRule="auto"/>
        <w:rPr>
          <w:b/>
          <w:bCs/>
          <w:sz w:val="24"/>
        </w:rPr>
      </w:pPr>
      <w:r>
        <w:fldChar w:fldCharType="begin"/>
      </w:r>
      <w:r>
        <w:instrText xml:space="preserve"> HYPERLINK \l "_Toc13747" </w:instrText>
      </w:r>
      <w:r>
        <w:fldChar w:fldCharType="separate"/>
      </w:r>
      <w:r>
        <w:rPr>
          <w:rFonts w:hint="eastAsia"/>
          <w:b/>
          <w:bCs/>
          <w:sz w:val="24"/>
        </w:rPr>
        <w:t>1.1 背景及意义</w:t>
      </w:r>
      <w:r>
        <w:rPr>
          <w:b/>
          <w:bCs/>
          <w:sz w:val="24"/>
        </w:rPr>
        <w:tab/>
      </w:r>
      <w:r>
        <w:rPr>
          <w:b/>
          <w:bCs/>
          <w:sz w:val="24"/>
        </w:rPr>
        <w:fldChar w:fldCharType="begin"/>
      </w:r>
      <w:r>
        <w:rPr>
          <w:b/>
          <w:bCs/>
          <w:sz w:val="24"/>
        </w:rPr>
        <w:instrText xml:space="preserve"> PAGEREF _Toc13747 </w:instrText>
      </w:r>
      <w:r>
        <w:rPr>
          <w:b/>
          <w:bCs/>
          <w:sz w:val="24"/>
        </w:rPr>
        <w:fldChar w:fldCharType="separate"/>
      </w:r>
      <w:r>
        <w:rPr>
          <w:b/>
          <w:bCs/>
          <w:sz w:val="24"/>
        </w:rPr>
        <w:t>1</w:t>
      </w:r>
      <w:r>
        <w:rPr>
          <w:b/>
          <w:bCs/>
          <w:sz w:val="24"/>
        </w:rPr>
        <w:fldChar w:fldCharType="end"/>
      </w:r>
      <w:r>
        <w:rPr>
          <w:b/>
          <w:bCs/>
          <w:sz w:val="24"/>
        </w:rPr>
        <w:fldChar w:fldCharType="end"/>
      </w:r>
    </w:p>
    <w:p>
      <w:pPr>
        <w:pStyle w:val="11"/>
        <w:tabs>
          <w:tab w:val="right" w:leader="dot" w:pos="8306"/>
        </w:tabs>
        <w:spacing w:line="360" w:lineRule="auto"/>
        <w:rPr>
          <w:b/>
          <w:bCs/>
          <w:sz w:val="24"/>
        </w:rPr>
      </w:pPr>
      <w:r>
        <w:fldChar w:fldCharType="begin"/>
      </w:r>
      <w:r>
        <w:instrText xml:space="preserve"> HYPERLINK \l "_Toc8562" </w:instrText>
      </w:r>
      <w:r>
        <w:fldChar w:fldCharType="separate"/>
      </w:r>
      <w:r>
        <w:rPr>
          <w:rFonts w:hint="eastAsia"/>
          <w:b/>
          <w:bCs/>
          <w:sz w:val="24"/>
        </w:rPr>
        <w:t>1.2 国内外研究概况</w:t>
      </w:r>
      <w:r>
        <w:rPr>
          <w:b/>
          <w:bCs/>
          <w:sz w:val="24"/>
        </w:rPr>
        <w:tab/>
      </w:r>
      <w:r>
        <w:rPr>
          <w:b/>
          <w:bCs/>
          <w:sz w:val="24"/>
        </w:rPr>
        <w:fldChar w:fldCharType="begin"/>
      </w:r>
      <w:r>
        <w:rPr>
          <w:b/>
          <w:bCs/>
          <w:sz w:val="24"/>
        </w:rPr>
        <w:instrText xml:space="preserve"> PAGEREF _Toc8562 </w:instrText>
      </w:r>
      <w:r>
        <w:rPr>
          <w:b/>
          <w:bCs/>
          <w:sz w:val="24"/>
        </w:rPr>
        <w:fldChar w:fldCharType="separate"/>
      </w:r>
      <w:r>
        <w:rPr>
          <w:b/>
          <w:bCs/>
          <w:sz w:val="24"/>
        </w:rPr>
        <w:t>4</w:t>
      </w:r>
      <w:r>
        <w:rPr>
          <w:b/>
          <w:bCs/>
          <w:sz w:val="24"/>
        </w:rPr>
        <w:fldChar w:fldCharType="end"/>
      </w:r>
      <w:r>
        <w:rPr>
          <w:b/>
          <w:bCs/>
          <w:sz w:val="24"/>
        </w:rPr>
        <w:fldChar w:fldCharType="end"/>
      </w:r>
    </w:p>
    <w:p>
      <w:pPr>
        <w:pStyle w:val="11"/>
        <w:tabs>
          <w:tab w:val="right" w:leader="dot" w:pos="8306"/>
        </w:tabs>
        <w:spacing w:line="360" w:lineRule="auto"/>
        <w:rPr>
          <w:b/>
          <w:bCs/>
          <w:sz w:val="24"/>
        </w:rPr>
      </w:pPr>
      <w:r>
        <w:fldChar w:fldCharType="begin"/>
      </w:r>
      <w:r>
        <w:instrText xml:space="preserve"> HYPERLINK \l "_Toc3479" </w:instrText>
      </w:r>
      <w:r>
        <w:fldChar w:fldCharType="separate"/>
      </w:r>
      <w:r>
        <w:rPr>
          <w:rFonts w:hint="eastAsia"/>
          <w:b/>
          <w:bCs/>
          <w:sz w:val="24"/>
        </w:rPr>
        <w:t>1.3 研制的基本思路</w:t>
      </w:r>
      <w:r>
        <w:rPr>
          <w:b/>
          <w:bCs/>
          <w:sz w:val="24"/>
        </w:rPr>
        <w:tab/>
      </w:r>
      <w:r>
        <w:rPr>
          <w:b/>
          <w:bCs/>
          <w:sz w:val="24"/>
        </w:rPr>
        <w:fldChar w:fldCharType="begin"/>
      </w:r>
      <w:r>
        <w:rPr>
          <w:b/>
          <w:bCs/>
          <w:sz w:val="24"/>
        </w:rPr>
        <w:instrText xml:space="preserve"> PAGEREF _Toc3479 </w:instrText>
      </w:r>
      <w:r>
        <w:rPr>
          <w:b/>
          <w:bCs/>
          <w:sz w:val="24"/>
        </w:rPr>
        <w:fldChar w:fldCharType="separate"/>
      </w:r>
      <w:r>
        <w:rPr>
          <w:b/>
          <w:bCs/>
          <w:sz w:val="24"/>
        </w:rPr>
        <w:t>6</w:t>
      </w:r>
      <w:r>
        <w:rPr>
          <w:b/>
          <w:bCs/>
          <w:sz w:val="24"/>
        </w:rPr>
        <w:fldChar w:fldCharType="end"/>
      </w:r>
      <w:r>
        <w:rPr>
          <w:b/>
          <w:bCs/>
          <w:sz w:val="24"/>
        </w:rPr>
        <w:fldChar w:fldCharType="end"/>
      </w:r>
    </w:p>
    <w:p>
      <w:pPr>
        <w:pStyle w:val="10"/>
        <w:tabs>
          <w:tab w:val="right" w:leader="dot" w:pos="8306"/>
        </w:tabs>
        <w:spacing w:line="360" w:lineRule="auto"/>
        <w:rPr>
          <w:b/>
          <w:bCs/>
          <w:sz w:val="24"/>
        </w:rPr>
      </w:pPr>
      <w:r>
        <w:fldChar w:fldCharType="begin"/>
      </w:r>
      <w:r>
        <w:instrText xml:space="preserve"> HYPERLINK \l "_Toc15152" </w:instrText>
      </w:r>
      <w:r>
        <w:fldChar w:fldCharType="separate"/>
      </w:r>
      <w:r>
        <w:rPr>
          <w:rFonts w:hint="eastAsia"/>
          <w:b/>
          <w:bCs/>
          <w:sz w:val="24"/>
        </w:rPr>
        <w:t>2现有条件</w:t>
      </w:r>
      <w:r>
        <w:rPr>
          <w:b/>
          <w:bCs/>
          <w:sz w:val="24"/>
        </w:rPr>
        <w:tab/>
      </w:r>
      <w:r>
        <w:rPr>
          <w:b/>
          <w:bCs/>
          <w:sz w:val="24"/>
        </w:rPr>
        <w:fldChar w:fldCharType="begin"/>
      </w:r>
      <w:r>
        <w:rPr>
          <w:b/>
          <w:bCs/>
          <w:sz w:val="24"/>
        </w:rPr>
        <w:instrText xml:space="preserve"> PAGEREF _Toc15152 </w:instrText>
      </w:r>
      <w:r>
        <w:rPr>
          <w:b/>
          <w:bCs/>
          <w:sz w:val="24"/>
        </w:rPr>
        <w:fldChar w:fldCharType="separate"/>
      </w:r>
      <w:r>
        <w:rPr>
          <w:b/>
          <w:bCs/>
          <w:sz w:val="24"/>
        </w:rPr>
        <w:t>6</w:t>
      </w:r>
      <w:r>
        <w:rPr>
          <w:b/>
          <w:bCs/>
          <w:sz w:val="24"/>
        </w:rPr>
        <w:fldChar w:fldCharType="end"/>
      </w:r>
      <w:r>
        <w:rPr>
          <w:b/>
          <w:bCs/>
          <w:sz w:val="24"/>
        </w:rPr>
        <w:fldChar w:fldCharType="end"/>
      </w:r>
    </w:p>
    <w:p>
      <w:pPr>
        <w:pStyle w:val="10"/>
        <w:tabs>
          <w:tab w:val="right" w:leader="dot" w:pos="8306"/>
        </w:tabs>
        <w:spacing w:line="360" w:lineRule="auto"/>
        <w:rPr>
          <w:b/>
          <w:bCs/>
          <w:sz w:val="24"/>
        </w:rPr>
      </w:pPr>
      <w:r>
        <w:fldChar w:fldCharType="begin"/>
      </w:r>
      <w:r>
        <w:instrText xml:space="preserve"> HYPERLINK \l "_Toc7097" </w:instrText>
      </w:r>
      <w:r>
        <w:fldChar w:fldCharType="separate"/>
      </w:r>
      <w:r>
        <w:rPr>
          <w:rFonts w:hint="eastAsia"/>
          <w:b/>
          <w:bCs/>
          <w:sz w:val="24"/>
        </w:rPr>
        <w:t>3 标准制定的依据及思路</w:t>
      </w:r>
      <w:r>
        <w:rPr>
          <w:b/>
          <w:bCs/>
          <w:sz w:val="24"/>
        </w:rPr>
        <w:tab/>
      </w:r>
      <w:r>
        <w:rPr>
          <w:b/>
          <w:bCs/>
          <w:sz w:val="24"/>
        </w:rPr>
        <w:fldChar w:fldCharType="begin"/>
      </w:r>
      <w:r>
        <w:rPr>
          <w:b/>
          <w:bCs/>
          <w:sz w:val="24"/>
        </w:rPr>
        <w:instrText xml:space="preserve"> PAGEREF _Toc7097 </w:instrText>
      </w:r>
      <w:r>
        <w:rPr>
          <w:b/>
          <w:bCs/>
          <w:sz w:val="24"/>
        </w:rPr>
        <w:fldChar w:fldCharType="separate"/>
      </w:r>
      <w:r>
        <w:rPr>
          <w:b/>
          <w:bCs/>
          <w:sz w:val="24"/>
        </w:rPr>
        <w:t>7</w:t>
      </w:r>
      <w:r>
        <w:rPr>
          <w:b/>
          <w:bCs/>
          <w:sz w:val="24"/>
        </w:rPr>
        <w:fldChar w:fldCharType="end"/>
      </w:r>
      <w:r>
        <w:rPr>
          <w:b/>
          <w:bCs/>
          <w:sz w:val="24"/>
        </w:rPr>
        <w:fldChar w:fldCharType="end"/>
      </w:r>
    </w:p>
    <w:p>
      <w:pPr>
        <w:pStyle w:val="11"/>
        <w:tabs>
          <w:tab w:val="right" w:leader="dot" w:pos="8306"/>
        </w:tabs>
        <w:spacing w:line="360" w:lineRule="auto"/>
        <w:rPr>
          <w:b/>
          <w:bCs/>
          <w:sz w:val="24"/>
        </w:rPr>
      </w:pPr>
      <w:r>
        <w:fldChar w:fldCharType="begin"/>
      </w:r>
      <w:r>
        <w:instrText xml:space="preserve"> HYPERLINK \l "_Toc16335" </w:instrText>
      </w:r>
      <w:r>
        <w:fldChar w:fldCharType="separate"/>
      </w:r>
      <w:r>
        <w:rPr>
          <w:rFonts w:hint="eastAsia"/>
          <w:b/>
          <w:bCs/>
          <w:sz w:val="24"/>
        </w:rPr>
        <w:t>3.1 样品的采集及标准溶液的配制与储存</w:t>
      </w:r>
      <w:r>
        <w:rPr>
          <w:b/>
          <w:bCs/>
          <w:sz w:val="24"/>
        </w:rPr>
        <w:tab/>
      </w:r>
      <w:r>
        <w:rPr>
          <w:b/>
          <w:bCs/>
          <w:sz w:val="24"/>
        </w:rPr>
        <w:fldChar w:fldCharType="begin"/>
      </w:r>
      <w:r>
        <w:rPr>
          <w:b/>
          <w:bCs/>
          <w:sz w:val="24"/>
        </w:rPr>
        <w:instrText xml:space="preserve"> PAGEREF _Toc16335 </w:instrText>
      </w:r>
      <w:r>
        <w:rPr>
          <w:b/>
          <w:bCs/>
          <w:sz w:val="24"/>
        </w:rPr>
        <w:fldChar w:fldCharType="separate"/>
      </w:r>
      <w:r>
        <w:rPr>
          <w:b/>
          <w:bCs/>
          <w:sz w:val="24"/>
        </w:rPr>
        <w:t>7</w:t>
      </w:r>
      <w:r>
        <w:rPr>
          <w:b/>
          <w:bCs/>
          <w:sz w:val="24"/>
        </w:rPr>
        <w:fldChar w:fldCharType="end"/>
      </w:r>
      <w:r>
        <w:rPr>
          <w:b/>
          <w:bCs/>
          <w:sz w:val="24"/>
        </w:rPr>
        <w:fldChar w:fldCharType="end"/>
      </w:r>
    </w:p>
    <w:p>
      <w:pPr>
        <w:pStyle w:val="11"/>
        <w:tabs>
          <w:tab w:val="right" w:leader="dot" w:pos="8306"/>
        </w:tabs>
        <w:spacing w:line="360" w:lineRule="auto"/>
        <w:rPr>
          <w:b/>
          <w:bCs/>
          <w:sz w:val="24"/>
        </w:rPr>
      </w:pPr>
      <w:r>
        <w:fldChar w:fldCharType="begin"/>
      </w:r>
      <w:r>
        <w:instrText xml:space="preserve"> HYPERLINK \l "_Toc15720" </w:instrText>
      </w:r>
      <w:r>
        <w:fldChar w:fldCharType="separate"/>
      </w:r>
      <w:r>
        <w:rPr>
          <w:rFonts w:hint="eastAsia"/>
          <w:b/>
          <w:bCs/>
          <w:sz w:val="24"/>
        </w:rPr>
        <w:t>3.2 水样预处理条件的确定</w:t>
      </w:r>
      <w:r>
        <w:rPr>
          <w:b/>
          <w:bCs/>
          <w:sz w:val="24"/>
        </w:rPr>
        <w:tab/>
      </w:r>
      <w:r>
        <w:rPr>
          <w:b/>
          <w:bCs/>
          <w:sz w:val="24"/>
        </w:rPr>
        <w:fldChar w:fldCharType="begin"/>
      </w:r>
      <w:r>
        <w:rPr>
          <w:b/>
          <w:bCs/>
          <w:sz w:val="24"/>
        </w:rPr>
        <w:instrText xml:space="preserve"> PAGEREF _Toc15720 </w:instrText>
      </w:r>
      <w:r>
        <w:rPr>
          <w:b/>
          <w:bCs/>
          <w:sz w:val="24"/>
        </w:rPr>
        <w:fldChar w:fldCharType="separate"/>
      </w:r>
      <w:r>
        <w:rPr>
          <w:b/>
          <w:bCs/>
          <w:sz w:val="24"/>
        </w:rPr>
        <w:t>7</w:t>
      </w:r>
      <w:r>
        <w:rPr>
          <w:b/>
          <w:bCs/>
          <w:sz w:val="24"/>
        </w:rPr>
        <w:fldChar w:fldCharType="end"/>
      </w:r>
      <w:r>
        <w:rPr>
          <w:b/>
          <w:bCs/>
          <w:sz w:val="24"/>
        </w:rPr>
        <w:fldChar w:fldCharType="end"/>
      </w:r>
    </w:p>
    <w:p>
      <w:pPr>
        <w:pStyle w:val="11"/>
        <w:tabs>
          <w:tab w:val="right" w:leader="dot" w:pos="8306"/>
        </w:tabs>
        <w:spacing w:line="360" w:lineRule="auto"/>
        <w:rPr>
          <w:b/>
          <w:bCs/>
          <w:sz w:val="24"/>
        </w:rPr>
      </w:pPr>
      <w:r>
        <w:fldChar w:fldCharType="begin"/>
      </w:r>
      <w:r>
        <w:instrText xml:space="preserve"> HYPERLINK \l "_Toc5695" </w:instrText>
      </w:r>
      <w:r>
        <w:fldChar w:fldCharType="separate"/>
      </w:r>
      <w:r>
        <w:rPr>
          <w:rFonts w:hint="eastAsia"/>
          <w:b/>
          <w:bCs/>
          <w:sz w:val="24"/>
        </w:rPr>
        <w:t>3.3 固相萃取条件的优化</w:t>
      </w:r>
      <w:r>
        <w:rPr>
          <w:b/>
          <w:bCs/>
          <w:sz w:val="24"/>
        </w:rPr>
        <w:tab/>
      </w:r>
      <w:r>
        <w:rPr>
          <w:b/>
          <w:bCs/>
          <w:sz w:val="24"/>
        </w:rPr>
        <w:fldChar w:fldCharType="begin"/>
      </w:r>
      <w:r>
        <w:rPr>
          <w:b/>
          <w:bCs/>
          <w:sz w:val="24"/>
        </w:rPr>
        <w:instrText xml:space="preserve"> PAGEREF _Toc5695 </w:instrText>
      </w:r>
      <w:r>
        <w:rPr>
          <w:b/>
          <w:bCs/>
          <w:sz w:val="24"/>
        </w:rPr>
        <w:fldChar w:fldCharType="separate"/>
      </w:r>
      <w:r>
        <w:rPr>
          <w:b/>
          <w:bCs/>
          <w:sz w:val="24"/>
        </w:rPr>
        <w:t>8</w:t>
      </w:r>
      <w:r>
        <w:rPr>
          <w:b/>
          <w:bCs/>
          <w:sz w:val="24"/>
        </w:rPr>
        <w:fldChar w:fldCharType="end"/>
      </w:r>
      <w:r>
        <w:rPr>
          <w:b/>
          <w:bCs/>
          <w:sz w:val="24"/>
        </w:rPr>
        <w:fldChar w:fldCharType="end"/>
      </w:r>
    </w:p>
    <w:p>
      <w:pPr>
        <w:pStyle w:val="6"/>
        <w:tabs>
          <w:tab w:val="right" w:leader="dot" w:pos="8306"/>
        </w:tabs>
        <w:spacing w:line="360" w:lineRule="auto"/>
        <w:rPr>
          <w:b/>
          <w:bCs/>
          <w:sz w:val="24"/>
        </w:rPr>
      </w:pPr>
      <w:r>
        <w:fldChar w:fldCharType="begin"/>
      </w:r>
      <w:r>
        <w:instrText xml:space="preserve"> HYPERLINK \l "_Toc10564" </w:instrText>
      </w:r>
      <w:r>
        <w:fldChar w:fldCharType="separate"/>
      </w:r>
      <w:r>
        <w:rPr>
          <w:rFonts w:hint="eastAsia"/>
          <w:b/>
          <w:bCs/>
          <w:sz w:val="24"/>
        </w:rPr>
        <w:t>3.3.1 固相萃取柱的选择</w:t>
      </w:r>
      <w:r>
        <w:rPr>
          <w:b/>
          <w:bCs/>
          <w:sz w:val="24"/>
        </w:rPr>
        <w:tab/>
      </w:r>
      <w:r>
        <w:rPr>
          <w:b/>
          <w:bCs/>
          <w:sz w:val="24"/>
        </w:rPr>
        <w:fldChar w:fldCharType="begin"/>
      </w:r>
      <w:r>
        <w:rPr>
          <w:b/>
          <w:bCs/>
          <w:sz w:val="24"/>
        </w:rPr>
        <w:instrText xml:space="preserve"> PAGEREF _Toc10564 </w:instrText>
      </w:r>
      <w:r>
        <w:rPr>
          <w:b/>
          <w:bCs/>
          <w:sz w:val="24"/>
        </w:rPr>
        <w:fldChar w:fldCharType="separate"/>
      </w:r>
      <w:r>
        <w:rPr>
          <w:b/>
          <w:bCs/>
          <w:sz w:val="24"/>
        </w:rPr>
        <w:t>9</w:t>
      </w:r>
      <w:r>
        <w:rPr>
          <w:b/>
          <w:bCs/>
          <w:sz w:val="24"/>
        </w:rPr>
        <w:fldChar w:fldCharType="end"/>
      </w:r>
      <w:r>
        <w:rPr>
          <w:b/>
          <w:bCs/>
          <w:sz w:val="24"/>
        </w:rPr>
        <w:fldChar w:fldCharType="end"/>
      </w:r>
    </w:p>
    <w:p>
      <w:pPr>
        <w:pStyle w:val="6"/>
        <w:tabs>
          <w:tab w:val="right" w:leader="dot" w:pos="8306"/>
        </w:tabs>
        <w:spacing w:line="360" w:lineRule="auto"/>
        <w:rPr>
          <w:b/>
          <w:bCs/>
          <w:sz w:val="24"/>
        </w:rPr>
      </w:pPr>
      <w:r>
        <w:fldChar w:fldCharType="begin"/>
      </w:r>
      <w:r>
        <w:instrText xml:space="preserve"> HYPERLINK \l "_Toc20734" </w:instrText>
      </w:r>
      <w:r>
        <w:fldChar w:fldCharType="separate"/>
      </w:r>
      <w:r>
        <w:rPr>
          <w:rFonts w:hint="eastAsia"/>
          <w:b/>
          <w:bCs/>
          <w:sz w:val="24"/>
        </w:rPr>
        <w:t>3.3.2 洗脱剂的选择</w:t>
      </w:r>
      <w:r>
        <w:rPr>
          <w:b/>
          <w:bCs/>
          <w:sz w:val="24"/>
        </w:rPr>
        <w:tab/>
      </w:r>
      <w:r>
        <w:rPr>
          <w:b/>
          <w:bCs/>
          <w:sz w:val="24"/>
        </w:rPr>
        <w:fldChar w:fldCharType="begin"/>
      </w:r>
      <w:r>
        <w:rPr>
          <w:b/>
          <w:bCs/>
          <w:sz w:val="24"/>
        </w:rPr>
        <w:instrText xml:space="preserve"> PAGEREF _Toc20734 </w:instrText>
      </w:r>
      <w:r>
        <w:rPr>
          <w:b/>
          <w:bCs/>
          <w:sz w:val="24"/>
        </w:rPr>
        <w:fldChar w:fldCharType="separate"/>
      </w:r>
      <w:r>
        <w:rPr>
          <w:b/>
          <w:bCs/>
          <w:sz w:val="24"/>
        </w:rPr>
        <w:t>10</w:t>
      </w:r>
      <w:r>
        <w:rPr>
          <w:b/>
          <w:bCs/>
          <w:sz w:val="24"/>
        </w:rPr>
        <w:fldChar w:fldCharType="end"/>
      </w:r>
      <w:r>
        <w:rPr>
          <w:b/>
          <w:bCs/>
          <w:sz w:val="24"/>
        </w:rPr>
        <w:fldChar w:fldCharType="end"/>
      </w:r>
    </w:p>
    <w:p>
      <w:pPr>
        <w:pStyle w:val="6"/>
        <w:tabs>
          <w:tab w:val="right" w:leader="dot" w:pos="8306"/>
        </w:tabs>
        <w:spacing w:line="360" w:lineRule="auto"/>
        <w:rPr>
          <w:b/>
          <w:bCs/>
          <w:sz w:val="24"/>
        </w:rPr>
      </w:pPr>
      <w:r>
        <w:fldChar w:fldCharType="begin"/>
      </w:r>
      <w:r>
        <w:instrText xml:space="preserve"> HYPERLINK \l "_Toc19404" </w:instrText>
      </w:r>
      <w:r>
        <w:fldChar w:fldCharType="separate"/>
      </w:r>
      <w:r>
        <w:rPr>
          <w:rFonts w:hint="eastAsia"/>
          <w:b/>
          <w:bCs/>
          <w:sz w:val="24"/>
        </w:rPr>
        <w:t>3.3.3 洗脱剂的用量</w:t>
      </w:r>
      <w:r>
        <w:rPr>
          <w:b/>
          <w:bCs/>
          <w:sz w:val="24"/>
        </w:rPr>
        <w:tab/>
      </w:r>
      <w:r>
        <w:rPr>
          <w:b/>
          <w:bCs/>
          <w:sz w:val="24"/>
        </w:rPr>
        <w:fldChar w:fldCharType="begin"/>
      </w:r>
      <w:r>
        <w:rPr>
          <w:b/>
          <w:bCs/>
          <w:sz w:val="24"/>
        </w:rPr>
        <w:instrText xml:space="preserve"> PAGEREF _Toc19404 </w:instrText>
      </w:r>
      <w:r>
        <w:rPr>
          <w:b/>
          <w:bCs/>
          <w:sz w:val="24"/>
        </w:rPr>
        <w:fldChar w:fldCharType="separate"/>
      </w:r>
      <w:r>
        <w:rPr>
          <w:b/>
          <w:bCs/>
          <w:sz w:val="24"/>
        </w:rPr>
        <w:t>10</w:t>
      </w:r>
      <w:r>
        <w:rPr>
          <w:b/>
          <w:bCs/>
          <w:sz w:val="24"/>
        </w:rPr>
        <w:fldChar w:fldCharType="end"/>
      </w:r>
      <w:r>
        <w:rPr>
          <w:b/>
          <w:bCs/>
          <w:sz w:val="24"/>
        </w:rPr>
        <w:fldChar w:fldCharType="end"/>
      </w:r>
    </w:p>
    <w:p>
      <w:pPr>
        <w:pStyle w:val="11"/>
        <w:tabs>
          <w:tab w:val="right" w:leader="dot" w:pos="8306"/>
        </w:tabs>
        <w:spacing w:line="360" w:lineRule="auto"/>
        <w:rPr>
          <w:b/>
          <w:bCs/>
          <w:sz w:val="24"/>
        </w:rPr>
      </w:pPr>
      <w:r>
        <w:fldChar w:fldCharType="begin"/>
      </w:r>
      <w:r>
        <w:instrText xml:space="preserve"> HYPERLINK \l "_Toc2542" </w:instrText>
      </w:r>
      <w:r>
        <w:fldChar w:fldCharType="separate"/>
      </w:r>
      <w:r>
        <w:rPr>
          <w:rFonts w:hint="eastAsia"/>
          <w:b/>
          <w:bCs/>
          <w:sz w:val="24"/>
        </w:rPr>
        <w:t>3.4 色谱质谱条件的优化</w:t>
      </w:r>
      <w:r>
        <w:rPr>
          <w:b/>
          <w:bCs/>
          <w:sz w:val="24"/>
        </w:rPr>
        <w:tab/>
      </w:r>
      <w:r>
        <w:rPr>
          <w:b/>
          <w:bCs/>
          <w:sz w:val="24"/>
        </w:rPr>
        <w:fldChar w:fldCharType="begin"/>
      </w:r>
      <w:r>
        <w:rPr>
          <w:b/>
          <w:bCs/>
          <w:sz w:val="24"/>
        </w:rPr>
        <w:instrText xml:space="preserve"> PAGEREF _Toc2542 </w:instrText>
      </w:r>
      <w:r>
        <w:rPr>
          <w:b/>
          <w:bCs/>
          <w:sz w:val="24"/>
        </w:rPr>
        <w:fldChar w:fldCharType="separate"/>
      </w:r>
      <w:r>
        <w:rPr>
          <w:b/>
          <w:bCs/>
          <w:sz w:val="24"/>
        </w:rPr>
        <w:t>11</w:t>
      </w:r>
      <w:r>
        <w:rPr>
          <w:b/>
          <w:bCs/>
          <w:sz w:val="24"/>
        </w:rPr>
        <w:fldChar w:fldCharType="end"/>
      </w:r>
      <w:r>
        <w:rPr>
          <w:b/>
          <w:bCs/>
          <w:sz w:val="24"/>
        </w:rPr>
        <w:fldChar w:fldCharType="end"/>
      </w:r>
    </w:p>
    <w:p>
      <w:pPr>
        <w:pStyle w:val="6"/>
        <w:tabs>
          <w:tab w:val="right" w:leader="dot" w:pos="8306"/>
        </w:tabs>
        <w:spacing w:line="360" w:lineRule="auto"/>
        <w:rPr>
          <w:b/>
          <w:bCs/>
          <w:sz w:val="24"/>
        </w:rPr>
      </w:pPr>
      <w:r>
        <w:fldChar w:fldCharType="begin"/>
      </w:r>
      <w:r>
        <w:instrText xml:space="preserve"> HYPERLINK \l "_Toc915" </w:instrText>
      </w:r>
      <w:r>
        <w:fldChar w:fldCharType="separate"/>
      </w:r>
      <w:r>
        <w:rPr>
          <w:rFonts w:hint="eastAsia"/>
          <w:b/>
          <w:bCs/>
          <w:sz w:val="24"/>
        </w:rPr>
        <w:t>3.4.1色谱条件</w:t>
      </w:r>
      <w:r>
        <w:rPr>
          <w:b/>
          <w:bCs/>
          <w:sz w:val="24"/>
        </w:rPr>
        <w:tab/>
      </w:r>
      <w:r>
        <w:rPr>
          <w:b/>
          <w:bCs/>
          <w:sz w:val="24"/>
        </w:rPr>
        <w:fldChar w:fldCharType="begin"/>
      </w:r>
      <w:r>
        <w:rPr>
          <w:b/>
          <w:bCs/>
          <w:sz w:val="24"/>
        </w:rPr>
        <w:instrText xml:space="preserve"> PAGEREF _Toc915 </w:instrText>
      </w:r>
      <w:r>
        <w:rPr>
          <w:b/>
          <w:bCs/>
          <w:sz w:val="24"/>
        </w:rPr>
        <w:fldChar w:fldCharType="separate"/>
      </w:r>
      <w:r>
        <w:rPr>
          <w:b/>
          <w:bCs/>
          <w:sz w:val="24"/>
        </w:rPr>
        <w:t>11</w:t>
      </w:r>
      <w:r>
        <w:rPr>
          <w:b/>
          <w:bCs/>
          <w:sz w:val="24"/>
        </w:rPr>
        <w:fldChar w:fldCharType="end"/>
      </w:r>
      <w:r>
        <w:rPr>
          <w:b/>
          <w:bCs/>
          <w:sz w:val="24"/>
        </w:rPr>
        <w:fldChar w:fldCharType="end"/>
      </w:r>
    </w:p>
    <w:p>
      <w:pPr>
        <w:pStyle w:val="6"/>
        <w:tabs>
          <w:tab w:val="right" w:leader="dot" w:pos="8306"/>
        </w:tabs>
        <w:spacing w:line="360" w:lineRule="auto"/>
        <w:rPr>
          <w:b/>
          <w:bCs/>
          <w:sz w:val="24"/>
        </w:rPr>
      </w:pPr>
      <w:r>
        <w:fldChar w:fldCharType="begin"/>
      </w:r>
      <w:r>
        <w:instrText xml:space="preserve"> HYPERLINK \l "_Toc31602" </w:instrText>
      </w:r>
      <w:r>
        <w:fldChar w:fldCharType="separate"/>
      </w:r>
      <w:r>
        <w:rPr>
          <w:rFonts w:hint="eastAsia"/>
          <w:b/>
          <w:bCs/>
          <w:sz w:val="24"/>
        </w:rPr>
        <w:t>3.4.2质谱条件</w:t>
      </w:r>
      <w:r>
        <w:rPr>
          <w:b/>
          <w:bCs/>
          <w:sz w:val="24"/>
        </w:rPr>
        <w:tab/>
      </w:r>
      <w:r>
        <w:rPr>
          <w:b/>
          <w:bCs/>
          <w:sz w:val="24"/>
        </w:rPr>
        <w:fldChar w:fldCharType="begin"/>
      </w:r>
      <w:r>
        <w:rPr>
          <w:b/>
          <w:bCs/>
          <w:sz w:val="24"/>
        </w:rPr>
        <w:instrText xml:space="preserve"> PAGEREF _Toc31602 </w:instrText>
      </w:r>
      <w:r>
        <w:rPr>
          <w:b/>
          <w:bCs/>
          <w:sz w:val="24"/>
        </w:rPr>
        <w:fldChar w:fldCharType="separate"/>
      </w:r>
      <w:r>
        <w:rPr>
          <w:b/>
          <w:bCs/>
          <w:sz w:val="24"/>
        </w:rPr>
        <w:t>13</w:t>
      </w:r>
      <w:r>
        <w:rPr>
          <w:b/>
          <w:bCs/>
          <w:sz w:val="24"/>
        </w:rPr>
        <w:fldChar w:fldCharType="end"/>
      </w:r>
      <w:r>
        <w:rPr>
          <w:b/>
          <w:bCs/>
          <w:sz w:val="24"/>
        </w:rPr>
        <w:fldChar w:fldCharType="end"/>
      </w:r>
    </w:p>
    <w:p>
      <w:pPr>
        <w:pStyle w:val="10"/>
        <w:tabs>
          <w:tab w:val="right" w:leader="dot" w:pos="8306"/>
        </w:tabs>
        <w:spacing w:line="360" w:lineRule="auto"/>
        <w:rPr>
          <w:b/>
          <w:bCs/>
          <w:sz w:val="24"/>
        </w:rPr>
      </w:pPr>
      <w:r>
        <w:fldChar w:fldCharType="begin"/>
      </w:r>
      <w:r>
        <w:instrText xml:space="preserve"> HYPERLINK \l "_Toc8861" </w:instrText>
      </w:r>
      <w:r>
        <w:fldChar w:fldCharType="separate"/>
      </w:r>
      <w:r>
        <w:rPr>
          <w:rFonts w:hint="eastAsia"/>
          <w:b/>
          <w:bCs/>
          <w:sz w:val="24"/>
        </w:rPr>
        <w:t>4 方法的效能指标</w:t>
      </w:r>
      <w:r>
        <w:rPr>
          <w:b/>
          <w:bCs/>
          <w:sz w:val="24"/>
        </w:rPr>
        <w:tab/>
      </w:r>
      <w:r>
        <w:rPr>
          <w:b/>
          <w:bCs/>
          <w:sz w:val="24"/>
        </w:rPr>
        <w:fldChar w:fldCharType="begin"/>
      </w:r>
      <w:r>
        <w:rPr>
          <w:b/>
          <w:bCs/>
          <w:sz w:val="24"/>
        </w:rPr>
        <w:instrText xml:space="preserve"> PAGEREF _Toc8861 </w:instrText>
      </w:r>
      <w:r>
        <w:rPr>
          <w:b/>
          <w:bCs/>
          <w:sz w:val="24"/>
        </w:rPr>
        <w:fldChar w:fldCharType="separate"/>
      </w:r>
      <w:r>
        <w:rPr>
          <w:b/>
          <w:bCs/>
          <w:sz w:val="24"/>
        </w:rPr>
        <w:t>14</w:t>
      </w:r>
      <w:r>
        <w:rPr>
          <w:b/>
          <w:bCs/>
          <w:sz w:val="24"/>
        </w:rPr>
        <w:fldChar w:fldCharType="end"/>
      </w:r>
      <w:r>
        <w:rPr>
          <w:b/>
          <w:bCs/>
          <w:sz w:val="24"/>
        </w:rPr>
        <w:fldChar w:fldCharType="end"/>
      </w:r>
    </w:p>
    <w:p>
      <w:pPr>
        <w:pStyle w:val="11"/>
        <w:tabs>
          <w:tab w:val="right" w:leader="dot" w:pos="8306"/>
        </w:tabs>
        <w:spacing w:line="360" w:lineRule="auto"/>
        <w:rPr>
          <w:b/>
          <w:bCs/>
          <w:sz w:val="24"/>
        </w:rPr>
      </w:pPr>
      <w:r>
        <w:fldChar w:fldCharType="begin"/>
      </w:r>
      <w:r>
        <w:instrText xml:space="preserve"> HYPERLINK \l "_Toc2359" </w:instrText>
      </w:r>
      <w:r>
        <w:fldChar w:fldCharType="separate"/>
      </w:r>
      <w:r>
        <w:rPr>
          <w:rFonts w:hint="eastAsia"/>
          <w:b/>
          <w:bCs/>
          <w:sz w:val="24"/>
        </w:rPr>
        <w:t>4.1 方法的定量限</w:t>
      </w:r>
      <w:r>
        <w:rPr>
          <w:b/>
          <w:bCs/>
          <w:sz w:val="24"/>
        </w:rPr>
        <w:tab/>
      </w:r>
      <w:r>
        <w:rPr>
          <w:b/>
          <w:bCs/>
          <w:sz w:val="24"/>
        </w:rPr>
        <w:fldChar w:fldCharType="begin"/>
      </w:r>
      <w:r>
        <w:rPr>
          <w:b/>
          <w:bCs/>
          <w:sz w:val="24"/>
        </w:rPr>
        <w:instrText xml:space="preserve"> PAGEREF _Toc2359 </w:instrText>
      </w:r>
      <w:r>
        <w:rPr>
          <w:b/>
          <w:bCs/>
          <w:sz w:val="24"/>
        </w:rPr>
        <w:fldChar w:fldCharType="separate"/>
      </w:r>
      <w:r>
        <w:rPr>
          <w:b/>
          <w:bCs/>
          <w:sz w:val="24"/>
        </w:rPr>
        <w:t>14</w:t>
      </w:r>
      <w:r>
        <w:rPr>
          <w:b/>
          <w:bCs/>
          <w:sz w:val="24"/>
        </w:rPr>
        <w:fldChar w:fldCharType="end"/>
      </w:r>
      <w:r>
        <w:rPr>
          <w:b/>
          <w:bCs/>
          <w:sz w:val="24"/>
        </w:rPr>
        <w:fldChar w:fldCharType="end"/>
      </w:r>
    </w:p>
    <w:p>
      <w:pPr>
        <w:pStyle w:val="11"/>
        <w:tabs>
          <w:tab w:val="right" w:leader="dot" w:pos="8306"/>
        </w:tabs>
        <w:spacing w:line="360" w:lineRule="auto"/>
        <w:rPr>
          <w:b/>
          <w:bCs/>
          <w:sz w:val="24"/>
        </w:rPr>
      </w:pPr>
      <w:r>
        <w:fldChar w:fldCharType="begin"/>
      </w:r>
      <w:r>
        <w:instrText xml:space="preserve"> HYPERLINK \l "_Toc26570" </w:instrText>
      </w:r>
      <w:r>
        <w:fldChar w:fldCharType="separate"/>
      </w:r>
      <w:r>
        <w:rPr>
          <w:rFonts w:hint="eastAsia"/>
          <w:b/>
          <w:bCs/>
          <w:sz w:val="24"/>
        </w:rPr>
        <w:t>4.2 方法的线性范围</w:t>
      </w:r>
      <w:r>
        <w:rPr>
          <w:b/>
          <w:bCs/>
          <w:sz w:val="24"/>
        </w:rPr>
        <w:tab/>
      </w:r>
      <w:r>
        <w:rPr>
          <w:b/>
          <w:bCs/>
          <w:sz w:val="24"/>
        </w:rPr>
        <w:fldChar w:fldCharType="begin"/>
      </w:r>
      <w:r>
        <w:rPr>
          <w:b/>
          <w:bCs/>
          <w:sz w:val="24"/>
        </w:rPr>
        <w:instrText xml:space="preserve"> PAGEREF _Toc26570 </w:instrText>
      </w:r>
      <w:r>
        <w:rPr>
          <w:b/>
          <w:bCs/>
          <w:sz w:val="24"/>
        </w:rPr>
        <w:fldChar w:fldCharType="separate"/>
      </w:r>
      <w:r>
        <w:rPr>
          <w:b/>
          <w:bCs/>
          <w:sz w:val="24"/>
        </w:rPr>
        <w:t>15</w:t>
      </w:r>
      <w:r>
        <w:rPr>
          <w:b/>
          <w:bCs/>
          <w:sz w:val="24"/>
        </w:rPr>
        <w:fldChar w:fldCharType="end"/>
      </w:r>
      <w:r>
        <w:rPr>
          <w:b/>
          <w:bCs/>
          <w:sz w:val="24"/>
        </w:rPr>
        <w:fldChar w:fldCharType="end"/>
      </w:r>
    </w:p>
    <w:p>
      <w:pPr>
        <w:pStyle w:val="11"/>
        <w:tabs>
          <w:tab w:val="right" w:leader="dot" w:pos="8306"/>
        </w:tabs>
        <w:spacing w:line="360" w:lineRule="auto"/>
        <w:rPr>
          <w:b/>
          <w:bCs/>
          <w:sz w:val="24"/>
        </w:rPr>
      </w:pPr>
      <w:r>
        <w:fldChar w:fldCharType="begin"/>
      </w:r>
      <w:r>
        <w:instrText xml:space="preserve"> HYPERLINK \l "_Toc24794" </w:instrText>
      </w:r>
      <w:r>
        <w:fldChar w:fldCharType="separate"/>
      </w:r>
      <w:r>
        <w:rPr>
          <w:rFonts w:hint="eastAsia"/>
          <w:b/>
          <w:bCs/>
          <w:sz w:val="24"/>
        </w:rPr>
        <w:t>4.3 方法的准确度、精密度与适用范围</w:t>
      </w:r>
      <w:r>
        <w:rPr>
          <w:b/>
          <w:bCs/>
          <w:sz w:val="24"/>
        </w:rPr>
        <w:tab/>
      </w:r>
      <w:r>
        <w:rPr>
          <w:b/>
          <w:bCs/>
          <w:sz w:val="24"/>
        </w:rPr>
        <w:fldChar w:fldCharType="begin"/>
      </w:r>
      <w:r>
        <w:rPr>
          <w:b/>
          <w:bCs/>
          <w:sz w:val="24"/>
        </w:rPr>
        <w:instrText xml:space="preserve"> PAGEREF _Toc24794 </w:instrText>
      </w:r>
      <w:r>
        <w:rPr>
          <w:b/>
          <w:bCs/>
          <w:sz w:val="24"/>
        </w:rPr>
        <w:fldChar w:fldCharType="separate"/>
      </w:r>
      <w:r>
        <w:rPr>
          <w:b/>
          <w:bCs/>
          <w:sz w:val="24"/>
        </w:rPr>
        <w:t>16</w:t>
      </w:r>
      <w:r>
        <w:rPr>
          <w:b/>
          <w:bCs/>
          <w:sz w:val="24"/>
        </w:rPr>
        <w:fldChar w:fldCharType="end"/>
      </w:r>
      <w:r>
        <w:rPr>
          <w:b/>
          <w:bCs/>
          <w:sz w:val="24"/>
        </w:rPr>
        <w:fldChar w:fldCharType="end"/>
      </w:r>
    </w:p>
    <w:p>
      <w:pPr>
        <w:pStyle w:val="11"/>
        <w:tabs>
          <w:tab w:val="right" w:leader="dot" w:pos="8306"/>
        </w:tabs>
        <w:spacing w:line="360" w:lineRule="auto"/>
        <w:rPr>
          <w:b/>
          <w:bCs/>
          <w:sz w:val="24"/>
        </w:rPr>
      </w:pPr>
      <w:r>
        <w:fldChar w:fldCharType="begin"/>
      </w:r>
      <w:r>
        <w:instrText xml:space="preserve"> HYPERLINK \l "_Toc4991" </w:instrText>
      </w:r>
      <w:r>
        <w:fldChar w:fldCharType="separate"/>
      </w:r>
      <w:r>
        <w:rPr>
          <w:rFonts w:hint="eastAsia"/>
          <w:b/>
          <w:bCs/>
          <w:sz w:val="24"/>
        </w:rPr>
        <w:t>4.4 与</w:t>
      </w:r>
      <w:r>
        <w:rPr>
          <w:b/>
          <w:bCs/>
          <w:sz w:val="24"/>
        </w:rPr>
        <w:t>HJ 591-2010</w:t>
      </w:r>
      <w:r>
        <w:rPr>
          <w:rFonts w:hint="eastAsia"/>
          <w:b/>
          <w:bCs/>
          <w:sz w:val="24"/>
        </w:rPr>
        <w:t>《水质 五氯酚的测定 气相色谱法》的比较</w:t>
      </w:r>
      <w:r>
        <w:rPr>
          <w:b/>
          <w:bCs/>
          <w:sz w:val="24"/>
        </w:rPr>
        <w:tab/>
      </w:r>
      <w:r>
        <w:rPr>
          <w:b/>
          <w:bCs/>
          <w:sz w:val="24"/>
        </w:rPr>
        <w:fldChar w:fldCharType="begin"/>
      </w:r>
      <w:r>
        <w:rPr>
          <w:b/>
          <w:bCs/>
          <w:sz w:val="24"/>
        </w:rPr>
        <w:instrText xml:space="preserve"> PAGEREF _Toc4991 </w:instrText>
      </w:r>
      <w:r>
        <w:rPr>
          <w:b/>
          <w:bCs/>
          <w:sz w:val="24"/>
        </w:rPr>
        <w:fldChar w:fldCharType="separate"/>
      </w:r>
      <w:r>
        <w:rPr>
          <w:b/>
          <w:bCs/>
          <w:sz w:val="24"/>
        </w:rPr>
        <w:t>20</w:t>
      </w:r>
      <w:r>
        <w:rPr>
          <w:b/>
          <w:bCs/>
          <w:sz w:val="24"/>
        </w:rPr>
        <w:fldChar w:fldCharType="end"/>
      </w:r>
      <w:r>
        <w:rPr>
          <w:b/>
          <w:bCs/>
          <w:sz w:val="24"/>
        </w:rPr>
        <w:fldChar w:fldCharType="end"/>
      </w:r>
    </w:p>
    <w:p>
      <w:pPr>
        <w:pStyle w:val="10"/>
        <w:tabs>
          <w:tab w:val="right" w:leader="dot" w:pos="8306"/>
        </w:tabs>
        <w:spacing w:line="360" w:lineRule="auto"/>
        <w:rPr>
          <w:b/>
          <w:bCs/>
          <w:sz w:val="24"/>
        </w:rPr>
      </w:pPr>
      <w:r>
        <w:fldChar w:fldCharType="begin"/>
      </w:r>
      <w:r>
        <w:instrText xml:space="preserve"> HYPERLINK \l "_Toc19844" </w:instrText>
      </w:r>
      <w:r>
        <w:fldChar w:fldCharType="separate"/>
      </w:r>
      <w:r>
        <w:rPr>
          <w:rFonts w:hint="eastAsia"/>
          <w:b/>
          <w:bCs/>
          <w:sz w:val="24"/>
        </w:rPr>
        <w:t>5 结论</w:t>
      </w:r>
      <w:r>
        <w:rPr>
          <w:b/>
          <w:bCs/>
          <w:sz w:val="24"/>
        </w:rPr>
        <w:tab/>
      </w:r>
      <w:r>
        <w:rPr>
          <w:b/>
          <w:bCs/>
          <w:sz w:val="24"/>
        </w:rPr>
        <w:fldChar w:fldCharType="begin"/>
      </w:r>
      <w:r>
        <w:rPr>
          <w:b/>
          <w:bCs/>
          <w:sz w:val="24"/>
        </w:rPr>
        <w:instrText xml:space="preserve"> PAGEREF _Toc19844 </w:instrText>
      </w:r>
      <w:r>
        <w:rPr>
          <w:b/>
          <w:bCs/>
          <w:sz w:val="24"/>
        </w:rPr>
        <w:fldChar w:fldCharType="separate"/>
      </w:r>
      <w:r>
        <w:rPr>
          <w:b/>
          <w:bCs/>
          <w:sz w:val="24"/>
        </w:rPr>
        <w:t>20</w:t>
      </w:r>
      <w:r>
        <w:rPr>
          <w:b/>
          <w:bCs/>
          <w:sz w:val="24"/>
        </w:rPr>
        <w:fldChar w:fldCharType="end"/>
      </w:r>
      <w:r>
        <w:rPr>
          <w:b/>
          <w:bCs/>
          <w:sz w:val="24"/>
        </w:rPr>
        <w:fldChar w:fldCharType="end"/>
      </w:r>
    </w:p>
    <w:p>
      <w:pPr>
        <w:pStyle w:val="10"/>
        <w:tabs>
          <w:tab w:val="right" w:leader="dot" w:pos="8306"/>
        </w:tabs>
        <w:spacing w:line="360" w:lineRule="auto"/>
        <w:rPr>
          <w:b/>
          <w:bCs/>
          <w:sz w:val="24"/>
        </w:rPr>
      </w:pPr>
      <w:r>
        <w:fldChar w:fldCharType="begin"/>
      </w:r>
      <w:r>
        <w:instrText xml:space="preserve"> HYPERLINK \l "_Toc26441" </w:instrText>
      </w:r>
      <w:r>
        <w:fldChar w:fldCharType="separate"/>
      </w:r>
      <w:r>
        <w:rPr>
          <w:rFonts w:hint="eastAsia"/>
          <w:b/>
          <w:bCs/>
          <w:sz w:val="24"/>
        </w:rPr>
        <w:t>6 与有关法律、法规和强制性标准的关系</w:t>
      </w:r>
      <w:r>
        <w:rPr>
          <w:b/>
          <w:bCs/>
          <w:sz w:val="24"/>
        </w:rPr>
        <w:tab/>
      </w:r>
      <w:r>
        <w:rPr>
          <w:b/>
          <w:bCs/>
          <w:sz w:val="24"/>
        </w:rPr>
        <w:fldChar w:fldCharType="begin"/>
      </w:r>
      <w:r>
        <w:rPr>
          <w:b/>
          <w:bCs/>
          <w:sz w:val="24"/>
        </w:rPr>
        <w:instrText xml:space="preserve"> PAGEREF _Toc26441 </w:instrText>
      </w:r>
      <w:r>
        <w:rPr>
          <w:b/>
          <w:bCs/>
          <w:sz w:val="24"/>
        </w:rPr>
        <w:fldChar w:fldCharType="separate"/>
      </w:r>
      <w:r>
        <w:rPr>
          <w:b/>
          <w:bCs/>
          <w:sz w:val="24"/>
        </w:rPr>
        <w:t>21</w:t>
      </w:r>
      <w:r>
        <w:rPr>
          <w:b/>
          <w:bCs/>
          <w:sz w:val="24"/>
        </w:rPr>
        <w:fldChar w:fldCharType="end"/>
      </w:r>
      <w:r>
        <w:rPr>
          <w:b/>
          <w:bCs/>
          <w:sz w:val="24"/>
        </w:rPr>
        <w:fldChar w:fldCharType="end"/>
      </w:r>
    </w:p>
    <w:p>
      <w:pPr>
        <w:pStyle w:val="10"/>
        <w:tabs>
          <w:tab w:val="right" w:leader="dot" w:pos="8306"/>
        </w:tabs>
        <w:spacing w:line="360" w:lineRule="auto"/>
        <w:rPr>
          <w:b/>
          <w:bCs/>
          <w:sz w:val="24"/>
        </w:rPr>
      </w:pPr>
      <w:r>
        <w:fldChar w:fldCharType="begin"/>
      </w:r>
      <w:r>
        <w:instrText xml:space="preserve"> HYPERLINK \l "_Toc18797" </w:instrText>
      </w:r>
      <w:r>
        <w:fldChar w:fldCharType="separate"/>
      </w:r>
      <w:r>
        <w:rPr>
          <w:rFonts w:hint="eastAsia"/>
          <w:b/>
          <w:bCs/>
          <w:sz w:val="24"/>
        </w:rPr>
        <w:t>7  作为推荐性标准的建议</w:t>
      </w:r>
      <w:r>
        <w:rPr>
          <w:b/>
          <w:bCs/>
          <w:sz w:val="24"/>
        </w:rPr>
        <w:tab/>
      </w:r>
      <w:r>
        <w:rPr>
          <w:b/>
          <w:bCs/>
          <w:sz w:val="24"/>
        </w:rPr>
        <w:fldChar w:fldCharType="begin"/>
      </w:r>
      <w:r>
        <w:rPr>
          <w:b/>
          <w:bCs/>
          <w:sz w:val="24"/>
        </w:rPr>
        <w:instrText xml:space="preserve"> PAGEREF _Toc18797 </w:instrText>
      </w:r>
      <w:r>
        <w:rPr>
          <w:b/>
          <w:bCs/>
          <w:sz w:val="24"/>
        </w:rPr>
        <w:fldChar w:fldCharType="separate"/>
      </w:r>
      <w:r>
        <w:rPr>
          <w:b/>
          <w:bCs/>
          <w:sz w:val="24"/>
        </w:rPr>
        <w:t>21</w:t>
      </w:r>
      <w:r>
        <w:rPr>
          <w:b/>
          <w:bCs/>
          <w:sz w:val="24"/>
        </w:rPr>
        <w:fldChar w:fldCharType="end"/>
      </w:r>
      <w:r>
        <w:rPr>
          <w:b/>
          <w:bCs/>
          <w:sz w:val="24"/>
        </w:rPr>
        <w:fldChar w:fldCharType="end"/>
      </w:r>
    </w:p>
    <w:p>
      <w:pPr>
        <w:pStyle w:val="10"/>
        <w:tabs>
          <w:tab w:val="right" w:leader="dot" w:pos="8306"/>
        </w:tabs>
        <w:spacing w:line="360" w:lineRule="auto"/>
        <w:rPr>
          <w:b/>
          <w:bCs/>
        </w:rPr>
      </w:pPr>
      <w:r>
        <w:fldChar w:fldCharType="begin"/>
      </w:r>
      <w:r>
        <w:instrText xml:space="preserve"> HYPERLINK \l "_Toc16348" </w:instrText>
      </w:r>
      <w:r>
        <w:fldChar w:fldCharType="separate"/>
      </w:r>
      <w:r>
        <w:rPr>
          <w:rFonts w:hint="eastAsia"/>
          <w:b/>
          <w:bCs/>
          <w:sz w:val="24"/>
        </w:rPr>
        <w:t>8  标准在编制过程中意见分歧情况</w:t>
      </w:r>
      <w:r>
        <w:rPr>
          <w:b/>
          <w:bCs/>
          <w:sz w:val="24"/>
        </w:rPr>
        <w:tab/>
      </w:r>
      <w:r>
        <w:rPr>
          <w:b/>
          <w:bCs/>
          <w:sz w:val="24"/>
        </w:rPr>
        <w:fldChar w:fldCharType="begin"/>
      </w:r>
      <w:r>
        <w:rPr>
          <w:b/>
          <w:bCs/>
          <w:sz w:val="24"/>
        </w:rPr>
        <w:instrText xml:space="preserve"> PAGEREF _Toc16348 </w:instrText>
      </w:r>
      <w:r>
        <w:rPr>
          <w:b/>
          <w:bCs/>
          <w:sz w:val="24"/>
        </w:rPr>
        <w:fldChar w:fldCharType="separate"/>
      </w:r>
      <w:r>
        <w:rPr>
          <w:b/>
          <w:bCs/>
          <w:sz w:val="24"/>
        </w:rPr>
        <w:t>21</w:t>
      </w:r>
      <w:r>
        <w:rPr>
          <w:b/>
          <w:bCs/>
          <w:sz w:val="24"/>
        </w:rPr>
        <w:fldChar w:fldCharType="end"/>
      </w:r>
      <w:r>
        <w:rPr>
          <w:b/>
          <w:bCs/>
          <w:sz w:val="24"/>
        </w:rPr>
        <w:fldChar w:fldCharType="end"/>
      </w:r>
    </w:p>
    <w:p>
      <w:pPr>
        <w:jc w:val="center"/>
        <w:rPr>
          <w:b/>
          <w:bCs/>
          <w:sz w:val="36"/>
          <w:szCs w:val="36"/>
        </w:rPr>
      </w:pPr>
      <w:r>
        <w:rPr>
          <w:rFonts w:hint="eastAsia"/>
          <w:b/>
          <w:bCs/>
          <w:szCs w:val="36"/>
        </w:rPr>
        <w:fldChar w:fldCharType="end"/>
      </w:r>
    </w:p>
    <w:p>
      <w:pPr>
        <w:jc w:val="center"/>
        <w:rPr>
          <w:sz w:val="36"/>
          <w:szCs w:val="36"/>
        </w:rPr>
      </w:pPr>
    </w:p>
    <w:p>
      <w:pPr>
        <w:rPr>
          <w:sz w:val="36"/>
          <w:szCs w:val="36"/>
        </w:rPr>
      </w:pPr>
    </w:p>
    <w:p>
      <w:pPr>
        <w:jc w:val="center"/>
        <w:rPr>
          <w:sz w:val="36"/>
          <w:szCs w:val="36"/>
        </w:rPr>
        <w:sectPr>
          <w:footerReference r:id="rId5" w:type="default"/>
          <w:pgSz w:w="11906" w:h="16838"/>
          <w:pgMar w:top="1440" w:right="1800" w:bottom="1440" w:left="1800" w:header="851" w:footer="992" w:gutter="0"/>
          <w:cols w:space="425" w:num="1"/>
          <w:docGrid w:type="lines" w:linePitch="312" w:charSpace="0"/>
        </w:sectPr>
      </w:pPr>
    </w:p>
    <w:p>
      <w:pPr>
        <w:jc w:val="center"/>
        <w:rPr>
          <w:sz w:val="36"/>
          <w:szCs w:val="36"/>
        </w:rPr>
      </w:pPr>
      <w:r>
        <w:rPr>
          <w:rFonts w:hint="eastAsia"/>
          <w:sz w:val="36"/>
          <w:szCs w:val="36"/>
        </w:rPr>
        <w:t>《</w:t>
      </w:r>
      <w:r>
        <w:rPr>
          <w:rFonts w:hint="eastAsia" w:ascii="黑体" w:hAnsi="黑体" w:eastAsia="黑体" w:cs="黑体"/>
          <w:sz w:val="36"/>
          <w:szCs w:val="36"/>
        </w:rPr>
        <w:t>湖南省地方标准 渔业水体中五氯苯酚的测定 液相色谱-串联质谱法</w:t>
      </w:r>
      <w:r>
        <w:rPr>
          <w:rFonts w:hint="eastAsia"/>
          <w:sz w:val="36"/>
          <w:szCs w:val="36"/>
        </w:rPr>
        <w:t>》</w:t>
      </w:r>
    </w:p>
    <w:p>
      <w:pPr>
        <w:spacing w:line="360" w:lineRule="auto"/>
        <w:ind w:firstLine="720" w:firstLineChars="200"/>
        <w:jc w:val="center"/>
        <w:rPr>
          <w:rFonts w:ascii="黑体" w:hAnsi="黑体" w:eastAsia="黑体" w:cs="黑体"/>
          <w:bCs/>
          <w:sz w:val="36"/>
          <w:szCs w:val="36"/>
        </w:rPr>
      </w:pPr>
      <w:r>
        <w:rPr>
          <w:rFonts w:hint="eastAsia" w:ascii="黑体" w:hAnsi="黑体" w:eastAsia="黑体" w:cs="黑体"/>
          <w:bCs/>
          <w:sz w:val="36"/>
          <w:szCs w:val="36"/>
        </w:rPr>
        <w:t>湖南省地方标准征求意见稿编制说明</w:t>
      </w:r>
    </w:p>
    <w:p>
      <w:pPr>
        <w:spacing w:line="360" w:lineRule="auto"/>
        <w:ind w:firstLine="560" w:firstLineChars="200"/>
        <w:rPr>
          <w:rFonts w:eastAsia="仿宋_GB2312"/>
          <w:sz w:val="28"/>
          <w:szCs w:val="28"/>
        </w:rPr>
      </w:pPr>
      <w:r>
        <w:rPr>
          <w:rFonts w:hint="eastAsia" w:eastAsia="仿宋_GB2312"/>
          <w:color w:val="000000" w:themeColor="text1"/>
          <w:sz w:val="28"/>
          <w:szCs w:val="28"/>
        </w:rPr>
        <w:t>根据</w:t>
      </w:r>
      <w:r>
        <w:rPr>
          <w:rFonts w:eastAsia="仿宋_GB2312"/>
          <w:color w:val="333333"/>
          <w:sz w:val="32"/>
          <w:szCs w:val="32"/>
          <w:shd w:val="clear" w:color="auto" w:fill="FFFFFF"/>
        </w:rPr>
        <w:t>《湖南省市场监督管理局关于公布</w:t>
      </w:r>
      <w:r>
        <w:rPr>
          <w:rFonts w:hint="eastAsia" w:eastAsia="仿宋_GB2312"/>
          <w:color w:val="333333"/>
          <w:sz w:val="32"/>
          <w:szCs w:val="32"/>
          <w:shd w:val="clear" w:color="auto" w:fill="FFFFFF"/>
        </w:rPr>
        <w:t>2019</w:t>
      </w:r>
      <w:r>
        <w:rPr>
          <w:rFonts w:eastAsia="仿宋_GB2312"/>
          <w:color w:val="333333"/>
          <w:sz w:val="32"/>
          <w:szCs w:val="32"/>
          <w:shd w:val="clear" w:color="auto" w:fill="FFFFFF"/>
        </w:rPr>
        <w:t>年度第</w:t>
      </w:r>
      <w:r>
        <w:rPr>
          <w:rFonts w:hint="eastAsia" w:eastAsia="仿宋_GB2312"/>
          <w:color w:val="333333"/>
          <w:sz w:val="32"/>
          <w:szCs w:val="32"/>
          <w:shd w:val="clear" w:color="auto" w:fill="FFFFFF"/>
        </w:rPr>
        <w:t>1</w:t>
      </w:r>
      <w:r>
        <w:rPr>
          <w:rFonts w:eastAsia="仿宋_GB2312"/>
          <w:color w:val="333333"/>
          <w:sz w:val="32"/>
          <w:szCs w:val="32"/>
          <w:shd w:val="clear" w:color="auto" w:fill="FFFFFF"/>
        </w:rPr>
        <w:t>批地方标准制修订项目计划的通知》（湘市监办字〔</w:t>
      </w:r>
      <w:r>
        <w:rPr>
          <w:rFonts w:hint="eastAsia" w:eastAsia="仿宋_GB2312"/>
          <w:color w:val="333333"/>
          <w:sz w:val="32"/>
          <w:szCs w:val="32"/>
          <w:shd w:val="clear" w:color="auto" w:fill="FFFFFF"/>
        </w:rPr>
        <w:t>2019</w:t>
      </w:r>
      <w:r>
        <w:rPr>
          <w:rFonts w:eastAsia="仿宋_GB2312"/>
          <w:color w:val="333333"/>
          <w:sz w:val="32"/>
          <w:szCs w:val="32"/>
          <w:shd w:val="clear" w:color="auto" w:fill="FFFFFF"/>
        </w:rPr>
        <w:t>〕</w:t>
      </w:r>
      <w:r>
        <w:rPr>
          <w:rFonts w:hint="eastAsia" w:eastAsia="仿宋_GB2312"/>
          <w:color w:val="333333"/>
          <w:sz w:val="32"/>
          <w:szCs w:val="32"/>
          <w:shd w:val="clear" w:color="auto" w:fill="FFFFFF"/>
        </w:rPr>
        <w:t>59</w:t>
      </w:r>
      <w:r>
        <w:rPr>
          <w:rFonts w:eastAsia="仿宋_GB2312"/>
          <w:color w:val="333333"/>
          <w:sz w:val="32"/>
          <w:szCs w:val="32"/>
          <w:shd w:val="clear" w:color="auto" w:fill="FFFFFF"/>
        </w:rPr>
        <w:t>号）</w:t>
      </w:r>
      <w:r>
        <w:rPr>
          <w:rFonts w:hint="eastAsia" w:eastAsia="仿宋_GB2312"/>
          <w:color w:val="333333"/>
          <w:sz w:val="32"/>
          <w:szCs w:val="32"/>
          <w:shd w:val="clear" w:color="auto" w:fill="FFFFFF"/>
        </w:rPr>
        <w:t>，</w:t>
      </w:r>
      <w:r>
        <w:rPr>
          <w:rFonts w:hint="eastAsia" w:eastAsia="仿宋_GB2312"/>
          <w:color w:val="000000" w:themeColor="text1"/>
          <w:sz w:val="28"/>
          <w:szCs w:val="28"/>
        </w:rPr>
        <w:t>湖南省水产</w:t>
      </w:r>
      <w:r>
        <w:rPr>
          <w:rFonts w:hint="eastAsia" w:eastAsia="仿宋_GB2312"/>
          <w:sz w:val="28"/>
          <w:szCs w:val="28"/>
        </w:rPr>
        <w:t>科学研究所承担“渔业水体中五氯苯酚的测定方法研究”的湖南省地方标准制定工作。本标准制定过程中的全部试验工作现已完成，标准起草小组起草了征求意见稿，现对《渔业水体中五氯苯酚的测定液相色谱-串联质谱法》征求意见稿的编制工作做如下说明：</w:t>
      </w:r>
    </w:p>
    <w:p>
      <w:pPr>
        <w:pStyle w:val="2"/>
        <w:jc w:val="left"/>
      </w:pPr>
      <w:bookmarkStart w:id="0" w:name="_Toc18829"/>
      <w:r>
        <w:rPr>
          <w:rFonts w:hint="eastAsia"/>
        </w:rPr>
        <w:t>1概述</w:t>
      </w:r>
      <w:bookmarkEnd w:id="0"/>
    </w:p>
    <w:p>
      <w:pPr>
        <w:pStyle w:val="4"/>
        <w:jc w:val="left"/>
      </w:pPr>
      <w:bookmarkStart w:id="1" w:name="_Toc13747"/>
      <w:r>
        <w:rPr>
          <w:rFonts w:hint="eastAsia"/>
        </w:rPr>
        <w:t>1.1 背景及意义</w:t>
      </w:r>
      <w:bookmarkEnd w:id="1"/>
    </w:p>
    <w:p>
      <w:pPr>
        <w:spacing w:line="360" w:lineRule="auto"/>
        <w:ind w:firstLine="560" w:firstLineChars="200"/>
        <w:rPr>
          <w:rFonts w:eastAsia="仿宋_GB2312"/>
          <w:sz w:val="28"/>
          <w:szCs w:val="28"/>
        </w:rPr>
      </w:pPr>
      <w:r>
        <w:rPr>
          <w:rFonts w:hint="eastAsia" w:eastAsia="仿宋_GB2312"/>
          <w:sz w:val="28"/>
          <w:szCs w:val="28"/>
        </w:rPr>
        <w:t>五氯苯酚(pentachlorophenol,PCP),简称五氯酚，分子式C</w:t>
      </w:r>
      <w:r>
        <w:rPr>
          <w:rFonts w:hint="eastAsia" w:eastAsia="仿宋_GB2312"/>
          <w:sz w:val="28"/>
          <w:szCs w:val="28"/>
          <w:vertAlign w:val="subscript"/>
        </w:rPr>
        <w:t>6</w:t>
      </w:r>
      <w:r>
        <w:rPr>
          <w:rFonts w:hint="eastAsia" w:eastAsia="仿宋_GB2312"/>
          <w:sz w:val="28"/>
          <w:szCs w:val="28"/>
        </w:rPr>
        <w:t>Cl</w:t>
      </w:r>
      <w:r>
        <w:rPr>
          <w:rFonts w:hint="eastAsia" w:eastAsia="仿宋_GB2312"/>
          <w:sz w:val="28"/>
          <w:szCs w:val="28"/>
          <w:vertAlign w:val="subscript"/>
        </w:rPr>
        <w:t>5</w:t>
      </w:r>
      <w:r>
        <w:rPr>
          <w:rFonts w:hint="eastAsia" w:eastAsia="仿宋_GB2312"/>
          <w:sz w:val="28"/>
          <w:szCs w:val="28"/>
        </w:rPr>
        <w:t>OH,结构式如</w:t>
      </w:r>
      <w:r>
        <w:rPr>
          <w:rFonts w:hint="eastAsia" w:eastAsia="仿宋_GB2312"/>
          <w:color w:val="FF0000"/>
          <w:sz w:val="28"/>
          <w:szCs w:val="28"/>
        </w:rPr>
        <w:t>图1</w:t>
      </w:r>
      <w:r>
        <w:rPr>
          <w:rFonts w:hint="eastAsia" w:eastAsia="仿宋_GB2312"/>
          <w:sz w:val="28"/>
          <w:szCs w:val="28"/>
        </w:rPr>
        <w:t>所示，分子量266.32,熔点191℃,沸点310℃/分解,相对密度(水=1)1.98,薄片或结晶状,有臭味,难溶于水,易溶于甲醇、丙酮、乙醚等大多数有机溶剂。五氯苯酚的pKa=4.71,在中性和碱性溶液中可解离成离子形态,而在酸性溶剂中主要以分子形态存在。</w:t>
      </w:r>
    </w:p>
    <w:p>
      <w:pPr>
        <w:spacing w:line="300" w:lineRule="auto"/>
        <w:ind w:firstLine="560" w:firstLineChars="200"/>
        <w:jc w:val="center"/>
        <w:rPr>
          <w:rFonts w:eastAsia="仿宋_GB2312"/>
          <w:sz w:val="28"/>
          <w:szCs w:val="28"/>
        </w:rPr>
      </w:pPr>
      <w:r>
        <w:rPr>
          <w:rFonts w:hint="eastAsia" w:eastAsia="仿宋_GB2312"/>
          <w:sz w:val="28"/>
          <w:szCs w:val="28"/>
        </w:rPr>
        <w:drawing>
          <wp:inline distT="0" distB="0" distL="114300" distR="114300">
            <wp:extent cx="2753360" cy="1941195"/>
            <wp:effectExtent l="0" t="0" r="8890" b="1905"/>
            <wp:docPr id="4" name="图片 4" descr="五氯苯酚结构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五氯苯酚结构式"/>
                    <pic:cNvPicPr>
                      <a:picLocks noChangeAspect="1"/>
                    </pic:cNvPicPr>
                  </pic:nvPicPr>
                  <pic:blipFill>
                    <a:blip r:embed="rId8"/>
                    <a:stretch>
                      <a:fillRect/>
                    </a:stretch>
                  </pic:blipFill>
                  <pic:spPr>
                    <a:xfrm>
                      <a:off x="0" y="0"/>
                      <a:ext cx="2753360" cy="1941195"/>
                    </a:xfrm>
                    <a:prstGeom prst="rect">
                      <a:avLst/>
                    </a:prstGeom>
                  </pic:spPr>
                </pic:pic>
              </a:graphicData>
            </a:graphic>
          </wp:inline>
        </w:drawing>
      </w:r>
    </w:p>
    <w:p>
      <w:pPr>
        <w:spacing w:line="300" w:lineRule="auto"/>
        <w:ind w:firstLine="420" w:firstLineChars="200"/>
        <w:jc w:val="center"/>
        <w:rPr>
          <w:rFonts w:eastAsia="仿宋_GB2312"/>
          <w:szCs w:val="21"/>
        </w:rPr>
      </w:pPr>
      <w:r>
        <w:rPr>
          <w:rFonts w:hint="eastAsia" w:eastAsia="仿宋_GB2312"/>
          <w:szCs w:val="21"/>
        </w:rPr>
        <w:t>图 1 五氯苯酚的结构式</w:t>
      </w:r>
    </w:p>
    <w:p>
      <w:pPr>
        <w:spacing w:line="300" w:lineRule="auto"/>
        <w:ind w:firstLine="420" w:firstLineChars="200"/>
        <w:jc w:val="center"/>
        <w:rPr>
          <w:rFonts w:eastAsia="仿宋_GB2312"/>
          <w:szCs w:val="21"/>
        </w:rPr>
      </w:pPr>
      <w:r>
        <w:rPr>
          <w:rFonts w:hint="eastAsia" w:eastAsia="仿宋_GB2312"/>
          <w:szCs w:val="21"/>
        </w:rPr>
        <w:t>Fig. 1 Chemical structures of PCP.</w:t>
      </w:r>
    </w:p>
    <w:p>
      <w:pPr>
        <w:spacing w:line="360" w:lineRule="auto"/>
        <w:ind w:firstLine="560" w:firstLineChars="200"/>
        <w:rPr>
          <w:rFonts w:eastAsia="仿宋"/>
          <w:sz w:val="28"/>
          <w:szCs w:val="28"/>
        </w:rPr>
      </w:pPr>
      <w:r>
        <w:rPr>
          <w:rFonts w:hint="eastAsia" w:eastAsia="仿宋"/>
          <w:sz w:val="28"/>
          <w:szCs w:val="28"/>
        </w:rPr>
        <w:t>五氯苯酚是一种毒性较强的氯代酚类物质,因其具有高效、杀虫谱广、成本低、使用方便等特点，自20世纪30年代以来作为杀虫剂、除草剂、木材防腐剂在全球范围内广泛使用</w:t>
      </w:r>
      <w:r>
        <w:rPr>
          <w:rFonts w:hint="eastAsia" w:eastAsia="仿宋"/>
          <w:color w:val="FF0000"/>
          <w:sz w:val="28"/>
          <w:szCs w:val="28"/>
          <w:vertAlign w:val="superscript"/>
        </w:rPr>
        <w:t>[1]</w:t>
      </w:r>
      <w:r>
        <w:rPr>
          <w:rFonts w:hint="eastAsia" w:eastAsia="仿宋"/>
          <w:sz w:val="28"/>
          <w:szCs w:val="28"/>
        </w:rPr>
        <w:t>。我国从20世纪50年代开始广泛将五氯苯酚运用于于农业及日常生活各个方面。由于其钠盐易溶于水，使用方便，60年代初曾在长江中下游的血吸虫疫区大量使用，用以杀灭寄生血吸虫的中间宿主钉螺及其它软体动物</w:t>
      </w:r>
      <w:r>
        <w:rPr>
          <w:rFonts w:hint="eastAsia" w:eastAsia="仿宋"/>
          <w:color w:val="FF0000"/>
          <w:sz w:val="28"/>
          <w:szCs w:val="28"/>
          <w:vertAlign w:val="superscript"/>
        </w:rPr>
        <w:t>[2]</w:t>
      </w:r>
      <w:r>
        <w:rPr>
          <w:rFonts w:hint="eastAsia" w:eastAsia="仿宋"/>
          <w:sz w:val="28"/>
          <w:szCs w:val="28"/>
        </w:rPr>
        <w:t>。五氯苯酚化学性质稳定,其残留物在环境中降解缓慢，容易在动植物体内富集,造成环境污染和生物蓄积。五氯苯酚对人和哺乳动物毒性大，经呼吸系统吸入或经皮肤吸收会引起内分泌紊乱、呼吸困难、肝肾损坏、不孕等病症，高剂量时可产生胚胎毒性，其存在短期明显的毒性和长期潜在的毒性作用</w:t>
      </w:r>
      <w:r>
        <w:rPr>
          <w:rFonts w:hint="eastAsia" w:eastAsia="仿宋"/>
          <w:color w:val="FF0000"/>
          <w:sz w:val="28"/>
          <w:szCs w:val="28"/>
          <w:vertAlign w:val="superscript"/>
        </w:rPr>
        <w:t>[3,4]</w:t>
      </w:r>
      <w:r>
        <w:rPr>
          <w:rFonts w:hint="eastAsia" w:eastAsia="仿宋"/>
          <w:sz w:val="28"/>
          <w:szCs w:val="28"/>
        </w:rPr>
        <w:t>。五氯苯酚对水生生物具有明显的生物毒性，尤其是鱼类和贝类，环境中较低浓度的五氯苯酚易在动植物体内富集，具有极大的潜在危害。鉴于五氯苯酚对生物的毒性和对环境的危害性，许多机构和国家将其列为禁用或限用的污染物。五氯苯酚在1991年被美国联邦列为31种最危险物质之一；国际癌症研究机构（InternationalResearch Agency for Cancer，IRAC）将五氯酚归类为2B 类致癌物；美国环境保护署（Environmental Protection Agency，EPA）将它列为优先控制的环境有机污染物、持久性有机污染物(persistent organic Pollutants，POPs)，限制其只用于木制品的防腐。欧盟于1992年起限制使用，20 世纪70-90 年代奥地利、印度、印尼、新西兰、瑞典、瑞士等国也相继将其列入禁用范围。中国农业部于2002发布了农业部第193号公告《食品动物禁用的兽药及其化合物清单》和 NY 5071-2002《无公害食品 渔用药物使用准则》，明确要求动物食品生产加工中禁用五氯苯酚。</w:t>
      </w:r>
    </w:p>
    <w:p>
      <w:pPr>
        <w:spacing w:line="360" w:lineRule="auto"/>
        <w:ind w:firstLine="560" w:firstLineChars="200"/>
        <w:rPr>
          <w:rFonts w:eastAsia="仿宋"/>
          <w:sz w:val="28"/>
          <w:szCs w:val="28"/>
        </w:rPr>
      </w:pPr>
      <w:r>
        <w:rPr>
          <w:rFonts w:hint="eastAsia" w:eastAsia="仿宋"/>
          <w:sz w:val="28"/>
          <w:szCs w:val="28"/>
        </w:rPr>
        <w:t>五氯苯酚</w:t>
      </w:r>
      <w:r>
        <w:rPr>
          <w:rFonts w:eastAsia="仿宋"/>
          <w:sz w:val="28"/>
          <w:szCs w:val="28"/>
        </w:rPr>
        <w:t>曾作为常用的杀灭血吸虫中间宿主-钉螺的药物，在长江中下游长时间施用。</w:t>
      </w:r>
      <w:r>
        <w:rPr>
          <w:rFonts w:hint="eastAsia" w:eastAsia="仿宋"/>
          <w:sz w:val="28"/>
          <w:szCs w:val="28"/>
        </w:rPr>
        <w:t>一方面，</w:t>
      </w:r>
      <w:r>
        <w:rPr>
          <w:rFonts w:eastAsia="仿宋"/>
          <w:sz w:val="28"/>
          <w:szCs w:val="28"/>
        </w:rPr>
        <w:t>由于其性质稳定，不易降解，</w:t>
      </w:r>
      <w:r>
        <w:rPr>
          <w:rFonts w:hint="eastAsia" w:eastAsia="仿宋"/>
          <w:sz w:val="28"/>
          <w:szCs w:val="28"/>
        </w:rPr>
        <w:t>不可避免的在养殖环境中产生残留，</w:t>
      </w:r>
      <w:r>
        <w:rPr>
          <w:rFonts w:eastAsia="仿宋"/>
          <w:sz w:val="28"/>
          <w:szCs w:val="28"/>
        </w:rPr>
        <w:t>前期施用的</w:t>
      </w:r>
      <w:r>
        <w:rPr>
          <w:rFonts w:hint="eastAsia" w:eastAsia="仿宋"/>
          <w:sz w:val="28"/>
          <w:szCs w:val="28"/>
        </w:rPr>
        <w:t>五氯苯酚</w:t>
      </w:r>
      <w:r>
        <w:rPr>
          <w:rFonts w:eastAsia="仿宋"/>
          <w:sz w:val="28"/>
          <w:szCs w:val="28"/>
        </w:rPr>
        <w:t>对</w:t>
      </w:r>
      <w:r>
        <w:rPr>
          <w:rFonts w:hint="eastAsia" w:eastAsia="仿宋"/>
          <w:sz w:val="28"/>
          <w:szCs w:val="28"/>
        </w:rPr>
        <w:t>渔业</w:t>
      </w:r>
      <w:r>
        <w:rPr>
          <w:rFonts w:eastAsia="仿宋"/>
          <w:sz w:val="28"/>
          <w:szCs w:val="28"/>
        </w:rPr>
        <w:t xml:space="preserve">环境造成的影响还会持续相当长的一段时间。水体和底泥中残留的 </w:t>
      </w:r>
      <w:r>
        <w:rPr>
          <w:rFonts w:hint="eastAsia" w:eastAsia="仿宋"/>
          <w:sz w:val="28"/>
          <w:szCs w:val="28"/>
        </w:rPr>
        <w:t>五氯苯酚</w:t>
      </w:r>
      <w:r>
        <w:rPr>
          <w:rFonts w:eastAsia="仿宋"/>
          <w:sz w:val="28"/>
          <w:szCs w:val="28"/>
        </w:rPr>
        <w:t xml:space="preserve"> 及其钠盐会富集到水生生物体内。</w:t>
      </w:r>
      <w:r>
        <w:rPr>
          <w:rFonts w:hint="eastAsia" w:eastAsia="仿宋"/>
          <w:sz w:val="28"/>
          <w:szCs w:val="28"/>
        </w:rPr>
        <w:t>另一方面，</w:t>
      </w:r>
      <w:r>
        <w:rPr>
          <w:rFonts w:eastAsia="仿宋"/>
          <w:sz w:val="28"/>
          <w:szCs w:val="28"/>
        </w:rPr>
        <w:t>虽然我国已明确将</w:t>
      </w:r>
      <w:r>
        <w:rPr>
          <w:rFonts w:hint="eastAsia" w:eastAsia="仿宋"/>
          <w:sz w:val="28"/>
          <w:szCs w:val="28"/>
        </w:rPr>
        <w:t xml:space="preserve"> 五氯苯酚</w:t>
      </w:r>
      <w:r>
        <w:rPr>
          <w:rFonts w:eastAsia="仿宋"/>
          <w:sz w:val="28"/>
          <w:szCs w:val="28"/>
        </w:rPr>
        <w:t xml:space="preserve"> 列入禁用药物的范围，</w:t>
      </w:r>
      <w:r>
        <w:rPr>
          <w:rFonts w:hint="eastAsia" w:eastAsia="仿宋"/>
          <w:sz w:val="28"/>
          <w:szCs w:val="28"/>
        </w:rPr>
        <w:t>但但张彤晴等</w:t>
      </w:r>
      <w:r>
        <w:rPr>
          <w:rFonts w:hint="eastAsia" w:eastAsia="仿宋"/>
          <w:color w:val="FF0000"/>
          <w:sz w:val="28"/>
          <w:szCs w:val="28"/>
          <w:vertAlign w:val="superscript"/>
        </w:rPr>
        <w:t>[5]</w:t>
      </w:r>
      <w:r>
        <w:rPr>
          <w:rFonts w:hint="eastAsia" w:eastAsia="仿宋"/>
          <w:sz w:val="28"/>
          <w:szCs w:val="28"/>
        </w:rPr>
        <w:t>调查报告显示，在渔业生产中仍有部分渔民仍使用 五氯苯酚 杀灭杂鱼进行清塘，导致五氯苯酚在养殖对象体内富集，对渔业产品的安全性存在一定的威胁。国内外对渔业环境中五氯苯酚的浓度和含量的研究报道</w:t>
      </w:r>
      <w:r>
        <w:rPr>
          <w:rFonts w:hint="eastAsia" w:eastAsia="仿宋"/>
          <w:color w:val="FF0000"/>
          <w:sz w:val="28"/>
          <w:szCs w:val="28"/>
          <w:vertAlign w:val="superscript"/>
        </w:rPr>
        <w:t>[6-8]</w:t>
      </w:r>
      <w:r>
        <w:rPr>
          <w:rFonts w:hint="eastAsia" w:eastAsia="仿宋"/>
          <w:sz w:val="28"/>
          <w:szCs w:val="28"/>
        </w:rPr>
        <w:t>显示，五氯苯酚 的含量为各种氯代酚之首，且远远高于其它氯代酚浓度，对人类以及动植物存在一定的危害。因此，评估渔业水体中的五氯苯酚残留状况，建立相应的分析方法和标准，对于监测渔业水体中五氯苯酚的含量以及水产品中五氯苯酚污染来源的排查具有积极的意义。</w:t>
      </w:r>
    </w:p>
    <w:p>
      <w:pPr>
        <w:spacing w:line="360" w:lineRule="auto"/>
        <w:ind w:firstLine="560" w:firstLineChars="200"/>
        <w:rPr>
          <w:rFonts w:eastAsia="仿宋"/>
          <w:position w:val="6"/>
          <w:sz w:val="28"/>
          <w:szCs w:val="28"/>
        </w:rPr>
      </w:pPr>
      <w:r>
        <w:rPr>
          <w:rFonts w:hint="eastAsia" w:eastAsia="仿宋"/>
          <w:position w:val="6"/>
          <w:sz w:val="28"/>
          <w:szCs w:val="28"/>
        </w:rPr>
        <w:t>国内外已报道的五氯苯酚的检测方法有分光光度法、免疫法、气相色谱法、液相色谱法、气相色谱-质谱法、液相色谱-串联质谱法。我国国家标准《渔业水质标准》（GB 11607-89）对五氯酚钠在渔业水体中的最高限量值为0.01 mg/L，推荐的测定方法为气相色谱法（HJ 591-2010 ）。该方法样品前处理过程需要进行多次液液萃取和衍生化反应，操作过程繁琐耗时，灵敏度和精密度有待提高。目前国家和农业部尚未颁布检测渔业水体中五氯苯酚的液质标准方法，我省也没有相关的地方标准，因此建立一种简便、快速、灵敏的检测渔业水体中五氯苯酚的测定方法显得尤为重要，不仅可以为渔业主管部门提供更有效的水质监测手段，同时也可完善我国渔业水质标准检测方法。</w:t>
      </w:r>
    </w:p>
    <w:p>
      <w:pPr>
        <w:pStyle w:val="4"/>
        <w:jc w:val="left"/>
      </w:pPr>
      <w:bookmarkStart w:id="2" w:name="_Toc8562"/>
      <w:r>
        <w:rPr>
          <w:rFonts w:hint="eastAsia"/>
        </w:rPr>
        <w:t>1.2 国内外研究概况</w:t>
      </w:r>
      <w:bookmarkEnd w:id="2"/>
    </w:p>
    <w:p>
      <w:pPr>
        <w:spacing w:line="360" w:lineRule="auto"/>
        <w:ind w:firstLine="560" w:firstLineChars="200"/>
        <w:rPr>
          <w:rFonts w:eastAsia="仿宋"/>
          <w:color w:val="000000" w:themeColor="text1"/>
          <w:position w:val="6"/>
          <w:sz w:val="28"/>
          <w:szCs w:val="28"/>
        </w:rPr>
      </w:pPr>
      <w:r>
        <w:rPr>
          <w:rFonts w:hint="eastAsia" w:eastAsia="仿宋"/>
          <w:position w:val="6"/>
          <w:sz w:val="28"/>
          <w:szCs w:val="28"/>
        </w:rPr>
        <w:t>液相色谱-串联质谱以其分离速度快、灵敏度高、抗干扰能力好等特点，成为农残分析的新技术，适合环境介质中农药残留的快速筛查和测定</w:t>
      </w:r>
      <w:r>
        <w:rPr>
          <w:rFonts w:hint="eastAsia" w:eastAsia="仿宋"/>
          <w:color w:val="FF0000"/>
          <w:position w:val="6"/>
          <w:sz w:val="28"/>
          <w:szCs w:val="28"/>
          <w:vertAlign w:val="superscript"/>
        </w:rPr>
        <w:t>[9]</w:t>
      </w:r>
      <w:r>
        <w:rPr>
          <w:rFonts w:hint="eastAsia" w:eastAsia="仿宋"/>
          <w:position w:val="6"/>
          <w:sz w:val="28"/>
          <w:szCs w:val="28"/>
        </w:rPr>
        <w:t>。Sarrión等</w:t>
      </w:r>
      <w:bookmarkStart w:id="3" w:name="OLE_LINK1"/>
      <w:r>
        <w:rPr>
          <w:rFonts w:hint="eastAsia" w:eastAsia="仿宋"/>
          <w:color w:val="FF0000"/>
          <w:position w:val="6"/>
          <w:sz w:val="28"/>
          <w:szCs w:val="28"/>
          <w:vertAlign w:val="superscript"/>
        </w:rPr>
        <w:t>[10]</w:t>
      </w:r>
      <w:bookmarkEnd w:id="3"/>
      <w:r>
        <w:rPr>
          <w:rFonts w:hint="eastAsia" w:eastAsia="仿宋"/>
          <w:position w:val="6"/>
          <w:sz w:val="28"/>
          <w:szCs w:val="28"/>
        </w:rPr>
        <w:t>采用固相微萃取技术结合液相色谱-串联质谱法建立了一种同时测定环境样品中19种氯酚的方法。目标化合物采用APCI源离子化和固相微萃取富集，萃取效率和离子化效率更高，适用于木头和工业废油中氯酚含量的准确灵敏检测。 Marchese</w:t>
      </w:r>
      <w:r>
        <w:rPr>
          <w:rFonts w:hint="eastAsia" w:eastAsia="仿宋"/>
          <w:color w:val="000000" w:themeColor="text1"/>
          <w:position w:val="6"/>
          <w:sz w:val="28"/>
          <w:szCs w:val="28"/>
        </w:rPr>
        <w:t>x</w:t>
      </w:r>
      <w:r>
        <w:rPr>
          <w:rFonts w:hint="eastAsia" w:eastAsia="仿宋"/>
          <w:position w:val="6"/>
          <w:sz w:val="28"/>
          <w:szCs w:val="28"/>
        </w:rPr>
        <w:t>等</w:t>
      </w:r>
      <w:r>
        <w:rPr>
          <w:rFonts w:hint="eastAsia" w:eastAsia="仿宋"/>
          <w:color w:val="FF0000"/>
          <w:position w:val="6"/>
          <w:sz w:val="28"/>
          <w:szCs w:val="28"/>
          <w:vertAlign w:val="superscript"/>
        </w:rPr>
        <w:t>[11]</w:t>
      </w:r>
      <w:r>
        <w:rPr>
          <w:rFonts w:hint="eastAsia" w:eastAsia="仿宋"/>
          <w:position w:val="6"/>
          <w:sz w:val="28"/>
          <w:szCs w:val="28"/>
        </w:rPr>
        <w:t>建立了一种采用固相萃取结合液相色谱-串联飞行时间质谱法同时测定地表水中5种氯酚的（邻氯苯酚、4-氯-3-甲基苯酚、2,4-二氯苯酚、2,4,6-三氯苯酚、五氯苯酚）的新方法。该方法检出限低（10 ng/L），回收率高（91%-110%）,精密度好（RSD&lt;10%）。水体中的氯酚采用HLB固相萃取柱富集和净化，取样量为2 L水，活</w:t>
      </w:r>
      <w:r>
        <w:rPr>
          <w:rFonts w:hint="eastAsia" w:eastAsia="仿宋"/>
          <w:color w:val="000000" w:themeColor="text1"/>
          <w:position w:val="6"/>
          <w:sz w:val="28"/>
          <w:szCs w:val="28"/>
        </w:rPr>
        <w:t>化和洗脱溶剂为甲醇，操作较简单，但取水量大，过柱时间长，不利于大批量水样的预处理。金米聪等</w:t>
      </w:r>
      <w:r>
        <w:rPr>
          <w:rFonts w:hint="eastAsia" w:eastAsia="仿宋"/>
          <w:color w:val="FF0000"/>
          <w:position w:val="6"/>
          <w:sz w:val="28"/>
          <w:szCs w:val="28"/>
          <w:vertAlign w:val="superscript"/>
        </w:rPr>
        <w:t>[12]</w:t>
      </w:r>
      <w:r>
        <w:rPr>
          <w:rFonts w:hint="eastAsia" w:eastAsia="仿宋"/>
          <w:color w:val="000000" w:themeColor="text1"/>
          <w:position w:val="6"/>
          <w:sz w:val="28"/>
          <w:szCs w:val="28"/>
        </w:rPr>
        <w:t>建立了一种简便、灵敏、准确的测定水中痕量五氯酚的固相萃取-高效液相色谱-质谱联用的检测方法,并用于生活饮用水、渔塘水中痕量五氯酚的污染监测。水样经 Oasis HLB小柱富集,以甲醇-甲基叔丁基醚(10+90)洗脱,采用甲醇和2 mmol/L 醋酸铵溶液为流动相进行梯度淋洗 ,以ZORBAX Eclip se XDB-C18柱(150 mm × 211 mm × 5μm)分离,通过选择性离子检测(SIM)及电喷雾电离离子化技术进行测定。该方法简单快速，灵敏度高，适合地表水中五氯苯酚的测定。洪爱华等</w:t>
      </w:r>
      <w:r>
        <w:rPr>
          <w:rFonts w:hint="eastAsia" w:eastAsia="仿宋"/>
          <w:color w:val="FF0000"/>
          <w:position w:val="6"/>
          <w:sz w:val="28"/>
          <w:szCs w:val="28"/>
          <w:vertAlign w:val="superscript"/>
        </w:rPr>
        <w:t>[13]</w:t>
      </w:r>
      <w:r>
        <w:rPr>
          <w:rFonts w:hint="eastAsia" w:eastAsia="仿宋"/>
          <w:color w:val="000000" w:themeColor="text1"/>
          <w:position w:val="6"/>
          <w:sz w:val="28"/>
          <w:szCs w:val="28"/>
        </w:rPr>
        <w:t>建立了一种高效液相色谱-串联四极杆质谱联用法准确、灵敏测定饮用水中五氯苯酚的方法。该方法采用 Oasis HLB 柱进行固相萃取对水样进行富集净化，不需要复杂的衍生化操作，前处理方法简便快速，并且短时间内即可得到定性、定量检测结果，适合饮用水中 五氯苯酚 含量的测定。杨秋红等</w:t>
      </w:r>
      <w:r>
        <w:rPr>
          <w:rFonts w:hint="eastAsia" w:eastAsia="仿宋"/>
          <w:color w:val="FF0000"/>
          <w:position w:val="6"/>
          <w:sz w:val="28"/>
          <w:szCs w:val="28"/>
        </w:rPr>
        <w:t>[14]</w:t>
      </w:r>
      <w:r>
        <w:rPr>
          <w:rFonts w:hint="eastAsia" w:eastAsia="仿宋"/>
          <w:color w:val="000000" w:themeColor="text1"/>
          <w:position w:val="6"/>
          <w:sz w:val="28"/>
          <w:szCs w:val="28"/>
        </w:rPr>
        <w:t>建立了简便、快速、同时测定地表水中２,４－二 氯 酚、２,４,６－三氯酚和五氯酚的固相萃取－高效液相串联质谱方法。ＨＬＢ固相萃取小柱富集水样中待测物质，经二氯 甲 烷－丙 酮（１∶１，Ｖ／Ｖ）混合溶液洗脱后，氮吹浓缩，用甲醇复溶，采用高效液相色谱串联质谱检测。该方法具有灵敏度高、准确度好、精密度好、干扰小的特点，适用于集中式生活饮用水地表水水源地特定项目中的污染物的检测。唐雪</w:t>
      </w:r>
      <w:r>
        <w:rPr>
          <w:rFonts w:hint="eastAsia" w:eastAsia="仿宋"/>
          <w:color w:val="FF0000"/>
          <w:position w:val="6"/>
          <w:sz w:val="28"/>
          <w:szCs w:val="28"/>
        </w:rPr>
        <w:t>[15]</w:t>
      </w:r>
      <w:r>
        <w:rPr>
          <w:rFonts w:hint="eastAsia" w:eastAsia="仿宋"/>
          <w:color w:val="000000" w:themeColor="text1"/>
          <w:position w:val="6"/>
          <w:sz w:val="28"/>
          <w:szCs w:val="28"/>
        </w:rPr>
        <w:t>建立了使用超高效液相色谱仪-三重四极杆质谱仪联用测定生活饮用水中氯酚类物质(2，4-二氯酚，2，4，6-三氯酚，五氯酚)的方法。该方法生活饮用水及水源地地表水滤过后即可上机分析，无需衍生，操作简单。陈晓红等</w:t>
      </w:r>
      <w:r>
        <w:rPr>
          <w:rFonts w:hint="eastAsia" w:eastAsia="仿宋"/>
          <w:color w:val="FF0000"/>
          <w:position w:val="6"/>
          <w:sz w:val="28"/>
          <w:szCs w:val="28"/>
        </w:rPr>
        <w:t>[16]</w:t>
      </w:r>
      <w:r>
        <w:rPr>
          <w:rFonts w:hint="eastAsia" w:eastAsia="仿宋"/>
          <w:color w:val="000000" w:themeColor="text1"/>
          <w:position w:val="6"/>
          <w:sz w:val="28"/>
          <w:szCs w:val="28"/>
        </w:rPr>
        <w:t>建立了一种采用两亲性聚离子液体膜微萃取－液相色谱－串联质谱法测定水中５种氯酚的含量。该方法操作简单，检出限低，回收率高，但所使用的两亲性聚离子液体膜材料为实验室自己合成，操作要求高，无法大规模应用于实际水体中五氯苯酚的检测。目前，有关水体中五氯苯酚测定的研究报道不断深入，但国家一直还没有渔业水体中五氯苯酚测定的液质标准，为确保环境安全与人民的身体健康，有效打击养殖中非法使用，建立简便、快速、准确、灵敏度高的检测方法，测定渔业水体中五氯苯酚的检测方法显得尤为重要。</w:t>
      </w:r>
    </w:p>
    <w:p>
      <w:pPr>
        <w:pStyle w:val="4"/>
        <w:jc w:val="left"/>
      </w:pPr>
      <w:bookmarkStart w:id="4" w:name="_Toc3479"/>
      <w:r>
        <w:rPr>
          <w:rFonts w:hint="eastAsia"/>
        </w:rPr>
        <w:t>1.3 研制的基本思路</w:t>
      </w:r>
      <w:bookmarkEnd w:id="4"/>
    </w:p>
    <w:p>
      <w:pPr>
        <w:ind w:firstLine="560" w:firstLineChars="200"/>
        <w:rPr>
          <w:rFonts w:eastAsia="仿宋_GB2312"/>
          <w:sz w:val="28"/>
          <w:szCs w:val="28"/>
        </w:rPr>
      </w:pPr>
      <w:r>
        <w:rPr>
          <w:rFonts w:hint="eastAsia" w:eastAsia="仿宋_GB2312"/>
          <w:sz w:val="28"/>
          <w:szCs w:val="28"/>
        </w:rPr>
        <w:t>本方法结合国内外关于水体中五氯苯酚检测方法、文献报道及试验室的条件初步制定了渔业水体中五氯苯酚的检测方法。通过进一步优化前处理、色谱以及质谱条件，以提高检测方法的准确度和灵敏度。</w:t>
      </w:r>
    </w:p>
    <w:p>
      <w:pPr>
        <w:pStyle w:val="2"/>
        <w:spacing w:before="300" w:after="200"/>
        <w:jc w:val="left"/>
      </w:pPr>
      <w:bookmarkStart w:id="5" w:name="_Toc15152"/>
      <w:r>
        <w:rPr>
          <w:rFonts w:hint="eastAsia"/>
        </w:rPr>
        <w:t>2现有条件</w:t>
      </w:r>
      <w:bookmarkEnd w:id="5"/>
    </w:p>
    <w:p>
      <w:pPr>
        <w:spacing w:line="360" w:lineRule="auto"/>
        <w:ind w:firstLine="560" w:firstLineChars="200"/>
        <w:rPr>
          <w:rFonts w:eastAsia="仿宋_GB2312"/>
          <w:color w:val="000000" w:themeColor="text1"/>
          <w:sz w:val="28"/>
          <w:szCs w:val="28"/>
        </w:rPr>
      </w:pPr>
      <w:r>
        <w:rPr>
          <w:rFonts w:hint="eastAsia" w:eastAsia="仿宋_GB2312"/>
          <w:color w:val="000000" w:themeColor="text1"/>
          <w:sz w:val="28"/>
          <w:szCs w:val="28"/>
        </w:rPr>
        <w:t>农业部渔业产品质量监督检验测试中心（长沙）通过农业部和国家技术监督局组织的双认证考核。“中心”是国家计量认证和农业部审查认可的具有第三方公正性地位的渔业水产品质量监督检验法定机构。“中心”现有17名工作人员，其中技术人员16人，硕士研究生8人，高级职称6人，中级职称7人。“中心”拥有</w:t>
      </w:r>
      <w:r>
        <w:rPr>
          <w:rFonts w:eastAsia="仿宋_GB2312"/>
          <w:color w:val="000000" w:themeColor="text1"/>
          <w:sz w:val="28"/>
          <w:szCs w:val="28"/>
        </w:rPr>
        <w:t>Thermo TSQ Quantum</w:t>
      </w:r>
      <w:r>
        <w:rPr>
          <w:rFonts w:hint="eastAsia" w:eastAsia="仿宋_GB2312"/>
          <w:color w:val="000000" w:themeColor="text1"/>
          <w:sz w:val="28"/>
          <w:szCs w:val="28"/>
        </w:rPr>
        <w:t>液相色谱-串联四级杆质谱联用仪、</w:t>
      </w:r>
      <w:r>
        <w:rPr>
          <w:rFonts w:eastAsia="仿宋_GB2312"/>
          <w:color w:val="000000" w:themeColor="text1"/>
          <w:sz w:val="28"/>
          <w:szCs w:val="28"/>
        </w:rPr>
        <w:t>Termo Q-Exactive Focous</w:t>
      </w:r>
      <w:r>
        <w:rPr>
          <w:rFonts w:hint="eastAsia" w:eastAsia="仿宋_GB2312"/>
          <w:color w:val="000000" w:themeColor="text1"/>
          <w:sz w:val="28"/>
          <w:szCs w:val="28"/>
        </w:rPr>
        <w:t>液相色谱-高分辨质谱联用仪以及安捷伦气相色谱质谱联用仪等大中型仪器68余套台，价值近2000万元；“中心”每年不但承担了农业农村部、湖南省农业农村厅下达的检测任务，还承接了社会委托的各种检测任务，为保证我省渔业产品及渔业环境做出了应有的贡献。</w:t>
      </w:r>
    </w:p>
    <w:p>
      <w:pPr>
        <w:spacing w:line="300" w:lineRule="auto"/>
        <w:ind w:firstLine="560" w:firstLineChars="200"/>
        <w:rPr>
          <w:rFonts w:eastAsia="仿宋_GB2312"/>
          <w:sz w:val="28"/>
          <w:szCs w:val="28"/>
        </w:rPr>
      </w:pPr>
      <w:r>
        <w:rPr>
          <w:rFonts w:hint="eastAsia" w:eastAsia="仿宋_GB2312"/>
          <w:sz w:val="28"/>
          <w:szCs w:val="28"/>
        </w:rPr>
        <w:t>为保证能较好的完成《渔业水体中五氯苯酚的测定 液相色谱-串联质谱法》标准的制定，农业部渔业产品质量监督检验测试中心（长沙）非常重视，成立编制小组，由万译文同志全面主持工作，从宏观上把握标准的制定宗旨，对标准编制小组各成员进行了明确的分工，并将责任落实到人，且定期召开标准编制小组会议，及时总结实验结果。</w:t>
      </w:r>
    </w:p>
    <w:p>
      <w:pPr>
        <w:pStyle w:val="2"/>
        <w:jc w:val="left"/>
      </w:pPr>
      <w:bookmarkStart w:id="6" w:name="_Toc7097"/>
      <w:r>
        <w:rPr>
          <w:rFonts w:hint="eastAsia"/>
        </w:rPr>
        <w:t>3 标准制定的依据及思路</w:t>
      </w:r>
      <w:bookmarkEnd w:id="6"/>
    </w:p>
    <w:p>
      <w:pPr>
        <w:spacing w:line="360" w:lineRule="auto"/>
        <w:ind w:firstLine="560" w:firstLineChars="200"/>
        <w:rPr>
          <w:rFonts w:eastAsia="仿宋_GB2312"/>
          <w:sz w:val="28"/>
          <w:szCs w:val="28"/>
        </w:rPr>
      </w:pPr>
      <w:r>
        <w:rPr>
          <w:rFonts w:hint="eastAsia" w:eastAsia="仿宋_GB2312"/>
          <w:sz w:val="28"/>
          <w:szCs w:val="28"/>
        </w:rPr>
        <w:t>本标准制定的主要原则，一是本标准要符合国家有关方针、政策、法律和规章的要求，要符合国家强制性标准和行业标准的规定和要求；二是本标准要具有科学性、可操作性、推广型和实用性；三是本标准要能保证渔业水质的养殖用水安全，又有利于指导实际生产和产地认证工作。</w:t>
      </w:r>
    </w:p>
    <w:p>
      <w:pPr>
        <w:pStyle w:val="4"/>
        <w:jc w:val="left"/>
      </w:pPr>
      <w:bookmarkStart w:id="7" w:name="_Toc16335"/>
      <w:r>
        <w:rPr>
          <w:rFonts w:hint="eastAsia"/>
        </w:rPr>
        <w:t>3.1 样品的采集及标准溶液的配制与储存</w:t>
      </w:r>
      <w:bookmarkEnd w:id="7"/>
    </w:p>
    <w:p>
      <w:pPr>
        <w:spacing w:line="360" w:lineRule="auto"/>
        <w:ind w:firstLine="560" w:firstLineChars="200"/>
        <w:rPr>
          <w:rFonts w:eastAsia="仿宋"/>
          <w:sz w:val="28"/>
          <w:szCs w:val="28"/>
        </w:rPr>
      </w:pPr>
      <w:r>
        <w:rPr>
          <w:rFonts w:hint="eastAsia" w:eastAsia="仿宋"/>
          <w:sz w:val="28"/>
          <w:szCs w:val="28"/>
        </w:rPr>
        <w:t xml:space="preserve">水质样品的采集和制备参照SL 187水质采样技术规程进行采集。根据国内外文献中五氯苯酚标准溶液的配制方法，参照了HJ 591-2010《水质 五氯酚的测定 气相色谱法》五氯苯酚标准溶液的配制方法，结合本试验检测的实际情况，采用农业部环境保护科研监测所的有证标准物质（五氯酚100 mg/L）作为标准储备溶液，该溶液经逐级稀释配制成浓度为50 </w:t>
      </w:r>
      <w:r>
        <w:rPr>
          <w:rFonts w:eastAsia="仿宋"/>
          <w:sz w:val="28"/>
          <w:szCs w:val="28"/>
        </w:rPr>
        <w:t>μg/L</w:t>
      </w:r>
      <w:r>
        <w:rPr>
          <w:rFonts w:hint="eastAsia" w:eastAsia="仿宋"/>
          <w:sz w:val="28"/>
          <w:szCs w:val="28"/>
        </w:rPr>
        <w:t>的标准中间溶液。标准储备溶液和标准中间溶液置于</w:t>
      </w:r>
      <w:r>
        <w:rPr>
          <w:rFonts w:eastAsia="仿宋"/>
          <w:sz w:val="28"/>
          <w:szCs w:val="28"/>
        </w:rPr>
        <w:t>-</w:t>
      </w:r>
      <w:r>
        <w:rPr>
          <w:rFonts w:hint="eastAsia" w:eastAsia="仿宋"/>
          <w:sz w:val="28"/>
          <w:szCs w:val="28"/>
        </w:rPr>
        <w:t>4</w:t>
      </w:r>
      <w:r>
        <w:rPr>
          <w:rFonts w:eastAsia="仿宋"/>
          <w:sz w:val="28"/>
          <w:szCs w:val="28"/>
        </w:rPr>
        <w:t>℃</w:t>
      </w:r>
      <w:r>
        <w:rPr>
          <w:rFonts w:hint="eastAsia" w:eastAsia="仿宋"/>
          <w:sz w:val="28"/>
          <w:szCs w:val="28"/>
        </w:rPr>
        <w:t>冰柜避光中保存。临用前将标准中间溶液稀释成一系列的标准工作溶液，供上机测定。</w:t>
      </w:r>
    </w:p>
    <w:p>
      <w:pPr>
        <w:pStyle w:val="4"/>
        <w:jc w:val="left"/>
      </w:pPr>
      <w:bookmarkStart w:id="8" w:name="_Toc15720"/>
      <w:r>
        <w:rPr>
          <w:rFonts w:hint="eastAsia"/>
        </w:rPr>
        <w:t>3.2 水样预处理条件的确定</w:t>
      </w:r>
      <w:bookmarkEnd w:id="8"/>
    </w:p>
    <w:p>
      <w:pPr>
        <w:spacing w:line="360" w:lineRule="auto"/>
        <w:ind w:firstLine="560" w:firstLineChars="200"/>
        <w:rPr>
          <w:rFonts w:eastAsia="仿宋"/>
          <w:sz w:val="28"/>
          <w:szCs w:val="28"/>
        </w:rPr>
      </w:pPr>
      <w:r>
        <w:rPr>
          <w:rFonts w:hint="eastAsia" w:eastAsia="仿宋"/>
          <w:sz w:val="28"/>
          <w:szCs w:val="28"/>
        </w:rPr>
        <w:t xml:space="preserve">五氯苯酚的pKa=4.71，在中性和碱性溶液中可解离成离子形态,而在酸性溶剂中主要以分子形态存在。预处理水样酸碱度的变化会直接影响五氯苯酚的分子解离和带电荷状况，进而影响后续的HLB柱固相萃取效果。在50 mL空白水样（pH为6.85）中添加五氯苯酚浓度为50 </w:t>
      </w:r>
      <w:r>
        <w:rPr>
          <w:rFonts w:eastAsia="仿宋"/>
          <w:sz w:val="28"/>
          <w:szCs w:val="28"/>
        </w:rPr>
        <w:t>μg/L</w:t>
      </w:r>
      <w:r>
        <w:rPr>
          <w:rFonts w:hint="eastAsia" w:eastAsia="仿宋"/>
          <w:sz w:val="28"/>
          <w:szCs w:val="28"/>
        </w:rPr>
        <w:t xml:space="preserve">的标准溶液0.2 mL后，涡旋混匀，得到浓度为0.20 </w:t>
      </w:r>
      <w:r>
        <w:rPr>
          <w:rFonts w:eastAsia="仿宋"/>
          <w:sz w:val="28"/>
          <w:szCs w:val="28"/>
        </w:rPr>
        <w:t>μg/L</w:t>
      </w:r>
      <w:r>
        <w:rPr>
          <w:rFonts w:hint="eastAsia" w:eastAsia="仿宋"/>
          <w:sz w:val="28"/>
          <w:szCs w:val="28"/>
        </w:rPr>
        <w:t>的加标水样。分别通过甲酸或氨水将水样的pH调节至1, 3, 5, 7, 9, 11，经HLB柱固相萃取处理后上机测试分析后比较预处理水样pH对目标化合物回收率的影响，结果见</w:t>
      </w:r>
      <w:r>
        <w:rPr>
          <w:rFonts w:hint="eastAsia" w:eastAsia="仿宋"/>
          <w:color w:val="FF0000"/>
          <w:sz w:val="28"/>
          <w:szCs w:val="28"/>
        </w:rPr>
        <w:t>表1</w:t>
      </w:r>
      <w:r>
        <w:rPr>
          <w:rFonts w:hint="eastAsia" w:eastAsia="仿宋"/>
          <w:sz w:val="28"/>
          <w:szCs w:val="28"/>
        </w:rPr>
        <w:t>。从</w:t>
      </w:r>
      <w:r>
        <w:rPr>
          <w:rFonts w:hint="eastAsia" w:eastAsia="仿宋"/>
          <w:color w:val="FF0000"/>
          <w:sz w:val="28"/>
          <w:szCs w:val="28"/>
        </w:rPr>
        <w:t>表1</w:t>
      </w:r>
      <w:r>
        <w:rPr>
          <w:rFonts w:hint="eastAsia" w:eastAsia="仿宋"/>
          <w:sz w:val="28"/>
          <w:szCs w:val="28"/>
        </w:rPr>
        <w:t>可以看出，过低或过高的pH均可造成目标物的回收率降低，当pH=3时，五氯苯酚的回收率最高，故本试验选择水样pH=3为水样预处理条件。</w:t>
      </w:r>
    </w:p>
    <w:p>
      <w:pPr>
        <w:spacing w:line="400" w:lineRule="exact"/>
        <w:ind w:firstLine="420" w:firstLineChars="200"/>
        <w:jc w:val="center"/>
        <w:rPr>
          <w:rFonts w:eastAsia="仿宋"/>
          <w:szCs w:val="28"/>
        </w:rPr>
      </w:pPr>
      <w:r>
        <w:rPr>
          <w:rFonts w:hint="eastAsia" w:eastAsia="仿宋"/>
          <w:szCs w:val="28"/>
        </w:rPr>
        <w:t>表1 水样pH对五氯苯酚回收率的影响（n=3）</w:t>
      </w:r>
    </w:p>
    <w:p>
      <w:pPr>
        <w:spacing w:line="400" w:lineRule="exact"/>
        <w:ind w:firstLine="420" w:firstLineChars="200"/>
        <w:jc w:val="center"/>
        <w:rPr>
          <w:rFonts w:eastAsia="仿宋"/>
          <w:szCs w:val="28"/>
        </w:rPr>
      </w:pPr>
      <w:r>
        <w:rPr>
          <w:rFonts w:hint="eastAsia" w:eastAsia="仿宋"/>
          <w:szCs w:val="28"/>
        </w:rPr>
        <w:t>Table 1 Effect of pH on the recovery of PCP（n=3）</w:t>
      </w:r>
    </w:p>
    <w:tbl>
      <w:tblPr>
        <w:tblStyle w:val="13"/>
        <w:tblW w:w="0" w:type="auto"/>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9"/>
        <w:gridCol w:w="1158"/>
        <w:gridCol w:w="1158"/>
        <w:gridCol w:w="1158"/>
        <w:gridCol w:w="1158"/>
        <w:gridCol w:w="1158"/>
        <w:gridCol w:w="116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9" w:type="dxa"/>
            <w:vMerge w:val="restart"/>
            <w:tcBorders>
              <w:bottom w:val="single" w:color="auto" w:sz="8" w:space="0"/>
              <w:tl2br w:val="nil"/>
              <w:tr2bl w:val="nil"/>
            </w:tcBorders>
            <w:vAlign w:val="center"/>
          </w:tcPr>
          <w:p>
            <w:pPr>
              <w:jc w:val="center"/>
              <w:rPr>
                <w:rFonts w:eastAsia="仿宋"/>
                <w:sz w:val="28"/>
                <w:szCs w:val="28"/>
              </w:rPr>
            </w:pPr>
            <w:r>
              <w:rPr>
                <w:rFonts w:hint="eastAsia" w:eastAsia="仿宋"/>
                <w:sz w:val="28"/>
                <w:szCs w:val="28"/>
              </w:rPr>
              <w:t>目标物</w:t>
            </w:r>
          </w:p>
        </w:tc>
        <w:tc>
          <w:tcPr>
            <w:tcW w:w="6953" w:type="dxa"/>
            <w:gridSpan w:val="6"/>
            <w:tcBorders>
              <w:bottom w:val="single" w:color="auto" w:sz="8" w:space="0"/>
            </w:tcBorders>
            <w:vAlign w:val="center"/>
          </w:tcPr>
          <w:p>
            <w:pPr>
              <w:jc w:val="center"/>
              <w:rPr>
                <w:rFonts w:eastAsia="仿宋"/>
                <w:sz w:val="28"/>
                <w:szCs w:val="28"/>
              </w:rPr>
            </w:pPr>
            <w:r>
              <w:rPr>
                <w:rFonts w:hint="eastAsia" w:eastAsia="仿宋"/>
                <w:sz w:val="28"/>
                <w:szCs w:val="28"/>
              </w:rPr>
              <w:t>平均回收率（%）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9" w:type="dxa"/>
            <w:vMerge w:val="continue"/>
            <w:tcBorders>
              <w:top w:val="single" w:color="auto" w:sz="8" w:space="0"/>
              <w:bottom w:val="single" w:color="auto" w:sz="8" w:space="0"/>
            </w:tcBorders>
            <w:vAlign w:val="center"/>
          </w:tcPr>
          <w:p>
            <w:pPr>
              <w:jc w:val="center"/>
              <w:rPr>
                <w:rFonts w:eastAsia="仿宋"/>
                <w:sz w:val="28"/>
                <w:szCs w:val="28"/>
              </w:rPr>
            </w:pPr>
          </w:p>
        </w:tc>
        <w:tc>
          <w:tcPr>
            <w:tcW w:w="1158" w:type="dxa"/>
            <w:tcBorders>
              <w:top w:val="single" w:color="auto" w:sz="8" w:space="0"/>
              <w:bottom w:val="single" w:color="auto" w:sz="8" w:space="0"/>
            </w:tcBorders>
            <w:vAlign w:val="center"/>
          </w:tcPr>
          <w:p>
            <w:pPr>
              <w:jc w:val="center"/>
              <w:rPr>
                <w:rFonts w:eastAsia="仿宋"/>
                <w:sz w:val="28"/>
                <w:szCs w:val="28"/>
              </w:rPr>
            </w:pPr>
            <w:r>
              <w:rPr>
                <w:rFonts w:hint="eastAsia" w:eastAsia="仿宋"/>
                <w:sz w:val="28"/>
                <w:szCs w:val="28"/>
              </w:rPr>
              <w:t>pH=1</w:t>
            </w:r>
          </w:p>
        </w:tc>
        <w:tc>
          <w:tcPr>
            <w:tcW w:w="1158" w:type="dxa"/>
            <w:tcBorders>
              <w:top w:val="single" w:color="auto" w:sz="8" w:space="0"/>
              <w:bottom w:val="single" w:color="auto" w:sz="8" w:space="0"/>
            </w:tcBorders>
            <w:vAlign w:val="center"/>
          </w:tcPr>
          <w:p>
            <w:pPr>
              <w:jc w:val="center"/>
              <w:rPr>
                <w:rFonts w:eastAsia="仿宋"/>
                <w:sz w:val="28"/>
                <w:szCs w:val="28"/>
              </w:rPr>
            </w:pPr>
            <w:r>
              <w:rPr>
                <w:rFonts w:hint="eastAsia" w:eastAsia="仿宋"/>
                <w:sz w:val="28"/>
                <w:szCs w:val="28"/>
              </w:rPr>
              <w:t>pH=3</w:t>
            </w:r>
          </w:p>
        </w:tc>
        <w:tc>
          <w:tcPr>
            <w:tcW w:w="1158" w:type="dxa"/>
            <w:tcBorders>
              <w:top w:val="single" w:color="auto" w:sz="8" w:space="0"/>
              <w:bottom w:val="single" w:color="auto" w:sz="8" w:space="0"/>
            </w:tcBorders>
            <w:vAlign w:val="center"/>
          </w:tcPr>
          <w:p>
            <w:pPr>
              <w:jc w:val="center"/>
              <w:rPr>
                <w:rFonts w:eastAsia="仿宋"/>
                <w:sz w:val="28"/>
                <w:szCs w:val="28"/>
              </w:rPr>
            </w:pPr>
            <w:r>
              <w:rPr>
                <w:rFonts w:hint="eastAsia" w:eastAsia="仿宋"/>
                <w:sz w:val="28"/>
                <w:szCs w:val="28"/>
              </w:rPr>
              <w:t>pH=5</w:t>
            </w:r>
          </w:p>
        </w:tc>
        <w:tc>
          <w:tcPr>
            <w:tcW w:w="1158" w:type="dxa"/>
            <w:tcBorders>
              <w:top w:val="single" w:color="auto" w:sz="8" w:space="0"/>
              <w:bottom w:val="single" w:color="auto" w:sz="8" w:space="0"/>
            </w:tcBorders>
            <w:vAlign w:val="center"/>
          </w:tcPr>
          <w:p>
            <w:pPr>
              <w:jc w:val="center"/>
              <w:rPr>
                <w:rFonts w:eastAsia="仿宋"/>
                <w:sz w:val="28"/>
                <w:szCs w:val="28"/>
              </w:rPr>
            </w:pPr>
            <w:r>
              <w:rPr>
                <w:rFonts w:hint="eastAsia" w:eastAsia="仿宋"/>
                <w:sz w:val="28"/>
                <w:szCs w:val="28"/>
              </w:rPr>
              <w:t>pH=7</w:t>
            </w:r>
          </w:p>
        </w:tc>
        <w:tc>
          <w:tcPr>
            <w:tcW w:w="1158" w:type="dxa"/>
            <w:tcBorders>
              <w:top w:val="single" w:color="auto" w:sz="8" w:space="0"/>
              <w:bottom w:val="single" w:color="auto" w:sz="8" w:space="0"/>
            </w:tcBorders>
            <w:vAlign w:val="center"/>
          </w:tcPr>
          <w:p>
            <w:pPr>
              <w:jc w:val="center"/>
              <w:rPr>
                <w:rFonts w:eastAsia="仿宋"/>
                <w:sz w:val="28"/>
                <w:szCs w:val="28"/>
              </w:rPr>
            </w:pPr>
            <w:r>
              <w:rPr>
                <w:rFonts w:hint="eastAsia" w:eastAsia="仿宋"/>
                <w:sz w:val="28"/>
                <w:szCs w:val="28"/>
              </w:rPr>
              <w:t>pH=9</w:t>
            </w:r>
          </w:p>
        </w:tc>
        <w:tc>
          <w:tcPr>
            <w:tcW w:w="1163" w:type="dxa"/>
            <w:tcBorders>
              <w:top w:val="single" w:color="auto" w:sz="8" w:space="0"/>
              <w:bottom w:val="single" w:color="auto" w:sz="8" w:space="0"/>
            </w:tcBorders>
            <w:vAlign w:val="center"/>
          </w:tcPr>
          <w:p>
            <w:pPr>
              <w:jc w:val="center"/>
              <w:rPr>
                <w:rFonts w:eastAsia="仿宋"/>
                <w:sz w:val="28"/>
                <w:szCs w:val="28"/>
              </w:rPr>
            </w:pPr>
            <w:r>
              <w:rPr>
                <w:rFonts w:hint="eastAsia" w:eastAsia="仿宋"/>
                <w:sz w:val="28"/>
                <w:szCs w:val="28"/>
              </w:rPr>
              <w:t>pH=11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69" w:type="dxa"/>
            <w:tcBorders>
              <w:top w:val="single" w:color="auto" w:sz="8" w:space="0"/>
              <w:tl2br w:val="nil"/>
              <w:tr2bl w:val="nil"/>
            </w:tcBorders>
            <w:vAlign w:val="center"/>
          </w:tcPr>
          <w:p>
            <w:pPr>
              <w:jc w:val="center"/>
              <w:rPr>
                <w:rFonts w:eastAsia="仿宋"/>
                <w:sz w:val="28"/>
                <w:szCs w:val="28"/>
              </w:rPr>
            </w:pPr>
            <w:r>
              <w:rPr>
                <w:rFonts w:hint="eastAsia" w:eastAsia="仿宋"/>
                <w:sz w:val="28"/>
                <w:szCs w:val="28"/>
              </w:rPr>
              <w:t>五氯苯酚</w:t>
            </w:r>
          </w:p>
        </w:tc>
        <w:tc>
          <w:tcPr>
            <w:tcW w:w="1158" w:type="dxa"/>
            <w:tcBorders>
              <w:top w:val="single" w:color="auto" w:sz="8" w:space="0"/>
              <w:tl2br w:val="nil"/>
              <w:tr2bl w:val="nil"/>
            </w:tcBorders>
            <w:vAlign w:val="center"/>
          </w:tcPr>
          <w:p>
            <w:pPr>
              <w:jc w:val="center"/>
              <w:rPr>
                <w:rFonts w:eastAsia="仿宋"/>
                <w:sz w:val="28"/>
                <w:szCs w:val="28"/>
              </w:rPr>
            </w:pPr>
            <w:r>
              <w:rPr>
                <w:rFonts w:hint="eastAsia" w:eastAsia="仿宋"/>
                <w:sz w:val="28"/>
                <w:szCs w:val="28"/>
              </w:rPr>
              <w:t>72.5</w:t>
            </w:r>
          </w:p>
        </w:tc>
        <w:tc>
          <w:tcPr>
            <w:tcW w:w="1158" w:type="dxa"/>
            <w:tcBorders>
              <w:top w:val="single" w:color="auto" w:sz="8" w:space="0"/>
              <w:tl2br w:val="nil"/>
              <w:tr2bl w:val="nil"/>
            </w:tcBorders>
            <w:vAlign w:val="center"/>
          </w:tcPr>
          <w:p>
            <w:pPr>
              <w:jc w:val="center"/>
              <w:rPr>
                <w:rFonts w:eastAsia="仿宋"/>
                <w:sz w:val="28"/>
                <w:szCs w:val="28"/>
              </w:rPr>
            </w:pPr>
            <w:r>
              <w:rPr>
                <w:rFonts w:hint="eastAsia" w:eastAsia="仿宋"/>
                <w:sz w:val="28"/>
                <w:szCs w:val="28"/>
              </w:rPr>
              <w:t>94.8</w:t>
            </w:r>
          </w:p>
        </w:tc>
        <w:tc>
          <w:tcPr>
            <w:tcW w:w="1158" w:type="dxa"/>
            <w:tcBorders>
              <w:top w:val="single" w:color="auto" w:sz="8" w:space="0"/>
              <w:tl2br w:val="nil"/>
              <w:tr2bl w:val="nil"/>
            </w:tcBorders>
            <w:vAlign w:val="center"/>
          </w:tcPr>
          <w:p>
            <w:pPr>
              <w:jc w:val="center"/>
              <w:rPr>
                <w:rFonts w:eastAsia="仿宋"/>
                <w:sz w:val="28"/>
                <w:szCs w:val="28"/>
              </w:rPr>
            </w:pPr>
            <w:r>
              <w:rPr>
                <w:rFonts w:hint="eastAsia" w:eastAsia="仿宋"/>
                <w:sz w:val="28"/>
                <w:szCs w:val="28"/>
              </w:rPr>
              <w:t>87.2</w:t>
            </w:r>
          </w:p>
        </w:tc>
        <w:tc>
          <w:tcPr>
            <w:tcW w:w="1158" w:type="dxa"/>
            <w:tcBorders>
              <w:top w:val="single" w:color="auto" w:sz="8" w:space="0"/>
              <w:tl2br w:val="nil"/>
              <w:tr2bl w:val="nil"/>
            </w:tcBorders>
            <w:vAlign w:val="center"/>
          </w:tcPr>
          <w:p>
            <w:pPr>
              <w:jc w:val="center"/>
              <w:rPr>
                <w:rFonts w:eastAsia="仿宋"/>
                <w:sz w:val="28"/>
                <w:szCs w:val="28"/>
              </w:rPr>
            </w:pPr>
            <w:r>
              <w:rPr>
                <w:rFonts w:hint="eastAsia" w:eastAsia="仿宋"/>
                <w:sz w:val="28"/>
                <w:szCs w:val="28"/>
              </w:rPr>
              <w:t>84.1</w:t>
            </w:r>
          </w:p>
        </w:tc>
        <w:tc>
          <w:tcPr>
            <w:tcW w:w="1158" w:type="dxa"/>
            <w:tcBorders>
              <w:top w:val="single" w:color="auto" w:sz="8" w:space="0"/>
              <w:tl2br w:val="nil"/>
              <w:tr2bl w:val="nil"/>
            </w:tcBorders>
            <w:vAlign w:val="center"/>
          </w:tcPr>
          <w:p>
            <w:pPr>
              <w:jc w:val="center"/>
              <w:rPr>
                <w:rFonts w:eastAsia="仿宋"/>
                <w:sz w:val="28"/>
                <w:szCs w:val="28"/>
              </w:rPr>
            </w:pPr>
            <w:r>
              <w:rPr>
                <w:rFonts w:hint="eastAsia" w:eastAsia="仿宋"/>
                <w:sz w:val="28"/>
                <w:szCs w:val="28"/>
              </w:rPr>
              <w:t>78.4</w:t>
            </w:r>
          </w:p>
        </w:tc>
        <w:tc>
          <w:tcPr>
            <w:tcW w:w="1163" w:type="dxa"/>
            <w:tcBorders>
              <w:top w:val="single" w:color="auto" w:sz="8" w:space="0"/>
              <w:tl2br w:val="nil"/>
              <w:tr2bl w:val="nil"/>
            </w:tcBorders>
            <w:vAlign w:val="center"/>
          </w:tcPr>
          <w:p>
            <w:pPr>
              <w:jc w:val="center"/>
              <w:rPr>
                <w:rFonts w:eastAsia="仿宋"/>
                <w:sz w:val="28"/>
                <w:szCs w:val="28"/>
              </w:rPr>
            </w:pPr>
            <w:r>
              <w:rPr>
                <w:rFonts w:hint="eastAsia" w:eastAsia="仿宋"/>
                <w:sz w:val="28"/>
                <w:szCs w:val="28"/>
              </w:rPr>
              <w:t>70.3</w:t>
            </w:r>
          </w:p>
        </w:tc>
      </w:tr>
    </w:tbl>
    <w:p>
      <w:pPr>
        <w:pStyle w:val="4"/>
        <w:jc w:val="left"/>
      </w:pPr>
      <w:bookmarkStart w:id="9" w:name="_Toc5695"/>
      <w:r>
        <w:rPr>
          <w:rFonts w:hint="eastAsia"/>
        </w:rPr>
        <w:t>3.3 固相萃取条件的优化</w:t>
      </w:r>
      <w:bookmarkEnd w:id="9"/>
    </w:p>
    <w:p>
      <w:pPr>
        <w:spacing w:line="360" w:lineRule="auto"/>
        <w:ind w:firstLine="560" w:firstLineChars="200"/>
        <w:rPr>
          <w:rFonts w:eastAsia="仿宋" w:cs="仿宋"/>
          <w:sz w:val="28"/>
          <w:szCs w:val="28"/>
        </w:rPr>
      </w:pPr>
      <w:r>
        <w:rPr>
          <w:rFonts w:hint="eastAsia" w:eastAsia="仿宋" w:cs="仿宋"/>
          <w:sz w:val="28"/>
          <w:szCs w:val="28"/>
        </w:rPr>
        <w:t>对于水样来说，目标分析物的含量很低，分析的要求是较高的萃取效率。萃取回收率的大小会随着固相萃取条件变化而变化，选择不当的固相萃取条件会直接影响一些样品的检出，所以必须优化固相萃取条件。</w:t>
      </w:r>
    </w:p>
    <w:p>
      <w:pPr>
        <w:spacing w:line="360" w:lineRule="auto"/>
        <w:ind w:firstLine="560" w:firstLineChars="200"/>
        <w:rPr>
          <w:rFonts w:eastAsia="仿宋" w:cs="仿宋"/>
          <w:sz w:val="28"/>
          <w:szCs w:val="28"/>
        </w:rPr>
      </w:pPr>
      <w:r>
        <w:rPr>
          <w:rFonts w:hint="eastAsia" w:eastAsia="仿宋" w:cs="仿宋"/>
          <w:sz w:val="28"/>
          <w:szCs w:val="28"/>
        </w:rPr>
        <w:t>本试验主要考察了3个对回收率影响大的固相萃取条件，即固相萃取柱、洗脱剂的选择和洗脱剂的用量。通过多次实验确定了最佳固相萃取条件。</w:t>
      </w:r>
    </w:p>
    <w:p>
      <w:pPr>
        <w:pStyle w:val="5"/>
        <w:jc w:val="left"/>
      </w:pPr>
      <w:bookmarkStart w:id="10" w:name="_Toc10564"/>
      <w:r>
        <w:rPr>
          <w:rFonts w:hint="eastAsia"/>
        </w:rPr>
        <w:t>3.3.1 固相萃取柱的选择</w:t>
      </w:r>
      <w:bookmarkEnd w:id="10"/>
    </w:p>
    <w:p>
      <w:pPr>
        <w:ind w:firstLine="560" w:firstLineChars="200"/>
        <w:rPr>
          <w:rFonts w:eastAsia="仿宋"/>
          <w:sz w:val="28"/>
          <w:szCs w:val="28"/>
        </w:rPr>
      </w:pPr>
      <w:r>
        <w:rPr>
          <w:rFonts w:hint="eastAsia" w:eastAsia="仿宋"/>
          <w:sz w:val="28"/>
          <w:szCs w:val="28"/>
        </w:rPr>
        <w:t xml:space="preserve">本实验采用了C18(500 mg，6 mL)、ENVI-Chrom(250mg，6 mL)、HLB(200 mg，6 mL)3种固相萃取小柱对五氯苯酚的萃取效率进行了研究。采用3种固相萃取柱分别对浓度为0.20 </w:t>
      </w:r>
      <w:r>
        <w:rPr>
          <w:rFonts w:eastAsia="仿宋"/>
          <w:sz w:val="28"/>
          <w:szCs w:val="28"/>
        </w:rPr>
        <w:t>μg/L</w:t>
      </w:r>
      <w:r>
        <w:rPr>
          <w:rFonts w:hint="eastAsia" w:eastAsia="仿宋"/>
          <w:sz w:val="28"/>
          <w:szCs w:val="28"/>
        </w:rPr>
        <w:t>的加标水样进行加标回收率试验，平行测定3次。结果如</w:t>
      </w:r>
      <w:r>
        <w:rPr>
          <w:rFonts w:hint="eastAsia" w:eastAsia="仿宋"/>
          <w:color w:val="FF0000"/>
          <w:sz w:val="28"/>
          <w:szCs w:val="28"/>
        </w:rPr>
        <w:t>表2</w:t>
      </w:r>
      <w:r>
        <w:rPr>
          <w:rFonts w:hint="eastAsia" w:eastAsia="仿宋"/>
          <w:sz w:val="28"/>
          <w:szCs w:val="28"/>
        </w:rPr>
        <w:t>所示，采用HLB柱的平均加标回收率为92.5%，明显高于采用C18柱和ENVI-Chrom柱的平均加标回收率。实验结果表明，HLB柱对五氯苯酚的富集效果优于C18柱和ENVI-Chrom柱，因此，本试验选择HLB固相萃取小柱。</w:t>
      </w:r>
    </w:p>
    <w:p>
      <w:pPr>
        <w:spacing w:line="400" w:lineRule="exact"/>
        <w:jc w:val="center"/>
        <w:rPr>
          <w:rFonts w:eastAsia="仿宋"/>
          <w:szCs w:val="28"/>
        </w:rPr>
      </w:pPr>
      <w:bookmarkStart w:id="11" w:name="OLE_LINK2"/>
      <w:r>
        <w:rPr>
          <w:rFonts w:hint="eastAsia" w:eastAsia="仿宋"/>
          <w:color w:val="000000" w:themeColor="text1"/>
          <w:szCs w:val="28"/>
        </w:rPr>
        <w:t>表2</w:t>
      </w:r>
      <w:r>
        <w:rPr>
          <w:rFonts w:hint="eastAsia" w:eastAsia="仿宋"/>
          <w:szCs w:val="28"/>
        </w:rPr>
        <w:t xml:space="preserve">  不同的固相萃取柱对五氯苯酚回收率的影响(n=3)</w:t>
      </w:r>
    </w:p>
    <w:p>
      <w:pPr>
        <w:spacing w:line="400" w:lineRule="exact"/>
        <w:jc w:val="center"/>
        <w:rPr>
          <w:rFonts w:eastAsia="仿宋"/>
          <w:szCs w:val="28"/>
        </w:rPr>
      </w:pPr>
      <w:r>
        <w:rPr>
          <w:rFonts w:hint="eastAsia" w:eastAsia="仿宋"/>
          <w:szCs w:val="28"/>
        </w:rPr>
        <w:t>Table 2  Effect of different SPE columns on recovery of PCP(n=3)</w:t>
      </w:r>
    </w:p>
    <w:tbl>
      <w:tblPr>
        <w:tblStyle w:val="13"/>
        <w:tblW w:w="852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4"/>
        <w:gridCol w:w="2272"/>
        <w:gridCol w:w="2272"/>
        <w:gridCol w:w="2274"/>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vMerge w:val="restart"/>
            <w:tcBorders>
              <w:tl2br w:val="nil"/>
              <w:tr2bl w:val="nil"/>
            </w:tcBorders>
            <w:vAlign w:val="center"/>
          </w:tcPr>
          <w:p>
            <w:pPr>
              <w:jc w:val="center"/>
              <w:rPr>
                <w:rFonts w:eastAsia="仿宋"/>
                <w:sz w:val="28"/>
                <w:szCs w:val="28"/>
              </w:rPr>
            </w:pPr>
            <w:r>
              <w:rPr>
                <w:rFonts w:hint="eastAsia" w:eastAsia="仿宋"/>
                <w:sz w:val="28"/>
                <w:szCs w:val="28"/>
              </w:rPr>
              <w:t>目标物</w:t>
            </w:r>
          </w:p>
        </w:tc>
        <w:tc>
          <w:tcPr>
            <w:tcW w:w="6818" w:type="dxa"/>
            <w:gridSpan w:val="3"/>
            <w:tcBorders>
              <w:tl2br w:val="nil"/>
              <w:tr2bl w:val="nil"/>
            </w:tcBorders>
            <w:vAlign w:val="center"/>
          </w:tcPr>
          <w:p>
            <w:pPr>
              <w:jc w:val="center"/>
              <w:rPr>
                <w:rFonts w:eastAsia="仿宋"/>
                <w:sz w:val="28"/>
                <w:szCs w:val="28"/>
              </w:rPr>
            </w:pPr>
            <w:r>
              <w:rPr>
                <w:rFonts w:hint="eastAsia" w:eastAsia="仿宋"/>
                <w:sz w:val="28"/>
                <w:szCs w:val="28"/>
              </w:rPr>
              <w:t>平均加标回收率/%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vMerge w:val="continue"/>
            <w:tcBorders>
              <w:tl2br w:val="nil"/>
              <w:tr2bl w:val="nil"/>
            </w:tcBorders>
            <w:vAlign w:val="center"/>
          </w:tcPr>
          <w:p>
            <w:pPr>
              <w:jc w:val="center"/>
              <w:rPr>
                <w:rFonts w:eastAsia="仿宋"/>
                <w:sz w:val="28"/>
                <w:szCs w:val="28"/>
              </w:rPr>
            </w:pPr>
          </w:p>
        </w:tc>
        <w:tc>
          <w:tcPr>
            <w:tcW w:w="2272" w:type="dxa"/>
            <w:tcBorders>
              <w:tl2br w:val="nil"/>
              <w:tr2bl w:val="nil"/>
            </w:tcBorders>
            <w:vAlign w:val="center"/>
          </w:tcPr>
          <w:p>
            <w:pPr>
              <w:jc w:val="center"/>
              <w:rPr>
                <w:rFonts w:eastAsia="仿宋"/>
                <w:sz w:val="28"/>
                <w:szCs w:val="28"/>
              </w:rPr>
            </w:pPr>
            <w:r>
              <w:rPr>
                <w:rFonts w:hint="eastAsia" w:eastAsia="仿宋"/>
                <w:sz w:val="28"/>
                <w:szCs w:val="28"/>
              </w:rPr>
              <w:t>C18</w:t>
            </w:r>
          </w:p>
        </w:tc>
        <w:tc>
          <w:tcPr>
            <w:tcW w:w="2272" w:type="dxa"/>
            <w:tcBorders>
              <w:tl2br w:val="nil"/>
              <w:tr2bl w:val="nil"/>
            </w:tcBorders>
            <w:vAlign w:val="center"/>
          </w:tcPr>
          <w:p>
            <w:pPr>
              <w:jc w:val="center"/>
              <w:rPr>
                <w:rFonts w:eastAsia="仿宋"/>
                <w:sz w:val="28"/>
                <w:szCs w:val="28"/>
              </w:rPr>
            </w:pPr>
            <w:r>
              <w:rPr>
                <w:rFonts w:hint="eastAsia" w:eastAsia="仿宋"/>
                <w:sz w:val="28"/>
                <w:szCs w:val="28"/>
              </w:rPr>
              <w:t>ENVI-Chrom</w:t>
            </w:r>
          </w:p>
        </w:tc>
        <w:tc>
          <w:tcPr>
            <w:tcW w:w="2274" w:type="dxa"/>
            <w:tcBorders>
              <w:tl2br w:val="nil"/>
              <w:tr2bl w:val="nil"/>
            </w:tcBorders>
            <w:vAlign w:val="center"/>
          </w:tcPr>
          <w:p>
            <w:pPr>
              <w:jc w:val="center"/>
              <w:rPr>
                <w:rFonts w:eastAsia="仿宋"/>
                <w:sz w:val="28"/>
                <w:szCs w:val="28"/>
              </w:rPr>
            </w:pPr>
            <w:r>
              <w:rPr>
                <w:rFonts w:hint="eastAsia" w:eastAsia="仿宋"/>
                <w:sz w:val="28"/>
                <w:szCs w:val="28"/>
              </w:rPr>
              <w:t>HLB</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vAlign w:val="center"/>
          </w:tcPr>
          <w:p>
            <w:pPr>
              <w:jc w:val="center"/>
              <w:rPr>
                <w:rFonts w:eastAsia="仿宋"/>
                <w:sz w:val="28"/>
                <w:szCs w:val="28"/>
              </w:rPr>
            </w:pPr>
            <w:r>
              <w:rPr>
                <w:rFonts w:hint="eastAsia" w:eastAsia="仿宋"/>
                <w:sz w:val="28"/>
                <w:szCs w:val="28"/>
              </w:rPr>
              <w:t>五氯苯酚</w:t>
            </w:r>
          </w:p>
        </w:tc>
        <w:tc>
          <w:tcPr>
            <w:tcW w:w="2272" w:type="dxa"/>
            <w:tcBorders>
              <w:tl2br w:val="nil"/>
              <w:tr2bl w:val="nil"/>
            </w:tcBorders>
            <w:vAlign w:val="center"/>
          </w:tcPr>
          <w:p>
            <w:pPr>
              <w:jc w:val="center"/>
              <w:rPr>
                <w:rFonts w:eastAsia="仿宋"/>
                <w:sz w:val="28"/>
                <w:szCs w:val="28"/>
              </w:rPr>
            </w:pPr>
            <w:r>
              <w:rPr>
                <w:rFonts w:hint="eastAsia" w:eastAsia="仿宋"/>
                <w:sz w:val="28"/>
                <w:szCs w:val="28"/>
              </w:rPr>
              <w:t>65.3</w:t>
            </w:r>
          </w:p>
        </w:tc>
        <w:tc>
          <w:tcPr>
            <w:tcW w:w="2272" w:type="dxa"/>
            <w:tcBorders>
              <w:tl2br w:val="nil"/>
              <w:tr2bl w:val="nil"/>
            </w:tcBorders>
            <w:vAlign w:val="center"/>
          </w:tcPr>
          <w:p>
            <w:pPr>
              <w:jc w:val="center"/>
              <w:rPr>
                <w:rFonts w:eastAsia="仿宋"/>
                <w:sz w:val="28"/>
                <w:szCs w:val="28"/>
              </w:rPr>
            </w:pPr>
            <w:r>
              <w:rPr>
                <w:rFonts w:hint="eastAsia" w:eastAsia="仿宋"/>
                <w:sz w:val="28"/>
                <w:szCs w:val="28"/>
              </w:rPr>
              <w:t>79.0</w:t>
            </w:r>
          </w:p>
        </w:tc>
        <w:tc>
          <w:tcPr>
            <w:tcW w:w="2274" w:type="dxa"/>
            <w:tcBorders>
              <w:tl2br w:val="nil"/>
              <w:tr2bl w:val="nil"/>
            </w:tcBorders>
            <w:vAlign w:val="center"/>
          </w:tcPr>
          <w:p>
            <w:pPr>
              <w:jc w:val="center"/>
              <w:rPr>
                <w:rFonts w:eastAsia="仿宋"/>
                <w:sz w:val="28"/>
                <w:szCs w:val="28"/>
              </w:rPr>
            </w:pPr>
            <w:r>
              <w:rPr>
                <w:rFonts w:hint="eastAsia" w:eastAsia="仿宋"/>
                <w:sz w:val="28"/>
                <w:szCs w:val="28"/>
              </w:rPr>
              <w:t>91.5</w:t>
            </w:r>
          </w:p>
        </w:tc>
      </w:tr>
      <w:bookmarkEnd w:id="11"/>
    </w:tbl>
    <w:p>
      <w:pPr>
        <w:spacing w:line="400" w:lineRule="exact"/>
        <w:jc w:val="center"/>
        <w:rPr>
          <w:rFonts w:eastAsia="仿宋"/>
          <w:szCs w:val="28"/>
        </w:rPr>
      </w:pPr>
    </w:p>
    <w:p>
      <w:pPr>
        <w:pStyle w:val="5"/>
        <w:ind w:firstLine="560" w:firstLineChars="200"/>
        <w:jc w:val="left"/>
        <w:rPr>
          <w:rFonts w:ascii="Times New Roman" w:hAnsi="Times New Roman" w:eastAsia="仿宋" w:cs="仿宋"/>
          <w:b w:val="0"/>
          <w:bCs/>
        </w:rPr>
      </w:pPr>
      <w:bookmarkStart w:id="12" w:name="_Toc8262"/>
      <w:r>
        <w:rPr>
          <w:rFonts w:hint="eastAsia" w:ascii="Times New Roman" w:hAnsi="Times New Roman" w:eastAsia="仿宋" w:cs="仿宋"/>
          <w:b w:val="0"/>
          <w:bCs/>
        </w:rPr>
        <w:t>为了进一步探求不同品牌的HLB固相萃取柱对五氯苯酚萃取效率的影响，本实验对比研究了三个主流品牌的HLB固相萃取小柱（Waters Oasis, 200 mg, 6 mL; Simon Aldrich, 150 mg, 6 mL; CNW Poly-Sery, 200 mg, 6 mL;）对</w:t>
      </w:r>
      <w:r>
        <w:rPr>
          <w:rFonts w:hint="eastAsia" w:ascii="Times New Roman" w:hAnsi="Times New Roman" w:eastAsia="仿宋" w:cs="仿宋"/>
          <w:b w:val="0"/>
          <w:bCs/>
          <w:szCs w:val="28"/>
        </w:rPr>
        <w:t xml:space="preserve">0.20 </w:t>
      </w:r>
      <w:r>
        <w:rPr>
          <w:rFonts w:ascii="Times New Roman" w:hAnsi="Times New Roman" w:eastAsia="仿宋"/>
          <w:b w:val="0"/>
          <w:bCs/>
          <w:szCs w:val="28"/>
        </w:rPr>
        <w:t>μg/L</w:t>
      </w:r>
      <w:r>
        <w:rPr>
          <w:rFonts w:hint="eastAsia" w:ascii="Times New Roman" w:hAnsi="Times New Roman" w:eastAsia="仿宋" w:cs="仿宋"/>
          <w:b w:val="0"/>
          <w:bCs/>
          <w:szCs w:val="28"/>
        </w:rPr>
        <w:t>的加标水样中</w:t>
      </w:r>
      <w:r>
        <w:rPr>
          <w:rFonts w:hint="eastAsia" w:ascii="Times New Roman" w:hAnsi="Times New Roman" w:eastAsia="仿宋" w:cs="仿宋"/>
          <w:b w:val="0"/>
          <w:bCs/>
        </w:rPr>
        <w:t>目标物萃取回收率的影响（如表3所示)。结果表明，不同生产厂商的C18固相萃取小柱对水样中五氯苯酚的萃取率没有显著差异。</w:t>
      </w:r>
      <w:bookmarkEnd w:id="12"/>
    </w:p>
    <w:p>
      <w:pPr>
        <w:rPr>
          <w:rFonts w:eastAsia="仿宋" w:cs="仿宋"/>
          <w:bCs/>
        </w:rPr>
      </w:pPr>
    </w:p>
    <w:p>
      <w:pPr>
        <w:rPr>
          <w:rFonts w:eastAsia="仿宋" w:cs="仿宋"/>
          <w:bCs/>
        </w:rPr>
      </w:pPr>
    </w:p>
    <w:p>
      <w:pPr>
        <w:rPr>
          <w:rFonts w:eastAsia="仿宋" w:cs="仿宋"/>
          <w:bCs/>
        </w:rPr>
      </w:pPr>
    </w:p>
    <w:p>
      <w:pPr>
        <w:rPr>
          <w:rFonts w:eastAsia="仿宋" w:cs="仿宋"/>
          <w:bCs/>
        </w:rPr>
      </w:pPr>
    </w:p>
    <w:p>
      <w:pPr>
        <w:rPr>
          <w:rFonts w:eastAsia="仿宋" w:cs="仿宋"/>
          <w:bCs/>
        </w:rPr>
      </w:pPr>
    </w:p>
    <w:p>
      <w:pPr>
        <w:spacing w:line="400" w:lineRule="exact"/>
        <w:jc w:val="center"/>
        <w:rPr>
          <w:rFonts w:eastAsia="仿宋"/>
          <w:szCs w:val="28"/>
        </w:rPr>
      </w:pPr>
      <w:r>
        <w:rPr>
          <w:rFonts w:hint="eastAsia" w:eastAsia="仿宋"/>
          <w:szCs w:val="28"/>
        </w:rPr>
        <w:t>表3 不同品牌的C18固相萃取柱对五氯苯酚回收率的影响(n=3)</w:t>
      </w:r>
    </w:p>
    <w:p>
      <w:pPr>
        <w:spacing w:line="400" w:lineRule="exact"/>
        <w:jc w:val="center"/>
        <w:rPr>
          <w:rFonts w:eastAsia="仿宋"/>
          <w:szCs w:val="28"/>
        </w:rPr>
      </w:pPr>
      <w:r>
        <w:rPr>
          <w:rFonts w:hint="eastAsia" w:eastAsia="仿宋"/>
          <w:szCs w:val="28"/>
        </w:rPr>
        <w:t>Table 3  Effect of different C 18 SPE columns on recovery of PCP(n=3)</w:t>
      </w:r>
    </w:p>
    <w:tbl>
      <w:tblPr>
        <w:tblStyle w:val="13"/>
        <w:tblW w:w="4998"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80"/>
        <w:gridCol w:w="1897"/>
        <w:gridCol w:w="2619"/>
        <w:gridCol w:w="262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 w:type="pct"/>
            <w:vMerge w:val="restart"/>
            <w:tcBorders>
              <w:tl2br w:val="nil"/>
              <w:tr2bl w:val="nil"/>
            </w:tcBorders>
            <w:vAlign w:val="center"/>
          </w:tcPr>
          <w:p>
            <w:pPr>
              <w:jc w:val="center"/>
              <w:rPr>
                <w:rFonts w:eastAsia="仿宋"/>
                <w:sz w:val="28"/>
                <w:szCs w:val="28"/>
              </w:rPr>
            </w:pPr>
            <w:r>
              <w:rPr>
                <w:rFonts w:hint="eastAsia" w:eastAsia="仿宋"/>
                <w:sz w:val="28"/>
                <w:szCs w:val="28"/>
              </w:rPr>
              <w:t>目标物</w:t>
            </w:r>
          </w:p>
        </w:tc>
        <w:tc>
          <w:tcPr>
            <w:tcW w:w="4189" w:type="pct"/>
            <w:gridSpan w:val="3"/>
            <w:tcBorders>
              <w:tl2br w:val="nil"/>
              <w:tr2bl w:val="nil"/>
            </w:tcBorders>
            <w:vAlign w:val="center"/>
          </w:tcPr>
          <w:p>
            <w:pPr>
              <w:jc w:val="center"/>
              <w:rPr>
                <w:rFonts w:eastAsia="仿宋"/>
                <w:sz w:val="28"/>
                <w:szCs w:val="28"/>
              </w:rPr>
            </w:pPr>
            <w:r>
              <w:rPr>
                <w:rFonts w:hint="eastAsia" w:eastAsia="仿宋"/>
                <w:sz w:val="28"/>
                <w:szCs w:val="28"/>
              </w:rPr>
              <w:t>平均加标回收率/%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10" w:type="pct"/>
            <w:vMerge w:val="continue"/>
            <w:tcBorders>
              <w:tl2br w:val="nil"/>
              <w:tr2bl w:val="nil"/>
            </w:tcBorders>
            <w:vAlign w:val="center"/>
          </w:tcPr>
          <w:p>
            <w:pPr>
              <w:jc w:val="center"/>
              <w:rPr>
                <w:rFonts w:eastAsia="仿宋"/>
                <w:sz w:val="28"/>
                <w:szCs w:val="28"/>
              </w:rPr>
            </w:pPr>
          </w:p>
        </w:tc>
        <w:tc>
          <w:tcPr>
            <w:tcW w:w="4189" w:type="pct"/>
            <w:gridSpan w:val="3"/>
            <w:tcBorders>
              <w:tl2br w:val="nil"/>
              <w:tr2bl w:val="nil"/>
            </w:tcBorders>
            <w:vAlign w:val="center"/>
          </w:tcPr>
          <w:p>
            <w:pPr>
              <w:jc w:val="center"/>
              <w:rPr>
                <w:rFonts w:eastAsia="仿宋"/>
                <w:sz w:val="28"/>
                <w:szCs w:val="28"/>
              </w:rPr>
            </w:pPr>
            <w:r>
              <w:rPr>
                <w:rFonts w:hint="eastAsia" w:eastAsia="仿宋"/>
                <w:sz w:val="28"/>
                <w:szCs w:val="28"/>
              </w:rPr>
              <w:t>品牌</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10" w:type="pct"/>
            <w:vMerge w:val="continue"/>
            <w:tcBorders>
              <w:tl2br w:val="nil"/>
              <w:tr2bl w:val="nil"/>
            </w:tcBorders>
            <w:vAlign w:val="center"/>
          </w:tcPr>
          <w:p>
            <w:pPr>
              <w:jc w:val="center"/>
            </w:pPr>
          </w:p>
        </w:tc>
        <w:tc>
          <w:tcPr>
            <w:tcW w:w="1113" w:type="pct"/>
            <w:tcBorders>
              <w:tl2br w:val="nil"/>
              <w:tr2bl w:val="nil"/>
            </w:tcBorders>
            <w:vAlign w:val="center"/>
          </w:tcPr>
          <w:p>
            <w:pPr>
              <w:jc w:val="center"/>
              <w:rPr>
                <w:rFonts w:eastAsia="仿宋"/>
                <w:sz w:val="28"/>
                <w:szCs w:val="28"/>
              </w:rPr>
            </w:pPr>
            <w:r>
              <w:rPr>
                <w:rFonts w:hint="eastAsia" w:eastAsia="仿宋"/>
                <w:sz w:val="28"/>
                <w:szCs w:val="28"/>
              </w:rPr>
              <w:t>Waters Oasis</w:t>
            </w:r>
          </w:p>
        </w:tc>
        <w:tc>
          <w:tcPr>
            <w:tcW w:w="1537" w:type="pct"/>
            <w:tcBorders>
              <w:tl2br w:val="nil"/>
              <w:tr2bl w:val="nil"/>
            </w:tcBorders>
            <w:vAlign w:val="center"/>
          </w:tcPr>
          <w:p>
            <w:pPr>
              <w:jc w:val="center"/>
              <w:rPr>
                <w:rFonts w:eastAsia="仿宋"/>
                <w:sz w:val="28"/>
                <w:szCs w:val="28"/>
              </w:rPr>
            </w:pPr>
            <w:r>
              <w:rPr>
                <w:rFonts w:hint="eastAsia" w:eastAsia="仿宋" w:cs="仿宋"/>
                <w:bCs/>
              </w:rPr>
              <w:t>Simon Aldrich</w:t>
            </w:r>
          </w:p>
        </w:tc>
        <w:tc>
          <w:tcPr>
            <w:tcW w:w="1538" w:type="pct"/>
            <w:tcBorders>
              <w:tl2br w:val="nil"/>
              <w:tr2bl w:val="nil"/>
            </w:tcBorders>
            <w:vAlign w:val="center"/>
          </w:tcPr>
          <w:p>
            <w:pPr>
              <w:jc w:val="center"/>
              <w:rPr>
                <w:rFonts w:eastAsia="仿宋"/>
                <w:sz w:val="28"/>
                <w:szCs w:val="28"/>
              </w:rPr>
            </w:pPr>
            <w:r>
              <w:rPr>
                <w:rFonts w:hint="eastAsia" w:eastAsia="仿宋"/>
                <w:sz w:val="28"/>
                <w:szCs w:val="28"/>
              </w:rPr>
              <w:t>CNW</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810" w:type="pct"/>
            <w:tcBorders>
              <w:tl2br w:val="nil"/>
              <w:tr2bl w:val="nil"/>
            </w:tcBorders>
            <w:vAlign w:val="center"/>
          </w:tcPr>
          <w:p>
            <w:pPr>
              <w:jc w:val="center"/>
              <w:rPr>
                <w:rFonts w:eastAsia="仿宋"/>
                <w:sz w:val="28"/>
                <w:szCs w:val="28"/>
              </w:rPr>
            </w:pPr>
            <w:r>
              <w:rPr>
                <w:rFonts w:hint="eastAsia" w:eastAsia="仿宋"/>
                <w:sz w:val="28"/>
                <w:szCs w:val="28"/>
              </w:rPr>
              <w:t>五氯苯酚</w:t>
            </w:r>
          </w:p>
        </w:tc>
        <w:tc>
          <w:tcPr>
            <w:tcW w:w="1113" w:type="pct"/>
            <w:tcBorders>
              <w:tl2br w:val="nil"/>
              <w:tr2bl w:val="nil"/>
            </w:tcBorders>
            <w:vAlign w:val="center"/>
          </w:tcPr>
          <w:p>
            <w:pPr>
              <w:jc w:val="center"/>
              <w:rPr>
                <w:rFonts w:eastAsia="仿宋"/>
                <w:sz w:val="28"/>
                <w:szCs w:val="28"/>
              </w:rPr>
            </w:pPr>
            <w:r>
              <w:rPr>
                <w:rFonts w:hint="eastAsia" w:eastAsia="仿宋"/>
                <w:sz w:val="28"/>
                <w:szCs w:val="28"/>
              </w:rPr>
              <w:t>92.3</w:t>
            </w:r>
          </w:p>
        </w:tc>
        <w:tc>
          <w:tcPr>
            <w:tcW w:w="1537" w:type="pct"/>
            <w:tcBorders>
              <w:tl2br w:val="nil"/>
              <w:tr2bl w:val="nil"/>
            </w:tcBorders>
            <w:vAlign w:val="center"/>
          </w:tcPr>
          <w:p>
            <w:pPr>
              <w:jc w:val="center"/>
              <w:rPr>
                <w:rFonts w:eastAsia="仿宋"/>
                <w:sz w:val="28"/>
                <w:szCs w:val="28"/>
              </w:rPr>
            </w:pPr>
            <w:r>
              <w:rPr>
                <w:rFonts w:hint="eastAsia" w:eastAsia="仿宋"/>
                <w:sz w:val="28"/>
                <w:szCs w:val="28"/>
              </w:rPr>
              <w:t>88.5</w:t>
            </w:r>
          </w:p>
        </w:tc>
        <w:tc>
          <w:tcPr>
            <w:tcW w:w="1538" w:type="pct"/>
            <w:tcBorders>
              <w:tl2br w:val="nil"/>
              <w:tr2bl w:val="nil"/>
            </w:tcBorders>
            <w:vAlign w:val="center"/>
          </w:tcPr>
          <w:p>
            <w:pPr>
              <w:jc w:val="center"/>
              <w:rPr>
                <w:rFonts w:eastAsia="仿宋"/>
                <w:sz w:val="28"/>
                <w:szCs w:val="28"/>
              </w:rPr>
            </w:pPr>
            <w:r>
              <w:rPr>
                <w:rFonts w:hint="eastAsia" w:eastAsia="仿宋"/>
                <w:sz w:val="28"/>
                <w:szCs w:val="28"/>
              </w:rPr>
              <w:t>90.1</w:t>
            </w:r>
          </w:p>
        </w:tc>
      </w:tr>
    </w:tbl>
    <w:p/>
    <w:p>
      <w:pPr>
        <w:pStyle w:val="5"/>
        <w:jc w:val="left"/>
      </w:pPr>
      <w:bookmarkStart w:id="13" w:name="_Toc20734"/>
      <w:r>
        <w:rPr>
          <w:rFonts w:hint="eastAsia"/>
        </w:rPr>
        <w:t>3.3.2 洗脱剂的选择</w:t>
      </w:r>
      <w:bookmarkEnd w:id="13"/>
    </w:p>
    <w:p>
      <w:pPr>
        <w:spacing w:line="360" w:lineRule="auto"/>
        <w:ind w:firstLine="560" w:firstLineChars="200"/>
        <w:rPr>
          <w:rFonts w:eastAsia="仿宋" w:cs="楷体"/>
          <w:sz w:val="28"/>
          <w:szCs w:val="28"/>
        </w:rPr>
      </w:pPr>
      <w:r>
        <w:rPr>
          <w:rFonts w:hint="eastAsia" w:eastAsia="仿宋" w:cs="楷体"/>
          <w:sz w:val="28"/>
          <w:szCs w:val="28"/>
        </w:rPr>
        <w:t>选择合适的洗脱剂将目标物从吸附剂上洗脱下来是整个萃取过程的关键。实验选择甲醇 、乙腈、二氯甲烷、丙酮作为洗脱剂 ,考察对富集在</w:t>
      </w:r>
      <w:r>
        <w:rPr>
          <w:rFonts w:eastAsia="仿宋"/>
          <w:sz w:val="28"/>
          <w:szCs w:val="28"/>
        </w:rPr>
        <w:t>HLB</w:t>
      </w:r>
      <w:r>
        <w:rPr>
          <w:rFonts w:hint="eastAsia" w:eastAsia="仿宋" w:cs="楷体"/>
          <w:sz w:val="28"/>
          <w:szCs w:val="28"/>
        </w:rPr>
        <w:t>固相萃取柱内的五氯苯酚洗脱效果,实验结果如</w:t>
      </w:r>
      <w:r>
        <w:rPr>
          <w:rFonts w:hint="eastAsia" w:eastAsia="仿宋" w:cs="楷体"/>
          <w:color w:val="FF0000"/>
          <w:sz w:val="28"/>
          <w:szCs w:val="28"/>
        </w:rPr>
        <w:t>表4</w:t>
      </w:r>
      <w:r>
        <w:rPr>
          <w:rFonts w:hint="eastAsia" w:eastAsia="仿宋" w:cs="楷体"/>
          <w:sz w:val="28"/>
          <w:szCs w:val="28"/>
        </w:rPr>
        <w:t>所示。从</w:t>
      </w:r>
      <w:r>
        <w:rPr>
          <w:rFonts w:hint="eastAsia" w:eastAsia="仿宋" w:cs="楷体"/>
          <w:color w:val="FF0000"/>
          <w:sz w:val="28"/>
          <w:szCs w:val="28"/>
        </w:rPr>
        <w:t>表4</w:t>
      </w:r>
      <w:r>
        <w:rPr>
          <w:rFonts w:hint="eastAsia" w:eastAsia="仿宋" w:cs="楷体"/>
          <w:sz w:val="28"/>
          <w:szCs w:val="28"/>
        </w:rPr>
        <w:t>可以看出，五氯苯酚在甲醇 、</w:t>
      </w:r>
      <w:bookmarkStart w:id="14" w:name="OLE_LINK3"/>
      <w:r>
        <w:rPr>
          <w:rFonts w:hint="eastAsia" w:eastAsia="仿宋" w:cs="楷体"/>
          <w:sz w:val="28"/>
          <w:szCs w:val="28"/>
        </w:rPr>
        <w:t>乙腈、二氯甲烷、丙酮</w:t>
      </w:r>
      <w:bookmarkEnd w:id="14"/>
      <w:r>
        <w:rPr>
          <w:rFonts w:hint="eastAsia" w:eastAsia="仿宋" w:cs="楷体"/>
          <w:sz w:val="28"/>
          <w:szCs w:val="28"/>
        </w:rPr>
        <w:t>四种洗脱剂洗脱下，回收率分别为93.0%、73.4%、75.0%、81.7%，甲醇的洗脱效果明显优于乙腈、二氯甲烷和丙酮，故选择甲醇作为洗脱剂。</w:t>
      </w:r>
    </w:p>
    <w:p>
      <w:pPr>
        <w:spacing w:line="400" w:lineRule="exact"/>
        <w:jc w:val="center"/>
        <w:rPr>
          <w:rFonts w:eastAsia="仿宋"/>
          <w:szCs w:val="28"/>
        </w:rPr>
      </w:pPr>
      <w:r>
        <w:rPr>
          <w:rFonts w:hint="eastAsia" w:eastAsia="仿宋"/>
          <w:szCs w:val="28"/>
        </w:rPr>
        <w:t>表4  不同的洗脱剂对五氯苯酚回收率的影响 (n=3)</w:t>
      </w:r>
    </w:p>
    <w:p>
      <w:pPr>
        <w:jc w:val="center"/>
        <w:rPr>
          <w:rFonts w:eastAsia="仿宋"/>
          <w:szCs w:val="28"/>
        </w:rPr>
      </w:pPr>
      <w:r>
        <w:rPr>
          <w:rFonts w:hint="eastAsia" w:eastAsia="仿宋"/>
          <w:szCs w:val="28"/>
        </w:rPr>
        <w:t>Table 4Effect of different eluents on recovery of PCP (n=3)</w:t>
      </w:r>
    </w:p>
    <w:tbl>
      <w:tblPr>
        <w:tblStyle w:val="13"/>
        <w:tblW w:w="8472"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00"/>
        <w:gridCol w:w="1743"/>
        <w:gridCol w:w="1743"/>
        <w:gridCol w:w="1743"/>
        <w:gridCol w:w="1743"/>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jc w:val="center"/>
        </w:trPr>
        <w:tc>
          <w:tcPr>
            <w:tcW w:w="1500" w:type="dxa"/>
            <w:vMerge w:val="restart"/>
            <w:tcBorders>
              <w:tl2br w:val="nil"/>
              <w:tr2bl w:val="nil"/>
            </w:tcBorders>
            <w:vAlign w:val="center"/>
          </w:tcPr>
          <w:p>
            <w:pPr>
              <w:jc w:val="center"/>
              <w:rPr>
                <w:rFonts w:eastAsia="仿宋"/>
                <w:sz w:val="28"/>
                <w:szCs w:val="28"/>
              </w:rPr>
            </w:pPr>
            <w:r>
              <w:rPr>
                <w:rFonts w:hint="eastAsia" w:eastAsia="仿宋"/>
                <w:sz w:val="28"/>
                <w:szCs w:val="28"/>
              </w:rPr>
              <w:t>目标物</w:t>
            </w:r>
          </w:p>
        </w:tc>
        <w:tc>
          <w:tcPr>
            <w:tcW w:w="6972" w:type="dxa"/>
            <w:gridSpan w:val="4"/>
            <w:tcBorders>
              <w:tl2br w:val="nil"/>
              <w:tr2bl w:val="nil"/>
            </w:tcBorders>
            <w:vAlign w:val="center"/>
          </w:tcPr>
          <w:p>
            <w:pPr>
              <w:jc w:val="center"/>
              <w:rPr>
                <w:rFonts w:eastAsia="仿宋"/>
                <w:sz w:val="28"/>
                <w:szCs w:val="28"/>
              </w:rPr>
            </w:pPr>
            <w:r>
              <w:rPr>
                <w:rFonts w:hint="eastAsia" w:eastAsia="仿宋"/>
                <w:sz w:val="28"/>
                <w:szCs w:val="28"/>
              </w:rPr>
              <w:t>平均加标回收率/%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jc w:val="center"/>
        </w:trPr>
        <w:tc>
          <w:tcPr>
            <w:tcW w:w="1500" w:type="dxa"/>
            <w:vMerge w:val="continue"/>
            <w:tcBorders>
              <w:tl2br w:val="nil"/>
              <w:tr2bl w:val="nil"/>
            </w:tcBorders>
            <w:vAlign w:val="center"/>
          </w:tcPr>
          <w:p>
            <w:pPr>
              <w:jc w:val="center"/>
              <w:rPr>
                <w:rFonts w:eastAsia="仿宋"/>
                <w:sz w:val="28"/>
                <w:szCs w:val="28"/>
              </w:rPr>
            </w:pPr>
          </w:p>
        </w:tc>
        <w:tc>
          <w:tcPr>
            <w:tcW w:w="1743" w:type="dxa"/>
            <w:tcBorders>
              <w:tl2br w:val="nil"/>
              <w:tr2bl w:val="nil"/>
            </w:tcBorders>
            <w:vAlign w:val="center"/>
          </w:tcPr>
          <w:p>
            <w:pPr>
              <w:jc w:val="center"/>
              <w:rPr>
                <w:rFonts w:eastAsia="仿宋"/>
                <w:sz w:val="28"/>
                <w:szCs w:val="28"/>
              </w:rPr>
            </w:pPr>
            <w:r>
              <w:rPr>
                <w:rFonts w:hint="eastAsia" w:eastAsia="仿宋"/>
                <w:sz w:val="28"/>
                <w:szCs w:val="28"/>
              </w:rPr>
              <w:t>甲醇</w:t>
            </w:r>
          </w:p>
        </w:tc>
        <w:tc>
          <w:tcPr>
            <w:tcW w:w="1743" w:type="dxa"/>
            <w:tcBorders>
              <w:tl2br w:val="nil"/>
              <w:tr2bl w:val="nil"/>
            </w:tcBorders>
            <w:vAlign w:val="center"/>
          </w:tcPr>
          <w:p>
            <w:pPr>
              <w:jc w:val="center"/>
              <w:rPr>
                <w:rFonts w:eastAsia="仿宋"/>
                <w:sz w:val="28"/>
                <w:szCs w:val="28"/>
              </w:rPr>
            </w:pPr>
            <w:r>
              <w:rPr>
                <w:rFonts w:hint="eastAsia" w:eastAsia="仿宋"/>
                <w:sz w:val="28"/>
                <w:szCs w:val="28"/>
              </w:rPr>
              <w:t>乙腈</w:t>
            </w:r>
          </w:p>
        </w:tc>
        <w:tc>
          <w:tcPr>
            <w:tcW w:w="1743" w:type="dxa"/>
            <w:tcBorders>
              <w:tl2br w:val="nil"/>
              <w:tr2bl w:val="nil"/>
            </w:tcBorders>
            <w:vAlign w:val="center"/>
          </w:tcPr>
          <w:p>
            <w:pPr>
              <w:jc w:val="center"/>
              <w:rPr>
                <w:rFonts w:eastAsia="仿宋"/>
                <w:sz w:val="28"/>
                <w:szCs w:val="28"/>
              </w:rPr>
            </w:pPr>
            <w:r>
              <w:rPr>
                <w:rFonts w:hint="eastAsia" w:eastAsia="仿宋"/>
                <w:sz w:val="28"/>
                <w:szCs w:val="28"/>
              </w:rPr>
              <w:t>二氯甲烷</w:t>
            </w:r>
          </w:p>
        </w:tc>
        <w:tc>
          <w:tcPr>
            <w:tcW w:w="1743" w:type="dxa"/>
            <w:tcBorders>
              <w:tl2br w:val="nil"/>
              <w:tr2bl w:val="nil"/>
            </w:tcBorders>
            <w:vAlign w:val="center"/>
          </w:tcPr>
          <w:p>
            <w:pPr>
              <w:jc w:val="center"/>
              <w:rPr>
                <w:rFonts w:eastAsia="仿宋"/>
                <w:sz w:val="28"/>
                <w:szCs w:val="28"/>
              </w:rPr>
            </w:pPr>
            <w:r>
              <w:rPr>
                <w:rFonts w:hint="eastAsia" w:eastAsia="仿宋"/>
                <w:sz w:val="28"/>
                <w:szCs w:val="28"/>
              </w:rPr>
              <w:t>丙酮</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7" w:hRule="atLeast"/>
          <w:jc w:val="center"/>
        </w:trPr>
        <w:tc>
          <w:tcPr>
            <w:tcW w:w="1500" w:type="dxa"/>
            <w:tcBorders>
              <w:tl2br w:val="nil"/>
              <w:tr2bl w:val="nil"/>
            </w:tcBorders>
            <w:vAlign w:val="center"/>
          </w:tcPr>
          <w:p>
            <w:pPr>
              <w:jc w:val="center"/>
              <w:rPr>
                <w:rFonts w:eastAsia="仿宋"/>
                <w:sz w:val="28"/>
                <w:szCs w:val="28"/>
              </w:rPr>
            </w:pPr>
            <w:r>
              <w:rPr>
                <w:rFonts w:hint="eastAsia" w:eastAsia="仿宋"/>
                <w:sz w:val="28"/>
                <w:szCs w:val="28"/>
              </w:rPr>
              <w:t>五氯苯酚</w:t>
            </w:r>
          </w:p>
        </w:tc>
        <w:tc>
          <w:tcPr>
            <w:tcW w:w="1743" w:type="dxa"/>
            <w:tcBorders>
              <w:tl2br w:val="nil"/>
              <w:tr2bl w:val="nil"/>
            </w:tcBorders>
            <w:vAlign w:val="center"/>
          </w:tcPr>
          <w:p>
            <w:pPr>
              <w:jc w:val="center"/>
              <w:rPr>
                <w:rFonts w:eastAsia="仿宋"/>
                <w:sz w:val="28"/>
                <w:szCs w:val="28"/>
              </w:rPr>
            </w:pPr>
            <w:r>
              <w:rPr>
                <w:rFonts w:hint="eastAsia" w:eastAsia="仿宋"/>
                <w:sz w:val="28"/>
                <w:szCs w:val="28"/>
              </w:rPr>
              <w:t>93.0</w:t>
            </w:r>
          </w:p>
        </w:tc>
        <w:tc>
          <w:tcPr>
            <w:tcW w:w="1743" w:type="dxa"/>
            <w:tcBorders>
              <w:tl2br w:val="nil"/>
              <w:tr2bl w:val="nil"/>
            </w:tcBorders>
            <w:vAlign w:val="center"/>
          </w:tcPr>
          <w:p>
            <w:pPr>
              <w:jc w:val="center"/>
              <w:rPr>
                <w:rFonts w:eastAsia="仿宋"/>
                <w:sz w:val="28"/>
                <w:szCs w:val="28"/>
              </w:rPr>
            </w:pPr>
            <w:r>
              <w:rPr>
                <w:rFonts w:hint="eastAsia" w:eastAsia="仿宋"/>
                <w:sz w:val="28"/>
                <w:szCs w:val="28"/>
              </w:rPr>
              <w:t>73.4</w:t>
            </w:r>
          </w:p>
        </w:tc>
        <w:tc>
          <w:tcPr>
            <w:tcW w:w="1743" w:type="dxa"/>
            <w:tcBorders>
              <w:tl2br w:val="nil"/>
              <w:tr2bl w:val="nil"/>
            </w:tcBorders>
            <w:vAlign w:val="center"/>
          </w:tcPr>
          <w:p>
            <w:pPr>
              <w:jc w:val="center"/>
              <w:rPr>
                <w:rFonts w:eastAsia="仿宋"/>
                <w:sz w:val="28"/>
                <w:szCs w:val="28"/>
              </w:rPr>
            </w:pPr>
            <w:r>
              <w:rPr>
                <w:rFonts w:hint="eastAsia" w:eastAsia="仿宋"/>
                <w:sz w:val="28"/>
                <w:szCs w:val="28"/>
              </w:rPr>
              <w:t>75.0</w:t>
            </w:r>
          </w:p>
        </w:tc>
        <w:tc>
          <w:tcPr>
            <w:tcW w:w="1743" w:type="dxa"/>
            <w:tcBorders>
              <w:tl2br w:val="nil"/>
              <w:tr2bl w:val="nil"/>
            </w:tcBorders>
            <w:vAlign w:val="center"/>
          </w:tcPr>
          <w:p>
            <w:pPr>
              <w:jc w:val="center"/>
              <w:rPr>
                <w:rFonts w:eastAsia="仿宋"/>
                <w:sz w:val="28"/>
                <w:szCs w:val="28"/>
              </w:rPr>
            </w:pPr>
            <w:r>
              <w:rPr>
                <w:rFonts w:hint="eastAsia" w:eastAsia="仿宋"/>
                <w:sz w:val="28"/>
                <w:szCs w:val="28"/>
              </w:rPr>
              <w:t>81.7</w:t>
            </w:r>
          </w:p>
        </w:tc>
      </w:tr>
    </w:tbl>
    <w:p>
      <w:pPr>
        <w:pStyle w:val="5"/>
        <w:jc w:val="left"/>
      </w:pPr>
      <w:bookmarkStart w:id="15" w:name="_Toc19404"/>
      <w:r>
        <w:rPr>
          <w:rFonts w:hint="eastAsia"/>
        </w:rPr>
        <w:t>3.3.3 洗脱剂的用量</w:t>
      </w:r>
      <w:bookmarkEnd w:id="15"/>
    </w:p>
    <w:p>
      <w:pPr>
        <w:spacing w:beforeLines="50"/>
        <w:ind w:firstLine="560" w:firstLineChars="200"/>
        <w:rPr>
          <w:rFonts w:eastAsia="仿宋" w:cs="楷体"/>
          <w:sz w:val="28"/>
          <w:szCs w:val="28"/>
        </w:rPr>
      </w:pPr>
      <w:r>
        <w:rPr>
          <w:rFonts w:hint="eastAsia" w:eastAsia="仿宋" w:cs="楷体"/>
          <w:sz w:val="28"/>
          <w:szCs w:val="28"/>
        </w:rPr>
        <w:t>洗脱剂用量少不能将目标物从固相萃取柱上洗脱下来，洗脱剂用量多则造成洗脱剂浪费，洗脱剂的量的选择很重要。</w:t>
      </w:r>
      <w:r>
        <w:rPr>
          <w:rFonts w:eastAsia="仿宋" w:cs="楷体"/>
          <w:sz w:val="28"/>
          <w:szCs w:val="28"/>
        </w:rPr>
        <w:t xml:space="preserve">采用 </w:t>
      </w:r>
      <w:r>
        <w:rPr>
          <w:rFonts w:hint="eastAsia" w:eastAsia="仿宋" w:cs="楷体"/>
          <w:sz w:val="28"/>
          <w:szCs w:val="28"/>
        </w:rPr>
        <w:t>HLB</w:t>
      </w:r>
      <w:r>
        <w:rPr>
          <w:rFonts w:eastAsia="仿宋" w:cs="楷体"/>
          <w:sz w:val="28"/>
          <w:szCs w:val="28"/>
        </w:rPr>
        <w:t>固相萃取小柱，</w:t>
      </w:r>
      <w:r>
        <w:rPr>
          <w:rFonts w:hint="eastAsia" w:eastAsia="仿宋" w:cs="楷体"/>
          <w:sz w:val="28"/>
          <w:szCs w:val="28"/>
        </w:rPr>
        <w:t>甲醇</w:t>
      </w:r>
      <w:r>
        <w:rPr>
          <w:rFonts w:eastAsia="仿宋" w:cs="楷体"/>
          <w:sz w:val="28"/>
          <w:szCs w:val="28"/>
        </w:rPr>
        <w:t>为洗脱剂，考察洗脱剂用量（</w:t>
      </w:r>
      <w:r>
        <w:rPr>
          <w:rFonts w:hint="eastAsia" w:eastAsia="仿宋" w:cs="楷体"/>
          <w:sz w:val="28"/>
          <w:szCs w:val="28"/>
        </w:rPr>
        <w:t>2</w:t>
      </w:r>
      <w:r>
        <w:rPr>
          <w:rFonts w:eastAsia="仿宋" w:cs="楷体"/>
          <w:sz w:val="28"/>
          <w:szCs w:val="28"/>
        </w:rPr>
        <w:t>，</w:t>
      </w:r>
      <w:r>
        <w:rPr>
          <w:rFonts w:hint="eastAsia" w:eastAsia="仿宋" w:cs="楷体"/>
          <w:sz w:val="28"/>
          <w:szCs w:val="28"/>
        </w:rPr>
        <w:t>3</w:t>
      </w:r>
      <w:r>
        <w:rPr>
          <w:rFonts w:eastAsia="仿宋" w:cs="楷体"/>
          <w:sz w:val="28"/>
          <w:szCs w:val="28"/>
        </w:rPr>
        <w:t>，</w:t>
      </w:r>
      <w:r>
        <w:rPr>
          <w:rFonts w:hint="eastAsia" w:eastAsia="仿宋" w:cs="楷体"/>
          <w:sz w:val="28"/>
          <w:szCs w:val="28"/>
        </w:rPr>
        <w:t>4</w:t>
      </w:r>
      <w:r>
        <w:rPr>
          <w:rFonts w:eastAsia="仿宋" w:cs="楷体"/>
          <w:sz w:val="28"/>
          <w:szCs w:val="28"/>
        </w:rPr>
        <w:t>，</w:t>
      </w:r>
      <w:r>
        <w:rPr>
          <w:rFonts w:hint="eastAsia" w:eastAsia="仿宋" w:cs="楷体"/>
          <w:sz w:val="28"/>
          <w:szCs w:val="28"/>
        </w:rPr>
        <w:t>5</w:t>
      </w:r>
      <w:r>
        <w:rPr>
          <w:rFonts w:eastAsia="仿宋" w:cs="楷体"/>
          <w:sz w:val="28"/>
          <w:szCs w:val="28"/>
        </w:rPr>
        <w:t>，</w:t>
      </w:r>
      <w:r>
        <w:rPr>
          <w:rFonts w:hint="eastAsia" w:eastAsia="仿宋" w:cs="楷体"/>
          <w:sz w:val="28"/>
          <w:szCs w:val="28"/>
        </w:rPr>
        <w:t>6</w:t>
      </w:r>
      <w:r>
        <w:rPr>
          <w:rFonts w:eastAsia="仿宋" w:cs="楷体"/>
          <w:sz w:val="28"/>
          <w:szCs w:val="28"/>
        </w:rPr>
        <w:t>和</w:t>
      </w:r>
      <w:r>
        <w:rPr>
          <w:rFonts w:hint="eastAsia" w:eastAsia="仿宋" w:cs="楷体"/>
          <w:sz w:val="28"/>
          <w:szCs w:val="28"/>
        </w:rPr>
        <w:t>7 mL</w:t>
      </w:r>
      <w:r>
        <w:rPr>
          <w:rFonts w:eastAsia="仿宋" w:cs="楷体"/>
          <w:sz w:val="28"/>
          <w:szCs w:val="28"/>
        </w:rPr>
        <w:t>）对回收率的影响（</w:t>
      </w:r>
      <w:r>
        <w:rPr>
          <w:rFonts w:eastAsia="仿宋" w:cs="楷体"/>
          <w:color w:val="FF0000"/>
          <w:sz w:val="28"/>
          <w:szCs w:val="28"/>
        </w:rPr>
        <w:t>图</w:t>
      </w:r>
      <w:r>
        <w:rPr>
          <w:rFonts w:hint="eastAsia" w:eastAsia="仿宋" w:cs="楷体"/>
          <w:color w:val="FF0000"/>
          <w:sz w:val="28"/>
          <w:szCs w:val="28"/>
        </w:rPr>
        <w:t>2</w:t>
      </w:r>
      <w:r>
        <w:rPr>
          <w:rFonts w:eastAsia="仿宋" w:cs="楷体"/>
          <w:sz w:val="28"/>
          <w:szCs w:val="28"/>
        </w:rPr>
        <w:t>）。结果表明，当洗脱剂用量大于</w:t>
      </w:r>
      <w:r>
        <w:rPr>
          <w:rFonts w:hint="eastAsia" w:eastAsia="仿宋" w:cs="楷体"/>
          <w:sz w:val="28"/>
          <w:szCs w:val="28"/>
        </w:rPr>
        <w:t>5 mL</w:t>
      </w:r>
      <w:r>
        <w:rPr>
          <w:rFonts w:eastAsia="仿宋" w:cs="楷体"/>
          <w:sz w:val="28"/>
          <w:szCs w:val="28"/>
        </w:rPr>
        <w:t>时，回收率</w:t>
      </w:r>
      <w:r>
        <w:rPr>
          <w:rFonts w:hint="eastAsia" w:eastAsia="仿宋" w:cs="楷体"/>
          <w:sz w:val="28"/>
          <w:szCs w:val="28"/>
        </w:rPr>
        <w:t>较</w:t>
      </w:r>
      <w:r>
        <w:rPr>
          <w:rFonts w:eastAsia="仿宋" w:cs="楷体"/>
          <w:sz w:val="28"/>
          <w:szCs w:val="28"/>
        </w:rPr>
        <w:t>高，且相差不大。为了节约氮吹时间，提高效率，保证回收率，本实验洗脱剂用量选择为</w:t>
      </w:r>
      <w:r>
        <w:rPr>
          <w:rFonts w:hint="eastAsia" w:eastAsia="仿宋" w:cs="楷体"/>
          <w:sz w:val="28"/>
          <w:szCs w:val="28"/>
        </w:rPr>
        <w:t>5 mL。</w:t>
      </w:r>
    </w:p>
    <w:p>
      <w:pPr>
        <w:spacing w:beforeLines="50"/>
        <w:ind w:firstLine="560" w:firstLineChars="200"/>
        <w:rPr>
          <w:rFonts w:eastAsia="仿宋" w:cs="楷体"/>
          <w:sz w:val="28"/>
          <w:szCs w:val="28"/>
        </w:rPr>
      </w:pPr>
      <w:r>
        <w:rPr>
          <w:rFonts w:eastAsia="仿宋" w:cs="楷体"/>
          <w:sz w:val="28"/>
          <w:szCs w:val="28"/>
        </w:rPr>
        <w:drawing>
          <wp:inline distT="0" distB="0" distL="114300" distR="114300">
            <wp:extent cx="4341495" cy="3296920"/>
            <wp:effectExtent l="0" t="0" r="1905" b="17780"/>
            <wp:docPr id="2" name="图片 2" descr="洗脱剂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洗脱剂用量"/>
                    <pic:cNvPicPr>
                      <a:picLocks noChangeAspect="1"/>
                    </pic:cNvPicPr>
                  </pic:nvPicPr>
                  <pic:blipFill>
                    <a:blip r:embed="rId9"/>
                    <a:srcRect l="7417" t="10386" r="12663" b="4154"/>
                    <a:stretch>
                      <a:fillRect/>
                    </a:stretch>
                  </pic:blipFill>
                  <pic:spPr>
                    <a:xfrm>
                      <a:off x="0" y="0"/>
                      <a:ext cx="4341495" cy="3296920"/>
                    </a:xfrm>
                    <a:prstGeom prst="rect">
                      <a:avLst/>
                    </a:prstGeom>
                  </pic:spPr>
                </pic:pic>
              </a:graphicData>
            </a:graphic>
          </wp:inline>
        </w:drawing>
      </w:r>
    </w:p>
    <w:p>
      <w:pPr>
        <w:jc w:val="center"/>
        <w:rPr>
          <w:rFonts w:eastAsia="仿宋" w:cs="仿宋"/>
          <w:szCs w:val="28"/>
        </w:rPr>
      </w:pPr>
      <w:r>
        <w:rPr>
          <w:rFonts w:hint="eastAsia" w:eastAsia="仿宋" w:cs="仿宋"/>
          <w:szCs w:val="28"/>
        </w:rPr>
        <w:t>图 2洗脱剂用量对五氯苯酚回收率的影响</w:t>
      </w:r>
      <w:r>
        <w:rPr>
          <w:rFonts w:hint="eastAsia" w:eastAsia="仿宋"/>
          <w:szCs w:val="28"/>
        </w:rPr>
        <w:t xml:space="preserve"> (n=3)</w:t>
      </w:r>
    </w:p>
    <w:p>
      <w:pPr>
        <w:jc w:val="center"/>
        <w:rPr>
          <w:rFonts w:eastAsia="仿宋"/>
          <w:szCs w:val="28"/>
        </w:rPr>
      </w:pPr>
      <w:r>
        <w:rPr>
          <w:rFonts w:hint="eastAsia" w:eastAsia="仿宋"/>
          <w:szCs w:val="28"/>
        </w:rPr>
        <w:t>Fig.2 Effect of amount of eluents on recovery of 五氯苯酚 (n=3)</w:t>
      </w:r>
    </w:p>
    <w:p>
      <w:pPr>
        <w:pStyle w:val="4"/>
        <w:jc w:val="left"/>
      </w:pPr>
      <w:bookmarkStart w:id="16" w:name="_Toc2542"/>
      <w:r>
        <w:rPr>
          <w:rFonts w:hint="eastAsia"/>
        </w:rPr>
        <w:t>3.4 色谱质谱条件的优化</w:t>
      </w:r>
      <w:bookmarkEnd w:id="16"/>
    </w:p>
    <w:p>
      <w:pPr>
        <w:pStyle w:val="5"/>
        <w:jc w:val="left"/>
      </w:pPr>
      <w:bookmarkStart w:id="17" w:name="_Toc915"/>
      <w:r>
        <w:rPr>
          <w:rFonts w:hint="eastAsia"/>
        </w:rPr>
        <w:t>3.4.1色谱条件</w:t>
      </w:r>
      <w:bookmarkEnd w:id="17"/>
    </w:p>
    <w:p>
      <w:pPr>
        <w:ind w:firstLine="560" w:firstLineChars="200"/>
        <w:rPr>
          <w:rFonts w:eastAsia="仿宋" w:cs="仿宋"/>
          <w:sz w:val="28"/>
          <w:szCs w:val="28"/>
        </w:rPr>
      </w:pPr>
      <w:r>
        <w:rPr>
          <w:rFonts w:hint="eastAsia" w:eastAsia="仿宋" w:cs="仿宋"/>
          <w:sz w:val="28"/>
          <w:szCs w:val="28"/>
        </w:rPr>
        <w:t>五氯苯酚的 pKa为4.93，当溶液的pH＜4.93时，五氯酚的电离受到抑制，主要以分子形式存在。流动相中加入甲酸能够降低溶液pH值，使五氯酚以分子形式存在，并可降低色谱柱残余硅羟基的活性，从而降低目标化合物与硅羟基的次级相互作用，获得较好的色谱峰形</w:t>
      </w:r>
      <w:r>
        <w:rPr>
          <w:rFonts w:hint="eastAsia" w:eastAsia="仿宋" w:cs="仿宋"/>
          <w:color w:val="FF0000"/>
          <w:sz w:val="28"/>
          <w:szCs w:val="28"/>
        </w:rPr>
        <w:t>[17]</w:t>
      </w:r>
      <w:r>
        <w:rPr>
          <w:rFonts w:hint="eastAsia" w:eastAsia="仿宋" w:cs="仿宋"/>
          <w:sz w:val="28"/>
          <w:szCs w:val="28"/>
        </w:rPr>
        <w:t>。流动相中加入乙酸铵可以提高五氯苯酚的离子化效率，从而提高灵敏度。实验比较了不同色谱条件下五氯苯酚的SRM色谱图（如</w:t>
      </w:r>
      <w:r>
        <w:rPr>
          <w:rFonts w:hint="eastAsia" w:eastAsia="仿宋" w:cs="仿宋"/>
          <w:color w:val="FF0000"/>
          <w:sz w:val="28"/>
          <w:szCs w:val="28"/>
        </w:rPr>
        <w:t>图3</w:t>
      </w:r>
      <w:r>
        <w:rPr>
          <w:rFonts w:hint="eastAsia" w:eastAsia="仿宋" w:cs="仿宋"/>
          <w:sz w:val="28"/>
          <w:szCs w:val="28"/>
        </w:rPr>
        <w:t>所示），结果表明,当流动相为2 mmol/L 乙酸铵的水溶液和甲醇时，五氯苯酚的色谱峰峰型较宽，且色谱峰前沿；当流动相为0.1%(v/v)甲酸水溶液+甲醇，五氯苯酚的色谱峰响应较低；当以含0.1%(v / v)甲酸的2 mmol/L 乙酸铵的水溶液和甲醇作为流动相时，五氯苯酚表现出最高的灵敏度和最好的色谱峰型。</w:t>
      </w:r>
    </w:p>
    <w:p>
      <w:pPr>
        <w:jc w:val="center"/>
        <w:rPr>
          <w:rFonts w:eastAsia="仿宋" w:cs="仿宋"/>
          <w:b/>
          <w:bCs/>
          <w:sz w:val="28"/>
          <w:szCs w:val="28"/>
        </w:rPr>
      </w:pPr>
      <w:r>
        <w:rPr>
          <w:rFonts w:hint="eastAsia" w:eastAsia="仿宋" w:cs="仿宋"/>
          <w:b/>
          <w:bCs/>
          <w:sz w:val="28"/>
          <w:szCs w:val="28"/>
        </w:rPr>
        <w:drawing>
          <wp:inline distT="0" distB="0" distL="114300" distR="114300">
            <wp:extent cx="4784090" cy="3850005"/>
            <wp:effectExtent l="0" t="0" r="16510" b="17145"/>
            <wp:docPr id="3" name="图片 3" descr="色谱条件优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色谱条件优化"/>
                    <pic:cNvPicPr>
                      <a:picLocks noChangeAspect="1"/>
                    </pic:cNvPicPr>
                  </pic:nvPicPr>
                  <pic:blipFill>
                    <a:blip r:embed="rId10"/>
                    <a:srcRect l="8856" t="9201" r="12110" b="5623"/>
                    <a:stretch>
                      <a:fillRect/>
                    </a:stretch>
                  </pic:blipFill>
                  <pic:spPr>
                    <a:xfrm>
                      <a:off x="0" y="0"/>
                      <a:ext cx="4784090" cy="3850005"/>
                    </a:xfrm>
                    <a:prstGeom prst="rect">
                      <a:avLst/>
                    </a:prstGeom>
                  </pic:spPr>
                </pic:pic>
              </a:graphicData>
            </a:graphic>
          </wp:inline>
        </w:drawing>
      </w:r>
    </w:p>
    <w:p>
      <w:pPr>
        <w:spacing w:line="400" w:lineRule="exact"/>
        <w:rPr>
          <w:rFonts w:eastAsia="仿宋" w:cs="仿宋"/>
          <w:szCs w:val="28"/>
        </w:rPr>
      </w:pPr>
      <w:r>
        <w:rPr>
          <w:rFonts w:hint="eastAsia" w:eastAsia="仿宋" w:cs="仿宋"/>
          <w:szCs w:val="28"/>
        </w:rPr>
        <w:t>图3 不同流动相条件下五氯苯酚的SRM色谱图。流动相组成：（a）2 mmol/L 乙酸铵的水溶液+甲醇 ；（b）含0.1%(v/v)甲酸的2 mmol/L乙酸铵水溶液+甲醇；（c）0.1%(v/v)甲酸水溶液+甲醇</w:t>
      </w:r>
    </w:p>
    <w:p>
      <w:pPr>
        <w:spacing w:line="400" w:lineRule="exact"/>
        <w:rPr>
          <w:rFonts w:eastAsia="仿宋"/>
          <w:szCs w:val="28"/>
        </w:rPr>
      </w:pPr>
      <w:r>
        <w:rPr>
          <w:rFonts w:hint="eastAsia" w:eastAsia="仿宋" w:cs="仿宋"/>
          <w:szCs w:val="28"/>
        </w:rPr>
        <w:t>Fig.3 SRM chromatograms of PCP.</w:t>
      </w:r>
      <w:r>
        <w:rPr>
          <w:rFonts w:eastAsia="仿宋"/>
          <w:szCs w:val="28"/>
        </w:rPr>
        <w:t>Mobile phases</w:t>
      </w:r>
      <w:r>
        <w:rPr>
          <w:rFonts w:hint="eastAsia" w:eastAsia="仿宋" w:cs="仿宋"/>
          <w:szCs w:val="28"/>
        </w:rPr>
        <w:t xml:space="preserve">：(a) 2 mmol/L </w:t>
      </w:r>
      <w:r>
        <w:rPr>
          <w:rFonts w:eastAsia="仿宋"/>
          <w:szCs w:val="28"/>
        </w:rPr>
        <w:t>ammonium acetate</w:t>
      </w:r>
      <w:r>
        <w:rPr>
          <w:rFonts w:hint="eastAsia" w:eastAsia="仿宋"/>
          <w:szCs w:val="28"/>
        </w:rPr>
        <w:t xml:space="preserve">+methanol, (b) </w:t>
      </w:r>
      <w:r>
        <w:rPr>
          <w:rFonts w:hint="eastAsia" w:eastAsia="仿宋" w:cs="仿宋"/>
          <w:szCs w:val="28"/>
        </w:rPr>
        <w:t xml:space="preserve">2 mmol/L </w:t>
      </w:r>
      <w:r>
        <w:rPr>
          <w:rFonts w:eastAsia="仿宋"/>
          <w:szCs w:val="28"/>
        </w:rPr>
        <w:t>ammonium acetate</w:t>
      </w:r>
      <w:r>
        <w:rPr>
          <w:rFonts w:hint="eastAsia" w:eastAsia="仿宋"/>
          <w:szCs w:val="28"/>
        </w:rPr>
        <w:t>(containing 0.1% formic acide)+methanol, (c)0.1% formic acide+methanol</w:t>
      </w:r>
    </w:p>
    <w:p>
      <w:pPr>
        <w:spacing w:line="400" w:lineRule="exact"/>
        <w:rPr>
          <w:rFonts w:eastAsia="仿宋"/>
          <w:szCs w:val="28"/>
        </w:rPr>
      </w:pPr>
    </w:p>
    <w:p>
      <w:pPr>
        <w:pStyle w:val="5"/>
        <w:jc w:val="left"/>
      </w:pPr>
      <w:bookmarkStart w:id="18" w:name="_Toc31602"/>
      <w:r>
        <w:rPr>
          <w:rFonts w:hint="eastAsia"/>
        </w:rPr>
        <w:t>3.4.2质谱条件</w:t>
      </w:r>
      <w:bookmarkEnd w:id="18"/>
    </w:p>
    <w:p>
      <w:pPr>
        <w:ind w:firstLine="560" w:firstLineChars="200"/>
        <w:rPr>
          <w:rFonts w:eastAsia="仿宋" w:cs="仿宋"/>
          <w:sz w:val="28"/>
          <w:szCs w:val="28"/>
        </w:rPr>
      </w:pPr>
      <w:r>
        <w:rPr>
          <w:rFonts w:hint="eastAsia" w:eastAsia="仿宋" w:cs="仿宋"/>
          <w:sz w:val="28"/>
          <w:szCs w:val="28"/>
        </w:rPr>
        <w:t>五氯苯酚是一种氯代酚类物质，化学结构为苯环上含有5个氯原子和1个羟基，容易失去质子带负电荷，质谱检测采用负离子模式([M H]-)可获得较高的灵敏度。在ESI</w:t>
      </w:r>
      <w:r>
        <w:rPr>
          <w:rFonts w:hint="eastAsia" w:eastAsia="仿宋" w:cs="仿宋"/>
          <w:sz w:val="28"/>
          <w:szCs w:val="28"/>
          <w:vertAlign w:val="superscript"/>
        </w:rPr>
        <w:t>-</w:t>
      </w:r>
      <w:r>
        <w:rPr>
          <w:rFonts w:hint="eastAsia" w:eastAsia="仿宋" w:cs="仿宋"/>
          <w:sz w:val="28"/>
          <w:szCs w:val="28"/>
        </w:rPr>
        <w:t>模式下以流动注射方式对五氯苯酚标准溶液进行一级质谱扫描,获得化合物的分子离子([M-H]</w:t>
      </w:r>
      <w:r>
        <w:rPr>
          <w:rFonts w:hint="eastAsia" w:eastAsia="仿宋" w:cs="仿宋"/>
          <w:sz w:val="28"/>
          <w:szCs w:val="28"/>
          <w:vertAlign w:val="superscript"/>
        </w:rPr>
        <w:t>-</w:t>
      </w:r>
      <w:r>
        <w:rPr>
          <w:rFonts w:hint="eastAsia" w:eastAsia="仿宋" w:cs="仿宋"/>
          <w:sz w:val="28"/>
          <w:szCs w:val="28"/>
        </w:rPr>
        <w:t>)，优化喷雾电压、鞘气压力、辅助气压力、离子传输毛细管温度等参数。然后利用二级质谱全扫描收集母离子对应的的子离子信息，发现五氯苯酚分子离子([M-H]</w:t>
      </w:r>
      <w:r>
        <w:rPr>
          <w:rFonts w:hint="eastAsia" w:eastAsia="仿宋" w:cs="仿宋"/>
          <w:sz w:val="28"/>
          <w:szCs w:val="28"/>
          <w:vertAlign w:val="superscript"/>
        </w:rPr>
        <w:t>-</w:t>
      </w:r>
      <w:r>
        <w:rPr>
          <w:rFonts w:hint="eastAsia" w:eastAsia="仿宋" w:cs="仿宋"/>
          <w:sz w:val="28"/>
          <w:szCs w:val="28"/>
        </w:rPr>
        <w:t>)在三重四极杆碰撞室中不易被打碎，特征子离子(m/z 201.8、41.6、35.0）响应强度较弱，不适合目标物的灵敏检测。由于五氯酚具有5个氯原子，氯元素存在35Cl与37Cl同位素，因此五氯苯酚的分子离子([M-H]</w:t>
      </w:r>
      <w:r>
        <w:rPr>
          <w:rFonts w:hint="eastAsia" w:eastAsia="仿宋" w:cs="仿宋"/>
          <w:sz w:val="28"/>
          <w:szCs w:val="28"/>
          <w:vertAlign w:val="superscript"/>
        </w:rPr>
        <w:t>-</w:t>
      </w:r>
      <w:r>
        <w:rPr>
          <w:rFonts w:hint="eastAsia" w:eastAsia="仿宋" w:cs="仿宋"/>
          <w:sz w:val="28"/>
          <w:szCs w:val="28"/>
        </w:rPr>
        <w:t>)共有氯的4个同位素母离子对。根据王连珠等（</w:t>
      </w:r>
      <w:r>
        <w:rPr>
          <w:rFonts w:hint="eastAsia" w:eastAsia="仿宋" w:cs="仿宋"/>
          <w:color w:val="FF0000"/>
          <w:sz w:val="28"/>
          <w:szCs w:val="28"/>
        </w:rPr>
        <w:t>参见附录2</w:t>
      </w:r>
      <w:r>
        <w:rPr>
          <w:rFonts w:hint="eastAsia" w:eastAsia="仿宋" w:cs="仿宋"/>
          <w:sz w:val="28"/>
          <w:szCs w:val="28"/>
        </w:rPr>
        <w:t>）的研究内容，参考国家标准GB 23200.92—2016《动物源性食品中五氯酚残留量的测定 液相色谱-质谱法》（</w:t>
      </w:r>
      <w:r>
        <w:rPr>
          <w:rFonts w:hint="eastAsia" w:eastAsia="仿宋" w:cs="仿宋"/>
          <w:color w:val="FF0000"/>
          <w:sz w:val="28"/>
          <w:szCs w:val="28"/>
        </w:rPr>
        <w:t>参见附录1</w:t>
      </w:r>
      <w:r>
        <w:rPr>
          <w:rFonts w:hint="eastAsia" w:eastAsia="仿宋" w:cs="仿宋"/>
          <w:sz w:val="28"/>
          <w:szCs w:val="28"/>
        </w:rPr>
        <w:t>），本实验选取相对丰度最强的母离子对264.7 / 264.7作为定量离子对，次强的母离子对(262.7 / 262.7、266.7 / 266.7， 268.7 / 268.7 )作为定性离子对，以获得4个识别点，满足确证要求。本实验进一步对比研究了选择不同的特征离子对条件下五氯苯酚的SRM响应大小，结果如</w:t>
      </w:r>
      <w:r>
        <w:rPr>
          <w:rFonts w:hint="eastAsia" w:eastAsia="仿宋" w:cs="仿宋"/>
          <w:color w:val="FF0000"/>
          <w:sz w:val="28"/>
          <w:szCs w:val="28"/>
        </w:rPr>
        <w:t>图4</w:t>
      </w:r>
      <w:r>
        <w:rPr>
          <w:rFonts w:hint="eastAsia" w:eastAsia="仿宋" w:cs="仿宋"/>
          <w:sz w:val="28"/>
          <w:szCs w:val="28"/>
        </w:rPr>
        <w:t xml:space="preserve"> 所示。从图4可知，特征子离子(m/z  264.7/201.8、264.7/41.6、264.7/35.0）响应强度低，不适用于目标物的灵敏检测，而特征母离子264.7 / 264.7响应强度高，选择性好，适合作为五氯苯酚检测的定量离子。</w:t>
      </w:r>
    </w:p>
    <w:p>
      <w:pPr>
        <w:ind w:firstLine="420" w:firstLineChars="200"/>
        <w:jc w:val="center"/>
      </w:pPr>
      <w:r>
        <w:drawing>
          <wp:inline distT="0" distB="0" distL="0" distR="0">
            <wp:extent cx="4958080" cy="4195445"/>
            <wp:effectExtent l="0" t="0" r="13970" b="1460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11">
                      <a:clrChange>
                        <a:clrFrom>
                          <a:srgbClr val="F2F2F2">
                            <a:alpha val="100000"/>
                          </a:srgbClr>
                        </a:clrFrom>
                        <a:clrTo>
                          <a:srgbClr val="F2F2F2">
                            <a:alpha val="100000"/>
                            <a:alpha val="0"/>
                          </a:srgbClr>
                        </a:clrTo>
                      </a:clrChange>
                      <a:extLst>
                        <a:ext uri="{28A0092B-C50C-407E-A947-70E740481C1C}">
                          <a14:useLocalDpi xmlns:a14="http://schemas.microsoft.com/office/drawing/2010/main" val="0"/>
                        </a:ext>
                      </a:extLst>
                    </a:blip>
                    <a:stretch>
                      <a:fillRect/>
                    </a:stretch>
                  </pic:blipFill>
                  <pic:spPr>
                    <a:xfrm>
                      <a:off x="0" y="0"/>
                      <a:ext cx="4958080" cy="4195445"/>
                    </a:xfrm>
                    <a:prstGeom prst="rect">
                      <a:avLst/>
                    </a:prstGeom>
                  </pic:spPr>
                </pic:pic>
              </a:graphicData>
            </a:graphic>
          </wp:inline>
        </w:drawing>
      </w:r>
    </w:p>
    <w:p>
      <w:pPr>
        <w:ind w:firstLine="420" w:firstLineChars="200"/>
        <w:jc w:val="center"/>
        <w:rPr>
          <w:rFonts w:eastAsia="仿宋" w:cs="仿宋"/>
          <w:szCs w:val="21"/>
        </w:rPr>
      </w:pPr>
      <w:r>
        <w:rPr>
          <w:rFonts w:hint="eastAsia" w:eastAsia="仿宋" w:cs="仿宋"/>
          <w:szCs w:val="21"/>
        </w:rPr>
        <w:t xml:space="preserve">图4 五氯苯酚标准溶液（25.00 </w:t>
      </w:r>
      <w:r>
        <w:rPr>
          <w:rFonts w:eastAsia="仿宋"/>
          <w:szCs w:val="21"/>
        </w:rPr>
        <w:t>μ</w:t>
      </w:r>
      <w:r>
        <w:rPr>
          <w:rFonts w:hint="eastAsia" w:eastAsia="仿宋" w:cs="仿宋"/>
          <w:szCs w:val="21"/>
        </w:rPr>
        <w:t>g/L）的选择反应监测（SRM）色谱图</w:t>
      </w:r>
    </w:p>
    <w:p>
      <w:pPr>
        <w:ind w:firstLine="420" w:firstLineChars="200"/>
        <w:jc w:val="center"/>
        <w:rPr>
          <w:rFonts w:eastAsia="仿宋" w:cs="仿宋"/>
          <w:szCs w:val="21"/>
        </w:rPr>
      </w:pPr>
      <w:r>
        <w:rPr>
          <w:rFonts w:hint="eastAsia" w:eastAsia="仿宋" w:cs="仿宋"/>
          <w:szCs w:val="28"/>
        </w:rPr>
        <w:t>Fig.4 SRM chromatograms of the standard solution of PCP(</w:t>
      </w:r>
      <w:r>
        <w:rPr>
          <w:rFonts w:hint="eastAsia" w:eastAsia="仿宋" w:cs="仿宋"/>
          <w:szCs w:val="21"/>
        </w:rPr>
        <w:t xml:space="preserve">25.0 </w:t>
      </w:r>
      <w:r>
        <w:rPr>
          <w:rFonts w:eastAsia="仿宋"/>
          <w:szCs w:val="21"/>
        </w:rPr>
        <w:t>μ</w:t>
      </w:r>
      <w:r>
        <w:rPr>
          <w:rFonts w:hint="eastAsia" w:eastAsia="仿宋" w:cs="仿宋"/>
          <w:szCs w:val="21"/>
        </w:rPr>
        <w:t>g/L)</w:t>
      </w:r>
    </w:p>
    <w:p>
      <w:pPr>
        <w:ind w:firstLine="420" w:firstLineChars="200"/>
        <w:jc w:val="center"/>
      </w:pPr>
    </w:p>
    <w:p>
      <w:pPr>
        <w:pStyle w:val="2"/>
        <w:jc w:val="left"/>
      </w:pPr>
      <w:bookmarkStart w:id="19" w:name="_Toc8861"/>
      <w:r>
        <w:rPr>
          <w:rFonts w:hint="eastAsia"/>
        </w:rPr>
        <w:t>4 方法的效能指标</w:t>
      </w:r>
      <w:bookmarkEnd w:id="19"/>
    </w:p>
    <w:p>
      <w:pPr>
        <w:pStyle w:val="4"/>
        <w:jc w:val="left"/>
      </w:pPr>
      <w:bookmarkStart w:id="20" w:name="_Toc2359"/>
      <w:r>
        <w:rPr>
          <w:rFonts w:hint="eastAsia"/>
        </w:rPr>
        <w:t>4.1 方法的定量限</w:t>
      </w:r>
      <w:bookmarkEnd w:id="20"/>
    </w:p>
    <w:p>
      <w:pPr>
        <w:ind w:firstLine="560" w:firstLineChars="200"/>
        <w:rPr>
          <w:rFonts w:eastAsia="仿宋_GB2312"/>
          <w:sz w:val="28"/>
          <w:szCs w:val="28"/>
        </w:rPr>
      </w:pPr>
      <w:r>
        <w:rPr>
          <w:rFonts w:hint="eastAsia" w:eastAsia="仿宋_GB2312"/>
          <w:sz w:val="28"/>
          <w:szCs w:val="28"/>
        </w:rPr>
        <w:t>本实验采用国际纯粹与应用化学联合会（IUPAC）推荐的方法确定方法定量限。计算过程如下：</w:t>
      </w:r>
    </w:p>
    <w:p>
      <w:pPr>
        <w:ind w:firstLine="560" w:firstLineChars="200"/>
        <w:rPr>
          <w:rFonts w:eastAsia="仿宋_GB2312"/>
          <w:sz w:val="28"/>
          <w:szCs w:val="28"/>
        </w:rPr>
      </w:pPr>
      <w:r>
        <w:rPr>
          <w:rFonts w:hint="eastAsia" w:eastAsia="仿宋_GB2312"/>
          <w:position w:val="-32"/>
          <w:sz w:val="28"/>
          <w:szCs w:val="28"/>
        </w:rPr>
        <w:object>
          <v:shape id="_x0000_i1025" o:spt="75" type="#_x0000_t75" style="height:39.75pt;width:245.2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r>
        <w:rPr>
          <w:rFonts w:hint="eastAsia" w:eastAsia="仿宋_GB2312"/>
          <w:sz w:val="28"/>
          <w:szCs w:val="28"/>
        </w:rPr>
        <w:t xml:space="preserve"> 式（1）</w:t>
      </w:r>
    </w:p>
    <w:p>
      <w:pPr>
        <w:rPr>
          <w:rFonts w:eastAsia="仿宋_GB2312"/>
          <w:sz w:val="28"/>
          <w:szCs w:val="28"/>
        </w:rPr>
      </w:pPr>
      <w:r>
        <w:rPr>
          <w:rFonts w:hint="eastAsia" w:eastAsia="仿宋_GB2312"/>
          <w:sz w:val="28"/>
          <w:szCs w:val="28"/>
        </w:rPr>
        <w:t>式中：C</w:t>
      </w:r>
      <w:r>
        <w:rPr>
          <w:rFonts w:hint="eastAsia" w:eastAsia="仿宋_GB2312"/>
          <w:sz w:val="28"/>
          <w:szCs w:val="28"/>
          <w:vertAlign w:val="subscript"/>
        </w:rPr>
        <w:t>L￣</w:t>
      </w:r>
      <w:r>
        <w:rPr>
          <w:rFonts w:hint="eastAsia" w:eastAsia="仿宋_GB2312"/>
          <w:sz w:val="28"/>
          <w:szCs w:val="28"/>
        </w:rPr>
        <w:t>方法定量限；</w:t>
      </w:r>
    </w:p>
    <w:p>
      <w:pPr>
        <w:ind w:firstLine="840" w:firstLineChars="300"/>
        <w:rPr>
          <w:rFonts w:eastAsia="仿宋_GB2312"/>
          <w:sz w:val="28"/>
          <w:szCs w:val="28"/>
        </w:rPr>
      </w:pPr>
      <w:r>
        <w:rPr>
          <w:rFonts w:hint="eastAsia" w:eastAsia="仿宋_GB2312"/>
          <w:sz w:val="28"/>
          <w:szCs w:val="28"/>
        </w:rPr>
        <w:t>K</w:t>
      </w:r>
      <w:r>
        <w:rPr>
          <w:rFonts w:hint="eastAsia" w:eastAsia="仿宋_GB2312"/>
          <w:sz w:val="28"/>
          <w:szCs w:val="28"/>
          <w:vertAlign w:val="subscript"/>
        </w:rPr>
        <w:t>￣</w:t>
      </w:r>
      <w:r>
        <w:rPr>
          <w:rFonts w:hint="eastAsia" w:eastAsia="仿宋_GB2312"/>
          <w:sz w:val="28"/>
          <w:szCs w:val="28"/>
        </w:rPr>
        <w:t>置信因子，一般取10；</w:t>
      </w:r>
    </w:p>
    <w:p>
      <w:pPr>
        <w:ind w:firstLine="840" w:firstLineChars="300"/>
        <w:rPr>
          <w:rFonts w:eastAsia="仿宋_GB2312"/>
          <w:sz w:val="28"/>
          <w:szCs w:val="28"/>
        </w:rPr>
      </w:pPr>
      <w:r>
        <w:rPr>
          <w:rFonts w:hint="eastAsia" w:eastAsia="仿宋_GB2312"/>
          <w:sz w:val="28"/>
          <w:szCs w:val="28"/>
        </w:rPr>
        <w:t>S</w:t>
      </w:r>
      <w:r>
        <w:rPr>
          <w:rFonts w:hint="eastAsia" w:eastAsia="仿宋_GB2312"/>
          <w:sz w:val="28"/>
          <w:szCs w:val="28"/>
          <w:vertAlign w:val="subscript"/>
        </w:rPr>
        <w:t>b￣</w:t>
      </w:r>
      <w:r>
        <w:rPr>
          <w:rFonts w:hint="eastAsia" w:eastAsia="仿宋_GB2312"/>
          <w:sz w:val="28"/>
          <w:szCs w:val="28"/>
        </w:rPr>
        <w:t>空白样品标准偏差；</w:t>
      </w:r>
    </w:p>
    <w:p>
      <w:pPr>
        <w:ind w:firstLine="840" w:firstLineChars="300"/>
        <w:rPr>
          <w:rFonts w:eastAsia="仿宋_GB2312"/>
          <w:sz w:val="28"/>
          <w:szCs w:val="28"/>
        </w:rPr>
      </w:pPr>
      <w:r>
        <w:rPr>
          <w:rFonts w:hint="eastAsia" w:eastAsia="仿宋_GB2312"/>
          <w:sz w:val="28"/>
          <w:szCs w:val="28"/>
        </w:rPr>
        <w:t>m</w:t>
      </w:r>
      <w:r>
        <w:rPr>
          <w:rFonts w:hint="eastAsia" w:eastAsia="仿宋_GB2312"/>
          <w:sz w:val="28"/>
          <w:szCs w:val="28"/>
          <w:vertAlign w:val="subscript"/>
        </w:rPr>
        <w:t>￣</w:t>
      </w:r>
      <w:r>
        <w:rPr>
          <w:rFonts w:hint="eastAsia" w:eastAsia="仿宋_GB2312"/>
          <w:sz w:val="28"/>
          <w:szCs w:val="28"/>
        </w:rPr>
        <w:t>标准曲线在低浓度范围内的斜率；</w:t>
      </w:r>
    </w:p>
    <w:p>
      <w:pPr>
        <w:ind w:left="838" w:leftChars="399"/>
        <w:rPr>
          <w:rFonts w:eastAsia="仿宋_GB2312"/>
          <w:sz w:val="28"/>
          <w:szCs w:val="28"/>
        </w:rPr>
      </w:pPr>
      <w:r>
        <w:rPr>
          <w:rFonts w:hint="eastAsia" w:eastAsia="仿宋_GB2312"/>
          <w:sz w:val="28"/>
          <w:szCs w:val="28"/>
        </w:rPr>
        <w:t>S</w:t>
      </w:r>
      <w:r>
        <w:rPr>
          <w:rFonts w:hint="eastAsia" w:eastAsia="仿宋_GB2312"/>
          <w:sz w:val="28"/>
          <w:szCs w:val="28"/>
          <w:vertAlign w:val="subscript"/>
        </w:rPr>
        <w:t>i￣</w:t>
      </w:r>
      <w:r>
        <w:rPr>
          <w:rFonts w:hint="eastAsia" w:eastAsia="仿宋_GB2312"/>
          <w:sz w:val="28"/>
          <w:szCs w:val="28"/>
        </w:rPr>
        <w:t>低浓度添加样品响应值（峰面积）的标准偏差；</w:t>
      </w:r>
    </w:p>
    <w:p>
      <w:pPr>
        <w:ind w:left="838" w:leftChars="399"/>
        <w:rPr>
          <w:rFonts w:eastAsia="仿宋_GB2312"/>
          <w:sz w:val="28"/>
          <w:szCs w:val="28"/>
        </w:rPr>
      </w:pPr>
      <w:r>
        <w:rPr>
          <w:rFonts w:hint="eastAsia" w:eastAsia="仿宋_GB2312"/>
          <w:sz w:val="28"/>
          <w:szCs w:val="28"/>
        </w:rPr>
        <w:t>C</w:t>
      </w:r>
      <w:r>
        <w:rPr>
          <w:rFonts w:hint="eastAsia" w:eastAsia="仿宋_GB2312"/>
          <w:sz w:val="28"/>
          <w:szCs w:val="28"/>
          <w:vertAlign w:val="subscript"/>
        </w:rPr>
        <w:t>￣</w:t>
      </w:r>
      <w:r>
        <w:rPr>
          <w:rFonts w:hint="eastAsia" w:eastAsia="仿宋_GB2312"/>
          <w:sz w:val="28"/>
          <w:szCs w:val="28"/>
        </w:rPr>
        <w:t>低浓度添加样品实际含量值；</w:t>
      </w:r>
    </w:p>
    <w:p>
      <w:pPr>
        <w:ind w:left="838" w:leftChars="399"/>
        <w:rPr>
          <w:rFonts w:eastAsia="仿宋_GB2312"/>
          <w:sz w:val="28"/>
          <w:szCs w:val="28"/>
        </w:rPr>
      </w:pPr>
      <w:r>
        <w:rPr>
          <w:rFonts w:hint="eastAsia" w:eastAsia="仿宋_GB2312"/>
          <w:sz w:val="28"/>
          <w:szCs w:val="28"/>
        </w:rPr>
        <w:t>X</w:t>
      </w:r>
      <w:r>
        <w:rPr>
          <w:rFonts w:hint="eastAsia" w:eastAsia="仿宋_GB2312"/>
          <w:sz w:val="28"/>
          <w:szCs w:val="28"/>
          <w:vertAlign w:val="subscript"/>
        </w:rPr>
        <w:t>平均￣</w:t>
      </w:r>
      <w:r>
        <w:rPr>
          <w:rFonts w:hint="eastAsia" w:eastAsia="仿宋_GB2312"/>
          <w:sz w:val="28"/>
          <w:szCs w:val="28"/>
        </w:rPr>
        <w:t>低浓度添加样品响应值（峰面积）平均值。</w:t>
      </w:r>
    </w:p>
    <w:p>
      <w:pPr>
        <w:ind w:firstLine="560" w:firstLineChars="200"/>
        <w:rPr>
          <w:rFonts w:eastAsia="仿宋_GB2312"/>
          <w:sz w:val="28"/>
          <w:szCs w:val="28"/>
        </w:rPr>
      </w:pPr>
      <w:r>
        <w:rPr>
          <w:rFonts w:hint="eastAsia" w:eastAsia="仿宋_GB2312"/>
          <w:sz w:val="28"/>
          <w:szCs w:val="28"/>
        </w:rPr>
        <w:t xml:space="preserve">具体测定过程为：取20份空白水样，分别添加低浓度的五氯苯酚标准溶液（0.10 </w:t>
      </w:r>
      <w:r>
        <w:rPr>
          <w:rFonts w:eastAsia="仿宋_GB2312"/>
          <w:sz w:val="28"/>
          <w:szCs w:val="28"/>
        </w:rPr>
        <w:t>μg/L</w:t>
      </w:r>
      <w:r>
        <w:rPr>
          <w:rFonts w:hint="eastAsia" w:eastAsia="仿宋_GB2312"/>
          <w:sz w:val="28"/>
          <w:szCs w:val="28"/>
        </w:rPr>
        <w:t xml:space="preserve">），按照本标准推荐的测定步骤进行测定。按（1）计算得方法的定量限约为0.04 </w:t>
      </w:r>
      <w:r>
        <w:rPr>
          <w:rFonts w:eastAsia="仿宋_GB2312"/>
          <w:sz w:val="28"/>
          <w:szCs w:val="28"/>
        </w:rPr>
        <w:t>μg/L</w:t>
      </w:r>
      <w:r>
        <w:rPr>
          <w:rFonts w:hint="eastAsia" w:eastAsia="仿宋_GB2312"/>
          <w:sz w:val="28"/>
          <w:szCs w:val="28"/>
        </w:rPr>
        <w:t xml:space="preserve">。然后取6份空白水样，分别添加0.04 </w:t>
      </w:r>
      <w:r>
        <w:rPr>
          <w:rFonts w:eastAsia="仿宋_GB2312"/>
          <w:sz w:val="28"/>
          <w:szCs w:val="28"/>
        </w:rPr>
        <w:t>μg/L</w:t>
      </w:r>
      <w:r>
        <w:rPr>
          <w:rFonts w:hint="eastAsia" w:eastAsia="仿宋_GB2312"/>
          <w:sz w:val="28"/>
          <w:szCs w:val="28"/>
        </w:rPr>
        <w:t>的五氯苯酚标准溶液，按测定步骤进行测定，进一步验证该方法的定量限的适用性，结果表明在定量限添加浓度下，方法的平均回收率在70-120%范围内，相对标准偏差小于10%，满足方法的准确度和精密度要求。</w:t>
      </w:r>
    </w:p>
    <w:p>
      <w:pPr>
        <w:pStyle w:val="4"/>
        <w:jc w:val="left"/>
      </w:pPr>
      <w:bookmarkStart w:id="21" w:name="_Toc26570"/>
      <w:r>
        <w:rPr>
          <w:rFonts w:hint="eastAsia"/>
        </w:rPr>
        <w:t>4.2 方法的线性范围</w:t>
      </w:r>
      <w:bookmarkEnd w:id="21"/>
    </w:p>
    <w:p>
      <w:pPr>
        <w:ind w:firstLine="560" w:firstLineChars="200"/>
        <w:rPr>
          <w:rFonts w:eastAsia="仿宋_GB2312"/>
          <w:sz w:val="28"/>
          <w:szCs w:val="28"/>
        </w:rPr>
      </w:pPr>
      <w:r>
        <w:rPr>
          <w:rFonts w:hint="eastAsia" w:eastAsia="仿宋_GB2312"/>
          <w:sz w:val="28"/>
          <w:szCs w:val="28"/>
        </w:rPr>
        <w:t>本研究采用外标法进行定量，由标准储备液配制一系列质量浓度不同的标准工作液，上机测定。以分析物浓度为横坐标，定量离子色谱峰面积为纵坐标，绘制标准曲线，并计算标准曲线的回归方程及相关系数。实验测得五氯苯酚的浓度在1.00～50.0</w:t>
      </w:r>
      <w:r>
        <w:rPr>
          <w:rFonts w:eastAsia="仿宋_GB2312"/>
          <w:sz w:val="28"/>
          <w:szCs w:val="28"/>
        </w:rPr>
        <w:t>μg/L</w:t>
      </w:r>
      <w:r>
        <w:rPr>
          <w:rFonts w:hint="eastAsia" w:eastAsia="仿宋_GB2312"/>
          <w:sz w:val="28"/>
          <w:szCs w:val="28"/>
        </w:rPr>
        <w:t>范围内色谱峰面积与浓度呈线性相关，其回归方程和相关系数见</w:t>
      </w:r>
      <w:r>
        <w:rPr>
          <w:rFonts w:hint="eastAsia" w:eastAsia="仿宋_GB2312"/>
          <w:color w:val="FF0000"/>
          <w:sz w:val="28"/>
          <w:szCs w:val="28"/>
        </w:rPr>
        <w:t>表5</w:t>
      </w:r>
      <w:r>
        <w:rPr>
          <w:rFonts w:hint="eastAsia" w:eastAsia="仿宋_GB2312"/>
          <w:sz w:val="28"/>
          <w:szCs w:val="28"/>
        </w:rPr>
        <w:t>。</w:t>
      </w:r>
    </w:p>
    <w:p>
      <w:pPr>
        <w:jc w:val="center"/>
        <w:rPr>
          <w:rFonts w:eastAsia="仿宋_GB2312"/>
          <w:szCs w:val="21"/>
        </w:rPr>
      </w:pPr>
      <w:r>
        <w:rPr>
          <w:rFonts w:hint="eastAsia" w:eastAsia="仿宋_GB2312"/>
          <w:szCs w:val="21"/>
        </w:rPr>
        <w:t>表5 五氯苯酚的线性范围、回归方程及相关系数</w:t>
      </w:r>
    </w:p>
    <w:p>
      <w:pPr>
        <w:jc w:val="center"/>
        <w:rPr>
          <w:rFonts w:eastAsia="仿宋_GB2312"/>
          <w:szCs w:val="21"/>
        </w:rPr>
      </w:pPr>
      <w:r>
        <w:rPr>
          <w:rFonts w:hint="eastAsia" w:eastAsia="仿宋_GB2312"/>
          <w:szCs w:val="21"/>
        </w:rPr>
        <w:t>Table 5 Regression equation and correlation coefficients（R</w:t>
      </w:r>
      <w:r>
        <w:rPr>
          <w:rFonts w:hint="eastAsia" w:eastAsia="仿宋_GB2312"/>
          <w:szCs w:val="21"/>
          <w:vertAlign w:val="superscript"/>
        </w:rPr>
        <w:t>2</w:t>
      </w:r>
      <w:r>
        <w:rPr>
          <w:rFonts w:hint="eastAsia" w:eastAsia="仿宋_GB2312"/>
          <w:szCs w:val="21"/>
        </w:rPr>
        <w:t>）of PCP</w:t>
      </w:r>
    </w:p>
    <w:tbl>
      <w:tblPr>
        <w:tblStyle w:val="13"/>
        <w:tblW w:w="85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9"/>
        <w:gridCol w:w="1560"/>
        <w:gridCol w:w="3412"/>
        <w:gridCol w:w="213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419" w:type="dxa"/>
            <w:tcBorders>
              <w:bottom w:val="single" w:color="auto" w:sz="4" w:space="0"/>
            </w:tcBorders>
            <w:vAlign w:val="center"/>
          </w:tcPr>
          <w:p>
            <w:pPr>
              <w:jc w:val="center"/>
              <w:rPr>
                <w:rFonts w:eastAsia="仿宋_GB2312"/>
                <w:sz w:val="28"/>
                <w:szCs w:val="28"/>
              </w:rPr>
            </w:pPr>
            <w:r>
              <w:rPr>
                <w:rFonts w:hint="eastAsia" w:eastAsia="仿宋_GB2312"/>
                <w:sz w:val="28"/>
                <w:szCs w:val="28"/>
              </w:rPr>
              <w:t>分析物</w:t>
            </w:r>
          </w:p>
        </w:tc>
        <w:tc>
          <w:tcPr>
            <w:tcW w:w="1560" w:type="dxa"/>
            <w:tcBorders>
              <w:bottom w:val="single" w:color="auto" w:sz="4" w:space="0"/>
            </w:tcBorders>
            <w:vAlign w:val="center"/>
          </w:tcPr>
          <w:p>
            <w:pPr>
              <w:jc w:val="center"/>
              <w:rPr>
                <w:rFonts w:eastAsia="仿宋_GB2312"/>
                <w:sz w:val="28"/>
                <w:szCs w:val="28"/>
              </w:rPr>
            </w:pPr>
            <w:r>
              <w:rPr>
                <w:rFonts w:hint="eastAsia" w:eastAsia="仿宋_GB2312"/>
                <w:sz w:val="28"/>
                <w:szCs w:val="28"/>
              </w:rPr>
              <w:t>线性范围</w:t>
            </w:r>
          </w:p>
        </w:tc>
        <w:tc>
          <w:tcPr>
            <w:tcW w:w="3412" w:type="dxa"/>
            <w:tcBorders>
              <w:bottom w:val="single" w:color="auto" w:sz="4" w:space="0"/>
            </w:tcBorders>
            <w:vAlign w:val="center"/>
          </w:tcPr>
          <w:p>
            <w:pPr>
              <w:jc w:val="center"/>
              <w:rPr>
                <w:rFonts w:eastAsia="仿宋_GB2312"/>
                <w:sz w:val="28"/>
                <w:szCs w:val="28"/>
              </w:rPr>
            </w:pPr>
            <w:r>
              <w:rPr>
                <w:rFonts w:hint="eastAsia" w:eastAsia="仿宋_GB2312"/>
                <w:sz w:val="28"/>
                <w:szCs w:val="28"/>
              </w:rPr>
              <w:t>回归方程</w:t>
            </w:r>
          </w:p>
        </w:tc>
        <w:tc>
          <w:tcPr>
            <w:tcW w:w="2131" w:type="dxa"/>
            <w:tcBorders>
              <w:bottom w:val="single" w:color="auto" w:sz="4" w:space="0"/>
            </w:tcBorders>
            <w:vAlign w:val="center"/>
          </w:tcPr>
          <w:p>
            <w:pPr>
              <w:jc w:val="center"/>
              <w:rPr>
                <w:rFonts w:eastAsia="仿宋_GB2312"/>
                <w:sz w:val="28"/>
                <w:szCs w:val="28"/>
              </w:rPr>
            </w:pPr>
            <w:r>
              <w:rPr>
                <w:rFonts w:hint="eastAsia" w:eastAsia="仿宋_GB2312"/>
                <w:sz w:val="28"/>
                <w:szCs w:val="28"/>
              </w:rPr>
              <w:t>相关系数R</w:t>
            </w:r>
            <w:r>
              <w:rPr>
                <w:rFonts w:hint="eastAsia" w:eastAsia="仿宋_GB2312"/>
                <w:sz w:val="28"/>
                <w:szCs w:val="28"/>
                <w:vertAlign w:val="superscript"/>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419" w:type="dxa"/>
            <w:tcBorders>
              <w:top w:val="single" w:color="auto" w:sz="4" w:space="0"/>
              <w:tl2br w:val="nil"/>
              <w:tr2bl w:val="nil"/>
            </w:tcBorders>
            <w:vAlign w:val="center"/>
          </w:tcPr>
          <w:p>
            <w:pPr>
              <w:jc w:val="center"/>
              <w:rPr>
                <w:rFonts w:eastAsia="仿宋_GB2312"/>
                <w:color w:val="000000" w:themeColor="text1"/>
                <w:sz w:val="28"/>
                <w:szCs w:val="28"/>
              </w:rPr>
            </w:pPr>
            <w:r>
              <w:rPr>
                <w:rFonts w:hint="eastAsia" w:eastAsia="仿宋_GB2312"/>
                <w:color w:val="000000" w:themeColor="text1"/>
                <w:sz w:val="28"/>
                <w:szCs w:val="28"/>
              </w:rPr>
              <w:t>五氯苯酚</w:t>
            </w:r>
          </w:p>
        </w:tc>
        <w:tc>
          <w:tcPr>
            <w:tcW w:w="1560" w:type="dxa"/>
            <w:tcBorders>
              <w:top w:val="single" w:color="auto" w:sz="4" w:space="0"/>
              <w:tl2br w:val="nil"/>
              <w:tr2bl w:val="nil"/>
            </w:tcBorders>
            <w:vAlign w:val="center"/>
          </w:tcPr>
          <w:p>
            <w:pPr>
              <w:jc w:val="center"/>
              <w:rPr>
                <w:rFonts w:eastAsia="仿宋_GB2312"/>
                <w:color w:val="000000" w:themeColor="text1"/>
                <w:sz w:val="28"/>
                <w:szCs w:val="28"/>
              </w:rPr>
            </w:pPr>
            <w:r>
              <w:rPr>
                <w:rFonts w:hint="eastAsia" w:eastAsia="仿宋_GB2312"/>
                <w:color w:val="000000" w:themeColor="text1"/>
                <w:sz w:val="28"/>
                <w:szCs w:val="28"/>
              </w:rPr>
              <w:t>1.00～50.0</w:t>
            </w:r>
          </w:p>
        </w:tc>
        <w:tc>
          <w:tcPr>
            <w:tcW w:w="3412" w:type="dxa"/>
            <w:tcBorders>
              <w:top w:val="single" w:color="auto" w:sz="4" w:space="0"/>
              <w:tl2br w:val="nil"/>
              <w:tr2bl w:val="nil"/>
            </w:tcBorders>
            <w:vAlign w:val="center"/>
          </w:tcPr>
          <w:p>
            <w:pPr>
              <w:jc w:val="center"/>
              <w:rPr>
                <w:rFonts w:eastAsia="仿宋_GB2312"/>
                <w:color w:val="000000" w:themeColor="text1"/>
                <w:sz w:val="28"/>
                <w:szCs w:val="28"/>
              </w:rPr>
            </w:pPr>
            <w:r>
              <w:rPr>
                <w:rFonts w:hint="eastAsia" w:eastAsia="仿宋_GB2312"/>
                <w:color w:val="000000" w:themeColor="text1"/>
                <w:sz w:val="28"/>
                <w:szCs w:val="28"/>
              </w:rPr>
              <w:t>y=153493+132202x</w:t>
            </w:r>
          </w:p>
        </w:tc>
        <w:tc>
          <w:tcPr>
            <w:tcW w:w="2131" w:type="dxa"/>
            <w:tcBorders>
              <w:top w:val="single" w:color="auto" w:sz="4" w:space="0"/>
              <w:tl2br w:val="nil"/>
              <w:tr2bl w:val="nil"/>
            </w:tcBorders>
            <w:vAlign w:val="center"/>
          </w:tcPr>
          <w:p>
            <w:pPr>
              <w:jc w:val="center"/>
              <w:rPr>
                <w:rFonts w:eastAsia="仿宋_GB2312"/>
                <w:color w:val="000000" w:themeColor="text1"/>
                <w:sz w:val="28"/>
                <w:szCs w:val="28"/>
              </w:rPr>
            </w:pPr>
            <w:r>
              <w:rPr>
                <w:rFonts w:hint="eastAsia" w:eastAsia="仿宋_GB2312"/>
                <w:color w:val="000000" w:themeColor="text1"/>
                <w:sz w:val="28"/>
                <w:szCs w:val="28"/>
              </w:rPr>
              <w:t>0.9983</w:t>
            </w:r>
          </w:p>
        </w:tc>
      </w:tr>
    </w:tbl>
    <w:p>
      <w:pPr>
        <w:rPr>
          <w:rFonts w:eastAsia="仿宋_GB2312"/>
          <w:sz w:val="28"/>
          <w:szCs w:val="28"/>
        </w:rPr>
      </w:pPr>
    </w:p>
    <w:p>
      <w:pPr>
        <w:pStyle w:val="4"/>
        <w:jc w:val="left"/>
      </w:pPr>
      <w:bookmarkStart w:id="22" w:name="_Toc24794"/>
      <w:r>
        <w:rPr>
          <w:rFonts w:hint="eastAsia"/>
        </w:rPr>
        <w:t>4.3 方法的准确度、精密度与适用范围</w:t>
      </w:r>
      <w:bookmarkEnd w:id="22"/>
    </w:p>
    <w:p>
      <w:pPr>
        <w:ind w:firstLine="560" w:firstLineChars="200"/>
        <w:rPr>
          <w:rFonts w:eastAsia="仿宋_GB2312"/>
          <w:sz w:val="28"/>
          <w:szCs w:val="28"/>
        </w:rPr>
      </w:pPr>
      <w:r>
        <w:rPr>
          <w:rFonts w:hint="eastAsia" w:eastAsia="仿宋_GB2312"/>
          <w:sz w:val="28"/>
          <w:szCs w:val="28"/>
        </w:rPr>
        <w:t>为考察本检测方法的准确度、精密度与适用范围，进行了加标回收实验。设</w:t>
      </w:r>
      <w:r>
        <w:rPr>
          <w:rFonts w:eastAsia="仿宋_GB2312"/>
          <w:sz w:val="28"/>
          <w:szCs w:val="28"/>
        </w:rPr>
        <w:t>0.0</w:t>
      </w:r>
      <w:r>
        <w:rPr>
          <w:rFonts w:hint="eastAsia" w:eastAsia="仿宋_GB2312"/>
          <w:sz w:val="28"/>
          <w:szCs w:val="28"/>
        </w:rPr>
        <w:t>4</w:t>
      </w:r>
      <w:r>
        <w:rPr>
          <w:rFonts w:eastAsia="仿宋_GB2312"/>
          <w:sz w:val="28"/>
          <w:szCs w:val="28"/>
        </w:rPr>
        <w:t>μg/L、0.</w:t>
      </w:r>
      <w:r>
        <w:rPr>
          <w:rFonts w:hint="eastAsia" w:eastAsia="仿宋_GB2312"/>
          <w:sz w:val="28"/>
          <w:szCs w:val="28"/>
        </w:rPr>
        <w:t>50</w:t>
      </w:r>
      <w:r>
        <w:rPr>
          <w:rFonts w:eastAsia="仿宋_GB2312"/>
          <w:sz w:val="28"/>
          <w:szCs w:val="28"/>
        </w:rPr>
        <w:t>μg/L、</w:t>
      </w:r>
      <w:r>
        <w:rPr>
          <w:rFonts w:hint="eastAsia" w:eastAsia="仿宋_GB2312"/>
          <w:sz w:val="28"/>
          <w:szCs w:val="28"/>
        </w:rPr>
        <w:t xml:space="preserve">5.00 </w:t>
      </w:r>
      <w:r>
        <w:rPr>
          <w:rFonts w:eastAsia="仿宋_GB2312"/>
          <w:sz w:val="28"/>
          <w:szCs w:val="28"/>
        </w:rPr>
        <w:t>μg/L</w:t>
      </w:r>
      <w:r>
        <w:rPr>
          <w:rFonts w:hint="eastAsia" w:eastAsia="仿宋_GB2312"/>
          <w:sz w:val="28"/>
          <w:szCs w:val="28"/>
        </w:rPr>
        <w:t xml:space="preserve">、10.0 </w:t>
      </w:r>
      <w:r>
        <w:rPr>
          <w:rFonts w:eastAsia="仿宋_GB2312"/>
          <w:sz w:val="28"/>
          <w:szCs w:val="28"/>
        </w:rPr>
        <w:t>μg/L</w:t>
      </w:r>
      <w:r>
        <w:rPr>
          <w:rFonts w:hint="eastAsia" w:eastAsia="仿宋_GB2312"/>
          <w:sz w:val="28"/>
          <w:szCs w:val="28"/>
        </w:rPr>
        <w:t>四个浓度添加水平，在空白水样中添加五氯苯酚标准溶液，每个水平设六个平行，并设空白对照。具体操作为：分别量取空白水样5</w:t>
      </w:r>
      <w:r>
        <w:rPr>
          <w:rFonts w:eastAsia="仿宋_GB2312"/>
          <w:sz w:val="28"/>
          <w:szCs w:val="28"/>
        </w:rPr>
        <w:t>0 mL</w:t>
      </w:r>
      <w:r>
        <w:rPr>
          <w:rFonts w:hint="eastAsia" w:eastAsia="仿宋_GB2312"/>
          <w:sz w:val="28"/>
          <w:szCs w:val="28"/>
        </w:rPr>
        <w:t>，添加一定体积的五氯苯酚标准溶液，混匀，按该标准的样品前处理方法处理后进行</w:t>
      </w:r>
      <w:r>
        <w:rPr>
          <w:rFonts w:eastAsia="仿宋_GB2312"/>
          <w:sz w:val="28"/>
          <w:szCs w:val="28"/>
        </w:rPr>
        <w:t>HPLC-MS/MS</w:t>
      </w:r>
      <w:r>
        <w:rPr>
          <w:rFonts w:hint="eastAsia" w:eastAsia="仿宋_GB2312"/>
          <w:sz w:val="28"/>
          <w:szCs w:val="28"/>
        </w:rPr>
        <w:t>分析，按外标法计算其浓度和回收率。加标回收试验结果见</w:t>
      </w:r>
      <w:r>
        <w:rPr>
          <w:rFonts w:hint="eastAsia" w:eastAsia="仿宋_GB2312"/>
          <w:color w:val="FF0000"/>
          <w:sz w:val="28"/>
          <w:szCs w:val="28"/>
        </w:rPr>
        <w:t>表6</w:t>
      </w:r>
      <w:r>
        <w:rPr>
          <w:rFonts w:hint="eastAsia" w:eastAsia="仿宋_GB2312"/>
          <w:sz w:val="28"/>
          <w:szCs w:val="28"/>
        </w:rPr>
        <w:t>，标准曲线、标准溶液、空白对照及加标样品的选择反应监测（SRM）色谱图</w:t>
      </w:r>
      <w:r>
        <w:rPr>
          <w:rFonts w:hint="eastAsia" w:eastAsia="仿宋_GB2312"/>
          <w:color w:val="FF0000"/>
          <w:sz w:val="28"/>
          <w:szCs w:val="28"/>
        </w:rPr>
        <w:t>见图5-图9</w:t>
      </w:r>
      <w:r>
        <w:rPr>
          <w:rFonts w:hint="eastAsia" w:eastAsia="仿宋_GB2312"/>
          <w:sz w:val="28"/>
          <w:szCs w:val="28"/>
        </w:rPr>
        <w:t>。从</w:t>
      </w:r>
      <w:r>
        <w:rPr>
          <w:rFonts w:hint="eastAsia" w:eastAsia="仿宋_GB2312"/>
          <w:color w:val="FF0000"/>
          <w:sz w:val="28"/>
          <w:szCs w:val="28"/>
        </w:rPr>
        <w:t>表6</w:t>
      </w:r>
      <w:r>
        <w:rPr>
          <w:rFonts w:hint="eastAsia" w:eastAsia="仿宋_GB2312"/>
          <w:sz w:val="28"/>
          <w:szCs w:val="28"/>
        </w:rPr>
        <w:t>可以看出，四个加标浓度下五氯苯酚的回收率在83.0%-93.2%，相对标准偏差均小于10%，表明使用该方法测定渔业水体中的五氯苯酚准确可靠。</w:t>
      </w:r>
    </w:p>
    <w:p>
      <w:pPr>
        <w:ind w:firstLine="600"/>
        <w:jc w:val="center"/>
        <w:rPr>
          <w:rFonts w:eastAsia="仿宋_GB2312"/>
          <w:szCs w:val="21"/>
        </w:rPr>
      </w:pPr>
      <w:r>
        <w:rPr>
          <w:rFonts w:hint="eastAsia" w:eastAsia="仿宋_GB2312"/>
          <w:szCs w:val="21"/>
        </w:rPr>
        <w:t>表 6  水样中添加回收率及方法精密度试验（</w:t>
      </w:r>
      <w:r>
        <w:rPr>
          <w:rFonts w:eastAsia="仿宋_GB2312"/>
          <w:szCs w:val="21"/>
        </w:rPr>
        <w:t>n＝5</w:t>
      </w:r>
      <w:r>
        <w:rPr>
          <w:rFonts w:hint="eastAsia" w:eastAsia="仿宋_GB2312"/>
          <w:szCs w:val="21"/>
        </w:rPr>
        <w:t>）</w:t>
      </w:r>
    </w:p>
    <w:p>
      <w:pPr>
        <w:ind w:firstLine="600"/>
        <w:rPr>
          <w:rFonts w:eastAsia="仿宋_GB2312"/>
          <w:szCs w:val="21"/>
        </w:rPr>
      </w:pPr>
      <w:r>
        <w:rPr>
          <w:rFonts w:eastAsia="仿宋_GB2312"/>
          <w:szCs w:val="21"/>
        </w:rPr>
        <w:t xml:space="preserve">Table </w:t>
      </w:r>
      <w:r>
        <w:rPr>
          <w:rFonts w:hint="eastAsia" w:eastAsia="仿宋_GB2312"/>
          <w:szCs w:val="21"/>
        </w:rPr>
        <w:t>6</w:t>
      </w:r>
      <w:r>
        <w:rPr>
          <w:rFonts w:eastAsia="仿宋_GB2312"/>
          <w:szCs w:val="21"/>
        </w:rPr>
        <w:t>Results of recoveries test and precision of the method from water samples</w:t>
      </w:r>
    </w:p>
    <w:tbl>
      <w:tblPr>
        <w:tblStyle w:val="12"/>
        <w:tblW w:w="8699"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20"/>
        <w:gridCol w:w="1410"/>
        <w:gridCol w:w="1679"/>
        <w:gridCol w:w="1679"/>
        <w:gridCol w:w="1911"/>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2020" w:type="dxa"/>
            <w:vMerge w:val="restart"/>
            <w:noWrap/>
            <w:vAlign w:val="center"/>
          </w:tcPr>
          <w:p>
            <w:pPr>
              <w:jc w:val="center"/>
              <w:rPr>
                <w:rFonts w:eastAsia="仿宋"/>
                <w:szCs w:val="21"/>
              </w:rPr>
            </w:pPr>
            <w:r>
              <w:rPr>
                <w:rFonts w:eastAsia="仿宋"/>
                <w:szCs w:val="21"/>
              </w:rPr>
              <w:t>添加浓度（μg/L）</w:t>
            </w:r>
          </w:p>
        </w:tc>
        <w:tc>
          <w:tcPr>
            <w:tcW w:w="1410" w:type="dxa"/>
            <w:vMerge w:val="restart"/>
            <w:noWrap/>
            <w:vAlign w:val="center"/>
          </w:tcPr>
          <w:p>
            <w:pPr>
              <w:widowControl/>
              <w:jc w:val="center"/>
              <w:rPr>
                <w:rFonts w:eastAsia="仿宋"/>
                <w:kern w:val="0"/>
                <w:szCs w:val="21"/>
              </w:rPr>
            </w:pPr>
            <w:r>
              <w:rPr>
                <w:rFonts w:eastAsia="仿宋"/>
                <w:kern w:val="0"/>
                <w:szCs w:val="21"/>
              </w:rPr>
              <w:t>平行样</w:t>
            </w:r>
          </w:p>
        </w:tc>
        <w:tc>
          <w:tcPr>
            <w:tcW w:w="5269" w:type="dxa"/>
            <w:gridSpan w:val="3"/>
            <w:noWrap/>
            <w:vAlign w:val="center"/>
          </w:tcPr>
          <w:p>
            <w:pPr>
              <w:widowControl/>
              <w:jc w:val="center"/>
              <w:rPr>
                <w:rFonts w:eastAsia="仿宋"/>
                <w:kern w:val="0"/>
                <w:szCs w:val="21"/>
              </w:rPr>
            </w:pPr>
            <w:r>
              <w:rPr>
                <w:rFonts w:hint="eastAsia" w:eastAsia="仿宋"/>
                <w:kern w:val="0"/>
                <w:szCs w:val="21"/>
              </w:rPr>
              <w:t>五氯苯酚</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2020" w:type="dxa"/>
            <w:vMerge w:val="continue"/>
            <w:tcBorders>
              <w:bottom w:val="single" w:color="auto" w:sz="12" w:space="0"/>
            </w:tcBorders>
            <w:noWrap/>
            <w:vAlign w:val="center"/>
          </w:tcPr>
          <w:p>
            <w:pPr>
              <w:jc w:val="center"/>
              <w:rPr>
                <w:rFonts w:eastAsia="仿宋"/>
                <w:szCs w:val="21"/>
              </w:rPr>
            </w:pPr>
          </w:p>
        </w:tc>
        <w:tc>
          <w:tcPr>
            <w:tcW w:w="1410" w:type="dxa"/>
            <w:vMerge w:val="continue"/>
            <w:tcBorders>
              <w:bottom w:val="single" w:color="auto" w:sz="12" w:space="0"/>
            </w:tcBorders>
            <w:noWrap/>
            <w:vAlign w:val="center"/>
          </w:tcPr>
          <w:p>
            <w:pPr>
              <w:widowControl/>
              <w:jc w:val="center"/>
              <w:rPr>
                <w:rFonts w:eastAsia="仿宋"/>
                <w:kern w:val="0"/>
                <w:szCs w:val="21"/>
              </w:rPr>
            </w:pPr>
          </w:p>
        </w:tc>
        <w:tc>
          <w:tcPr>
            <w:tcW w:w="1679" w:type="dxa"/>
            <w:tcBorders>
              <w:bottom w:val="single" w:color="auto" w:sz="12" w:space="0"/>
            </w:tcBorders>
            <w:noWrap/>
            <w:vAlign w:val="center"/>
          </w:tcPr>
          <w:p>
            <w:pPr>
              <w:widowControl/>
              <w:jc w:val="center"/>
              <w:rPr>
                <w:rFonts w:eastAsia="仿宋"/>
                <w:kern w:val="0"/>
                <w:szCs w:val="21"/>
              </w:rPr>
            </w:pPr>
            <w:r>
              <w:rPr>
                <w:rFonts w:eastAsia="仿宋"/>
                <w:kern w:val="0"/>
                <w:szCs w:val="21"/>
              </w:rPr>
              <w:t>回收率（%）</w:t>
            </w:r>
          </w:p>
        </w:tc>
        <w:tc>
          <w:tcPr>
            <w:tcW w:w="1679" w:type="dxa"/>
            <w:tcBorders>
              <w:bottom w:val="single" w:color="auto" w:sz="12" w:space="0"/>
            </w:tcBorders>
            <w:noWrap/>
            <w:vAlign w:val="center"/>
          </w:tcPr>
          <w:p>
            <w:pPr>
              <w:jc w:val="center"/>
              <w:rPr>
                <w:rFonts w:eastAsia="仿宋"/>
                <w:kern w:val="0"/>
                <w:szCs w:val="21"/>
              </w:rPr>
            </w:pPr>
            <w:r>
              <w:rPr>
                <w:rFonts w:eastAsia="仿宋"/>
                <w:kern w:val="0"/>
                <w:szCs w:val="21"/>
              </w:rPr>
              <w:t>平均值（%）</w:t>
            </w:r>
          </w:p>
        </w:tc>
        <w:tc>
          <w:tcPr>
            <w:tcW w:w="1911" w:type="dxa"/>
            <w:tcBorders>
              <w:bottom w:val="single" w:color="auto" w:sz="12" w:space="0"/>
            </w:tcBorders>
            <w:noWrap/>
            <w:vAlign w:val="center"/>
          </w:tcPr>
          <w:p>
            <w:pPr>
              <w:widowControl/>
              <w:jc w:val="center"/>
              <w:rPr>
                <w:rFonts w:eastAsia="仿宋"/>
                <w:kern w:val="0"/>
                <w:szCs w:val="21"/>
              </w:rPr>
            </w:pPr>
            <w:r>
              <w:rPr>
                <w:rFonts w:eastAsia="仿宋"/>
                <w:kern w:val="0"/>
                <w:szCs w:val="21"/>
              </w:rPr>
              <w:t>精密度（RSD%）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restart"/>
            <w:tcBorders>
              <w:top w:val="single" w:color="auto" w:sz="12" w:space="0"/>
              <w:tl2br w:val="nil"/>
              <w:tr2bl w:val="nil"/>
            </w:tcBorders>
            <w:noWrap/>
            <w:vAlign w:val="center"/>
          </w:tcPr>
          <w:p>
            <w:pPr>
              <w:jc w:val="center"/>
              <w:rPr>
                <w:rFonts w:eastAsia="仿宋"/>
                <w:szCs w:val="21"/>
              </w:rPr>
            </w:pPr>
            <w:r>
              <w:rPr>
                <w:rFonts w:eastAsia="仿宋"/>
                <w:szCs w:val="21"/>
              </w:rPr>
              <w:t>0.04</w:t>
            </w:r>
          </w:p>
        </w:tc>
        <w:tc>
          <w:tcPr>
            <w:tcW w:w="1410" w:type="dxa"/>
            <w:tcBorders>
              <w:top w:val="single" w:color="auto" w:sz="12" w:space="0"/>
              <w:tl2br w:val="nil"/>
              <w:tr2bl w:val="nil"/>
            </w:tcBorders>
            <w:noWrap/>
            <w:vAlign w:val="center"/>
          </w:tcPr>
          <w:p>
            <w:pPr>
              <w:widowControl/>
              <w:jc w:val="center"/>
              <w:rPr>
                <w:rFonts w:eastAsia="仿宋"/>
                <w:kern w:val="0"/>
                <w:szCs w:val="21"/>
              </w:rPr>
            </w:pPr>
            <w:r>
              <w:rPr>
                <w:rFonts w:eastAsia="仿宋"/>
                <w:kern w:val="0"/>
                <w:szCs w:val="21"/>
              </w:rPr>
              <w:t>1</w:t>
            </w:r>
          </w:p>
        </w:tc>
        <w:tc>
          <w:tcPr>
            <w:tcW w:w="1679" w:type="dxa"/>
            <w:tcBorders>
              <w:top w:val="single" w:color="auto" w:sz="12" w:space="0"/>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82.4</w:t>
            </w:r>
          </w:p>
        </w:tc>
        <w:tc>
          <w:tcPr>
            <w:tcW w:w="1679" w:type="dxa"/>
            <w:vMerge w:val="restart"/>
            <w:tcBorders>
              <w:top w:val="single" w:color="auto" w:sz="12" w:space="0"/>
              <w:tl2br w:val="nil"/>
              <w:tr2bl w:val="nil"/>
            </w:tcBorders>
            <w:noWrap/>
            <w:vAlign w:val="center"/>
          </w:tcPr>
          <w:p>
            <w:pPr>
              <w:widowControl/>
              <w:jc w:val="center"/>
              <w:rPr>
                <w:rFonts w:eastAsia="仿宋"/>
                <w:kern w:val="0"/>
                <w:szCs w:val="21"/>
              </w:rPr>
            </w:pPr>
            <w:r>
              <w:rPr>
                <w:rFonts w:hint="eastAsia" w:eastAsia="仿宋"/>
                <w:kern w:val="0"/>
                <w:szCs w:val="21"/>
              </w:rPr>
              <w:t>83.0</w:t>
            </w:r>
          </w:p>
        </w:tc>
        <w:tc>
          <w:tcPr>
            <w:tcW w:w="1911" w:type="dxa"/>
            <w:vMerge w:val="restart"/>
            <w:tcBorders>
              <w:top w:val="single" w:color="auto" w:sz="12" w:space="0"/>
              <w:tl2br w:val="nil"/>
              <w:tr2bl w:val="nil"/>
            </w:tcBorders>
            <w:noWrap/>
            <w:vAlign w:val="center"/>
          </w:tcPr>
          <w:p>
            <w:pPr>
              <w:widowControl/>
              <w:jc w:val="center"/>
              <w:rPr>
                <w:rFonts w:eastAsia="仿宋"/>
                <w:kern w:val="0"/>
                <w:szCs w:val="21"/>
              </w:rPr>
            </w:pPr>
            <w:r>
              <w:rPr>
                <w:rFonts w:hint="eastAsia" w:eastAsia="仿宋"/>
                <w:kern w:val="0"/>
                <w:szCs w:val="21"/>
              </w:rPr>
              <w:t>4.14</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2</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79.3</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3</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85</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4</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82.6</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5</w:t>
            </w:r>
          </w:p>
        </w:tc>
        <w:tc>
          <w:tcPr>
            <w:tcW w:w="1679" w:type="dxa"/>
            <w:tcBorders>
              <w:tl2br w:val="nil"/>
              <w:tr2bl w:val="nil"/>
            </w:tcBorders>
            <w:noWrap/>
            <w:vAlign w:val="center"/>
          </w:tcPr>
          <w:p>
            <w:pPr>
              <w:widowControl/>
              <w:jc w:val="center"/>
              <w:textAlignment w:val="center"/>
              <w:rPr>
                <w:rFonts w:eastAsia="仿宋"/>
                <w:bCs/>
                <w:szCs w:val="21"/>
              </w:rPr>
            </w:pPr>
            <w:r>
              <w:rPr>
                <w:rFonts w:hint="eastAsia" w:eastAsia="仿宋" w:cs="宋体"/>
                <w:color w:val="000000"/>
                <w:kern w:val="0"/>
                <w:sz w:val="22"/>
                <w:szCs w:val="22"/>
              </w:rPr>
              <w:t>88.7</w:t>
            </w:r>
          </w:p>
        </w:tc>
        <w:tc>
          <w:tcPr>
            <w:tcW w:w="1679" w:type="dxa"/>
            <w:vMerge w:val="continue"/>
            <w:tcBorders>
              <w:tl2br w:val="nil"/>
              <w:tr2bl w:val="nil"/>
            </w:tcBorders>
            <w:noWrap/>
            <w:vAlign w:val="center"/>
          </w:tcPr>
          <w:p>
            <w:pPr>
              <w:widowControl/>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6</w:t>
            </w:r>
          </w:p>
        </w:tc>
        <w:tc>
          <w:tcPr>
            <w:tcW w:w="1679" w:type="dxa"/>
            <w:tcBorders>
              <w:tl2br w:val="nil"/>
              <w:tr2bl w:val="nil"/>
            </w:tcBorders>
            <w:noWrap/>
            <w:vAlign w:val="center"/>
          </w:tcPr>
          <w:p>
            <w:pPr>
              <w:widowControl/>
              <w:jc w:val="center"/>
              <w:textAlignment w:val="center"/>
              <w:rPr>
                <w:rFonts w:eastAsia="仿宋"/>
                <w:bCs/>
                <w:szCs w:val="21"/>
              </w:rPr>
            </w:pPr>
            <w:r>
              <w:rPr>
                <w:rFonts w:hint="eastAsia" w:eastAsia="仿宋" w:cs="宋体"/>
                <w:color w:val="000000"/>
                <w:kern w:val="0"/>
                <w:sz w:val="22"/>
                <w:szCs w:val="22"/>
              </w:rPr>
              <w:t>80.1</w:t>
            </w:r>
          </w:p>
        </w:tc>
        <w:tc>
          <w:tcPr>
            <w:tcW w:w="1679" w:type="dxa"/>
            <w:vMerge w:val="continue"/>
            <w:tcBorders>
              <w:tl2br w:val="nil"/>
              <w:tr2bl w:val="nil"/>
            </w:tcBorders>
            <w:noWrap/>
            <w:vAlign w:val="center"/>
          </w:tcPr>
          <w:p>
            <w:pPr>
              <w:widowControl/>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restart"/>
            <w:tcBorders>
              <w:tl2br w:val="nil"/>
              <w:tr2bl w:val="nil"/>
            </w:tcBorders>
            <w:noWrap/>
            <w:vAlign w:val="center"/>
          </w:tcPr>
          <w:p>
            <w:pPr>
              <w:jc w:val="center"/>
              <w:rPr>
                <w:rFonts w:eastAsia="仿宋"/>
                <w:szCs w:val="21"/>
              </w:rPr>
            </w:pPr>
            <w:r>
              <w:rPr>
                <w:rFonts w:eastAsia="仿宋"/>
                <w:szCs w:val="21"/>
              </w:rPr>
              <w:t>0.5</w:t>
            </w:r>
            <w:r>
              <w:rPr>
                <w:rFonts w:hint="eastAsia" w:eastAsia="仿宋"/>
                <w:szCs w:val="21"/>
              </w:rPr>
              <w:t>0</w:t>
            </w: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1</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93.4</w:t>
            </w:r>
          </w:p>
        </w:tc>
        <w:tc>
          <w:tcPr>
            <w:tcW w:w="1679" w:type="dxa"/>
            <w:vMerge w:val="restart"/>
            <w:tcBorders>
              <w:tl2br w:val="nil"/>
              <w:tr2bl w:val="nil"/>
            </w:tcBorders>
            <w:noWrap/>
            <w:vAlign w:val="center"/>
          </w:tcPr>
          <w:p>
            <w:pPr>
              <w:widowControl/>
              <w:jc w:val="center"/>
              <w:rPr>
                <w:rFonts w:eastAsia="仿宋"/>
                <w:kern w:val="0"/>
                <w:szCs w:val="21"/>
              </w:rPr>
            </w:pPr>
            <w:r>
              <w:rPr>
                <w:rFonts w:hint="eastAsia" w:eastAsia="仿宋"/>
                <w:kern w:val="0"/>
                <w:szCs w:val="21"/>
              </w:rPr>
              <w:t>90.2</w:t>
            </w:r>
          </w:p>
        </w:tc>
        <w:tc>
          <w:tcPr>
            <w:tcW w:w="1911" w:type="dxa"/>
            <w:vMerge w:val="restart"/>
            <w:tcBorders>
              <w:tl2br w:val="nil"/>
              <w:tr2bl w:val="nil"/>
            </w:tcBorders>
            <w:noWrap/>
            <w:vAlign w:val="center"/>
          </w:tcPr>
          <w:p>
            <w:pPr>
              <w:widowControl/>
              <w:jc w:val="center"/>
              <w:rPr>
                <w:rFonts w:eastAsia="仿宋"/>
                <w:kern w:val="0"/>
                <w:szCs w:val="21"/>
              </w:rPr>
            </w:pPr>
            <w:r>
              <w:rPr>
                <w:rFonts w:hint="eastAsia" w:eastAsia="仿宋"/>
                <w:kern w:val="0"/>
                <w:szCs w:val="21"/>
              </w:rPr>
              <w:t>3.80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color w:val="FF0000"/>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2</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90.2</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color w:val="FF0000"/>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3</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89.7</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color w:val="FF0000"/>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4</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88</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color w:val="FF0000"/>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5</w:t>
            </w:r>
          </w:p>
        </w:tc>
        <w:tc>
          <w:tcPr>
            <w:tcW w:w="1679" w:type="dxa"/>
            <w:tcBorders>
              <w:tl2br w:val="nil"/>
              <w:tr2bl w:val="nil"/>
            </w:tcBorders>
            <w:noWrap/>
            <w:vAlign w:val="center"/>
          </w:tcPr>
          <w:p>
            <w:pPr>
              <w:widowControl/>
              <w:jc w:val="center"/>
              <w:textAlignment w:val="center"/>
              <w:rPr>
                <w:rFonts w:eastAsia="仿宋"/>
                <w:bCs/>
              </w:rPr>
            </w:pPr>
            <w:r>
              <w:rPr>
                <w:rFonts w:hint="eastAsia" w:eastAsia="仿宋" w:cs="宋体"/>
                <w:color w:val="000000"/>
                <w:kern w:val="0"/>
                <w:sz w:val="22"/>
                <w:szCs w:val="22"/>
              </w:rPr>
              <w:t>94.6</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color w:val="FF0000"/>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6</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85.3</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restart"/>
            <w:tcBorders>
              <w:tl2br w:val="nil"/>
              <w:tr2bl w:val="nil"/>
            </w:tcBorders>
            <w:noWrap/>
            <w:vAlign w:val="center"/>
          </w:tcPr>
          <w:p>
            <w:pPr>
              <w:jc w:val="center"/>
              <w:rPr>
                <w:rFonts w:eastAsia="仿宋"/>
                <w:szCs w:val="21"/>
              </w:rPr>
            </w:pPr>
            <w:r>
              <w:rPr>
                <w:rFonts w:eastAsia="仿宋"/>
                <w:szCs w:val="21"/>
              </w:rPr>
              <w:t>5.0</w:t>
            </w:r>
            <w:r>
              <w:rPr>
                <w:rFonts w:hint="eastAsia" w:eastAsia="仿宋"/>
                <w:szCs w:val="21"/>
              </w:rPr>
              <w:t>0</w:t>
            </w: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1</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101</w:t>
            </w:r>
          </w:p>
        </w:tc>
        <w:tc>
          <w:tcPr>
            <w:tcW w:w="1679" w:type="dxa"/>
            <w:vMerge w:val="restart"/>
            <w:tcBorders>
              <w:tl2br w:val="nil"/>
              <w:tr2bl w:val="nil"/>
            </w:tcBorders>
            <w:noWrap/>
            <w:vAlign w:val="center"/>
          </w:tcPr>
          <w:p>
            <w:pPr>
              <w:widowControl/>
              <w:jc w:val="center"/>
              <w:rPr>
                <w:rFonts w:eastAsia="仿宋"/>
                <w:kern w:val="0"/>
                <w:szCs w:val="21"/>
              </w:rPr>
            </w:pPr>
            <w:r>
              <w:rPr>
                <w:rFonts w:hint="eastAsia" w:eastAsia="仿宋"/>
                <w:kern w:val="0"/>
                <w:szCs w:val="21"/>
              </w:rPr>
              <w:t>89.4</w:t>
            </w:r>
          </w:p>
        </w:tc>
        <w:tc>
          <w:tcPr>
            <w:tcW w:w="1911" w:type="dxa"/>
            <w:vMerge w:val="restart"/>
            <w:tcBorders>
              <w:tl2br w:val="nil"/>
              <w:tr2bl w:val="nil"/>
            </w:tcBorders>
            <w:noWrap/>
            <w:vAlign w:val="center"/>
          </w:tcPr>
          <w:p>
            <w:pPr>
              <w:widowControl/>
              <w:jc w:val="center"/>
              <w:rPr>
                <w:rFonts w:eastAsia="仿宋"/>
                <w:kern w:val="0"/>
                <w:szCs w:val="21"/>
              </w:rPr>
            </w:pPr>
            <w:r>
              <w:rPr>
                <w:rFonts w:hint="eastAsia" w:eastAsia="仿宋"/>
                <w:kern w:val="0"/>
                <w:szCs w:val="21"/>
              </w:rPr>
              <w:t>7.01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2</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85.4</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3</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87.2</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4</w:t>
            </w:r>
          </w:p>
        </w:tc>
        <w:tc>
          <w:tcPr>
            <w:tcW w:w="1679" w:type="dxa"/>
            <w:tcBorders>
              <w:tl2br w:val="nil"/>
              <w:tr2bl w:val="nil"/>
            </w:tcBorders>
            <w:noWrap/>
            <w:vAlign w:val="center"/>
          </w:tcPr>
          <w:p>
            <w:pPr>
              <w:widowControl/>
              <w:jc w:val="center"/>
              <w:textAlignment w:val="center"/>
              <w:rPr>
                <w:rFonts w:eastAsia="仿宋"/>
                <w:bCs/>
              </w:rPr>
            </w:pPr>
            <w:r>
              <w:rPr>
                <w:rFonts w:hint="eastAsia" w:eastAsia="仿宋" w:cs="宋体"/>
                <w:color w:val="000000"/>
                <w:kern w:val="0"/>
                <w:sz w:val="22"/>
                <w:szCs w:val="22"/>
              </w:rPr>
              <w:t>84</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5</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87.1</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eastAsia="仿宋"/>
                <w:kern w:val="0"/>
                <w:szCs w:val="21"/>
              </w:rPr>
              <w:t>6</w:t>
            </w:r>
          </w:p>
        </w:tc>
        <w:tc>
          <w:tcPr>
            <w:tcW w:w="1679" w:type="dxa"/>
            <w:tcBorders>
              <w:tl2br w:val="nil"/>
              <w:tr2bl w:val="nil"/>
            </w:tcBorders>
            <w:noWrap/>
            <w:vAlign w:val="center"/>
          </w:tcPr>
          <w:p>
            <w:pPr>
              <w:widowControl/>
              <w:jc w:val="center"/>
              <w:textAlignment w:val="center"/>
              <w:rPr>
                <w:rFonts w:eastAsia="仿宋"/>
                <w:bCs/>
                <w:sz w:val="24"/>
              </w:rPr>
            </w:pPr>
            <w:r>
              <w:rPr>
                <w:rFonts w:hint="eastAsia" w:eastAsia="仿宋" w:cs="宋体"/>
                <w:color w:val="000000"/>
                <w:kern w:val="0"/>
                <w:sz w:val="22"/>
                <w:szCs w:val="22"/>
              </w:rPr>
              <w:t>92.0</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2020" w:type="dxa"/>
            <w:vMerge w:val="restart"/>
            <w:tcBorders>
              <w:tl2br w:val="nil"/>
              <w:tr2bl w:val="nil"/>
            </w:tcBorders>
            <w:noWrap/>
            <w:vAlign w:val="center"/>
          </w:tcPr>
          <w:p>
            <w:pPr>
              <w:jc w:val="center"/>
              <w:rPr>
                <w:rFonts w:eastAsia="仿宋"/>
                <w:szCs w:val="21"/>
              </w:rPr>
            </w:pPr>
            <w:r>
              <w:rPr>
                <w:rFonts w:hint="eastAsia" w:eastAsia="仿宋"/>
                <w:szCs w:val="21"/>
              </w:rPr>
              <w:t>10.0</w:t>
            </w:r>
          </w:p>
        </w:tc>
        <w:tc>
          <w:tcPr>
            <w:tcW w:w="1410" w:type="dxa"/>
            <w:tcBorders>
              <w:tl2br w:val="nil"/>
              <w:tr2bl w:val="nil"/>
            </w:tcBorders>
            <w:noWrap/>
            <w:vAlign w:val="center"/>
          </w:tcPr>
          <w:p>
            <w:pPr>
              <w:widowControl/>
              <w:jc w:val="center"/>
              <w:rPr>
                <w:rFonts w:eastAsia="仿宋"/>
                <w:kern w:val="0"/>
                <w:szCs w:val="21"/>
              </w:rPr>
            </w:pPr>
            <w:r>
              <w:rPr>
                <w:rFonts w:hint="eastAsia" w:eastAsia="仿宋"/>
                <w:kern w:val="0"/>
                <w:szCs w:val="21"/>
              </w:rPr>
              <w:t>1</w:t>
            </w:r>
          </w:p>
        </w:tc>
        <w:tc>
          <w:tcPr>
            <w:tcW w:w="1679" w:type="dxa"/>
            <w:tcBorders>
              <w:tl2br w:val="nil"/>
              <w:tr2bl w:val="nil"/>
            </w:tcBorders>
            <w:noWrap/>
            <w:vAlign w:val="center"/>
          </w:tcPr>
          <w:p>
            <w:pPr>
              <w:widowControl/>
              <w:jc w:val="center"/>
              <w:textAlignment w:val="center"/>
              <w:rPr>
                <w:rFonts w:eastAsia="仿宋"/>
                <w:color w:val="000000"/>
                <w:kern w:val="0"/>
                <w:sz w:val="22"/>
                <w:szCs w:val="22"/>
              </w:rPr>
            </w:pPr>
            <w:r>
              <w:rPr>
                <w:rFonts w:hint="eastAsia" w:eastAsia="仿宋" w:cs="宋体"/>
                <w:color w:val="000000"/>
                <w:kern w:val="0"/>
                <w:sz w:val="22"/>
                <w:szCs w:val="22"/>
              </w:rPr>
              <w:t>93.1</w:t>
            </w:r>
          </w:p>
        </w:tc>
        <w:tc>
          <w:tcPr>
            <w:tcW w:w="1679" w:type="dxa"/>
            <w:vMerge w:val="restart"/>
            <w:tcBorders>
              <w:tl2br w:val="nil"/>
              <w:tr2bl w:val="nil"/>
            </w:tcBorders>
            <w:noWrap/>
            <w:vAlign w:val="center"/>
          </w:tcPr>
          <w:p>
            <w:pPr>
              <w:widowControl/>
              <w:jc w:val="center"/>
              <w:rPr>
                <w:rFonts w:eastAsia="仿宋"/>
                <w:kern w:val="0"/>
                <w:szCs w:val="21"/>
              </w:rPr>
            </w:pPr>
            <w:r>
              <w:rPr>
                <w:rFonts w:hint="eastAsia" w:eastAsia="仿宋"/>
                <w:kern w:val="0"/>
                <w:szCs w:val="21"/>
              </w:rPr>
              <w:t>93.2</w:t>
            </w:r>
          </w:p>
        </w:tc>
        <w:tc>
          <w:tcPr>
            <w:tcW w:w="1911" w:type="dxa"/>
            <w:vMerge w:val="restart"/>
            <w:tcBorders>
              <w:tl2br w:val="nil"/>
              <w:tr2bl w:val="nil"/>
            </w:tcBorders>
            <w:noWrap/>
            <w:vAlign w:val="center"/>
          </w:tcPr>
          <w:p>
            <w:pPr>
              <w:widowControl/>
              <w:jc w:val="center"/>
              <w:rPr>
                <w:rFonts w:eastAsia="仿宋"/>
                <w:kern w:val="0"/>
                <w:szCs w:val="21"/>
              </w:rPr>
            </w:pPr>
            <w:r>
              <w:rPr>
                <w:rFonts w:hint="eastAsia" w:eastAsia="仿宋"/>
                <w:kern w:val="0"/>
                <w:szCs w:val="21"/>
              </w:rPr>
              <w:t>6.56</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hint="eastAsia" w:eastAsia="仿宋"/>
                <w:kern w:val="0"/>
                <w:szCs w:val="21"/>
              </w:rPr>
              <w:t>2</w:t>
            </w:r>
          </w:p>
        </w:tc>
        <w:tc>
          <w:tcPr>
            <w:tcW w:w="1679" w:type="dxa"/>
            <w:tcBorders>
              <w:tl2br w:val="nil"/>
              <w:tr2bl w:val="nil"/>
            </w:tcBorders>
            <w:noWrap/>
            <w:vAlign w:val="center"/>
          </w:tcPr>
          <w:p>
            <w:pPr>
              <w:widowControl/>
              <w:jc w:val="center"/>
              <w:textAlignment w:val="center"/>
              <w:rPr>
                <w:rFonts w:eastAsia="仿宋"/>
                <w:color w:val="000000"/>
                <w:kern w:val="0"/>
                <w:sz w:val="22"/>
                <w:szCs w:val="22"/>
              </w:rPr>
            </w:pPr>
            <w:r>
              <w:rPr>
                <w:rFonts w:hint="eastAsia" w:eastAsia="仿宋" w:cs="宋体"/>
                <w:color w:val="000000"/>
                <w:kern w:val="0"/>
                <w:sz w:val="22"/>
                <w:szCs w:val="22"/>
              </w:rPr>
              <w:t>105.1</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hint="eastAsia" w:eastAsia="仿宋"/>
                <w:kern w:val="0"/>
                <w:szCs w:val="21"/>
              </w:rPr>
              <w:t>3</w:t>
            </w:r>
          </w:p>
        </w:tc>
        <w:tc>
          <w:tcPr>
            <w:tcW w:w="1679" w:type="dxa"/>
            <w:tcBorders>
              <w:tl2br w:val="nil"/>
              <w:tr2bl w:val="nil"/>
            </w:tcBorders>
            <w:noWrap/>
            <w:vAlign w:val="center"/>
          </w:tcPr>
          <w:p>
            <w:pPr>
              <w:widowControl/>
              <w:jc w:val="center"/>
              <w:textAlignment w:val="center"/>
              <w:rPr>
                <w:rFonts w:eastAsia="仿宋"/>
                <w:color w:val="000000"/>
                <w:kern w:val="0"/>
                <w:sz w:val="22"/>
                <w:szCs w:val="22"/>
              </w:rPr>
            </w:pPr>
            <w:r>
              <w:rPr>
                <w:rFonts w:hint="eastAsia" w:eastAsia="仿宋" w:cs="宋体"/>
                <w:color w:val="000000"/>
                <w:kern w:val="0"/>
                <w:sz w:val="22"/>
                <w:szCs w:val="22"/>
              </w:rPr>
              <w:t>92.6</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hint="eastAsia" w:eastAsia="仿宋"/>
                <w:kern w:val="0"/>
                <w:szCs w:val="21"/>
              </w:rPr>
              <w:t>4</w:t>
            </w:r>
          </w:p>
        </w:tc>
        <w:tc>
          <w:tcPr>
            <w:tcW w:w="1679" w:type="dxa"/>
            <w:tcBorders>
              <w:tl2br w:val="nil"/>
              <w:tr2bl w:val="nil"/>
            </w:tcBorders>
            <w:noWrap/>
            <w:vAlign w:val="center"/>
          </w:tcPr>
          <w:p>
            <w:pPr>
              <w:widowControl/>
              <w:jc w:val="center"/>
              <w:textAlignment w:val="center"/>
              <w:rPr>
                <w:rFonts w:eastAsia="仿宋"/>
                <w:color w:val="000000"/>
                <w:kern w:val="0"/>
                <w:sz w:val="22"/>
                <w:szCs w:val="22"/>
              </w:rPr>
            </w:pPr>
            <w:r>
              <w:rPr>
                <w:rFonts w:hint="eastAsia" w:eastAsia="仿宋" w:cs="宋体"/>
                <w:color w:val="000000"/>
                <w:kern w:val="0"/>
                <w:sz w:val="22"/>
                <w:szCs w:val="22"/>
              </w:rPr>
              <w:t>88.4</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hint="eastAsia" w:eastAsia="仿宋"/>
                <w:kern w:val="0"/>
                <w:szCs w:val="21"/>
              </w:rPr>
              <w:t>5</w:t>
            </w:r>
          </w:p>
        </w:tc>
        <w:tc>
          <w:tcPr>
            <w:tcW w:w="1679" w:type="dxa"/>
            <w:tcBorders>
              <w:tl2br w:val="nil"/>
              <w:tr2bl w:val="nil"/>
            </w:tcBorders>
            <w:noWrap/>
            <w:vAlign w:val="center"/>
          </w:tcPr>
          <w:p>
            <w:pPr>
              <w:widowControl/>
              <w:jc w:val="center"/>
              <w:textAlignment w:val="center"/>
              <w:rPr>
                <w:rFonts w:eastAsia="仿宋"/>
                <w:color w:val="000000"/>
                <w:kern w:val="0"/>
                <w:sz w:val="22"/>
                <w:szCs w:val="22"/>
              </w:rPr>
            </w:pPr>
            <w:r>
              <w:rPr>
                <w:rFonts w:hint="eastAsia" w:eastAsia="仿宋" w:cs="宋体"/>
                <w:color w:val="000000"/>
                <w:kern w:val="0"/>
                <w:sz w:val="22"/>
                <w:szCs w:val="22"/>
              </w:rPr>
              <w:t>89.2</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2020" w:type="dxa"/>
            <w:vMerge w:val="continue"/>
            <w:tcBorders>
              <w:tl2br w:val="nil"/>
              <w:tr2bl w:val="nil"/>
            </w:tcBorders>
            <w:noWrap/>
            <w:vAlign w:val="center"/>
          </w:tcPr>
          <w:p>
            <w:pPr>
              <w:jc w:val="center"/>
              <w:rPr>
                <w:rFonts w:eastAsia="仿宋"/>
                <w:szCs w:val="21"/>
              </w:rPr>
            </w:pPr>
          </w:p>
        </w:tc>
        <w:tc>
          <w:tcPr>
            <w:tcW w:w="1410" w:type="dxa"/>
            <w:tcBorders>
              <w:tl2br w:val="nil"/>
              <w:tr2bl w:val="nil"/>
            </w:tcBorders>
            <w:noWrap/>
            <w:vAlign w:val="center"/>
          </w:tcPr>
          <w:p>
            <w:pPr>
              <w:widowControl/>
              <w:jc w:val="center"/>
              <w:rPr>
                <w:rFonts w:eastAsia="仿宋"/>
                <w:kern w:val="0"/>
                <w:szCs w:val="21"/>
              </w:rPr>
            </w:pPr>
            <w:r>
              <w:rPr>
                <w:rFonts w:hint="eastAsia" w:eastAsia="仿宋"/>
                <w:kern w:val="0"/>
                <w:szCs w:val="21"/>
              </w:rPr>
              <w:t>6</w:t>
            </w:r>
          </w:p>
        </w:tc>
        <w:tc>
          <w:tcPr>
            <w:tcW w:w="1679" w:type="dxa"/>
            <w:tcBorders>
              <w:tl2br w:val="nil"/>
              <w:tr2bl w:val="nil"/>
            </w:tcBorders>
            <w:noWrap/>
            <w:vAlign w:val="center"/>
          </w:tcPr>
          <w:p>
            <w:pPr>
              <w:widowControl/>
              <w:jc w:val="center"/>
              <w:textAlignment w:val="center"/>
              <w:rPr>
                <w:rFonts w:eastAsia="仿宋" w:cs="宋体"/>
                <w:color w:val="000000"/>
                <w:kern w:val="0"/>
                <w:sz w:val="22"/>
                <w:szCs w:val="22"/>
              </w:rPr>
            </w:pPr>
            <w:r>
              <w:rPr>
                <w:rFonts w:hint="eastAsia" w:eastAsia="仿宋" w:cs="宋体"/>
                <w:color w:val="000000"/>
                <w:kern w:val="0"/>
                <w:sz w:val="22"/>
                <w:szCs w:val="22"/>
              </w:rPr>
              <w:t>90.8</w:t>
            </w:r>
          </w:p>
        </w:tc>
        <w:tc>
          <w:tcPr>
            <w:tcW w:w="1679" w:type="dxa"/>
            <w:vMerge w:val="continue"/>
            <w:tcBorders>
              <w:tl2br w:val="nil"/>
              <w:tr2bl w:val="nil"/>
            </w:tcBorders>
            <w:noWrap/>
            <w:vAlign w:val="center"/>
          </w:tcPr>
          <w:p>
            <w:pPr>
              <w:widowControl/>
              <w:jc w:val="center"/>
              <w:rPr>
                <w:rFonts w:eastAsia="仿宋"/>
                <w:kern w:val="0"/>
                <w:szCs w:val="21"/>
              </w:rPr>
            </w:pPr>
          </w:p>
        </w:tc>
        <w:tc>
          <w:tcPr>
            <w:tcW w:w="1911" w:type="dxa"/>
            <w:vMerge w:val="continue"/>
            <w:tcBorders>
              <w:tl2br w:val="nil"/>
              <w:tr2bl w:val="nil"/>
            </w:tcBorders>
            <w:noWrap/>
            <w:vAlign w:val="center"/>
          </w:tcPr>
          <w:p>
            <w:pPr>
              <w:widowControl/>
              <w:jc w:val="center"/>
              <w:rPr>
                <w:rFonts w:eastAsia="仿宋"/>
                <w:kern w:val="0"/>
                <w:szCs w:val="21"/>
              </w:rPr>
            </w:pPr>
          </w:p>
        </w:tc>
      </w:tr>
    </w:tbl>
    <w:p>
      <w:pPr>
        <w:ind w:firstLine="420" w:firstLineChars="200"/>
        <w:jc w:val="center"/>
      </w:pPr>
    </w:p>
    <w:p>
      <w:pPr>
        <w:ind w:firstLine="420" w:firstLineChars="200"/>
        <w:jc w:val="center"/>
      </w:pPr>
    </w:p>
    <w:p>
      <w:pPr>
        <w:tabs>
          <w:tab w:val="center" w:pos="4153"/>
        </w:tabs>
        <w:ind w:firstLine="420" w:firstLineChars="200"/>
      </w:pPr>
      <w:r>
        <w:rPr>
          <w:rFonts w:hint="eastAsia"/>
        </w:rPr>
        <w:drawing>
          <wp:inline distT="0" distB="0" distL="114300" distR="114300">
            <wp:extent cx="5046345" cy="4521200"/>
            <wp:effectExtent l="0" t="0" r="1905" b="12700"/>
            <wp:docPr id="11" name="图片 11" descr="标准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标准曲线"/>
                    <pic:cNvPicPr>
                      <a:picLocks noChangeAspect="1"/>
                    </pic:cNvPicPr>
                  </pic:nvPicPr>
                  <pic:blipFill>
                    <a:blip r:embed="rId14" cstate="print"/>
                    <a:srcRect l="5246" t="11772" r="8321" b="6540"/>
                    <a:stretch>
                      <a:fillRect/>
                    </a:stretch>
                  </pic:blipFill>
                  <pic:spPr>
                    <a:xfrm>
                      <a:off x="0" y="0"/>
                      <a:ext cx="5046345" cy="4521200"/>
                    </a:xfrm>
                    <a:prstGeom prst="rect">
                      <a:avLst/>
                    </a:prstGeom>
                  </pic:spPr>
                </pic:pic>
              </a:graphicData>
            </a:graphic>
          </wp:inline>
        </w:drawing>
      </w:r>
      <w:r>
        <w:rPr>
          <w:rFonts w:hint="eastAsia"/>
        </w:rPr>
        <w:tab/>
      </w:r>
    </w:p>
    <w:p>
      <w:pPr>
        <w:spacing w:line="300" w:lineRule="auto"/>
        <w:ind w:firstLine="435"/>
        <w:jc w:val="center"/>
        <w:rPr>
          <w:rFonts w:ascii="仿宋_GB2312" w:eastAsia="仿宋_GB2312"/>
          <w:szCs w:val="21"/>
        </w:rPr>
      </w:pPr>
      <w:r>
        <w:rPr>
          <w:rFonts w:hint="eastAsia" w:eastAsia="仿宋" w:cs="仿宋"/>
          <w:szCs w:val="28"/>
        </w:rPr>
        <w:t>图5 五氯苯酚</w:t>
      </w:r>
      <w:r>
        <w:rPr>
          <w:rFonts w:hint="eastAsia" w:ascii="仿宋_GB2312" w:eastAsia="仿宋_GB2312"/>
          <w:szCs w:val="21"/>
        </w:rPr>
        <w:t>标准曲线图</w:t>
      </w:r>
    </w:p>
    <w:p>
      <w:pPr>
        <w:spacing w:line="300" w:lineRule="auto"/>
        <w:ind w:firstLine="435"/>
        <w:jc w:val="center"/>
        <w:rPr>
          <w:rFonts w:ascii="仿宋_GB2312" w:eastAsia="仿宋_GB2312"/>
          <w:szCs w:val="21"/>
        </w:rPr>
      </w:pPr>
    </w:p>
    <w:p>
      <w:pPr>
        <w:spacing w:line="300" w:lineRule="auto"/>
        <w:ind w:firstLine="435"/>
        <w:jc w:val="center"/>
        <w:rPr>
          <w:rFonts w:ascii="仿宋_GB2312" w:eastAsia="仿宋_GB2312"/>
          <w:szCs w:val="21"/>
        </w:rPr>
      </w:pPr>
      <w:r>
        <w:drawing>
          <wp:inline distT="0" distB="0" distL="0" distR="0">
            <wp:extent cx="4861560" cy="3999865"/>
            <wp:effectExtent l="0" t="0" r="15240" b="63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5">
                      <a:clrChange>
                        <a:clrFrom>
                          <a:srgbClr val="F2F2F2">
                            <a:alpha val="100000"/>
                          </a:srgbClr>
                        </a:clrFrom>
                        <a:clrTo>
                          <a:srgbClr val="F2F2F2">
                            <a:alpha val="100000"/>
                            <a:alpha val="0"/>
                          </a:srgbClr>
                        </a:clrTo>
                      </a:clrChange>
                      <a:extLst>
                        <a:ext uri="{28A0092B-C50C-407E-A947-70E740481C1C}">
                          <a14:useLocalDpi xmlns:a14="http://schemas.microsoft.com/office/drawing/2010/main" val="0"/>
                        </a:ext>
                      </a:extLst>
                    </a:blip>
                    <a:stretch>
                      <a:fillRect/>
                    </a:stretch>
                  </pic:blipFill>
                  <pic:spPr>
                    <a:xfrm>
                      <a:off x="0" y="0"/>
                      <a:ext cx="4861560" cy="3999865"/>
                    </a:xfrm>
                    <a:prstGeom prst="rect">
                      <a:avLst/>
                    </a:prstGeom>
                  </pic:spPr>
                </pic:pic>
              </a:graphicData>
            </a:graphic>
          </wp:inline>
        </w:drawing>
      </w:r>
    </w:p>
    <w:p>
      <w:pPr>
        <w:ind w:firstLine="420" w:firstLineChars="200"/>
        <w:jc w:val="center"/>
        <w:rPr>
          <w:rFonts w:eastAsia="仿宋" w:cs="仿宋"/>
          <w:szCs w:val="21"/>
        </w:rPr>
      </w:pPr>
      <w:r>
        <w:rPr>
          <w:rFonts w:hint="eastAsia" w:eastAsia="仿宋" w:cs="仿宋"/>
          <w:szCs w:val="21"/>
        </w:rPr>
        <w:t xml:space="preserve">图6 五氯苯酚标准溶液（2.50 </w:t>
      </w:r>
      <w:r>
        <w:rPr>
          <w:rFonts w:eastAsia="仿宋"/>
          <w:szCs w:val="21"/>
        </w:rPr>
        <w:t>μ</w:t>
      </w:r>
      <w:r>
        <w:rPr>
          <w:rFonts w:hint="eastAsia" w:eastAsia="仿宋" w:cs="仿宋"/>
          <w:szCs w:val="21"/>
        </w:rPr>
        <w:t>g/L）的选择反应监测（SRM）色谱图</w:t>
      </w:r>
    </w:p>
    <w:p>
      <w:pPr>
        <w:ind w:firstLine="420" w:firstLineChars="200"/>
        <w:jc w:val="center"/>
        <w:rPr>
          <w:rFonts w:eastAsia="仿宋" w:cs="仿宋"/>
          <w:szCs w:val="21"/>
        </w:rPr>
      </w:pPr>
    </w:p>
    <w:p>
      <w:pPr>
        <w:jc w:val="center"/>
        <w:rPr>
          <w:rFonts w:eastAsia="仿宋" w:cs="仿宋"/>
          <w:szCs w:val="21"/>
        </w:rPr>
      </w:pPr>
      <w:r>
        <w:drawing>
          <wp:inline distT="0" distB="0" distL="0" distR="0">
            <wp:extent cx="4486910" cy="3838575"/>
            <wp:effectExtent l="0" t="0" r="8890"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16">
                      <a:clrChange>
                        <a:clrFrom>
                          <a:srgbClr val="F2F2F2">
                            <a:alpha val="100000"/>
                          </a:srgbClr>
                        </a:clrFrom>
                        <a:clrTo>
                          <a:srgbClr val="F2F2F2">
                            <a:alpha val="100000"/>
                            <a:alpha val="0"/>
                          </a:srgbClr>
                        </a:clrTo>
                      </a:clrChange>
                      <a:extLst>
                        <a:ext uri="{28A0092B-C50C-407E-A947-70E740481C1C}">
                          <a14:useLocalDpi xmlns:a14="http://schemas.microsoft.com/office/drawing/2010/main" val="0"/>
                        </a:ext>
                      </a:extLst>
                    </a:blip>
                    <a:stretch>
                      <a:fillRect/>
                    </a:stretch>
                  </pic:blipFill>
                  <pic:spPr>
                    <a:xfrm>
                      <a:off x="0" y="0"/>
                      <a:ext cx="4486910" cy="3838575"/>
                    </a:xfrm>
                    <a:prstGeom prst="rect">
                      <a:avLst/>
                    </a:prstGeom>
                  </pic:spPr>
                </pic:pic>
              </a:graphicData>
            </a:graphic>
          </wp:inline>
        </w:drawing>
      </w:r>
    </w:p>
    <w:p>
      <w:pPr>
        <w:ind w:firstLine="420" w:firstLineChars="200"/>
        <w:jc w:val="center"/>
        <w:rPr>
          <w:rFonts w:eastAsia="仿宋" w:cs="仿宋"/>
          <w:szCs w:val="21"/>
        </w:rPr>
      </w:pPr>
      <w:r>
        <w:rPr>
          <w:rFonts w:hint="eastAsia" w:eastAsia="仿宋" w:cs="仿宋"/>
          <w:szCs w:val="21"/>
        </w:rPr>
        <w:t>图7 五氯苯酚空白水样的选择反应监测（SRM）色谱图</w:t>
      </w:r>
    </w:p>
    <w:p>
      <w:pPr>
        <w:tabs>
          <w:tab w:val="center" w:pos="4423"/>
          <w:tab w:val="left" w:pos="5241"/>
        </w:tabs>
        <w:ind w:firstLine="420" w:firstLineChars="200"/>
        <w:jc w:val="left"/>
      </w:pPr>
      <w:r>
        <w:rPr>
          <w:rFonts w:hint="eastAsia"/>
        </w:rPr>
        <w:tab/>
      </w:r>
      <w:r>
        <w:drawing>
          <wp:inline distT="0" distB="0" distL="0" distR="0">
            <wp:extent cx="4944110" cy="3884295"/>
            <wp:effectExtent l="0" t="0" r="8890" b="190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7">
                      <a:clrChange>
                        <a:clrFrom>
                          <a:srgbClr val="F2F2F2">
                            <a:alpha val="100000"/>
                          </a:srgbClr>
                        </a:clrFrom>
                        <a:clrTo>
                          <a:srgbClr val="F2F2F2">
                            <a:alpha val="100000"/>
                            <a:alpha val="0"/>
                          </a:srgbClr>
                        </a:clrTo>
                      </a:clrChange>
                      <a:extLst>
                        <a:ext uri="{28A0092B-C50C-407E-A947-70E740481C1C}">
                          <a14:useLocalDpi xmlns:a14="http://schemas.microsoft.com/office/drawing/2010/main" val="0"/>
                        </a:ext>
                      </a:extLst>
                    </a:blip>
                    <a:stretch>
                      <a:fillRect/>
                    </a:stretch>
                  </pic:blipFill>
                  <pic:spPr>
                    <a:xfrm>
                      <a:off x="0" y="0"/>
                      <a:ext cx="4944110" cy="3884295"/>
                    </a:xfrm>
                    <a:prstGeom prst="rect">
                      <a:avLst/>
                    </a:prstGeom>
                  </pic:spPr>
                </pic:pic>
              </a:graphicData>
            </a:graphic>
          </wp:inline>
        </w:drawing>
      </w:r>
      <w:r>
        <w:rPr>
          <w:rFonts w:hint="eastAsia"/>
        </w:rPr>
        <w:tab/>
      </w:r>
    </w:p>
    <w:p>
      <w:pPr>
        <w:ind w:firstLine="420" w:firstLineChars="200"/>
        <w:jc w:val="center"/>
        <w:rPr>
          <w:rFonts w:eastAsia="仿宋" w:cs="仿宋"/>
          <w:color w:val="000000" w:themeColor="text1"/>
          <w:szCs w:val="21"/>
        </w:rPr>
      </w:pPr>
      <w:r>
        <w:rPr>
          <w:rFonts w:hint="eastAsia" w:eastAsia="仿宋" w:cs="仿宋"/>
          <w:color w:val="000000" w:themeColor="text1"/>
          <w:szCs w:val="21"/>
        </w:rPr>
        <w:t>图8 空白水样添加样品（0.04 μg/L）的选择反应监测（SRM）色谱图</w:t>
      </w:r>
    </w:p>
    <w:p>
      <w:pPr>
        <w:ind w:firstLine="420" w:firstLineChars="200"/>
        <w:jc w:val="center"/>
        <w:rPr>
          <w:rFonts w:eastAsia="仿宋" w:cs="仿宋"/>
          <w:color w:val="FF0000"/>
          <w:szCs w:val="21"/>
        </w:rPr>
      </w:pPr>
    </w:p>
    <w:p>
      <w:pPr>
        <w:ind w:firstLine="420" w:firstLineChars="200"/>
        <w:jc w:val="center"/>
        <w:rPr>
          <w:rFonts w:eastAsia="仿宋" w:cs="仿宋"/>
          <w:szCs w:val="21"/>
        </w:rPr>
      </w:pPr>
      <w:r>
        <w:drawing>
          <wp:inline distT="0" distB="0" distL="0" distR="0">
            <wp:extent cx="4955540" cy="4070985"/>
            <wp:effectExtent l="0" t="0" r="16510" b="571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8">
                      <a:clrChange>
                        <a:clrFrom>
                          <a:srgbClr val="F2F2F2">
                            <a:alpha val="100000"/>
                          </a:srgbClr>
                        </a:clrFrom>
                        <a:clrTo>
                          <a:srgbClr val="F2F2F2">
                            <a:alpha val="100000"/>
                            <a:alpha val="0"/>
                          </a:srgbClr>
                        </a:clrTo>
                      </a:clrChange>
                      <a:extLst>
                        <a:ext uri="{28A0092B-C50C-407E-A947-70E740481C1C}">
                          <a14:useLocalDpi xmlns:a14="http://schemas.microsoft.com/office/drawing/2010/main" val="0"/>
                        </a:ext>
                      </a:extLst>
                    </a:blip>
                    <a:stretch>
                      <a:fillRect/>
                    </a:stretch>
                  </pic:blipFill>
                  <pic:spPr>
                    <a:xfrm>
                      <a:off x="0" y="0"/>
                      <a:ext cx="4955540" cy="4070985"/>
                    </a:xfrm>
                    <a:prstGeom prst="rect">
                      <a:avLst/>
                    </a:prstGeom>
                  </pic:spPr>
                </pic:pic>
              </a:graphicData>
            </a:graphic>
          </wp:inline>
        </w:drawing>
      </w:r>
    </w:p>
    <w:p>
      <w:pPr>
        <w:ind w:firstLine="420" w:firstLineChars="200"/>
        <w:jc w:val="center"/>
        <w:rPr>
          <w:rFonts w:eastAsia="仿宋" w:cs="仿宋"/>
          <w:szCs w:val="21"/>
        </w:rPr>
      </w:pPr>
      <w:r>
        <w:rPr>
          <w:rFonts w:hint="eastAsia" w:eastAsia="仿宋" w:cs="仿宋"/>
          <w:szCs w:val="21"/>
        </w:rPr>
        <w:t>图9 空白水样添加样品（0.50 μg/L）的选择反应监测（SRM）色谱图</w:t>
      </w:r>
    </w:p>
    <w:p>
      <w:pPr>
        <w:pStyle w:val="4"/>
      </w:pPr>
      <w:bookmarkStart w:id="23" w:name="_Toc4991"/>
      <w:r>
        <w:rPr>
          <w:rFonts w:hint="eastAsia"/>
        </w:rPr>
        <w:t>4.4 与</w:t>
      </w:r>
      <w:r>
        <w:rPr>
          <w:rFonts w:ascii="Times New Roman" w:hAnsi="Times New Roman"/>
        </w:rPr>
        <w:t>HJ 591-2010</w:t>
      </w:r>
      <w:r>
        <w:rPr>
          <w:rFonts w:hint="eastAsia"/>
        </w:rPr>
        <w:t>《水质 五氯酚的测定 气相色谱法》的比较</w:t>
      </w:r>
      <w:bookmarkEnd w:id="23"/>
    </w:p>
    <w:p>
      <w:pPr>
        <w:ind w:firstLine="560" w:firstLineChars="200"/>
        <w:rPr>
          <w:rFonts w:eastAsia="仿宋"/>
          <w:position w:val="6"/>
          <w:sz w:val="28"/>
          <w:szCs w:val="28"/>
        </w:rPr>
      </w:pPr>
      <w:r>
        <w:rPr>
          <w:rFonts w:hint="eastAsia" w:eastAsia="仿宋"/>
          <w:position w:val="6"/>
          <w:sz w:val="28"/>
          <w:szCs w:val="28"/>
        </w:rPr>
        <w:t>我国国家标准《渔业水质标准》（GB 11607-89）对五氯酚钠在渔业水体中的最高限量值为0.01 mg/L，推荐的测定方法为气相色谱法（HJ 591-2010）。与HJ 591-2010方法相比，本标准所推荐的检测方法具有如下优点：</w:t>
      </w:r>
    </w:p>
    <w:p>
      <w:pPr>
        <w:numPr>
          <w:ilvl w:val="0"/>
          <w:numId w:val="1"/>
        </w:numPr>
        <w:rPr>
          <w:rFonts w:eastAsia="仿宋"/>
          <w:position w:val="6"/>
          <w:sz w:val="28"/>
          <w:szCs w:val="28"/>
        </w:rPr>
      </w:pPr>
      <w:r>
        <w:rPr>
          <w:rFonts w:hint="eastAsia" w:eastAsia="仿宋"/>
          <w:position w:val="6"/>
          <w:sz w:val="28"/>
          <w:szCs w:val="28"/>
        </w:rPr>
        <w:t>HJ 591-2010采用气相色谱法，样品前处理过程需要进行衍生化反应和多次液液萃取，操作过程繁琐耗时，不利于大批量样品的检测；本标准采用液相色谱-串联质谱法，水样经固相萃取进行目标物的富集和净化，样品前处理简单快速，适合大批量样品的检测。</w:t>
      </w:r>
    </w:p>
    <w:p>
      <w:pPr>
        <w:numPr>
          <w:ilvl w:val="0"/>
          <w:numId w:val="1"/>
        </w:numPr>
        <w:rPr>
          <w:rFonts w:eastAsia="仿宋"/>
          <w:position w:val="6"/>
          <w:sz w:val="28"/>
          <w:szCs w:val="28"/>
        </w:rPr>
      </w:pPr>
      <w:r>
        <w:rPr>
          <w:rFonts w:hint="eastAsia" w:eastAsia="仿宋"/>
          <w:position w:val="6"/>
          <w:sz w:val="28"/>
          <w:szCs w:val="28"/>
        </w:rPr>
        <w:t>HJ 591-2010法取样量为100 mL水样时，毛细管气相色谱法的定量限为0.04 ug/L；本检测方法取样量为50 mL水样时，即可达到HJ 591-2010法相应的灵敏度。</w:t>
      </w:r>
    </w:p>
    <w:p>
      <w:pPr>
        <w:numPr>
          <w:ilvl w:val="0"/>
          <w:numId w:val="1"/>
        </w:numPr>
        <w:rPr>
          <w:rFonts w:eastAsia="仿宋"/>
          <w:position w:val="6"/>
          <w:sz w:val="28"/>
          <w:szCs w:val="28"/>
        </w:rPr>
      </w:pPr>
      <w:r>
        <w:rPr>
          <w:rFonts w:hint="eastAsia" w:eastAsia="仿宋"/>
          <w:position w:val="6"/>
          <w:sz w:val="28"/>
          <w:szCs w:val="28"/>
        </w:rPr>
        <w:t>HJ 591-2010法样品前处理使用的有毒有害试剂种类较多，用量较大；本检测方法样品前处理使用的有毒有害试剂种类和用量少，对分析检测人员身体健康影响小，对环境更友好。</w:t>
      </w:r>
    </w:p>
    <w:p>
      <w:pPr>
        <w:pStyle w:val="2"/>
        <w:jc w:val="left"/>
      </w:pPr>
      <w:bookmarkStart w:id="24" w:name="_Toc19844"/>
      <w:r>
        <w:rPr>
          <w:rFonts w:hint="eastAsia"/>
        </w:rPr>
        <w:t>5 结论</w:t>
      </w:r>
      <w:bookmarkEnd w:id="24"/>
    </w:p>
    <w:p>
      <w:pPr>
        <w:spacing w:line="300" w:lineRule="auto"/>
        <w:ind w:firstLine="435"/>
        <w:rPr>
          <w:rFonts w:eastAsia="仿宋_GB2312"/>
          <w:sz w:val="28"/>
          <w:szCs w:val="28"/>
        </w:rPr>
      </w:pPr>
      <w:r>
        <w:rPr>
          <w:rFonts w:hint="eastAsia" w:eastAsia="仿宋_GB2312"/>
          <w:sz w:val="28"/>
          <w:szCs w:val="28"/>
        </w:rPr>
        <w:t>高效液相色谱串联质谱法测定渔业水体中五氯苯酚，方法简单、易于操作，灵敏度、准确度及精密度均符合要求，可用于渔业水体中五氯苯酚的检测。</w:t>
      </w:r>
    </w:p>
    <w:p>
      <w:pPr>
        <w:spacing w:line="300" w:lineRule="auto"/>
        <w:ind w:firstLine="435"/>
        <w:jc w:val="center"/>
        <w:rPr>
          <w:rFonts w:eastAsia="仿宋" w:cs="仿宋"/>
        </w:rPr>
      </w:pPr>
    </w:p>
    <w:p>
      <w:pPr>
        <w:pStyle w:val="2"/>
        <w:jc w:val="left"/>
      </w:pPr>
      <w:bookmarkStart w:id="25" w:name="_Toc26441"/>
      <w:r>
        <w:rPr>
          <w:rFonts w:hint="eastAsia"/>
        </w:rPr>
        <w:t>6 与有关法律、法规和强制性标准的关系</w:t>
      </w:r>
      <w:bookmarkEnd w:id="25"/>
    </w:p>
    <w:p>
      <w:pPr>
        <w:ind w:firstLine="480"/>
        <w:rPr>
          <w:rFonts w:eastAsia="仿宋_GB2312"/>
          <w:color w:val="000000"/>
          <w:sz w:val="28"/>
          <w:szCs w:val="28"/>
        </w:rPr>
      </w:pPr>
      <w:r>
        <w:rPr>
          <w:rFonts w:hint="eastAsia" w:eastAsia="仿宋_GB2312"/>
          <w:color w:val="000000"/>
          <w:sz w:val="28"/>
          <w:szCs w:val="28"/>
        </w:rPr>
        <w:t>在标准的制订过程中严格贯彻国家有关方针、政策、法律和规章等，严格执行强制性国家标准和行业标准。与相关的各种基础标准相衔接，遵循了政策性和协调统一性的原则。</w:t>
      </w:r>
    </w:p>
    <w:p>
      <w:pPr>
        <w:ind w:firstLine="480"/>
        <w:rPr>
          <w:rFonts w:eastAsia="仿宋_GB2312"/>
          <w:color w:val="000000"/>
          <w:sz w:val="28"/>
          <w:szCs w:val="28"/>
        </w:rPr>
      </w:pPr>
    </w:p>
    <w:p>
      <w:pPr>
        <w:pStyle w:val="2"/>
        <w:jc w:val="left"/>
      </w:pPr>
      <w:bookmarkStart w:id="26" w:name="_Toc18797"/>
      <w:r>
        <w:rPr>
          <w:rFonts w:hint="eastAsia"/>
        </w:rPr>
        <w:t>7  作为推荐性标准的建议</w:t>
      </w:r>
      <w:bookmarkEnd w:id="26"/>
    </w:p>
    <w:p>
      <w:pPr>
        <w:ind w:firstLine="480"/>
        <w:rPr>
          <w:rFonts w:eastAsia="仿宋_GB2312"/>
          <w:color w:val="000000"/>
          <w:sz w:val="28"/>
          <w:szCs w:val="28"/>
        </w:rPr>
      </w:pPr>
      <w:r>
        <w:rPr>
          <w:rFonts w:hint="eastAsia" w:eastAsia="仿宋_GB2312"/>
          <w:color w:val="000000"/>
          <w:sz w:val="28"/>
          <w:szCs w:val="28"/>
        </w:rPr>
        <w:t>本标准为化学分析检测方法标准，并不涉及有关国家安全、保护人体健康和人身财产安全、环境质量要求等有关强制性地方标准或强制性条文等八项要求，因此，建议将其作为推荐性标准颁布实施。</w:t>
      </w:r>
    </w:p>
    <w:p>
      <w:pPr>
        <w:ind w:firstLine="480"/>
        <w:rPr>
          <w:rFonts w:eastAsia="仿宋_GB2312"/>
          <w:color w:val="000000"/>
          <w:sz w:val="28"/>
          <w:szCs w:val="28"/>
        </w:rPr>
      </w:pPr>
    </w:p>
    <w:p>
      <w:pPr>
        <w:pStyle w:val="2"/>
        <w:jc w:val="left"/>
      </w:pPr>
      <w:bookmarkStart w:id="27" w:name="_Toc16348"/>
      <w:r>
        <w:rPr>
          <w:rFonts w:hint="eastAsia"/>
        </w:rPr>
        <w:t>8  标准在编制过程中意见分歧情况</w:t>
      </w:r>
      <w:bookmarkEnd w:id="27"/>
    </w:p>
    <w:p>
      <w:pPr>
        <w:ind w:firstLine="480"/>
        <w:rPr>
          <w:rFonts w:eastAsia="仿宋_GB2312"/>
          <w:color w:val="000000"/>
          <w:sz w:val="28"/>
          <w:szCs w:val="28"/>
        </w:rPr>
      </w:pPr>
      <w:r>
        <w:rPr>
          <w:rFonts w:hint="eastAsia" w:eastAsia="仿宋_GB2312"/>
          <w:color w:val="000000"/>
          <w:sz w:val="28"/>
          <w:szCs w:val="28"/>
        </w:rPr>
        <w:t>本标准在实验编制和复核过程中，没有意见分歧。</w:t>
      </w:r>
    </w:p>
    <w:p>
      <w:pPr>
        <w:rPr>
          <w:rFonts w:eastAsia="仿宋_GB2312"/>
          <w:b/>
          <w:bCs/>
          <w:sz w:val="28"/>
          <w:szCs w:val="28"/>
        </w:rPr>
      </w:pPr>
    </w:p>
    <w:p>
      <w:pPr>
        <w:rPr>
          <w:rFonts w:eastAsia="仿宋_GB2312"/>
          <w:b/>
          <w:bCs/>
          <w:sz w:val="28"/>
          <w:szCs w:val="28"/>
        </w:rPr>
      </w:pPr>
      <w:r>
        <w:rPr>
          <w:rFonts w:hint="eastAsia" w:eastAsia="仿宋_GB2312"/>
          <w:b/>
          <w:bCs/>
          <w:sz w:val="28"/>
          <w:szCs w:val="28"/>
        </w:rPr>
        <w:t>参考文献</w:t>
      </w:r>
    </w:p>
    <w:p>
      <w:pPr>
        <w:spacing w:line="300" w:lineRule="auto"/>
        <w:ind w:left="240" w:hanging="240" w:hangingChars="100"/>
        <w:rPr>
          <w:rFonts w:eastAsia="仿宋" w:cs="仿宋"/>
          <w:sz w:val="24"/>
        </w:rPr>
      </w:pPr>
      <w:r>
        <w:rPr>
          <w:rFonts w:hint="eastAsia" w:eastAsia="仿宋" w:cs="仿宋"/>
          <w:sz w:val="24"/>
        </w:rPr>
        <w:t xml:space="preserve">[1] 许文青, 樊柏林,  陈明, 等. 五氯苯酚和五氯苯酚钠毒性作用研究进展[J].  中国药理学与毒理学杂志, 2011, 25(6): 596-600. </w:t>
      </w:r>
    </w:p>
    <w:p>
      <w:pPr>
        <w:spacing w:line="300" w:lineRule="auto"/>
        <w:ind w:left="240" w:hanging="240" w:hangingChars="100"/>
        <w:rPr>
          <w:rFonts w:eastAsia="仿宋" w:cs="仿宋"/>
          <w:sz w:val="24"/>
        </w:rPr>
      </w:pPr>
      <w:r>
        <w:rPr>
          <w:rFonts w:hint="eastAsia" w:eastAsia="仿宋" w:cs="仿宋"/>
          <w:sz w:val="24"/>
        </w:rPr>
        <w:t>[2] 许晓国. 江苏金坛鱼塘水、底泥、鱼体和渔民血中五氯酚暴露水平研究[D]. 复旦大学, 2010.</w:t>
      </w:r>
    </w:p>
    <w:p>
      <w:pPr>
        <w:spacing w:line="300" w:lineRule="auto"/>
        <w:rPr>
          <w:rFonts w:eastAsia="仿宋" w:cs="仿宋"/>
          <w:sz w:val="24"/>
        </w:rPr>
      </w:pPr>
      <w:r>
        <w:rPr>
          <w:rFonts w:hint="eastAsia" w:eastAsia="仿宋" w:cs="仿宋"/>
          <w:sz w:val="24"/>
        </w:rPr>
        <w:t xml:space="preserve">[3] </w:t>
      </w:r>
      <w:r>
        <w:rPr>
          <w:rFonts w:hint="eastAsia" w:eastAsia="仿宋" w:cs="仿宋"/>
          <w:color w:val="000000"/>
          <w:sz w:val="24"/>
          <w:shd w:val="clear" w:color="auto" w:fill="FFFFFF"/>
        </w:rPr>
        <w:t>Ramlow J M , Spadacene N W , Hoag S R , et al. Mortality in a cohort of pentachlorophenol manufacturing workers, 1940-1989[J]. American Journal of Industrial Medicine, 1996, 30(2):180-194.</w:t>
      </w:r>
      <w:r>
        <w:rPr>
          <w:rFonts w:hint="eastAsia" w:eastAsia="仿宋" w:cs="仿宋"/>
          <w:sz w:val="24"/>
        </w:rPr>
        <w:t xml:space="preserve">. </w:t>
      </w:r>
    </w:p>
    <w:p>
      <w:pPr>
        <w:spacing w:line="300" w:lineRule="auto"/>
        <w:ind w:left="240" w:hanging="240" w:hangingChars="100"/>
        <w:rPr>
          <w:rFonts w:eastAsia="仿宋" w:cs="仿宋"/>
          <w:sz w:val="24"/>
        </w:rPr>
      </w:pPr>
      <w:r>
        <w:rPr>
          <w:rFonts w:hint="eastAsia" w:eastAsia="仿宋" w:cs="仿宋"/>
          <w:sz w:val="24"/>
        </w:rPr>
        <w:t xml:space="preserve">[4] Zheng RZ, Zhang QH, He YX, et al. Historical Long-term Exposure to Pentachlorophenol Causing Risk of Cancer-A Community  Study[J]. Asian Pacific Journal of Cancer Prevention, 2013, 14(2): 811-816. </w:t>
      </w:r>
    </w:p>
    <w:p>
      <w:pPr>
        <w:spacing w:line="300" w:lineRule="auto"/>
        <w:ind w:left="240" w:hanging="240" w:hangingChars="100"/>
        <w:rPr>
          <w:rFonts w:eastAsia="仿宋" w:cs="仿宋"/>
          <w:sz w:val="24"/>
        </w:rPr>
      </w:pPr>
      <w:r>
        <w:rPr>
          <w:rFonts w:hint="eastAsia" w:eastAsia="仿宋" w:cs="仿宋"/>
          <w:sz w:val="24"/>
        </w:rPr>
        <w:t xml:space="preserve">[5] 张彤晴, 蒋丽娟, 葛家春, 等. 五氯苯酚 对渔业环境的危害与对策研究进展. 江苏农业科技, 2007(4): 256 ~259 </w:t>
      </w:r>
    </w:p>
    <w:p>
      <w:pPr>
        <w:spacing w:line="300" w:lineRule="auto"/>
        <w:ind w:left="240" w:hanging="240" w:hangingChars="100"/>
        <w:rPr>
          <w:rFonts w:eastAsia="仿宋" w:cs="仿宋"/>
          <w:sz w:val="24"/>
        </w:rPr>
      </w:pPr>
      <w:r>
        <w:rPr>
          <w:rFonts w:hint="eastAsia" w:eastAsia="仿宋" w:cs="仿宋"/>
          <w:sz w:val="24"/>
        </w:rPr>
        <w:t>[6] 张兵, 郑明辉, 刘芃岩, et al. 五氯酚在洞庭湖环境介质中的分布[J]. 中国环境科学, 2001, 21(2):165-167.</w:t>
      </w:r>
    </w:p>
    <w:p>
      <w:pPr>
        <w:spacing w:line="300" w:lineRule="auto"/>
        <w:ind w:left="240" w:hanging="240" w:hangingChars="100"/>
        <w:rPr>
          <w:rFonts w:eastAsia="仿宋" w:cs="仿宋"/>
          <w:sz w:val="24"/>
        </w:rPr>
      </w:pPr>
      <w:r>
        <w:rPr>
          <w:rFonts w:hint="eastAsia" w:eastAsia="仿宋" w:cs="仿宋"/>
          <w:sz w:val="24"/>
        </w:rPr>
        <w:t xml:space="preserve">[7] 陈骥, 陈舜湖, 张祖麟, 等. 毛细管气相色谱法测定鳌江表层沉积物中五氯酚和六氯苯. 环境监测管理与技术, 2008, 20(4): 40 ~42 </w:t>
      </w:r>
    </w:p>
    <w:p>
      <w:pPr>
        <w:spacing w:line="300" w:lineRule="auto"/>
        <w:ind w:left="240" w:hanging="240" w:hangingChars="100"/>
        <w:rPr>
          <w:rFonts w:eastAsia="仿宋" w:cs="仿宋"/>
          <w:sz w:val="24"/>
        </w:rPr>
      </w:pPr>
      <w:r>
        <w:rPr>
          <w:rFonts w:hint="eastAsia" w:eastAsia="仿宋" w:cs="仿宋"/>
          <w:sz w:val="24"/>
        </w:rPr>
        <w:t xml:space="preserve">[8] Hong H C, Zhou H Y, Luan T G, et al. Residue of pentachlorophenol in freshwater sediments  and human breast milk collected from the Pearl River Delta, China ENVIRON INT, 2005, 31: 643 ~649 </w:t>
      </w:r>
    </w:p>
    <w:p>
      <w:pPr>
        <w:spacing w:line="300" w:lineRule="auto"/>
        <w:ind w:left="240" w:hanging="240" w:hangingChars="100"/>
        <w:rPr>
          <w:rFonts w:eastAsia="仿宋" w:cs="仿宋"/>
          <w:sz w:val="24"/>
        </w:rPr>
      </w:pPr>
      <w:r>
        <w:rPr>
          <w:rFonts w:hint="eastAsia" w:eastAsia="仿宋" w:cs="仿宋"/>
          <w:sz w:val="24"/>
        </w:rPr>
        <w:t>[9] 杨敏娜, 高翔云, 汤志云. UPLC-串联质谱法快速测定地表水中多种农药残留[J]. 环境监测管理与技术, 2019, 31(01):57-60.</w:t>
      </w:r>
    </w:p>
    <w:p>
      <w:pPr>
        <w:spacing w:line="300" w:lineRule="auto"/>
        <w:ind w:left="240" w:hanging="240" w:hangingChars="100"/>
        <w:rPr>
          <w:rFonts w:eastAsia="仿宋" w:cs="仿宋"/>
          <w:sz w:val="24"/>
        </w:rPr>
      </w:pPr>
      <w:r>
        <w:rPr>
          <w:rFonts w:hint="eastAsia" w:eastAsia="仿宋" w:cs="仿宋"/>
          <w:sz w:val="24"/>
        </w:rPr>
        <w:t>[10] M. N. Sarrión, F. J. Santos, E. Moyano,等. Solid-phase microextraction liquid chromatography/tandem mass spectrometry for the analysis of chlorophenols in environmental samples[J]. Rapid Communications in Mass Spectrometry Rcm, 17(1):39-48.</w:t>
      </w:r>
    </w:p>
    <w:p>
      <w:pPr>
        <w:spacing w:line="300" w:lineRule="auto"/>
        <w:ind w:left="240" w:hanging="240" w:hangingChars="100"/>
        <w:rPr>
          <w:rFonts w:eastAsia="仿宋" w:cs="仿宋"/>
          <w:sz w:val="24"/>
        </w:rPr>
      </w:pPr>
      <w:r>
        <w:rPr>
          <w:rFonts w:hint="eastAsia" w:eastAsia="仿宋" w:cs="仿宋"/>
          <w:sz w:val="24"/>
        </w:rPr>
        <w:t>[11] Marchese S , Gentili A , Perret D , et al. Hybrid Quadrupole Time-of-Flight for the Determination of Chlorophenols in Surface Water by Liquid Chromatography-Tandem Mass Spectrometry[J]. Chromatographia, 2004, 59(7-8):411-417.</w:t>
      </w:r>
    </w:p>
    <w:p>
      <w:pPr>
        <w:spacing w:line="300" w:lineRule="auto"/>
        <w:ind w:left="240" w:hanging="240" w:hangingChars="100"/>
        <w:rPr>
          <w:rFonts w:eastAsia="仿宋" w:cs="仿宋"/>
          <w:sz w:val="24"/>
        </w:rPr>
      </w:pPr>
      <w:r>
        <w:rPr>
          <w:rFonts w:hint="eastAsia" w:eastAsia="仿宋" w:cs="仿宋"/>
          <w:sz w:val="24"/>
        </w:rPr>
        <w:t>[12] 金米聪, 陈晓红, 李小平, et al. 高效液相色谱-电喷雾电离质谱联用法测定水中痕量五氯酚研究[J]. 中国卫生检验杂志, 2005, 15(3):280-281.</w:t>
      </w:r>
    </w:p>
    <w:p>
      <w:pPr>
        <w:spacing w:line="300" w:lineRule="auto"/>
        <w:ind w:left="240" w:hanging="240" w:hangingChars="100"/>
        <w:rPr>
          <w:rFonts w:eastAsia="仿宋" w:cs="仿宋"/>
          <w:sz w:val="24"/>
        </w:rPr>
      </w:pPr>
      <w:r>
        <w:rPr>
          <w:rFonts w:hint="eastAsia" w:eastAsia="仿宋" w:cs="仿宋"/>
          <w:sz w:val="24"/>
        </w:rPr>
        <w:t>[13] 洪爱华, 尹平河, 梁志红. 高效液相色谱-质谱联用法测定饮用水中的五氯苯酚[J]. 生态环境学报, 2010, 19(1):69-71.</w:t>
      </w:r>
    </w:p>
    <w:p>
      <w:pPr>
        <w:spacing w:line="300" w:lineRule="auto"/>
        <w:ind w:left="240" w:hanging="240" w:hangingChars="100"/>
        <w:rPr>
          <w:rFonts w:eastAsia="仿宋" w:cs="仿宋"/>
          <w:sz w:val="24"/>
        </w:rPr>
      </w:pPr>
      <w:r>
        <w:rPr>
          <w:rFonts w:hint="eastAsia" w:eastAsia="仿宋" w:cs="仿宋"/>
          <w:sz w:val="24"/>
        </w:rPr>
        <w:t>[14] 杨秋红, 程小艳, 杨坪, et al. 固相萃取-高效液相色谱串联质谱法同时检测地表水中的2,4-二氯酚、2,4,6-三氯酚和五氯酚[J]. 分析化学, 2011(08):95-99.</w:t>
      </w:r>
    </w:p>
    <w:p>
      <w:pPr>
        <w:spacing w:line="300" w:lineRule="auto"/>
        <w:ind w:left="240" w:hanging="240" w:hangingChars="100"/>
        <w:rPr>
          <w:rFonts w:eastAsia="仿宋" w:cs="仿宋"/>
          <w:sz w:val="24"/>
        </w:rPr>
      </w:pPr>
      <w:r>
        <w:rPr>
          <w:rFonts w:hint="eastAsia" w:eastAsia="仿宋" w:cs="仿宋"/>
          <w:sz w:val="24"/>
        </w:rPr>
        <w:t>[15] 唐雪. 超高效液相色谱/三重四极杆质谱分析生活饮用水中的氯酚类物质[J]. 环境化学, 2014(11):207-209.</w:t>
      </w:r>
    </w:p>
    <w:p>
      <w:pPr>
        <w:spacing w:line="300" w:lineRule="auto"/>
        <w:ind w:left="240" w:hanging="240" w:hangingChars="100"/>
        <w:rPr>
          <w:rFonts w:eastAsia="仿宋" w:cs="仿宋"/>
          <w:sz w:val="24"/>
        </w:rPr>
      </w:pPr>
      <w:r>
        <w:rPr>
          <w:rFonts w:hint="eastAsia" w:eastAsia="仿宋" w:cs="仿宋"/>
          <w:sz w:val="24"/>
        </w:rPr>
        <w:t>[16] 陈晓红, 闵剑青, 王倩, et al. 两亲性聚离子液体膜微萃取-液相色谱-串联质谱法测定水中5种氯酚[J]. 理化检验(化学分册), 2017(11):42-46.</w:t>
      </w:r>
    </w:p>
    <w:p>
      <w:pPr>
        <w:spacing w:line="300" w:lineRule="auto"/>
        <w:ind w:left="240" w:hanging="240" w:hangingChars="100"/>
        <w:rPr>
          <w:rFonts w:eastAsia="仿宋" w:cs="仿宋"/>
          <w:sz w:val="24"/>
        </w:rPr>
      </w:pPr>
      <w:r>
        <w:rPr>
          <w:rFonts w:hint="eastAsia" w:eastAsia="仿宋" w:cs="仿宋"/>
          <w:sz w:val="24"/>
        </w:rPr>
        <w:t>[17] 王连珠, 方恩华, 王彩娟, et al. QuEChERS-超高效液相色谱-串联质谱法测定 动物源食品中痕量五氯酚及其钠盐[J]. 色谱, 2018(6):518-522.</w:t>
      </w:r>
    </w:p>
    <w:p>
      <w:pPr>
        <w:spacing w:line="300" w:lineRule="auto"/>
        <w:rPr>
          <w:rFonts w:eastAsia="仿宋_GB2312"/>
          <w:sz w:val="24"/>
        </w:rPr>
      </w:pPr>
    </w:p>
    <w:p/>
    <w:p>
      <w:pPr>
        <w:spacing w:line="300" w:lineRule="auto"/>
        <w:ind w:left="240" w:hanging="240" w:hangingChars="100"/>
        <w:rPr>
          <w:rFonts w:eastAsia="仿宋" w:cs="仿宋"/>
          <w:sz w:val="24"/>
        </w:rPr>
      </w:pPr>
    </w:p>
    <w:p>
      <w:pPr>
        <w:spacing w:line="300" w:lineRule="auto"/>
        <w:rPr>
          <w:rFonts w:eastAsia="仿宋_GB2312"/>
          <w:sz w:val="24"/>
        </w:rPr>
      </w:pPr>
    </w:p>
    <w:p>
      <w:pPr>
        <w:spacing w:line="300" w:lineRule="auto"/>
        <w:jc w:val="center"/>
        <w:rPr>
          <w:rFonts w:ascii="黑体" w:hAnsi="黑体" w:eastAsia="黑体" w:cs="黑体"/>
          <w:sz w:val="28"/>
          <w:szCs w:val="28"/>
        </w:rPr>
      </w:pPr>
    </w:p>
    <w:p>
      <w:pPr>
        <w:spacing w:line="300" w:lineRule="auto"/>
        <w:jc w:val="center"/>
        <w:rPr>
          <w:rFonts w:ascii="黑体" w:hAnsi="黑体" w:eastAsia="黑体" w:cs="黑体"/>
          <w:sz w:val="28"/>
          <w:szCs w:val="28"/>
        </w:rPr>
      </w:pPr>
      <w:r>
        <w:rPr>
          <w:rFonts w:hint="eastAsia" w:ascii="黑体" w:hAnsi="黑体" w:eastAsia="黑体" w:cs="黑体"/>
          <w:sz w:val="28"/>
          <w:szCs w:val="28"/>
        </w:rPr>
        <w:t>资料性附录</w:t>
      </w:r>
    </w:p>
    <w:p>
      <w:pPr>
        <w:spacing w:line="300" w:lineRule="auto"/>
        <w:rPr>
          <w:rFonts w:eastAsia="仿宋" w:cs="仿宋"/>
          <w:sz w:val="28"/>
          <w:szCs w:val="28"/>
        </w:rPr>
      </w:pPr>
      <w:r>
        <w:rPr>
          <w:rFonts w:hint="eastAsia" w:eastAsia="仿宋" w:cs="仿宋"/>
          <w:sz w:val="28"/>
          <w:szCs w:val="28"/>
        </w:rPr>
        <w:t>附录1</w:t>
      </w:r>
    </w:p>
    <w:p>
      <w:pPr>
        <w:spacing w:line="300" w:lineRule="auto"/>
        <w:rPr>
          <w:rFonts w:eastAsia="仿宋" w:cs="仿宋"/>
          <w:sz w:val="28"/>
          <w:szCs w:val="28"/>
        </w:rPr>
      </w:pPr>
      <w:r>
        <w:rPr>
          <w:rFonts w:hint="eastAsia" w:eastAsia="仿宋" w:cs="仿宋"/>
          <w:sz w:val="28"/>
          <w:szCs w:val="28"/>
        </w:rPr>
        <w:t>国家标准GB 23200.92—2016《动物源性食品中五氯酚残留量的测定 液相色谱-质谱法》</w:t>
      </w:r>
    </w:p>
    <w:p>
      <w:pPr>
        <w:spacing w:line="300" w:lineRule="auto"/>
        <w:rPr>
          <w:rFonts w:eastAsia="仿宋" w:cs="仿宋"/>
          <w:sz w:val="28"/>
          <w:szCs w:val="28"/>
        </w:rPr>
      </w:pPr>
      <w:r>
        <w:rPr>
          <w:rFonts w:hint="eastAsia" w:eastAsia="仿宋" w:cs="仿宋"/>
          <w:sz w:val="28"/>
          <w:szCs w:val="28"/>
        </w:rPr>
        <w:t>附录2</w:t>
      </w:r>
    </w:p>
    <w:p>
      <w:pPr>
        <w:spacing w:line="300" w:lineRule="auto"/>
        <w:rPr>
          <w:rFonts w:eastAsia="仿宋" w:cs="仿宋"/>
          <w:sz w:val="28"/>
          <w:szCs w:val="28"/>
        </w:rPr>
      </w:pPr>
      <w:r>
        <w:rPr>
          <w:rFonts w:hint="eastAsia" w:eastAsia="仿宋" w:cs="仿宋"/>
          <w:sz w:val="28"/>
          <w:szCs w:val="28"/>
        </w:rPr>
        <w:t>王连珠, 方恩华, 王彩娟, et al. QuEChERS-超高效液相色谱-串联质谱法测定动物源食品中痕量五氯酚及其钠盐. 色谱， 2018(6):518-522.</w:t>
      </w:r>
    </w:p>
    <w:p>
      <w:pPr>
        <w:spacing w:line="300" w:lineRule="auto"/>
        <w:rPr>
          <w:rFonts w:eastAsia="仿宋" w:cs="仿宋"/>
          <w:sz w:val="28"/>
          <w:szCs w:val="28"/>
        </w:rPr>
      </w:pPr>
      <w:r>
        <w:rPr>
          <w:rFonts w:hint="eastAsia" w:eastAsia="仿宋" w:cs="仿宋"/>
          <w:sz w:val="28"/>
          <w:szCs w:val="28"/>
        </w:rPr>
        <w:t>附录3</w:t>
      </w:r>
    </w:p>
    <w:p>
      <w:pPr>
        <w:spacing w:line="300" w:lineRule="auto"/>
        <w:rPr>
          <w:rFonts w:eastAsia="仿宋" w:cs="仿宋"/>
          <w:sz w:val="28"/>
          <w:szCs w:val="28"/>
        </w:rPr>
        <w:sectPr>
          <w:footerReference r:id="rId6" w:type="default"/>
          <w:pgSz w:w="11906" w:h="16838"/>
          <w:pgMar w:top="1440" w:right="1800" w:bottom="1440" w:left="1800" w:header="851" w:footer="992" w:gutter="0"/>
          <w:pgNumType w:start="1"/>
          <w:cols w:space="425" w:num="1"/>
          <w:docGrid w:type="lines" w:linePitch="312" w:charSpace="0"/>
        </w:sectPr>
      </w:pPr>
      <w:r>
        <w:rPr>
          <w:rFonts w:hint="eastAsia" w:eastAsia="仿宋" w:cs="仿宋"/>
          <w:sz w:val="28"/>
          <w:szCs w:val="28"/>
        </w:rPr>
        <w:t>万译文，黄向荣，伍远安，等. 高效液相色谱串联质谱法测定渔业水体及渔业饲料中的五氯苯酚. 中国饲料，2019(5):78-81.</w:t>
      </w:r>
    </w:p>
    <w:p>
      <w:pPr>
        <w:spacing w:line="300" w:lineRule="auto"/>
        <w:rPr>
          <w:rFonts w:eastAsia="仿宋" w:cs="仿宋"/>
          <w:sz w:val="28"/>
          <w:szCs w:val="28"/>
        </w:rPr>
      </w:pPr>
      <w:r>
        <w:rPr>
          <w:rFonts w:hint="eastAsia" w:eastAsia="仿宋" w:cs="仿宋"/>
          <w:sz w:val="28"/>
          <w:szCs w:val="28"/>
        </w:rPr>
        <w:t>附录1</w:t>
      </w:r>
    </w:p>
    <w:p>
      <w:pPr>
        <w:spacing w:line="300" w:lineRule="auto"/>
        <w:rPr>
          <w:rFonts w:eastAsia="仿宋" w:cs="仿宋"/>
          <w:sz w:val="28"/>
          <w:szCs w:val="28"/>
        </w:rPr>
      </w:pPr>
      <w:r>
        <w:rPr>
          <w:rFonts w:hint="eastAsia" w:eastAsia="仿宋" w:cs="仿宋"/>
          <w:sz w:val="28"/>
          <w:szCs w:val="28"/>
        </w:rPr>
        <w:drawing>
          <wp:inline distT="0" distB="0" distL="114300" distR="114300">
            <wp:extent cx="5269230" cy="8328025"/>
            <wp:effectExtent l="0" t="0" r="7620" b="15875"/>
            <wp:docPr id="5" name="图片 5" descr="20200402085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004020850_0001"/>
                    <pic:cNvPicPr>
                      <a:picLocks noChangeAspect="1"/>
                    </pic:cNvPicPr>
                  </pic:nvPicPr>
                  <pic:blipFill>
                    <a:blip r:embed="rId19" cstate="print"/>
                    <a:stretch>
                      <a:fillRect/>
                    </a:stretch>
                  </pic:blipFill>
                  <pic:spPr>
                    <a:xfrm>
                      <a:off x="0" y="0"/>
                      <a:ext cx="5269230" cy="8328025"/>
                    </a:xfrm>
                    <a:prstGeom prst="rect">
                      <a:avLst/>
                    </a:prstGeom>
                  </pic:spPr>
                </pic:pic>
              </a:graphicData>
            </a:graphic>
          </wp:inline>
        </w:drawing>
      </w:r>
    </w:p>
    <w:p>
      <w:pPr>
        <w:spacing w:line="300" w:lineRule="auto"/>
        <w:rPr>
          <w:rFonts w:eastAsia="仿宋" w:cs="仿宋"/>
          <w:sz w:val="28"/>
          <w:szCs w:val="28"/>
        </w:rPr>
      </w:pPr>
      <w:r>
        <w:rPr>
          <w:rFonts w:hint="eastAsia" w:eastAsia="仿宋" w:cs="仿宋"/>
          <w:sz w:val="28"/>
          <w:szCs w:val="28"/>
        </w:rPr>
        <w:drawing>
          <wp:inline distT="0" distB="0" distL="114300" distR="114300">
            <wp:extent cx="5193665" cy="2818765"/>
            <wp:effectExtent l="0" t="0" r="6985" b="635"/>
            <wp:docPr id="13" name="图片 13" descr="202004020851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004020851_0002"/>
                    <pic:cNvPicPr>
                      <a:picLocks noChangeAspect="1"/>
                    </pic:cNvPicPr>
                  </pic:nvPicPr>
                  <pic:blipFill>
                    <a:blip r:embed="rId20"/>
                    <a:srcRect l="11746" t="10200" r="11384" b="61693"/>
                    <a:stretch>
                      <a:fillRect/>
                    </a:stretch>
                  </pic:blipFill>
                  <pic:spPr>
                    <a:xfrm>
                      <a:off x="0" y="0"/>
                      <a:ext cx="5193665" cy="2818765"/>
                    </a:xfrm>
                    <a:prstGeom prst="rect">
                      <a:avLst/>
                    </a:prstGeom>
                  </pic:spPr>
                </pic:pic>
              </a:graphicData>
            </a:graphic>
          </wp:inline>
        </w:drawing>
      </w:r>
    </w:p>
    <w:p>
      <w:pPr>
        <w:spacing w:line="300" w:lineRule="auto"/>
        <w:rPr>
          <w:rFonts w:eastAsia="仿宋" w:cs="仿宋"/>
          <w:sz w:val="28"/>
          <w:szCs w:val="28"/>
        </w:rPr>
      </w:pPr>
    </w:p>
    <w:p>
      <w:pPr>
        <w:spacing w:line="300" w:lineRule="auto"/>
        <w:jc w:val="center"/>
        <w:rPr>
          <w:rFonts w:eastAsia="仿宋" w:cs="仿宋"/>
          <w:sz w:val="28"/>
          <w:szCs w:val="28"/>
        </w:rPr>
      </w:pPr>
      <w:r>
        <w:rPr>
          <w:rFonts w:hint="eastAsia" w:eastAsia="仿宋" w:cs="仿宋"/>
          <w:sz w:val="28"/>
          <w:szCs w:val="28"/>
        </w:rPr>
        <w:drawing>
          <wp:inline distT="0" distB="0" distL="114300" distR="114300">
            <wp:extent cx="5236210" cy="8009890"/>
            <wp:effectExtent l="0" t="0" r="2540" b="10160"/>
            <wp:docPr id="14" name="图片 14" descr="20200402085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004020851_0003"/>
                    <pic:cNvPicPr>
                      <a:picLocks noChangeAspect="1"/>
                    </pic:cNvPicPr>
                  </pic:nvPicPr>
                  <pic:blipFill>
                    <a:blip r:embed="rId21"/>
                    <a:srcRect l="11965" t="11212" r="10280" b="10435"/>
                    <a:stretch>
                      <a:fillRect/>
                    </a:stretch>
                  </pic:blipFill>
                  <pic:spPr>
                    <a:xfrm>
                      <a:off x="0" y="0"/>
                      <a:ext cx="5236210" cy="8009890"/>
                    </a:xfrm>
                    <a:prstGeom prst="rect">
                      <a:avLst/>
                    </a:prstGeom>
                  </pic:spPr>
                </pic:pic>
              </a:graphicData>
            </a:graphic>
          </wp:inline>
        </w:drawing>
      </w:r>
    </w:p>
    <w:p>
      <w:pPr>
        <w:spacing w:line="300" w:lineRule="auto"/>
        <w:rPr>
          <w:rFonts w:eastAsia="仿宋" w:cs="仿宋"/>
          <w:sz w:val="28"/>
          <w:szCs w:val="28"/>
        </w:rPr>
      </w:pPr>
      <w:r>
        <w:rPr>
          <w:rFonts w:hint="eastAsia" w:eastAsia="仿宋" w:cs="仿宋"/>
          <w:sz w:val="28"/>
          <w:szCs w:val="28"/>
        </w:rPr>
        <w:drawing>
          <wp:inline distT="0" distB="0" distL="114300" distR="114300">
            <wp:extent cx="5147945" cy="8461375"/>
            <wp:effectExtent l="0" t="0" r="14605" b="15875"/>
            <wp:docPr id="15" name="图片 15" descr="202004020851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2004020851_0004"/>
                    <pic:cNvPicPr>
                      <a:picLocks noChangeAspect="1"/>
                    </pic:cNvPicPr>
                  </pic:nvPicPr>
                  <pic:blipFill>
                    <a:blip r:embed="rId22"/>
                    <a:srcRect l="11746" t="10570" r="10661" b="10903"/>
                    <a:stretch>
                      <a:fillRect/>
                    </a:stretch>
                  </pic:blipFill>
                  <pic:spPr>
                    <a:xfrm>
                      <a:off x="0" y="0"/>
                      <a:ext cx="5147945" cy="8461375"/>
                    </a:xfrm>
                    <a:prstGeom prst="rect">
                      <a:avLst/>
                    </a:prstGeom>
                  </pic:spPr>
                </pic:pic>
              </a:graphicData>
            </a:graphic>
          </wp:inline>
        </w:drawing>
      </w:r>
    </w:p>
    <w:p>
      <w:pPr>
        <w:spacing w:line="300" w:lineRule="auto"/>
        <w:rPr>
          <w:rFonts w:eastAsia="仿宋" w:cs="仿宋"/>
          <w:sz w:val="28"/>
          <w:szCs w:val="28"/>
        </w:rPr>
      </w:pPr>
      <w:r>
        <w:rPr>
          <w:rFonts w:hint="eastAsia" w:eastAsia="仿宋" w:cs="仿宋"/>
          <w:sz w:val="28"/>
          <w:szCs w:val="28"/>
        </w:rPr>
        <w:drawing>
          <wp:inline distT="0" distB="0" distL="114300" distR="114300">
            <wp:extent cx="5147945" cy="8225155"/>
            <wp:effectExtent l="0" t="0" r="14605" b="4445"/>
            <wp:docPr id="16" name="图片 16" descr="202004020851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004020851_0005"/>
                    <pic:cNvPicPr>
                      <a:picLocks noChangeAspect="1"/>
                    </pic:cNvPicPr>
                  </pic:nvPicPr>
                  <pic:blipFill>
                    <a:blip r:embed="rId23"/>
                    <a:srcRect l="10842" t="10781" r="11023" b="9979"/>
                    <a:stretch>
                      <a:fillRect/>
                    </a:stretch>
                  </pic:blipFill>
                  <pic:spPr>
                    <a:xfrm>
                      <a:off x="0" y="0"/>
                      <a:ext cx="5147945" cy="8225155"/>
                    </a:xfrm>
                    <a:prstGeom prst="rect">
                      <a:avLst/>
                    </a:prstGeom>
                  </pic:spPr>
                </pic:pic>
              </a:graphicData>
            </a:graphic>
          </wp:inline>
        </w:drawing>
      </w:r>
    </w:p>
    <w:p>
      <w:pPr>
        <w:spacing w:line="300" w:lineRule="auto"/>
        <w:rPr>
          <w:rFonts w:eastAsia="仿宋" w:cs="仿宋"/>
          <w:sz w:val="28"/>
          <w:szCs w:val="28"/>
        </w:rPr>
      </w:pPr>
    </w:p>
    <w:p>
      <w:pPr>
        <w:spacing w:line="300" w:lineRule="auto"/>
        <w:rPr>
          <w:rFonts w:eastAsia="仿宋" w:cs="仿宋"/>
          <w:sz w:val="28"/>
          <w:szCs w:val="28"/>
        </w:rPr>
      </w:pPr>
      <w:r>
        <w:rPr>
          <w:rFonts w:hint="eastAsia" w:eastAsia="仿宋" w:cs="仿宋"/>
          <w:sz w:val="28"/>
          <w:szCs w:val="28"/>
        </w:rPr>
        <w:drawing>
          <wp:inline distT="0" distB="0" distL="114300" distR="114300">
            <wp:extent cx="4356735" cy="1217930"/>
            <wp:effectExtent l="0" t="0" r="5715" b="1270"/>
            <wp:docPr id="17" name="图片 17" descr="202004020851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004020851_0006"/>
                    <pic:cNvPicPr>
                      <a:picLocks noChangeAspect="1"/>
                    </pic:cNvPicPr>
                  </pic:nvPicPr>
                  <pic:blipFill>
                    <a:blip r:embed="rId24"/>
                    <a:srcRect l="11746" t="10091" r="11203" b="73576"/>
                    <a:stretch>
                      <a:fillRect/>
                    </a:stretch>
                  </pic:blipFill>
                  <pic:spPr>
                    <a:xfrm>
                      <a:off x="0" y="0"/>
                      <a:ext cx="4356735" cy="1217930"/>
                    </a:xfrm>
                    <a:prstGeom prst="rect">
                      <a:avLst/>
                    </a:prstGeom>
                  </pic:spPr>
                </pic:pic>
              </a:graphicData>
            </a:graphic>
          </wp:inline>
        </w:drawing>
      </w:r>
    </w:p>
    <w:p>
      <w:pPr>
        <w:spacing w:line="300" w:lineRule="auto"/>
        <w:rPr>
          <w:rFonts w:eastAsia="仿宋" w:cs="仿宋"/>
          <w:sz w:val="28"/>
          <w:szCs w:val="28"/>
        </w:rPr>
      </w:pPr>
      <w:r>
        <w:rPr>
          <w:rFonts w:hint="eastAsia" w:eastAsia="仿宋" w:cs="仿宋"/>
          <w:sz w:val="28"/>
          <w:szCs w:val="28"/>
        </w:rPr>
        <w:drawing>
          <wp:inline distT="0" distB="0" distL="114300" distR="114300">
            <wp:extent cx="4747260" cy="3094355"/>
            <wp:effectExtent l="0" t="0" r="15240" b="10795"/>
            <wp:docPr id="18" name="图片 18" descr="202004020851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004020851_0007"/>
                    <pic:cNvPicPr>
                      <a:picLocks noChangeAspect="1"/>
                    </pic:cNvPicPr>
                  </pic:nvPicPr>
                  <pic:blipFill>
                    <a:blip r:embed="rId25"/>
                    <a:srcRect l="10300" t="10858" r="10842" b="47645"/>
                    <a:stretch>
                      <a:fillRect/>
                    </a:stretch>
                  </pic:blipFill>
                  <pic:spPr>
                    <a:xfrm>
                      <a:off x="0" y="0"/>
                      <a:ext cx="4747260" cy="3094355"/>
                    </a:xfrm>
                    <a:prstGeom prst="rect">
                      <a:avLst/>
                    </a:prstGeom>
                  </pic:spPr>
                </pic:pic>
              </a:graphicData>
            </a:graphic>
          </wp:inline>
        </w:drawing>
      </w:r>
    </w:p>
    <w:p>
      <w:pPr>
        <w:spacing w:line="300" w:lineRule="auto"/>
        <w:rPr>
          <w:rFonts w:eastAsia="仿宋" w:cs="仿宋"/>
          <w:sz w:val="28"/>
          <w:szCs w:val="28"/>
        </w:rPr>
      </w:pPr>
      <w:r>
        <w:rPr>
          <w:rFonts w:hint="eastAsia" w:eastAsia="仿宋" w:cs="仿宋"/>
          <w:sz w:val="28"/>
          <w:szCs w:val="28"/>
        </w:rPr>
        <w:drawing>
          <wp:inline distT="0" distB="0" distL="114300" distR="114300">
            <wp:extent cx="4821555" cy="3914140"/>
            <wp:effectExtent l="0" t="0" r="17145" b="10160"/>
            <wp:docPr id="19" name="图片 19" descr="20200402085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004020851_0008"/>
                    <pic:cNvPicPr>
                      <a:picLocks noChangeAspect="1"/>
                    </pic:cNvPicPr>
                  </pic:nvPicPr>
                  <pic:blipFill>
                    <a:blip r:embed="rId26"/>
                    <a:srcRect l="12720" t="9921" r="9994" b="36532"/>
                    <a:stretch>
                      <a:fillRect/>
                    </a:stretch>
                  </pic:blipFill>
                  <pic:spPr>
                    <a:xfrm>
                      <a:off x="0" y="0"/>
                      <a:ext cx="4821555" cy="3914140"/>
                    </a:xfrm>
                    <a:prstGeom prst="rect">
                      <a:avLst/>
                    </a:prstGeom>
                  </pic:spPr>
                </pic:pic>
              </a:graphicData>
            </a:graphic>
          </wp:inline>
        </w:drawing>
      </w:r>
    </w:p>
    <w:p>
      <w:pPr>
        <w:spacing w:line="300" w:lineRule="auto"/>
        <w:rPr>
          <w:rFonts w:eastAsia="仿宋" w:cs="仿宋"/>
          <w:sz w:val="28"/>
          <w:szCs w:val="28"/>
        </w:rPr>
      </w:pPr>
      <w:r>
        <w:rPr>
          <w:rFonts w:hint="eastAsia" w:eastAsia="仿宋" w:cs="仿宋"/>
          <w:sz w:val="28"/>
          <w:szCs w:val="28"/>
        </w:rPr>
        <w:drawing>
          <wp:inline distT="0" distB="0" distL="114300" distR="114300">
            <wp:extent cx="4899025" cy="1783080"/>
            <wp:effectExtent l="0" t="0" r="15875" b="7620"/>
            <wp:docPr id="20" name="图片 20" descr="202004020851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004020851_0009"/>
                    <pic:cNvPicPr>
                      <a:picLocks noChangeAspect="1"/>
                    </pic:cNvPicPr>
                  </pic:nvPicPr>
                  <pic:blipFill>
                    <a:blip r:embed="rId27"/>
                    <a:srcRect l="9939" t="10687" r="8674" b="65401"/>
                    <a:stretch>
                      <a:fillRect/>
                    </a:stretch>
                  </pic:blipFill>
                  <pic:spPr>
                    <a:xfrm>
                      <a:off x="0" y="0"/>
                      <a:ext cx="4899025" cy="1783080"/>
                    </a:xfrm>
                    <a:prstGeom prst="rect">
                      <a:avLst/>
                    </a:prstGeom>
                  </pic:spPr>
                </pic:pic>
              </a:graphicData>
            </a:graphic>
          </wp:inline>
        </w:drawing>
      </w:r>
    </w:p>
    <w:p>
      <w:pPr>
        <w:spacing w:line="300" w:lineRule="auto"/>
        <w:rPr>
          <w:rFonts w:eastAsia="仿宋" w:cs="仿宋"/>
          <w:sz w:val="28"/>
          <w:szCs w:val="28"/>
        </w:rPr>
      </w:pPr>
    </w:p>
    <w:p>
      <w:pPr>
        <w:spacing w:line="300" w:lineRule="auto"/>
        <w:rPr>
          <w:rFonts w:eastAsia="仿宋" w:cs="仿宋"/>
          <w:sz w:val="28"/>
          <w:szCs w:val="28"/>
        </w:rPr>
      </w:pPr>
    </w:p>
    <w:p>
      <w:pPr>
        <w:spacing w:line="300" w:lineRule="auto"/>
        <w:rPr>
          <w:rFonts w:eastAsia="仿宋" w:cs="仿宋"/>
          <w:sz w:val="28"/>
          <w:szCs w:val="28"/>
        </w:rPr>
      </w:pPr>
      <w:r>
        <w:rPr>
          <w:rFonts w:hint="eastAsia" w:eastAsia="仿宋" w:cs="仿宋"/>
          <w:sz w:val="28"/>
          <w:szCs w:val="28"/>
        </w:rPr>
        <w:drawing>
          <wp:inline distT="0" distB="0" distL="114300" distR="114300">
            <wp:extent cx="4965065" cy="1751330"/>
            <wp:effectExtent l="0" t="0" r="6985" b="1270"/>
            <wp:docPr id="21" name="图片 21" descr="202004020851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02004020851_0010"/>
                    <pic:cNvPicPr>
                      <a:picLocks noChangeAspect="1"/>
                    </pic:cNvPicPr>
                  </pic:nvPicPr>
                  <pic:blipFill>
                    <a:blip r:embed="rId28"/>
                    <a:srcRect l="14182" t="10474" r="11619" b="66039"/>
                    <a:stretch>
                      <a:fillRect/>
                    </a:stretch>
                  </pic:blipFill>
                  <pic:spPr>
                    <a:xfrm>
                      <a:off x="0" y="0"/>
                      <a:ext cx="4965065" cy="1751330"/>
                    </a:xfrm>
                    <a:prstGeom prst="rect">
                      <a:avLst/>
                    </a:prstGeom>
                  </pic:spPr>
                </pic:pic>
              </a:graphicData>
            </a:graphic>
          </wp:inline>
        </w:drawing>
      </w:r>
    </w:p>
    <w:p>
      <w:pPr>
        <w:spacing w:line="300" w:lineRule="auto"/>
        <w:rPr>
          <w:rFonts w:eastAsia="仿宋" w:cs="仿宋"/>
          <w:sz w:val="28"/>
          <w:szCs w:val="28"/>
        </w:rPr>
      </w:pPr>
    </w:p>
    <w:p>
      <w:pPr>
        <w:spacing w:line="300" w:lineRule="auto"/>
        <w:rPr>
          <w:rFonts w:eastAsia="仿宋" w:cs="仿宋"/>
          <w:sz w:val="28"/>
          <w:szCs w:val="28"/>
        </w:rPr>
      </w:pPr>
    </w:p>
    <w:p>
      <w:pPr>
        <w:spacing w:line="300" w:lineRule="auto"/>
        <w:rPr>
          <w:rFonts w:eastAsia="仿宋" w:cs="仿宋"/>
          <w:sz w:val="28"/>
          <w:szCs w:val="28"/>
        </w:rPr>
      </w:pPr>
      <w:r>
        <w:rPr>
          <w:rFonts w:hint="eastAsia" w:eastAsia="仿宋" w:cs="仿宋"/>
          <w:sz w:val="28"/>
          <w:szCs w:val="28"/>
        </w:rPr>
        <w:drawing>
          <wp:inline distT="0" distB="0" distL="114300" distR="114300">
            <wp:extent cx="5194300" cy="1856105"/>
            <wp:effectExtent l="0" t="0" r="6350" b="10795"/>
            <wp:docPr id="22" name="图片 22" descr="202004020851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004020851_0011"/>
                    <pic:cNvPicPr>
                      <a:picLocks noChangeAspect="1"/>
                    </pic:cNvPicPr>
                  </pic:nvPicPr>
                  <pic:blipFill>
                    <a:blip r:embed="rId29"/>
                    <a:srcRect l="13164" t="9963" r="11778" b="65145"/>
                    <a:stretch>
                      <a:fillRect/>
                    </a:stretch>
                  </pic:blipFill>
                  <pic:spPr>
                    <a:xfrm>
                      <a:off x="0" y="0"/>
                      <a:ext cx="5194300" cy="1856105"/>
                    </a:xfrm>
                    <a:prstGeom prst="rect">
                      <a:avLst/>
                    </a:prstGeom>
                  </pic:spPr>
                </pic:pic>
              </a:graphicData>
            </a:graphic>
          </wp:inline>
        </w:drawing>
      </w:r>
    </w:p>
    <w:p>
      <w:pPr>
        <w:spacing w:line="300" w:lineRule="auto"/>
        <w:rPr>
          <w:rFonts w:eastAsia="仿宋" w:cs="仿宋"/>
          <w:sz w:val="28"/>
          <w:szCs w:val="28"/>
        </w:rPr>
      </w:pPr>
    </w:p>
    <w:p>
      <w:pPr>
        <w:spacing w:line="300" w:lineRule="auto"/>
        <w:rPr>
          <w:rFonts w:eastAsia="仿宋" w:cs="仿宋"/>
          <w:sz w:val="28"/>
          <w:szCs w:val="28"/>
        </w:rPr>
      </w:pPr>
    </w:p>
    <w:p>
      <w:pPr>
        <w:spacing w:line="300" w:lineRule="auto"/>
        <w:rPr>
          <w:rFonts w:eastAsia="仿宋" w:cs="仿宋"/>
          <w:sz w:val="28"/>
          <w:szCs w:val="28"/>
        </w:rPr>
      </w:pPr>
    </w:p>
    <w:p>
      <w:pPr>
        <w:spacing w:line="300" w:lineRule="auto"/>
        <w:rPr>
          <w:rFonts w:eastAsia="仿宋" w:cs="仿宋"/>
          <w:sz w:val="28"/>
          <w:szCs w:val="28"/>
        </w:rPr>
      </w:pPr>
    </w:p>
    <w:p>
      <w:pPr>
        <w:spacing w:line="300" w:lineRule="auto"/>
        <w:rPr>
          <w:rFonts w:eastAsia="仿宋" w:cs="仿宋"/>
          <w:sz w:val="28"/>
          <w:szCs w:val="28"/>
        </w:rPr>
      </w:pPr>
      <w:r>
        <w:rPr>
          <w:rFonts w:hint="eastAsia" w:eastAsia="仿宋" w:cs="仿宋"/>
          <w:sz w:val="28"/>
          <w:szCs w:val="28"/>
        </w:rPr>
        <w:t>附录 2</w:t>
      </w:r>
    </w:p>
    <w:p>
      <w:pPr>
        <w:spacing w:line="300" w:lineRule="auto"/>
        <w:rPr>
          <w:rFonts w:eastAsia="仿宋" w:cs="仿宋"/>
          <w:sz w:val="28"/>
          <w:szCs w:val="28"/>
        </w:rPr>
      </w:pPr>
      <w:r>
        <w:rPr>
          <w:rFonts w:hint="eastAsia" w:eastAsia="仿宋" w:cs="仿宋"/>
          <w:sz w:val="28"/>
          <w:szCs w:val="28"/>
        </w:rPr>
        <w:drawing>
          <wp:inline distT="0" distB="0" distL="114300" distR="114300">
            <wp:extent cx="5146675" cy="8116570"/>
            <wp:effectExtent l="0" t="0" r="15875" b="17780"/>
            <wp:docPr id="23" name="图片 23" descr="202004020851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004020851_0012"/>
                    <pic:cNvPicPr>
                      <a:picLocks noChangeAspect="1"/>
                    </pic:cNvPicPr>
                  </pic:nvPicPr>
                  <pic:blipFill>
                    <a:blip r:embed="rId30"/>
                    <a:srcRect l="9939" t="7352" r="11746" b="11564"/>
                    <a:stretch>
                      <a:fillRect/>
                    </a:stretch>
                  </pic:blipFill>
                  <pic:spPr>
                    <a:xfrm>
                      <a:off x="0" y="0"/>
                      <a:ext cx="5146675" cy="8116570"/>
                    </a:xfrm>
                    <a:prstGeom prst="rect">
                      <a:avLst/>
                    </a:prstGeom>
                  </pic:spPr>
                </pic:pic>
              </a:graphicData>
            </a:graphic>
          </wp:inline>
        </w:drawing>
      </w:r>
    </w:p>
    <w:p>
      <w:pPr>
        <w:spacing w:line="300" w:lineRule="auto"/>
        <w:rPr>
          <w:rFonts w:eastAsia="仿宋" w:cs="仿宋"/>
          <w:sz w:val="28"/>
          <w:szCs w:val="28"/>
        </w:rPr>
      </w:pPr>
      <w:r>
        <w:rPr>
          <w:rFonts w:hint="eastAsia" w:eastAsia="仿宋" w:cs="仿宋"/>
          <w:sz w:val="28"/>
          <w:szCs w:val="28"/>
        </w:rPr>
        <w:drawing>
          <wp:inline distT="0" distB="0" distL="114300" distR="114300">
            <wp:extent cx="5147945" cy="8287385"/>
            <wp:effectExtent l="0" t="0" r="14605" b="18415"/>
            <wp:docPr id="24" name="图片 24" descr="202004020851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004020851_0013"/>
                    <pic:cNvPicPr>
                      <a:picLocks noChangeAspect="1"/>
                    </pic:cNvPicPr>
                  </pic:nvPicPr>
                  <pic:blipFill>
                    <a:blip r:embed="rId31"/>
                    <a:srcRect l="8206" t="8316" r="10029" b="10563"/>
                    <a:stretch>
                      <a:fillRect/>
                    </a:stretch>
                  </pic:blipFill>
                  <pic:spPr>
                    <a:xfrm>
                      <a:off x="0" y="0"/>
                      <a:ext cx="5147945" cy="8287385"/>
                    </a:xfrm>
                    <a:prstGeom prst="rect">
                      <a:avLst/>
                    </a:prstGeom>
                  </pic:spPr>
                </pic:pic>
              </a:graphicData>
            </a:graphic>
          </wp:inline>
        </w:drawing>
      </w:r>
    </w:p>
    <w:p>
      <w:pPr>
        <w:spacing w:line="300" w:lineRule="auto"/>
        <w:rPr>
          <w:rFonts w:eastAsia="仿宋" w:cs="仿宋"/>
          <w:sz w:val="28"/>
          <w:szCs w:val="28"/>
        </w:rPr>
      </w:pPr>
      <w:r>
        <w:rPr>
          <w:rFonts w:hint="eastAsia" w:eastAsia="仿宋" w:cs="仿宋"/>
          <w:sz w:val="28"/>
          <w:szCs w:val="28"/>
        </w:rPr>
        <w:drawing>
          <wp:inline distT="0" distB="0" distL="114300" distR="114300">
            <wp:extent cx="5147945" cy="8414385"/>
            <wp:effectExtent l="0" t="0" r="14605" b="5715"/>
            <wp:docPr id="25" name="图片 25" descr="202004020851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004020851_0014"/>
                    <pic:cNvPicPr>
                      <a:picLocks noChangeAspect="1"/>
                    </pic:cNvPicPr>
                  </pic:nvPicPr>
                  <pic:blipFill>
                    <a:blip r:embed="rId32"/>
                    <a:srcRect l="9939" t="8428" r="10480" b="10676"/>
                    <a:stretch>
                      <a:fillRect/>
                    </a:stretch>
                  </pic:blipFill>
                  <pic:spPr>
                    <a:xfrm>
                      <a:off x="0" y="0"/>
                      <a:ext cx="5147945" cy="8414385"/>
                    </a:xfrm>
                    <a:prstGeom prst="rect">
                      <a:avLst/>
                    </a:prstGeom>
                  </pic:spPr>
                </pic:pic>
              </a:graphicData>
            </a:graphic>
          </wp:inline>
        </w:drawing>
      </w:r>
    </w:p>
    <w:p>
      <w:pPr>
        <w:spacing w:line="300" w:lineRule="auto"/>
        <w:rPr>
          <w:rFonts w:eastAsia="仿宋" w:cs="仿宋"/>
          <w:sz w:val="28"/>
          <w:szCs w:val="28"/>
        </w:rPr>
      </w:pPr>
    </w:p>
    <w:p>
      <w:pPr>
        <w:spacing w:line="300" w:lineRule="auto"/>
        <w:rPr>
          <w:rFonts w:eastAsia="仿宋" w:cs="仿宋"/>
          <w:sz w:val="28"/>
          <w:szCs w:val="28"/>
        </w:rPr>
      </w:pPr>
      <w:r>
        <w:rPr>
          <w:rFonts w:hint="eastAsia" w:eastAsia="仿宋" w:cs="仿宋"/>
          <w:sz w:val="28"/>
          <w:szCs w:val="28"/>
        </w:rPr>
        <w:drawing>
          <wp:inline distT="0" distB="0" distL="114300" distR="114300">
            <wp:extent cx="5849620" cy="8179435"/>
            <wp:effectExtent l="0" t="0" r="17780" b="12065"/>
            <wp:docPr id="27" name="图片 27" descr="202004020939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004020939_016"/>
                    <pic:cNvPicPr>
                      <a:picLocks noChangeAspect="1"/>
                    </pic:cNvPicPr>
                  </pic:nvPicPr>
                  <pic:blipFill>
                    <a:blip r:embed="rId33"/>
                    <a:srcRect l="11203" t="7749" r="8132" b="12518"/>
                    <a:stretch>
                      <a:fillRect/>
                    </a:stretch>
                  </pic:blipFill>
                  <pic:spPr>
                    <a:xfrm>
                      <a:off x="0" y="0"/>
                      <a:ext cx="5849620" cy="8179435"/>
                    </a:xfrm>
                    <a:prstGeom prst="rect">
                      <a:avLst/>
                    </a:prstGeom>
                  </pic:spPr>
                </pic:pic>
              </a:graphicData>
            </a:graphic>
          </wp:inline>
        </w:drawing>
      </w:r>
    </w:p>
    <w:p>
      <w:pPr>
        <w:spacing w:line="300" w:lineRule="auto"/>
        <w:rPr>
          <w:rFonts w:eastAsia="仿宋" w:cs="仿宋"/>
          <w:sz w:val="28"/>
          <w:szCs w:val="28"/>
        </w:rPr>
      </w:pPr>
    </w:p>
    <w:p>
      <w:pPr>
        <w:spacing w:line="300" w:lineRule="auto"/>
        <w:rPr>
          <w:rFonts w:hint="eastAsia" w:eastAsia="仿宋" w:cs="仿宋"/>
          <w:sz w:val="28"/>
          <w:szCs w:val="28"/>
        </w:rPr>
      </w:pPr>
      <w:r>
        <w:rPr>
          <w:rFonts w:hint="eastAsia" w:eastAsia="仿宋" w:cs="仿宋"/>
          <w:sz w:val="28"/>
          <w:szCs w:val="28"/>
        </w:rPr>
        <w:drawing>
          <wp:inline distT="0" distB="0" distL="114300" distR="114300">
            <wp:extent cx="5647055" cy="8132445"/>
            <wp:effectExtent l="0" t="0" r="10795" b="1905"/>
            <wp:docPr id="26" name="图片 26" descr="202004020939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004020939_015"/>
                    <pic:cNvPicPr>
                      <a:picLocks noChangeAspect="1"/>
                    </pic:cNvPicPr>
                  </pic:nvPicPr>
                  <pic:blipFill>
                    <a:blip r:embed="rId34"/>
                    <a:srcRect l="10300" t="8388" r="10119" b="10602"/>
                    <a:stretch>
                      <a:fillRect/>
                    </a:stretch>
                  </pic:blipFill>
                  <pic:spPr>
                    <a:xfrm>
                      <a:off x="0" y="0"/>
                      <a:ext cx="5647055" cy="8132445"/>
                    </a:xfrm>
                    <a:prstGeom prst="rect">
                      <a:avLst/>
                    </a:prstGeom>
                  </pic:spPr>
                </pic:pic>
              </a:graphicData>
            </a:graphic>
          </wp:inline>
        </w:drawing>
      </w:r>
    </w:p>
    <w:p>
      <w:pPr>
        <w:spacing w:line="300" w:lineRule="auto"/>
        <w:rPr>
          <w:rFonts w:hint="eastAsia" w:eastAsia="仿宋" w:cs="仿宋"/>
          <w:sz w:val="28"/>
          <w:szCs w:val="28"/>
        </w:rPr>
      </w:pPr>
    </w:p>
    <w:p>
      <w:pPr>
        <w:spacing w:line="300" w:lineRule="auto"/>
        <w:rPr>
          <w:rFonts w:hint="eastAsia" w:eastAsia="仿宋" w:cs="仿宋"/>
          <w:b w:val="0"/>
          <w:bCs w:val="0"/>
          <w:sz w:val="28"/>
          <w:szCs w:val="28"/>
          <w:lang w:val="en-US" w:eastAsia="zh-CN"/>
        </w:rPr>
      </w:pPr>
      <w:r>
        <w:rPr>
          <w:rFonts w:hint="eastAsia" w:eastAsia="仿宋" w:cs="仿宋"/>
          <w:b w:val="0"/>
          <w:bCs w:val="0"/>
          <w:sz w:val="28"/>
          <w:szCs w:val="28"/>
          <w:lang w:val="en-US" w:eastAsia="zh-CN"/>
        </w:rPr>
        <w:t>附录 3</w:t>
      </w:r>
    </w:p>
    <w:p>
      <w:pPr>
        <w:spacing w:line="300" w:lineRule="auto"/>
      </w:pPr>
      <w:r>
        <w:drawing>
          <wp:inline distT="0" distB="0" distL="114300" distR="114300">
            <wp:extent cx="5633085" cy="8134350"/>
            <wp:effectExtent l="0" t="0" r="571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5"/>
                    <a:stretch>
                      <a:fillRect/>
                    </a:stretch>
                  </pic:blipFill>
                  <pic:spPr>
                    <a:xfrm>
                      <a:off x="0" y="0"/>
                      <a:ext cx="5633085" cy="8134350"/>
                    </a:xfrm>
                    <a:prstGeom prst="rect">
                      <a:avLst/>
                    </a:prstGeom>
                    <a:noFill/>
                    <a:ln>
                      <a:noFill/>
                    </a:ln>
                  </pic:spPr>
                </pic:pic>
              </a:graphicData>
            </a:graphic>
          </wp:inline>
        </w:drawing>
      </w:r>
    </w:p>
    <w:p>
      <w:pPr>
        <w:spacing w:line="300" w:lineRule="auto"/>
      </w:pPr>
      <w:r>
        <w:drawing>
          <wp:inline distT="0" distB="0" distL="114300" distR="114300">
            <wp:extent cx="5577205" cy="8639810"/>
            <wp:effectExtent l="0" t="0" r="4445"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6"/>
                    <a:stretch>
                      <a:fillRect/>
                    </a:stretch>
                  </pic:blipFill>
                  <pic:spPr>
                    <a:xfrm>
                      <a:off x="0" y="0"/>
                      <a:ext cx="5577205" cy="8639810"/>
                    </a:xfrm>
                    <a:prstGeom prst="rect">
                      <a:avLst/>
                    </a:prstGeom>
                    <a:noFill/>
                    <a:ln>
                      <a:noFill/>
                    </a:ln>
                  </pic:spPr>
                </pic:pic>
              </a:graphicData>
            </a:graphic>
          </wp:inline>
        </w:drawing>
      </w:r>
    </w:p>
    <w:p>
      <w:pPr>
        <w:spacing w:line="300" w:lineRule="auto"/>
      </w:pPr>
      <w:r>
        <w:drawing>
          <wp:inline distT="0" distB="0" distL="114300" distR="114300">
            <wp:extent cx="5765800" cy="8628380"/>
            <wp:effectExtent l="0" t="0" r="6350" b="127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7"/>
                    <a:stretch>
                      <a:fillRect/>
                    </a:stretch>
                  </pic:blipFill>
                  <pic:spPr>
                    <a:xfrm>
                      <a:off x="0" y="0"/>
                      <a:ext cx="5765800" cy="8628380"/>
                    </a:xfrm>
                    <a:prstGeom prst="rect">
                      <a:avLst/>
                    </a:prstGeom>
                    <a:noFill/>
                    <a:ln>
                      <a:noFill/>
                    </a:ln>
                  </pic:spPr>
                </pic:pic>
              </a:graphicData>
            </a:graphic>
          </wp:inline>
        </w:drawing>
      </w:r>
    </w:p>
    <w:p>
      <w:pPr>
        <w:spacing w:line="300" w:lineRule="auto"/>
        <w:rPr>
          <w:rFonts w:hint="default"/>
          <w:lang w:val="en-US" w:eastAsia="zh-CN"/>
        </w:rPr>
      </w:pPr>
      <w:r>
        <w:drawing>
          <wp:inline distT="0" distB="0" distL="114300" distR="114300">
            <wp:extent cx="5788660" cy="8747760"/>
            <wp:effectExtent l="0" t="0" r="2540" b="1524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8"/>
                    <a:stretch>
                      <a:fillRect/>
                    </a:stretch>
                  </pic:blipFill>
                  <pic:spPr>
                    <a:xfrm>
                      <a:off x="0" y="0"/>
                      <a:ext cx="5788660" cy="8747760"/>
                    </a:xfrm>
                    <a:prstGeom prst="rect">
                      <a:avLst/>
                    </a:prstGeom>
                    <a:noFill/>
                    <a:ln>
                      <a:noFill/>
                    </a:ln>
                  </pic:spPr>
                </pic:pic>
              </a:graphicData>
            </a:graphic>
          </wp:inline>
        </w:drawing>
      </w:r>
      <w:bookmarkStart w:id="28" w:name="_GoBack"/>
      <w:bookmarkEnd w:id="28"/>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5"/>
      </w:rPr>
    </w:pPr>
    <w:r>
      <w:fldChar w:fldCharType="begin"/>
    </w:r>
    <w:r>
      <w:rPr>
        <w:rStyle w:val="15"/>
      </w:rPr>
      <w:instrText xml:space="preserve">PAGE  </w:instrText>
    </w:r>
    <w:r>
      <w:fldChar w:fldCharType="end"/>
    </w:r>
  </w:p>
  <w:p>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8"/>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_x0000_s1028" o:spid="_x0000_s1028"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B20BbjDAgAA2AUAAA4AAAAA&#10;AAAAAQAgAAAAHwEAAGRycy9lMm9Eb2MueG1sUEsFBgAAAAAGAAYAWQEAAFQGAAAAAA==&#10;">
          <v:path/>
          <v:fill on="f" focussize="0,0"/>
          <v:stroke on="f" weight="0.5pt" joinstyle="miter"/>
          <v:imagedata o:title=""/>
          <o:lock v:ext="edit"/>
          <v:textbox inset="0mm,0mm,0mm,0mm" style="mso-fit-shape-to-text:t;">
            <w:txbxContent>
              <w:p>
                <w:pPr>
                  <w:pStyle w:val="8"/>
                </w:pPr>
                <w:r>
                  <w:rPr>
                    <w:rFonts w:hint="eastAsia"/>
                    <w:sz w:val="24"/>
                  </w:rPr>
                  <w:fldChar w:fldCharType="begin"/>
                </w:r>
                <w:r>
                  <w:rPr>
                    <w:rFonts w:hint="eastAsia"/>
                    <w:sz w:val="24"/>
                  </w:rPr>
                  <w:instrText xml:space="preserve"> PAGE  \* MERGEFORMAT </w:instrText>
                </w:r>
                <w:r>
                  <w:rPr>
                    <w:rFonts w:hint="eastAsia"/>
                    <w:sz w:val="24"/>
                  </w:rPr>
                  <w:fldChar w:fldCharType="separate"/>
                </w:r>
                <w:r>
                  <w:rPr>
                    <w:sz w:val="24"/>
                  </w:rPr>
                  <w:t>23</w:t>
                </w:r>
                <w:r>
                  <w:rPr>
                    <w:rFonts w:hint="eastAsia"/>
                    <w:sz w:val="24"/>
                  </w:rPr>
                  <w:fldChar w:fldCharType="end"/>
                </w:r>
              </w:p>
            </w:txbxContent>
          </v:textbox>
        </v:shape>
      </w:pict>
    </w:r>
    <w:r>
      <w:pict>
        <v:shape id="_x0000_s1027" o:spid="_x0000_s1027"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path/>
          <v:fill on="f" focussize="0,0"/>
          <v:stroke on="f" weight="0.5pt" joinstyle="miter"/>
          <v:imagedata o:title=""/>
          <o:lock v:ext="edit"/>
          <v:textbox inset="0mm,0mm,0mm,0mm" style="mso-fit-shape-to-text:t;">
            <w:txbxContent>
              <w:p>
                <w:pPr>
                  <w:pStyle w:val="8"/>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6F589C"/>
    <w:multiLevelType w:val="singleLevel"/>
    <w:tmpl w:val="C86F589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12879EA"/>
    <w:rsid w:val="00130AA9"/>
    <w:rsid w:val="001807C6"/>
    <w:rsid w:val="00247D4A"/>
    <w:rsid w:val="00265368"/>
    <w:rsid w:val="00324418"/>
    <w:rsid w:val="00803C7E"/>
    <w:rsid w:val="00BE7443"/>
    <w:rsid w:val="00F91872"/>
    <w:rsid w:val="015A3835"/>
    <w:rsid w:val="015D0403"/>
    <w:rsid w:val="01D27BA2"/>
    <w:rsid w:val="022745F0"/>
    <w:rsid w:val="02A60293"/>
    <w:rsid w:val="02DD0FB5"/>
    <w:rsid w:val="03855485"/>
    <w:rsid w:val="03966CCE"/>
    <w:rsid w:val="03DA0561"/>
    <w:rsid w:val="03EF501F"/>
    <w:rsid w:val="043615A3"/>
    <w:rsid w:val="04443993"/>
    <w:rsid w:val="04AB0995"/>
    <w:rsid w:val="04B62209"/>
    <w:rsid w:val="0518672C"/>
    <w:rsid w:val="05551DE9"/>
    <w:rsid w:val="05626439"/>
    <w:rsid w:val="0588059F"/>
    <w:rsid w:val="059B6366"/>
    <w:rsid w:val="05C37442"/>
    <w:rsid w:val="06282FDD"/>
    <w:rsid w:val="06433EE2"/>
    <w:rsid w:val="070C12A6"/>
    <w:rsid w:val="07240860"/>
    <w:rsid w:val="07E4014F"/>
    <w:rsid w:val="0805070F"/>
    <w:rsid w:val="085E2A55"/>
    <w:rsid w:val="08B83509"/>
    <w:rsid w:val="08D74F2D"/>
    <w:rsid w:val="08E22A1C"/>
    <w:rsid w:val="0925377F"/>
    <w:rsid w:val="09657893"/>
    <w:rsid w:val="09775AC6"/>
    <w:rsid w:val="09BE14FB"/>
    <w:rsid w:val="0A271CCC"/>
    <w:rsid w:val="0A2D7473"/>
    <w:rsid w:val="0A425161"/>
    <w:rsid w:val="0A583090"/>
    <w:rsid w:val="0AB75A06"/>
    <w:rsid w:val="0B2568C8"/>
    <w:rsid w:val="0C1862B5"/>
    <w:rsid w:val="0C64170B"/>
    <w:rsid w:val="0CA90054"/>
    <w:rsid w:val="0CB67BB7"/>
    <w:rsid w:val="0CDA1BD2"/>
    <w:rsid w:val="0CE96B95"/>
    <w:rsid w:val="0D2E7E19"/>
    <w:rsid w:val="0DE32F79"/>
    <w:rsid w:val="0E2A1E9B"/>
    <w:rsid w:val="0E491779"/>
    <w:rsid w:val="0E6E7018"/>
    <w:rsid w:val="0EB63E71"/>
    <w:rsid w:val="0F7850E9"/>
    <w:rsid w:val="0F8864C0"/>
    <w:rsid w:val="0F8922B9"/>
    <w:rsid w:val="110E3C95"/>
    <w:rsid w:val="116C0D1E"/>
    <w:rsid w:val="11751461"/>
    <w:rsid w:val="11D2561C"/>
    <w:rsid w:val="12033E9C"/>
    <w:rsid w:val="120C600B"/>
    <w:rsid w:val="12451A56"/>
    <w:rsid w:val="124F621B"/>
    <w:rsid w:val="125E68D5"/>
    <w:rsid w:val="129A798E"/>
    <w:rsid w:val="12B136C8"/>
    <w:rsid w:val="12BF75D5"/>
    <w:rsid w:val="138D1B5F"/>
    <w:rsid w:val="13AE0DCB"/>
    <w:rsid w:val="13F55D52"/>
    <w:rsid w:val="1493723D"/>
    <w:rsid w:val="15034FEF"/>
    <w:rsid w:val="1503602A"/>
    <w:rsid w:val="152010FA"/>
    <w:rsid w:val="15345C7E"/>
    <w:rsid w:val="1543776D"/>
    <w:rsid w:val="15DE1401"/>
    <w:rsid w:val="1622577D"/>
    <w:rsid w:val="168E7FB5"/>
    <w:rsid w:val="16E61C1D"/>
    <w:rsid w:val="177E1B1C"/>
    <w:rsid w:val="17AE39AB"/>
    <w:rsid w:val="17B07BB2"/>
    <w:rsid w:val="17E66F65"/>
    <w:rsid w:val="180F56D5"/>
    <w:rsid w:val="182B3740"/>
    <w:rsid w:val="1897518B"/>
    <w:rsid w:val="18A0035B"/>
    <w:rsid w:val="18A60D70"/>
    <w:rsid w:val="18A6252A"/>
    <w:rsid w:val="18FD2E1E"/>
    <w:rsid w:val="1939497A"/>
    <w:rsid w:val="19923377"/>
    <w:rsid w:val="199B6C89"/>
    <w:rsid w:val="19C72AD9"/>
    <w:rsid w:val="1B0152B3"/>
    <w:rsid w:val="1BC32922"/>
    <w:rsid w:val="1BD07F62"/>
    <w:rsid w:val="1CA86250"/>
    <w:rsid w:val="1CAE7338"/>
    <w:rsid w:val="1D5E350D"/>
    <w:rsid w:val="1D7E6E3D"/>
    <w:rsid w:val="1D9022C5"/>
    <w:rsid w:val="1E0A7123"/>
    <w:rsid w:val="1E81266B"/>
    <w:rsid w:val="1F56126C"/>
    <w:rsid w:val="1FC575ED"/>
    <w:rsid w:val="1FFD7333"/>
    <w:rsid w:val="20F809FA"/>
    <w:rsid w:val="220C46D4"/>
    <w:rsid w:val="222D395F"/>
    <w:rsid w:val="228A22C8"/>
    <w:rsid w:val="23220384"/>
    <w:rsid w:val="232254A7"/>
    <w:rsid w:val="23611FED"/>
    <w:rsid w:val="236F6672"/>
    <w:rsid w:val="2410723E"/>
    <w:rsid w:val="24900FC9"/>
    <w:rsid w:val="24A13F7C"/>
    <w:rsid w:val="24B210AA"/>
    <w:rsid w:val="2529522D"/>
    <w:rsid w:val="26175A84"/>
    <w:rsid w:val="265C44C1"/>
    <w:rsid w:val="266D04B6"/>
    <w:rsid w:val="2687454C"/>
    <w:rsid w:val="27F53E3A"/>
    <w:rsid w:val="28C05491"/>
    <w:rsid w:val="28F16F84"/>
    <w:rsid w:val="298D0363"/>
    <w:rsid w:val="2A822837"/>
    <w:rsid w:val="2AA64CB2"/>
    <w:rsid w:val="2B163A15"/>
    <w:rsid w:val="2B984866"/>
    <w:rsid w:val="2BA31D75"/>
    <w:rsid w:val="2BDB33FA"/>
    <w:rsid w:val="2C1A7367"/>
    <w:rsid w:val="2C2D75A3"/>
    <w:rsid w:val="2C305F1B"/>
    <w:rsid w:val="2C7B5CE4"/>
    <w:rsid w:val="2CA717E1"/>
    <w:rsid w:val="2D076CBF"/>
    <w:rsid w:val="2D505EBC"/>
    <w:rsid w:val="2DA7694A"/>
    <w:rsid w:val="2DAE0D99"/>
    <w:rsid w:val="2DC562F1"/>
    <w:rsid w:val="2E533943"/>
    <w:rsid w:val="2E673D78"/>
    <w:rsid w:val="2ECA35A5"/>
    <w:rsid w:val="2F07558A"/>
    <w:rsid w:val="2F5339AB"/>
    <w:rsid w:val="2FF51E3F"/>
    <w:rsid w:val="302E5676"/>
    <w:rsid w:val="30860A03"/>
    <w:rsid w:val="314D25E9"/>
    <w:rsid w:val="314E64D2"/>
    <w:rsid w:val="31542AC3"/>
    <w:rsid w:val="315F0D46"/>
    <w:rsid w:val="317E05DA"/>
    <w:rsid w:val="3198738D"/>
    <w:rsid w:val="319E6863"/>
    <w:rsid w:val="31E174A7"/>
    <w:rsid w:val="32243B49"/>
    <w:rsid w:val="324A1D3F"/>
    <w:rsid w:val="32C10266"/>
    <w:rsid w:val="33193400"/>
    <w:rsid w:val="33322ABF"/>
    <w:rsid w:val="333F726A"/>
    <w:rsid w:val="335D2116"/>
    <w:rsid w:val="33637ECC"/>
    <w:rsid w:val="33731C7E"/>
    <w:rsid w:val="348F47A2"/>
    <w:rsid w:val="35B967FE"/>
    <w:rsid w:val="3620610E"/>
    <w:rsid w:val="3666712F"/>
    <w:rsid w:val="36957ED3"/>
    <w:rsid w:val="36A209A2"/>
    <w:rsid w:val="39043B54"/>
    <w:rsid w:val="392A1403"/>
    <w:rsid w:val="3A634207"/>
    <w:rsid w:val="3AD647B6"/>
    <w:rsid w:val="3B1E4344"/>
    <w:rsid w:val="3B473C87"/>
    <w:rsid w:val="3C9A7D71"/>
    <w:rsid w:val="3D306279"/>
    <w:rsid w:val="3D3235C8"/>
    <w:rsid w:val="3DA41F88"/>
    <w:rsid w:val="3DC57AED"/>
    <w:rsid w:val="3E7D3836"/>
    <w:rsid w:val="3E8458F0"/>
    <w:rsid w:val="3E952C17"/>
    <w:rsid w:val="3EAD7AC9"/>
    <w:rsid w:val="3EE0004D"/>
    <w:rsid w:val="3F5F333B"/>
    <w:rsid w:val="3F752A21"/>
    <w:rsid w:val="3FF753C8"/>
    <w:rsid w:val="40617CC1"/>
    <w:rsid w:val="40656889"/>
    <w:rsid w:val="408B1291"/>
    <w:rsid w:val="4101542B"/>
    <w:rsid w:val="41811927"/>
    <w:rsid w:val="4192682A"/>
    <w:rsid w:val="41B37D0E"/>
    <w:rsid w:val="41D23F82"/>
    <w:rsid w:val="42114923"/>
    <w:rsid w:val="42287B32"/>
    <w:rsid w:val="42394467"/>
    <w:rsid w:val="428902FF"/>
    <w:rsid w:val="42C1252C"/>
    <w:rsid w:val="42E55C54"/>
    <w:rsid w:val="441A5693"/>
    <w:rsid w:val="443321C4"/>
    <w:rsid w:val="44536948"/>
    <w:rsid w:val="446241A5"/>
    <w:rsid w:val="449F4ED8"/>
    <w:rsid w:val="44C07FCB"/>
    <w:rsid w:val="44C92140"/>
    <w:rsid w:val="44E7151C"/>
    <w:rsid w:val="454230E6"/>
    <w:rsid w:val="458D64DF"/>
    <w:rsid w:val="45ED3820"/>
    <w:rsid w:val="460E41A0"/>
    <w:rsid w:val="46332761"/>
    <w:rsid w:val="465E69DE"/>
    <w:rsid w:val="465F0ECD"/>
    <w:rsid w:val="46B277B7"/>
    <w:rsid w:val="46CA5305"/>
    <w:rsid w:val="46DD4A7C"/>
    <w:rsid w:val="478856DA"/>
    <w:rsid w:val="47C37D2A"/>
    <w:rsid w:val="48625C8E"/>
    <w:rsid w:val="49054463"/>
    <w:rsid w:val="4A53522A"/>
    <w:rsid w:val="4A875CA1"/>
    <w:rsid w:val="4A91037D"/>
    <w:rsid w:val="4B6A15F5"/>
    <w:rsid w:val="4BE05B0C"/>
    <w:rsid w:val="4C5242F5"/>
    <w:rsid w:val="4C9D7340"/>
    <w:rsid w:val="4CAB3C63"/>
    <w:rsid w:val="4CF427DF"/>
    <w:rsid w:val="4D624AE5"/>
    <w:rsid w:val="4E985BF3"/>
    <w:rsid w:val="4EBD1FB1"/>
    <w:rsid w:val="4FFE6F02"/>
    <w:rsid w:val="501279AA"/>
    <w:rsid w:val="506D532F"/>
    <w:rsid w:val="50810AF2"/>
    <w:rsid w:val="50FB0D5A"/>
    <w:rsid w:val="51182CA8"/>
    <w:rsid w:val="516A0A10"/>
    <w:rsid w:val="51FB7BB2"/>
    <w:rsid w:val="5269766A"/>
    <w:rsid w:val="529C55D8"/>
    <w:rsid w:val="52D40C95"/>
    <w:rsid w:val="53554668"/>
    <w:rsid w:val="5376121E"/>
    <w:rsid w:val="538B4697"/>
    <w:rsid w:val="53F478CD"/>
    <w:rsid w:val="5426556C"/>
    <w:rsid w:val="545F7BB3"/>
    <w:rsid w:val="54901C10"/>
    <w:rsid w:val="54EF4E55"/>
    <w:rsid w:val="555B41CF"/>
    <w:rsid w:val="55BD4480"/>
    <w:rsid w:val="55E013ED"/>
    <w:rsid w:val="560B6C33"/>
    <w:rsid w:val="563B3442"/>
    <w:rsid w:val="569B18F5"/>
    <w:rsid w:val="578F4F29"/>
    <w:rsid w:val="59273442"/>
    <w:rsid w:val="594F7667"/>
    <w:rsid w:val="59805BB0"/>
    <w:rsid w:val="59D966CD"/>
    <w:rsid w:val="5A374DD0"/>
    <w:rsid w:val="5A7C1ED7"/>
    <w:rsid w:val="5AC1312A"/>
    <w:rsid w:val="5AD7456E"/>
    <w:rsid w:val="5B1B3251"/>
    <w:rsid w:val="5B4503F0"/>
    <w:rsid w:val="5B507AF3"/>
    <w:rsid w:val="5B670E1B"/>
    <w:rsid w:val="5BAB0053"/>
    <w:rsid w:val="5BD13940"/>
    <w:rsid w:val="5C3C1DE8"/>
    <w:rsid w:val="5C541E2F"/>
    <w:rsid w:val="5CF46500"/>
    <w:rsid w:val="5D1D6662"/>
    <w:rsid w:val="5D1F603A"/>
    <w:rsid w:val="5D6A4E39"/>
    <w:rsid w:val="5DD1191E"/>
    <w:rsid w:val="5DE16966"/>
    <w:rsid w:val="5DF15562"/>
    <w:rsid w:val="5DF75183"/>
    <w:rsid w:val="5E2D6111"/>
    <w:rsid w:val="5E3D6829"/>
    <w:rsid w:val="5E4E01A7"/>
    <w:rsid w:val="5EAE0A2D"/>
    <w:rsid w:val="5FE0777C"/>
    <w:rsid w:val="603A2D01"/>
    <w:rsid w:val="606617A0"/>
    <w:rsid w:val="60811E95"/>
    <w:rsid w:val="60B43A2F"/>
    <w:rsid w:val="610C7BFA"/>
    <w:rsid w:val="61422D61"/>
    <w:rsid w:val="61731ABE"/>
    <w:rsid w:val="61AF4700"/>
    <w:rsid w:val="61D768DD"/>
    <w:rsid w:val="61FE5876"/>
    <w:rsid w:val="61FF125C"/>
    <w:rsid w:val="622A703B"/>
    <w:rsid w:val="62F27CDE"/>
    <w:rsid w:val="62F363C5"/>
    <w:rsid w:val="62F75AB2"/>
    <w:rsid w:val="63364C6B"/>
    <w:rsid w:val="635D1334"/>
    <w:rsid w:val="637240E6"/>
    <w:rsid w:val="63770858"/>
    <w:rsid w:val="639E586C"/>
    <w:rsid w:val="63E86D1B"/>
    <w:rsid w:val="640C198E"/>
    <w:rsid w:val="644C5C74"/>
    <w:rsid w:val="64852FA6"/>
    <w:rsid w:val="64F25865"/>
    <w:rsid w:val="6548396A"/>
    <w:rsid w:val="654A05BF"/>
    <w:rsid w:val="65E91F87"/>
    <w:rsid w:val="670857F4"/>
    <w:rsid w:val="670E164B"/>
    <w:rsid w:val="673A332E"/>
    <w:rsid w:val="67595A38"/>
    <w:rsid w:val="67646D3F"/>
    <w:rsid w:val="67A4538A"/>
    <w:rsid w:val="67D50A42"/>
    <w:rsid w:val="67F07FFC"/>
    <w:rsid w:val="68187F22"/>
    <w:rsid w:val="69912238"/>
    <w:rsid w:val="69AB7459"/>
    <w:rsid w:val="69DB3CF7"/>
    <w:rsid w:val="6A6361E1"/>
    <w:rsid w:val="6B3307C4"/>
    <w:rsid w:val="6B3A6251"/>
    <w:rsid w:val="6B551B6A"/>
    <w:rsid w:val="6B5C2E14"/>
    <w:rsid w:val="6B643F33"/>
    <w:rsid w:val="6BBB1B66"/>
    <w:rsid w:val="6C655F5D"/>
    <w:rsid w:val="6C7B4793"/>
    <w:rsid w:val="6CA93397"/>
    <w:rsid w:val="6CEB03EA"/>
    <w:rsid w:val="6D0120F0"/>
    <w:rsid w:val="6DD025D9"/>
    <w:rsid w:val="6DEF7282"/>
    <w:rsid w:val="6E0714CB"/>
    <w:rsid w:val="6E1B2085"/>
    <w:rsid w:val="6E853F2A"/>
    <w:rsid w:val="6ED864D5"/>
    <w:rsid w:val="6EDB6B15"/>
    <w:rsid w:val="6F12279C"/>
    <w:rsid w:val="6F220930"/>
    <w:rsid w:val="6F565762"/>
    <w:rsid w:val="6F673C92"/>
    <w:rsid w:val="6F7F3DB0"/>
    <w:rsid w:val="6FA873AC"/>
    <w:rsid w:val="6FB71255"/>
    <w:rsid w:val="6FE924C5"/>
    <w:rsid w:val="70083D86"/>
    <w:rsid w:val="701C3A7C"/>
    <w:rsid w:val="703123B3"/>
    <w:rsid w:val="70714998"/>
    <w:rsid w:val="707C042D"/>
    <w:rsid w:val="711F192C"/>
    <w:rsid w:val="71210BD8"/>
    <w:rsid w:val="712879EA"/>
    <w:rsid w:val="71517423"/>
    <w:rsid w:val="71592E69"/>
    <w:rsid w:val="717B4753"/>
    <w:rsid w:val="71D61291"/>
    <w:rsid w:val="71E12404"/>
    <w:rsid w:val="71E57F20"/>
    <w:rsid w:val="71E76404"/>
    <w:rsid w:val="71F220A7"/>
    <w:rsid w:val="722E6374"/>
    <w:rsid w:val="72304F40"/>
    <w:rsid w:val="725F7293"/>
    <w:rsid w:val="72C709DB"/>
    <w:rsid w:val="7314431E"/>
    <w:rsid w:val="735D19BA"/>
    <w:rsid w:val="7366297C"/>
    <w:rsid w:val="737011B3"/>
    <w:rsid w:val="738F17DD"/>
    <w:rsid w:val="73F001A2"/>
    <w:rsid w:val="73F83064"/>
    <w:rsid w:val="75080C55"/>
    <w:rsid w:val="753362A2"/>
    <w:rsid w:val="75572DD0"/>
    <w:rsid w:val="75613C9C"/>
    <w:rsid w:val="761B2606"/>
    <w:rsid w:val="76482D9F"/>
    <w:rsid w:val="76BD3AF7"/>
    <w:rsid w:val="76D966DB"/>
    <w:rsid w:val="76DA0FD0"/>
    <w:rsid w:val="76F76CB3"/>
    <w:rsid w:val="7726003B"/>
    <w:rsid w:val="78493949"/>
    <w:rsid w:val="792D4088"/>
    <w:rsid w:val="79546CA9"/>
    <w:rsid w:val="799D6826"/>
    <w:rsid w:val="7AA57181"/>
    <w:rsid w:val="7ABB1EF3"/>
    <w:rsid w:val="7AC8719B"/>
    <w:rsid w:val="7B9C0F76"/>
    <w:rsid w:val="7BCD6DA2"/>
    <w:rsid w:val="7C46318A"/>
    <w:rsid w:val="7C7659FF"/>
    <w:rsid w:val="7C98119E"/>
    <w:rsid w:val="7CB5634F"/>
    <w:rsid w:val="7D3F667E"/>
    <w:rsid w:val="7D731C95"/>
    <w:rsid w:val="7D8E47F1"/>
    <w:rsid w:val="7DB82FBA"/>
    <w:rsid w:val="7FB819DC"/>
    <w:rsid w:val="7FDE684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qFormat/>
    <w:uiPriority w:val="0"/>
    <w:pPr>
      <w:keepNext/>
      <w:keepLines/>
      <w:spacing w:line="360" w:lineRule="auto"/>
    </w:pPr>
    <w:rPr>
      <w:rFonts w:eastAsia="黑体"/>
      <w:b w:val="0"/>
      <w:kern w:val="44"/>
    </w:rPr>
  </w:style>
  <w:style w:type="paragraph" w:styleId="4">
    <w:name w:val="heading 2"/>
    <w:basedOn w:val="3"/>
    <w:next w:val="1"/>
    <w:unhideWhenUsed/>
    <w:qFormat/>
    <w:uiPriority w:val="0"/>
    <w:pPr>
      <w:keepNext/>
      <w:keepLines/>
      <w:spacing w:line="360" w:lineRule="auto"/>
      <w:outlineLvl w:val="1"/>
    </w:pPr>
    <w:rPr>
      <w:rFonts w:eastAsia="仿宋"/>
      <w:sz w:val="30"/>
    </w:rPr>
  </w:style>
  <w:style w:type="paragraph" w:styleId="5">
    <w:name w:val="heading 3"/>
    <w:basedOn w:val="3"/>
    <w:next w:val="1"/>
    <w:unhideWhenUsed/>
    <w:qFormat/>
    <w:uiPriority w:val="0"/>
    <w:pPr>
      <w:keepNext/>
      <w:keepLines/>
      <w:spacing w:line="360" w:lineRule="auto"/>
      <w:outlineLvl w:val="2"/>
    </w:pPr>
    <w:rPr>
      <w:rFonts w:eastAsia="楷体"/>
      <w:sz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Title"/>
    <w:basedOn w:val="1"/>
    <w:qFormat/>
    <w:uiPriority w:val="0"/>
    <w:pPr>
      <w:jc w:val="center"/>
      <w:outlineLvl w:val="0"/>
    </w:pPr>
    <w:rPr>
      <w:rFonts w:ascii="Arial" w:hAnsi="Arial"/>
      <w:b/>
      <w:sz w:val="32"/>
    </w:rPr>
  </w:style>
  <w:style w:type="paragraph" w:styleId="6">
    <w:name w:val="toc 3"/>
    <w:basedOn w:val="1"/>
    <w:next w:val="1"/>
    <w:uiPriority w:val="0"/>
    <w:pPr>
      <w:ind w:left="840" w:leftChars="400"/>
    </w:pPr>
  </w:style>
  <w:style w:type="paragraph" w:styleId="7">
    <w:name w:val="Balloon Text"/>
    <w:basedOn w:val="1"/>
    <w:link w:val="24"/>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uiPriority w:val="0"/>
  </w:style>
  <w:style w:type="paragraph" w:styleId="11">
    <w:name w:val="toc 2"/>
    <w:basedOn w:val="1"/>
    <w:next w:val="1"/>
    <w:uiPriority w:val="0"/>
    <w:pPr>
      <w:ind w:left="420" w:left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paragraph" w:customStyle="1" w:styleId="16">
    <w:name w:val="样式1"/>
    <w:basedOn w:val="1"/>
    <w:qFormat/>
    <w:uiPriority w:val="0"/>
    <w:rPr>
      <w:rFonts w:eastAsia="仿宋"/>
      <w:sz w:val="24"/>
    </w:rPr>
  </w:style>
  <w:style w:type="paragraph" w:customStyle="1" w:styleId="17">
    <w:name w:val="样式2"/>
    <w:basedOn w:val="1"/>
    <w:qFormat/>
    <w:uiPriority w:val="0"/>
    <w:rPr>
      <w:rFonts w:eastAsia="楷体"/>
      <w:sz w:val="24"/>
    </w:rPr>
  </w:style>
  <w:style w:type="paragraph" w:customStyle="1" w:styleId="18">
    <w:name w:val="样式3"/>
    <w:basedOn w:val="1"/>
    <w:qFormat/>
    <w:uiPriority w:val="0"/>
    <w:rPr>
      <w:rFonts w:eastAsia="仿宋"/>
      <w:sz w:val="24"/>
    </w:rPr>
  </w:style>
  <w:style w:type="paragraph" w:customStyle="1" w:styleId="19">
    <w:name w:val="样式4"/>
    <w:basedOn w:val="2"/>
    <w:next w:val="1"/>
    <w:qFormat/>
    <w:uiPriority w:val="0"/>
  </w:style>
  <w:style w:type="paragraph" w:customStyle="1" w:styleId="20">
    <w:name w:val="样式5"/>
    <w:basedOn w:val="2"/>
    <w:next w:val="1"/>
    <w:qFormat/>
    <w:uiPriority w:val="0"/>
  </w:style>
  <w:style w:type="paragraph" w:customStyle="1" w:styleId="21">
    <w:name w:val="样式6"/>
    <w:basedOn w:val="4"/>
    <w:next w:val="1"/>
    <w:qFormat/>
    <w:uiPriority w:val="0"/>
  </w:style>
  <w:style w:type="paragraph" w:customStyle="1" w:styleId="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3">
    <w:name w:val="样式7"/>
    <w:basedOn w:val="2"/>
    <w:next w:val="1"/>
    <w:qFormat/>
    <w:uiPriority w:val="0"/>
  </w:style>
  <w:style w:type="character" w:customStyle="1" w:styleId="24">
    <w:name w:val="批注框文本 Char"/>
    <w:basedOn w:val="14"/>
    <w:link w:val="7"/>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4.tiff"/><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tiff"/><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png"/><Relationship Id="rId10" Type="http://schemas.openxmlformats.org/officeDocument/2006/relationships/image" Target="media/image2.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8C059B-0C6A-4DA0-9DE7-647B06205767}">
  <ds:schemaRefs/>
</ds:datastoreItem>
</file>

<file path=docProps/app.xml><?xml version="1.0" encoding="utf-8"?>
<Properties xmlns="http://schemas.openxmlformats.org/officeDocument/2006/extended-properties" xmlns:vt="http://schemas.openxmlformats.org/officeDocument/2006/docPropsVTypes">
  <Template>Normal</Template>
  <Pages>37</Pages>
  <Words>2138</Words>
  <Characters>12189</Characters>
  <Lines>101</Lines>
  <Paragraphs>28</Paragraphs>
  <TotalTime>16</TotalTime>
  <ScaleCrop>false</ScaleCrop>
  <LinksUpToDate>false</LinksUpToDate>
  <CharactersWithSpaces>14299</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2019-12-05T07:09:00Z</dcterms:created>
  <dc:creator>dustia</dc:creator>
  <cp:lastModifiedBy>西部森林</cp:lastModifiedBy>
  <cp:lastPrinted>2020-04-02T01:53:00Z</cp:lastPrinted>
  <dcterms:modified xsi:type="dcterms:W3CDTF">2020-06-04T09:25:24Z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