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hint="eastAsia"/>
          <w:b/>
          <w:bCs/>
          <w:sz w:val="44"/>
          <w:szCs w:val="44"/>
        </w:rPr>
      </w:pPr>
    </w:p>
    <w:p>
      <w:pPr>
        <w:spacing w:before="312" w:beforeLines="100"/>
        <w:jc w:val="center"/>
        <w:rPr>
          <w:b/>
          <w:bCs/>
          <w:sz w:val="44"/>
          <w:szCs w:val="44"/>
        </w:rPr>
      </w:pPr>
    </w:p>
    <w:p>
      <w:pPr>
        <w:spacing w:before="312" w:beforeLines="100"/>
        <w:jc w:val="center"/>
        <w:rPr>
          <w:b/>
          <w:bCs/>
          <w:sz w:val="44"/>
          <w:szCs w:val="44"/>
        </w:rPr>
      </w:pPr>
      <w:r>
        <w:rPr>
          <w:rFonts w:hint="eastAsia"/>
          <w:b/>
          <w:bCs/>
          <w:sz w:val="44"/>
          <w:szCs w:val="44"/>
        </w:rPr>
        <w:t>湖南省地方标准</w:t>
      </w:r>
    </w:p>
    <w:p>
      <w:pPr>
        <w:spacing w:before="312" w:beforeLines="100"/>
        <w:jc w:val="center"/>
        <w:rPr>
          <w:b/>
          <w:bCs/>
          <w:sz w:val="44"/>
          <w:szCs w:val="44"/>
        </w:rPr>
      </w:pPr>
      <w:r>
        <w:rPr>
          <w:rFonts w:hint="eastAsia"/>
          <w:b/>
          <w:bCs/>
          <w:sz w:val="44"/>
          <w:szCs w:val="44"/>
        </w:rPr>
        <w:t>《森林康养技能培训规程》</w:t>
      </w:r>
    </w:p>
    <w:p>
      <w:pPr>
        <w:jc w:val="center"/>
        <w:rPr>
          <w:b/>
          <w:bCs/>
          <w:sz w:val="44"/>
          <w:szCs w:val="44"/>
        </w:rPr>
      </w:pPr>
    </w:p>
    <w:p>
      <w:pPr>
        <w:jc w:val="center"/>
        <w:rPr>
          <w:b/>
          <w:bCs/>
          <w:sz w:val="44"/>
          <w:szCs w:val="44"/>
        </w:rPr>
      </w:pPr>
    </w:p>
    <w:p>
      <w:pPr>
        <w:jc w:val="center"/>
        <w:rPr>
          <w:b/>
          <w:bCs/>
          <w:sz w:val="44"/>
          <w:szCs w:val="44"/>
        </w:rPr>
      </w:pPr>
      <w:r>
        <w:rPr>
          <w:rFonts w:hint="eastAsia"/>
          <w:b/>
          <w:bCs/>
          <w:sz w:val="44"/>
          <w:szCs w:val="44"/>
        </w:rPr>
        <w:t xml:space="preserve">编 </w:t>
      </w:r>
    </w:p>
    <w:p>
      <w:pPr>
        <w:jc w:val="center"/>
        <w:rPr>
          <w:b/>
          <w:bCs/>
          <w:sz w:val="44"/>
          <w:szCs w:val="44"/>
        </w:rPr>
      </w:pPr>
    </w:p>
    <w:p>
      <w:pPr>
        <w:jc w:val="center"/>
        <w:rPr>
          <w:b/>
          <w:bCs/>
          <w:sz w:val="44"/>
          <w:szCs w:val="44"/>
        </w:rPr>
      </w:pPr>
      <w:r>
        <w:rPr>
          <w:rFonts w:hint="eastAsia"/>
          <w:b/>
          <w:bCs/>
          <w:sz w:val="44"/>
          <w:szCs w:val="44"/>
        </w:rPr>
        <w:t xml:space="preserve">制 </w:t>
      </w:r>
    </w:p>
    <w:p>
      <w:pPr>
        <w:jc w:val="center"/>
        <w:rPr>
          <w:b/>
          <w:bCs/>
          <w:sz w:val="44"/>
          <w:szCs w:val="44"/>
        </w:rPr>
      </w:pPr>
    </w:p>
    <w:p>
      <w:pPr>
        <w:jc w:val="center"/>
        <w:rPr>
          <w:b/>
          <w:bCs/>
          <w:sz w:val="44"/>
          <w:szCs w:val="44"/>
        </w:rPr>
      </w:pPr>
      <w:r>
        <w:rPr>
          <w:rFonts w:hint="eastAsia"/>
          <w:b/>
          <w:bCs/>
          <w:sz w:val="44"/>
          <w:szCs w:val="44"/>
        </w:rPr>
        <w:t xml:space="preserve">说 </w:t>
      </w:r>
    </w:p>
    <w:p>
      <w:pPr>
        <w:jc w:val="center"/>
        <w:rPr>
          <w:b/>
          <w:bCs/>
          <w:sz w:val="44"/>
          <w:szCs w:val="44"/>
        </w:rPr>
      </w:pPr>
    </w:p>
    <w:p>
      <w:pPr>
        <w:jc w:val="center"/>
        <w:rPr>
          <w:b/>
          <w:bCs/>
          <w:sz w:val="44"/>
          <w:szCs w:val="44"/>
        </w:rPr>
      </w:pPr>
      <w:r>
        <w:rPr>
          <w:rFonts w:hint="eastAsia"/>
          <w:b/>
          <w:bCs/>
          <w:sz w:val="44"/>
          <w:szCs w:val="44"/>
        </w:rPr>
        <w:t>明</w:t>
      </w:r>
    </w:p>
    <w:p>
      <w:pPr>
        <w:rPr>
          <w:b/>
          <w:bCs/>
          <w:sz w:val="44"/>
          <w:szCs w:val="44"/>
        </w:rPr>
      </w:pPr>
    </w:p>
    <w:p>
      <w:pPr>
        <w:rPr>
          <w:sz w:val="28"/>
          <w:szCs w:val="28"/>
        </w:rPr>
      </w:pPr>
    </w:p>
    <w:p>
      <w:pPr>
        <w:rPr>
          <w:sz w:val="28"/>
          <w:szCs w:val="28"/>
        </w:rPr>
      </w:pPr>
    </w:p>
    <w:p>
      <w:pPr>
        <w:jc w:val="center"/>
        <w:rPr>
          <w:b/>
          <w:bCs/>
          <w:sz w:val="30"/>
          <w:szCs w:val="30"/>
        </w:rPr>
      </w:pPr>
      <w:r>
        <w:rPr>
          <w:rFonts w:hint="eastAsia"/>
          <w:b/>
          <w:bCs/>
          <w:sz w:val="30"/>
          <w:szCs w:val="30"/>
        </w:rPr>
        <w:t>湖南环境生物职业技术学院编写组</w:t>
      </w:r>
    </w:p>
    <w:p>
      <w:pPr>
        <w:jc w:val="center"/>
        <w:rPr>
          <w:b/>
          <w:bCs/>
          <w:sz w:val="30"/>
          <w:szCs w:val="30"/>
        </w:rPr>
      </w:pPr>
      <w:r>
        <w:rPr>
          <w:rFonts w:hint="eastAsia"/>
          <w:b/>
          <w:bCs/>
          <w:sz w:val="30"/>
          <w:szCs w:val="30"/>
        </w:rPr>
        <w:t>20</w:t>
      </w:r>
      <w:r>
        <w:rPr>
          <w:rFonts w:hint="eastAsia"/>
          <w:b/>
          <w:bCs/>
          <w:sz w:val="30"/>
          <w:szCs w:val="30"/>
          <w:lang w:val="en-US" w:eastAsia="zh-CN"/>
        </w:rPr>
        <w:t>20</w:t>
      </w:r>
      <w:r>
        <w:rPr>
          <w:rFonts w:hint="eastAsia"/>
          <w:b/>
          <w:bCs/>
          <w:sz w:val="30"/>
          <w:szCs w:val="30"/>
        </w:rPr>
        <w:t>年</w:t>
      </w:r>
      <w:r>
        <w:rPr>
          <w:rFonts w:hint="eastAsia"/>
          <w:b/>
          <w:bCs/>
          <w:sz w:val="30"/>
          <w:szCs w:val="30"/>
          <w:lang w:val="en-US" w:eastAsia="zh-CN"/>
        </w:rPr>
        <w:t>1</w:t>
      </w:r>
      <w:r>
        <w:rPr>
          <w:rFonts w:hint="eastAsia"/>
          <w:b/>
          <w:bCs/>
          <w:sz w:val="30"/>
          <w:szCs w:val="30"/>
        </w:rPr>
        <w:t>月</w:t>
      </w:r>
    </w:p>
    <w:p>
      <w:pPr>
        <w:jc w:val="center"/>
        <w:rPr>
          <w:b/>
          <w:bCs/>
          <w:sz w:val="30"/>
          <w:szCs w:val="30"/>
        </w:rPr>
      </w:pPr>
    </w:p>
    <w:p>
      <w:pPr>
        <w:jc w:val="center"/>
        <w:rPr>
          <w:b/>
          <w:bCs/>
          <w:sz w:val="30"/>
          <w:szCs w:val="30"/>
        </w:rPr>
      </w:pPr>
    </w:p>
    <w:p>
      <w:pPr>
        <w:jc w:val="center"/>
        <w:rPr>
          <w:b/>
          <w:bCs/>
          <w:sz w:val="30"/>
          <w:szCs w:val="30"/>
        </w:rPr>
      </w:pPr>
    </w:p>
    <w:p>
      <w:pPr>
        <w:rPr>
          <w:b/>
          <w:bCs/>
          <w:sz w:val="30"/>
          <w:szCs w:val="30"/>
        </w:rPr>
      </w:pPr>
    </w:p>
    <w:p>
      <w:pPr>
        <w:jc w:val="center"/>
        <w:rPr>
          <w:b/>
          <w:bCs/>
          <w:sz w:val="32"/>
          <w:szCs w:val="32"/>
        </w:rPr>
      </w:pPr>
    </w:p>
    <w:p>
      <w:pPr>
        <w:jc w:val="center"/>
        <w:rPr>
          <w:b/>
          <w:bCs/>
          <w:sz w:val="36"/>
          <w:szCs w:val="36"/>
        </w:rPr>
      </w:pPr>
      <w:r>
        <w:rPr>
          <w:rFonts w:hint="eastAsia"/>
          <w:b/>
          <w:bCs/>
          <w:sz w:val="36"/>
          <w:szCs w:val="36"/>
        </w:rPr>
        <w:t>目   录</w:t>
      </w:r>
    </w:p>
    <w:p>
      <w:pPr>
        <w:pStyle w:val="6"/>
        <w:tabs>
          <w:tab w:val="right" w:leader="dot" w:pos="8640"/>
        </w:tabs>
        <w:rPr>
          <w:b/>
          <w:bCs/>
          <w:sz w:val="28"/>
          <w:szCs w:val="28"/>
        </w:rPr>
      </w:pPr>
      <w:r>
        <w:rPr>
          <w:rFonts w:hint="eastAsia"/>
          <w:b/>
          <w:bCs/>
          <w:sz w:val="28"/>
          <w:szCs w:val="28"/>
        </w:rPr>
        <w:fldChar w:fldCharType="begin"/>
      </w:r>
      <w:r>
        <w:rPr>
          <w:rFonts w:hint="eastAsia"/>
          <w:b/>
          <w:bCs/>
          <w:sz w:val="28"/>
          <w:szCs w:val="28"/>
        </w:rPr>
        <w:instrText xml:space="preserve">TOC \o "1-1" \h \u </w:instrText>
      </w:r>
      <w:r>
        <w:rPr>
          <w:rFonts w:hint="eastAsia"/>
          <w:b/>
          <w:bCs/>
          <w:sz w:val="28"/>
          <w:szCs w:val="28"/>
        </w:rPr>
        <w:fldChar w:fldCharType="separate"/>
      </w:r>
      <w:r>
        <w:fldChar w:fldCharType="begin"/>
      </w:r>
      <w:r>
        <w:instrText xml:space="preserve"> HYPERLINK \l "_Toc11333" </w:instrText>
      </w:r>
      <w:r>
        <w:fldChar w:fldCharType="separate"/>
      </w:r>
      <w:r>
        <w:rPr>
          <w:rFonts w:hint="eastAsia"/>
          <w:b/>
          <w:bCs/>
          <w:sz w:val="28"/>
          <w:szCs w:val="28"/>
        </w:rPr>
        <w:t>1 项目概况、背景及意义</w:t>
      </w:r>
      <w:r>
        <w:rPr>
          <w:b/>
          <w:bCs/>
          <w:sz w:val="28"/>
          <w:szCs w:val="28"/>
        </w:rPr>
        <w:tab/>
      </w:r>
      <w:r>
        <w:rPr>
          <w:b/>
          <w:bCs/>
          <w:sz w:val="28"/>
          <w:szCs w:val="28"/>
        </w:rPr>
        <w:fldChar w:fldCharType="begin"/>
      </w:r>
      <w:r>
        <w:rPr>
          <w:b/>
          <w:bCs/>
          <w:sz w:val="28"/>
          <w:szCs w:val="28"/>
        </w:rPr>
        <w:instrText xml:space="preserve"> PAGEREF _Toc11333 </w:instrText>
      </w:r>
      <w:r>
        <w:rPr>
          <w:b/>
          <w:bCs/>
          <w:sz w:val="28"/>
          <w:szCs w:val="28"/>
        </w:rPr>
        <w:fldChar w:fldCharType="separate"/>
      </w:r>
      <w:r>
        <w:rPr>
          <w:b/>
          <w:bCs/>
          <w:sz w:val="28"/>
          <w:szCs w:val="28"/>
        </w:rPr>
        <w:t>1</w:t>
      </w:r>
      <w:r>
        <w:rPr>
          <w:b/>
          <w:bCs/>
          <w:sz w:val="28"/>
          <w:szCs w:val="28"/>
        </w:rPr>
        <w:fldChar w:fldCharType="end"/>
      </w:r>
      <w:r>
        <w:rPr>
          <w:b/>
          <w:bCs/>
          <w:sz w:val="28"/>
          <w:szCs w:val="28"/>
        </w:rPr>
        <w:fldChar w:fldCharType="end"/>
      </w:r>
    </w:p>
    <w:p>
      <w:pPr>
        <w:pStyle w:val="6"/>
        <w:tabs>
          <w:tab w:val="right" w:leader="dot" w:pos="8640"/>
        </w:tabs>
        <w:rPr>
          <w:b/>
          <w:bCs/>
          <w:sz w:val="28"/>
          <w:szCs w:val="28"/>
        </w:rPr>
      </w:pPr>
      <w:r>
        <w:fldChar w:fldCharType="begin"/>
      </w:r>
      <w:r>
        <w:instrText xml:space="preserve"> HYPERLINK \l "_Toc3138" </w:instrText>
      </w:r>
      <w:r>
        <w:fldChar w:fldCharType="separate"/>
      </w:r>
      <w:r>
        <w:rPr>
          <w:rFonts w:hint="eastAsia"/>
          <w:b/>
          <w:bCs/>
          <w:sz w:val="28"/>
          <w:szCs w:val="28"/>
        </w:rPr>
        <w:t>2 制定原则</w:t>
      </w:r>
      <w:r>
        <w:rPr>
          <w:b/>
          <w:bCs/>
          <w:sz w:val="28"/>
          <w:szCs w:val="28"/>
        </w:rPr>
        <w:tab/>
      </w:r>
      <w:r>
        <w:rPr>
          <w:b/>
          <w:bCs/>
          <w:sz w:val="28"/>
          <w:szCs w:val="28"/>
        </w:rPr>
        <w:fldChar w:fldCharType="begin"/>
      </w:r>
      <w:r>
        <w:rPr>
          <w:b/>
          <w:bCs/>
          <w:sz w:val="28"/>
          <w:szCs w:val="28"/>
        </w:rPr>
        <w:instrText xml:space="preserve"> PAGEREF _Toc3138 </w:instrText>
      </w:r>
      <w:r>
        <w:rPr>
          <w:b/>
          <w:bCs/>
          <w:sz w:val="28"/>
          <w:szCs w:val="28"/>
        </w:rPr>
        <w:fldChar w:fldCharType="separate"/>
      </w:r>
      <w:r>
        <w:rPr>
          <w:b/>
          <w:bCs/>
          <w:sz w:val="28"/>
          <w:szCs w:val="28"/>
        </w:rPr>
        <w:t>2</w:t>
      </w:r>
      <w:r>
        <w:rPr>
          <w:b/>
          <w:bCs/>
          <w:sz w:val="28"/>
          <w:szCs w:val="28"/>
        </w:rPr>
        <w:fldChar w:fldCharType="end"/>
      </w:r>
      <w:r>
        <w:rPr>
          <w:b/>
          <w:bCs/>
          <w:sz w:val="28"/>
          <w:szCs w:val="28"/>
        </w:rPr>
        <w:fldChar w:fldCharType="end"/>
      </w:r>
    </w:p>
    <w:p>
      <w:pPr>
        <w:pStyle w:val="6"/>
        <w:tabs>
          <w:tab w:val="right" w:leader="dot" w:pos="8640"/>
        </w:tabs>
        <w:rPr>
          <w:b/>
          <w:bCs/>
          <w:sz w:val="28"/>
          <w:szCs w:val="28"/>
        </w:rPr>
      </w:pPr>
      <w:r>
        <w:fldChar w:fldCharType="begin"/>
      </w:r>
      <w:r>
        <w:instrText xml:space="preserve"> HYPERLINK \l "_Toc18460" </w:instrText>
      </w:r>
      <w:r>
        <w:fldChar w:fldCharType="separate"/>
      </w:r>
      <w:r>
        <w:rPr>
          <w:rFonts w:hint="eastAsia"/>
          <w:b/>
          <w:bCs/>
          <w:sz w:val="28"/>
          <w:szCs w:val="28"/>
        </w:rPr>
        <w:t>3 工作情况</w:t>
      </w:r>
      <w:r>
        <w:rPr>
          <w:b/>
          <w:bCs/>
          <w:sz w:val="28"/>
          <w:szCs w:val="28"/>
        </w:rPr>
        <w:tab/>
      </w:r>
      <w:r>
        <w:rPr>
          <w:b/>
          <w:bCs/>
          <w:sz w:val="28"/>
          <w:szCs w:val="28"/>
        </w:rPr>
        <w:fldChar w:fldCharType="begin"/>
      </w:r>
      <w:r>
        <w:rPr>
          <w:b/>
          <w:bCs/>
          <w:sz w:val="28"/>
          <w:szCs w:val="28"/>
        </w:rPr>
        <w:instrText xml:space="preserve"> PAGEREF _Toc18460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6"/>
        <w:tabs>
          <w:tab w:val="right" w:leader="dot" w:pos="8640"/>
        </w:tabs>
        <w:rPr>
          <w:b/>
          <w:bCs/>
          <w:sz w:val="28"/>
          <w:szCs w:val="28"/>
        </w:rPr>
      </w:pPr>
      <w:r>
        <w:fldChar w:fldCharType="begin"/>
      </w:r>
      <w:r>
        <w:instrText xml:space="preserve"> HYPERLINK \l "_Toc9996" </w:instrText>
      </w:r>
      <w:r>
        <w:fldChar w:fldCharType="separate"/>
      </w:r>
      <w:r>
        <w:rPr>
          <w:rFonts w:hint="eastAsia"/>
          <w:b/>
          <w:bCs/>
          <w:sz w:val="28"/>
          <w:szCs w:val="28"/>
        </w:rPr>
        <w:t>4 标准制定的主要内容</w:t>
      </w:r>
      <w:r>
        <w:rPr>
          <w:b/>
          <w:bCs/>
          <w:sz w:val="28"/>
          <w:szCs w:val="28"/>
        </w:rPr>
        <w:tab/>
      </w:r>
      <w:r>
        <w:rPr>
          <w:b/>
          <w:bCs/>
          <w:sz w:val="28"/>
          <w:szCs w:val="28"/>
        </w:rPr>
        <w:fldChar w:fldCharType="begin"/>
      </w:r>
      <w:r>
        <w:rPr>
          <w:b/>
          <w:bCs/>
          <w:sz w:val="28"/>
          <w:szCs w:val="28"/>
        </w:rPr>
        <w:instrText xml:space="preserve"> PAGEREF _Toc9996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pPr>
        <w:pStyle w:val="6"/>
        <w:tabs>
          <w:tab w:val="right" w:leader="dot" w:pos="8640"/>
        </w:tabs>
        <w:rPr>
          <w:b/>
          <w:bCs/>
          <w:sz w:val="28"/>
          <w:szCs w:val="28"/>
        </w:rPr>
      </w:pPr>
      <w:r>
        <w:fldChar w:fldCharType="begin"/>
      </w:r>
      <w:r>
        <w:instrText xml:space="preserve"> HYPERLINK \l "_Toc17545" </w:instrText>
      </w:r>
      <w:r>
        <w:fldChar w:fldCharType="separate"/>
      </w:r>
      <w:r>
        <w:rPr>
          <w:rFonts w:hint="eastAsia"/>
          <w:b/>
          <w:bCs/>
          <w:sz w:val="28"/>
          <w:szCs w:val="28"/>
        </w:rPr>
        <w:t>5 主要实验或者验证的分析</w:t>
      </w:r>
      <w:r>
        <w:rPr>
          <w:b/>
          <w:bCs/>
          <w:sz w:val="28"/>
          <w:szCs w:val="28"/>
        </w:rPr>
        <w:tab/>
      </w:r>
      <w:r>
        <w:rPr>
          <w:b/>
          <w:bCs/>
          <w:sz w:val="28"/>
          <w:szCs w:val="28"/>
        </w:rPr>
        <w:fldChar w:fldCharType="begin"/>
      </w:r>
      <w:r>
        <w:rPr>
          <w:b/>
          <w:bCs/>
          <w:sz w:val="28"/>
          <w:szCs w:val="28"/>
        </w:rPr>
        <w:instrText xml:space="preserve"> PAGEREF _Toc17545 </w:instrText>
      </w:r>
      <w:r>
        <w:rPr>
          <w:b/>
          <w:bCs/>
          <w:sz w:val="28"/>
          <w:szCs w:val="28"/>
        </w:rPr>
        <w:fldChar w:fldCharType="separate"/>
      </w:r>
      <w:r>
        <w:rPr>
          <w:b/>
          <w:bCs/>
          <w:sz w:val="28"/>
          <w:szCs w:val="28"/>
        </w:rPr>
        <w:t>8</w:t>
      </w:r>
      <w:r>
        <w:rPr>
          <w:b/>
          <w:bCs/>
          <w:sz w:val="28"/>
          <w:szCs w:val="28"/>
        </w:rPr>
        <w:fldChar w:fldCharType="end"/>
      </w:r>
      <w:r>
        <w:rPr>
          <w:b/>
          <w:bCs/>
          <w:sz w:val="28"/>
          <w:szCs w:val="28"/>
        </w:rPr>
        <w:fldChar w:fldCharType="end"/>
      </w:r>
    </w:p>
    <w:p>
      <w:pPr>
        <w:pStyle w:val="6"/>
        <w:tabs>
          <w:tab w:val="right" w:leader="dot" w:pos="8640"/>
        </w:tabs>
        <w:rPr>
          <w:b/>
          <w:bCs/>
          <w:sz w:val="28"/>
          <w:szCs w:val="28"/>
        </w:rPr>
      </w:pPr>
      <w:r>
        <w:fldChar w:fldCharType="begin"/>
      </w:r>
      <w:r>
        <w:instrText xml:space="preserve"> HYPERLINK \l "_Toc8435" </w:instrText>
      </w:r>
      <w:r>
        <w:fldChar w:fldCharType="separate"/>
      </w:r>
      <w:r>
        <w:rPr>
          <w:rFonts w:hint="eastAsia"/>
          <w:b/>
          <w:bCs/>
          <w:sz w:val="28"/>
          <w:szCs w:val="28"/>
        </w:rPr>
        <w:t>6 与国内外同类标准水平的对比情况</w:t>
      </w:r>
      <w:r>
        <w:rPr>
          <w:b/>
          <w:bCs/>
          <w:sz w:val="28"/>
          <w:szCs w:val="28"/>
        </w:rPr>
        <w:tab/>
      </w:r>
      <w:r>
        <w:rPr>
          <w:rFonts w:hint="eastAsia"/>
          <w:b/>
          <w:bCs/>
          <w:sz w:val="28"/>
          <w:szCs w:val="28"/>
        </w:rPr>
        <w:t>9</w:t>
      </w:r>
      <w:r>
        <w:rPr>
          <w:rFonts w:hint="eastAsia"/>
          <w:b/>
          <w:bCs/>
          <w:sz w:val="28"/>
          <w:szCs w:val="28"/>
        </w:rPr>
        <w:fldChar w:fldCharType="end"/>
      </w:r>
    </w:p>
    <w:p>
      <w:pPr>
        <w:pStyle w:val="6"/>
        <w:tabs>
          <w:tab w:val="right" w:leader="dot" w:pos="8640"/>
        </w:tabs>
        <w:rPr>
          <w:b/>
          <w:bCs/>
          <w:sz w:val="28"/>
          <w:szCs w:val="28"/>
        </w:rPr>
      </w:pPr>
      <w:r>
        <w:fldChar w:fldCharType="begin"/>
      </w:r>
      <w:r>
        <w:instrText xml:space="preserve"> HYPERLINK \l "_Toc17545" </w:instrText>
      </w:r>
      <w:r>
        <w:fldChar w:fldCharType="separate"/>
      </w:r>
      <w:r>
        <w:rPr>
          <w:rFonts w:hint="eastAsia"/>
          <w:b/>
          <w:bCs/>
          <w:sz w:val="28"/>
          <w:szCs w:val="28"/>
        </w:rPr>
        <w:t>7 意见与意见处理情况</w:t>
      </w:r>
      <w:r>
        <w:rPr>
          <w:b/>
          <w:bCs/>
          <w:sz w:val="28"/>
          <w:szCs w:val="28"/>
        </w:rPr>
        <w:tab/>
      </w:r>
      <w:r>
        <w:rPr>
          <w:rFonts w:hint="eastAsia"/>
          <w:b/>
          <w:bCs/>
          <w:sz w:val="28"/>
          <w:szCs w:val="28"/>
        </w:rPr>
        <w:t>9</w:t>
      </w:r>
      <w:r>
        <w:rPr>
          <w:rFonts w:hint="eastAsia"/>
          <w:b/>
          <w:bCs/>
          <w:sz w:val="28"/>
          <w:szCs w:val="28"/>
        </w:rPr>
        <w:fldChar w:fldCharType="end"/>
      </w:r>
    </w:p>
    <w:p>
      <w:pPr>
        <w:pStyle w:val="6"/>
        <w:tabs>
          <w:tab w:val="right" w:leader="dot" w:pos="8640"/>
        </w:tabs>
        <w:rPr>
          <w:b/>
          <w:bCs/>
          <w:sz w:val="28"/>
          <w:szCs w:val="28"/>
        </w:rPr>
      </w:pPr>
      <w:r>
        <w:fldChar w:fldCharType="begin"/>
      </w:r>
      <w:r>
        <w:instrText xml:space="preserve"> HYPERLINK \l "_Toc26005" </w:instrText>
      </w:r>
      <w:r>
        <w:fldChar w:fldCharType="separate"/>
      </w:r>
      <w:r>
        <w:rPr>
          <w:rFonts w:hint="eastAsia"/>
          <w:b/>
          <w:bCs/>
          <w:sz w:val="28"/>
          <w:szCs w:val="28"/>
        </w:rPr>
        <w:t>8 贯彻标准要求、措施和建议</w:t>
      </w:r>
      <w:r>
        <w:rPr>
          <w:b/>
          <w:bCs/>
          <w:sz w:val="28"/>
          <w:szCs w:val="28"/>
        </w:rPr>
        <w:tab/>
      </w:r>
      <w:r>
        <w:rPr>
          <w:rFonts w:hint="eastAsia"/>
          <w:b/>
          <w:bCs/>
          <w:sz w:val="28"/>
          <w:szCs w:val="28"/>
        </w:rPr>
        <w:t>9</w:t>
      </w:r>
      <w:r>
        <w:rPr>
          <w:rFonts w:hint="eastAsia"/>
          <w:b/>
          <w:bCs/>
          <w:sz w:val="28"/>
          <w:szCs w:val="28"/>
        </w:rPr>
        <w:fldChar w:fldCharType="end"/>
      </w:r>
    </w:p>
    <w:p>
      <w:pPr>
        <w:pStyle w:val="6"/>
        <w:tabs>
          <w:tab w:val="right" w:leader="dot" w:pos="8640"/>
        </w:tabs>
        <w:rPr>
          <w:b/>
          <w:bCs/>
          <w:sz w:val="28"/>
          <w:szCs w:val="28"/>
        </w:rPr>
      </w:pPr>
      <w:r>
        <w:rPr>
          <w:rFonts w:hint="eastAsia"/>
          <w:b/>
          <w:bCs/>
          <w:sz w:val="28"/>
          <w:szCs w:val="28"/>
        </w:rPr>
        <w:fldChar w:fldCharType="end"/>
      </w:r>
    </w:p>
    <w:p>
      <w:pPr>
        <w:pStyle w:val="6"/>
        <w:tabs>
          <w:tab w:val="right" w:leader="dot" w:pos="8640"/>
        </w:tabs>
        <w:rPr>
          <w:b/>
          <w:bCs/>
          <w:sz w:val="28"/>
          <w:szCs w:val="28"/>
        </w:rPr>
      </w:pPr>
      <w:r>
        <w:rPr>
          <w:rFonts w:hint="eastAsia"/>
          <w:b/>
          <w:bCs/>
          <w:sz w:val="28"/>
          <w:szCs w:val="28"/>
        </w:rPr>
        <w:t>附件1：湖南省地方标准《森林康养技能培训规程》征求意见反馈与处理表</w:t>
      </w:r>
      <w:r>
        <w:fldChar w:fldCharType="begin"/>
      </w:r>
      <w:r>
        <w:instrText xml:space="preserve"> HYPERLINK \l "_Toc17545" </w:instrText>
      </w:r>
      <w:r>
        <w:fldChar w:fldCharType="separate"/>
      </w:r>
      <w:r>
        <w:rPr>
          <w:b/>
          <w:bCs/>
          <w:sz w:val="28"/>
          <w:szCs w:val="28"/>
        </w:rPr>
        <w:tab/>
      </w:r>
      <w:r>
        <w:rPr>
          <w:rFonts w:hint="eastAsia"/>
          <w:b/>
          <w:bCs/>
          <w:sz w:val="28"/>
          <w:szCs w:val="28"/>
        </w:rPr>
        <w:t>10</w:t>
      </w:r>
      <w:r>
        <w:rPr>
          <w:rFonts w:hint="eastAsia"/>
          <w:b/>
          <w:bCs/>
          <w:sz w:val="28"/>
          <w:szCs w:val="28"/>
        </w:rPr>
        <w:fldChar w:fldCharType="end"/>
      </w:r>
    </w:p>
    <w:p>
      <w:pPr>
        <w:pStyle w:val="6"/>
        <w:tabs>
          <w:tab w:val="right" w:leader="dot" w:pos="8640"/>
        </w:tabs>
        <w:rPr>
          <w:b/>
          <w:bCs/>
          <w:sz w:val="28"/>
          <w:szCs w:val="28"/>
        </w:rPr>
      </w:pPr>
      <w:r>
        <w:fldChar w:fldCharType="begin"/>
      </w:r>
      <w:r>
        <w:instrText xml:space="preserve"> HYPERLINK \l "_Toc17545" </w:instrText>
      </w:r>
      <w:r>
        <w:fldChar w:fldCharType="separate"/>
      </w:r>
      <w:r>
        <w:rPr>
          <w:rFonts w:hint="eastAsia"/>
          <w:b/>
          <w:bCs/>
          <w:sz w:val="28"/>
          <w:szCs w:val="28"/>
        </w:rPr>
        <w:t>附件2：综述报告</w:t>
      </w:r>
      <w:r>
        <w:rPr>
          <w:b/>
          <w:bCs/>
          <w:sz w:val="28"/>
          <w:szCs w:val="28"/>
        </w:rPr>
        <w:tab/>
      </w:r>
      <w:r>
        <w:rPr>
          <w:rFonts w:hint="eastAsia"/>
          <w:b/>
          <w:bCs/>
          <w:sz w:val="28"/>
          <w:szCs w:val="28"/>
        </w:rPr>
        <w:t>17</w:t>
      </w:r>
      <w:r>
        <w:rPr>
          <w:rFonts w:hint="eastAsia"/>
          <w:b/>
          <w:bCs/>
          <w:sz w:val="28"/>
          <w:szCs w:val="28"/>
        </w:rPr>
        <w:fldChar w:fldCharType="end"/>
      </w:r>
      <w:r>
        <w:rPr>
          <w:b/>
          <w:bCs/>
          <w:sz w:val="28"/>
          <w:szCs w:val="28"/>
        </w:rPr>
        <w:tab/>
      </w:r>
      <w:r>
        <w:rPr>
          <w:rFonts w:hint="eastAsia"/>
          <w:b/>
          <w:bCs/>
          <w:sz w:val="28"/>
          <w:szCs w:val="28"/>
        </w:rPr>
        <w:t xml:space="preserve"> </w:t>
      </w:r>
    </w:p>
    <w:p>
      <w:pPr>
        <w:rPr>
          <w:b/>
          <w:bCs/>
          <w:sz w:val="28"/>
          <w:szCs w:val="28"/>
        </w:rPr>
      </w:pPr>
      <w:r>
        <w:rPr>
          <w:rFonts w:hint="eastAsia"/>
          <w:b/>
          <w:bCs/>
          <w:sz w:val="28"/>
          <w:szCs w:val="28"/>
        </w:rPr>
        <w:t xml:space="preserve">   </w:t>
      </w:r>
    </w:p>
    <w:p>
      <w:pPr>
        <w:rPr>
          <w:b/>
          <w:bCs/>
          <w:sz w:val="24"/>
          <w:szCs w:val="24"/>
        </w:rPr>
        <w:sectPr>
          <w:footerReference r:id="rId3" w:type="default"/>
          <w:pgSz w:w="11906" w:h="16838"/>
          <w:pgMar w:top="1440" w:right="1633" w:bottom="1440" w:left="1633" w:header="851" w:footer="992" w:gutter="0"/>
          <w:pgNumType w:start="1"/>
          <w:cols w:space="0" w:num="1"/>
          <w:docGrid w:type="lines" w:linePitch="312" w:charSpace="0"/>
        </w:sectPr>
      </w:pPr>
    </w:p>
    <w:p>
      <w:pPr>
        <w:jc w:val="left"/>
        <w:rPr>
          <w:b/>
          <w:bCs/>
          <w:sz w:val="32"/>
          <w:szCs w:val="32"/>
        </w:rPr>
      </w:pPr>
    </w:p>
    <w:p>
      <w:pPr>
        <w:jc w:val="center"/>
        <w:rPr>
          <w:b/>
          <w:bCs/>
          <w:sz w:val="32"/>
          <w:szCs w:val="32"/>
        </w:rPr>
      </w:pPr>
      <w:r>
        <w:rPr>
          <w:rFonts w:hint="eastAsia"/>
          <w:b/>
          <w:bCs/>
          <w:sz w:val="32"/>
          <w:szCs w:val="32"/>
        </w:rPr>
        <w:t>湖南省地方标准</w:t>
      </w:r>
    </w:p>
    <w:p>
      <w:pPr>
        <w:jc w:val="center"/>
        <w:rPr>
          <w:b/>
          <w:bCs/>
          <w:sz w:val="32"/>
          <w:szCs w:val="32"/>
        </w:rPr>
      </w:pPr>
      <w:r>
        <w:rPr>
          <w:rFonts w:hint="eastAsia"/>
          <w:b/>
          <w:bCs/>
          <w:sz w:val="32"/>
          <w:szCs w:val="32"/>
        </w:rPr>
        <w:t>《森林康养技能培训规程》</w:t>
      </w:r>
    </w:p>
    <w:p>
      <w:pPr>
        <w:jc w:val="center"/>
        <w:rPr>
          <w:b/>
          <w:bCs/>
          <w:sz w:val="32"/>
          <w:szCs w:val="32"/>
        </w:rPr>
      </w:pPr>
      <w:r>
        <w:rPr>
          <w:rFonts w:hint="eastAsia"/>
          <w:b/>
          <w:bCs/>
          <w:sz w:val="32"/>
          <w:szCs w:val="32"/>
        </w:rPr>
        <w:t>编制说明</w:t>
      </w:r>
    </w:p>
    <w:p>
      <w:pPr>
        <w:rPr>
          <w:b/>
          <w:bCs/>
          <w:sz w:val="28"/>
          <w:szCs w:val="28"/>
        </w:rPr>
      </w:pPr>
    </w:p>
    <w:p>
      <w:pPr>
        <w:pStyle w:val="2"/>
        <w:rPr>
          <w:sz w:val="28"/>
          <w:szCs w:val="28"/>
        </w:rPr>
      </w:pPr>
      <w:bookmarkStart w:id="0" w:name="_Toc22116"/>
      <w:bookmarkStart w:id="1" w:name="_Toc11333"/>
      <w:r>
        <w:rPr>
          <w:rFonts w:hint="eastAsia"/>
          <w:sz w:val="28"/>
          <w:szCs w:val="28"/>
        </w:rPr>
        <w:t>1 项目概况、背景及意义</w:t>
      </w:r>
      <w:bookmarkEnd w:id="0"/>
      <w:bookmarkEnd w:id="1"/>
      <w:r>
        <w:rPr>
          <w:sz w:val="28"/>
          <w:szCs w:val="28"/>
        </w:rPr>
        <w:t xml:space="preserve"> </w:t>
      </w:r>
    </w:p>
    <w:p>
      <w:pPr>
        <w:rPr>
          <w:sz w:val="28"/>
          <w:szCs w:val="28"/>
        </w:rPr>
      </w:pPr>
      <w:r>
        <w:rPr>
          <w:rFonts w:hint="eastAsia"/>
          <w:b/>
          <w:bCs/>
          <w:sz w:val="28"/>
          <w:szCs w:val="28"/>
        </w:rPr>
        <w:t>1.1项目来源</w:t>
      </w:r>
      <w:r>
        <w:rPr>
          <w:b/>
          <w:bCs/>
          <w:sz w:val="28"/>
          <w:szCs w:val="28"/>
        </w:rPr>
        <w:t xml:space="preserve"> </w:t>
      </w:r>
    </w:p>
    <w:p>
      <w:pPr>
        <w:ind w:firstLine="560" w:firstLineChars="200"/>
        <w:rPr>
          <w:sz w:val="28"/>
          <w:szCs w:val="28"/>
        </w:rPr>
      </w:pPr>
      <w:r>
        <w:rPr>
          <w:rFonts w:hint="eastAsia"/>
          <w:sz w:val="28"/>
          <w:szCs w:val="28"/>
        </w:rPr>
        <w:t>湖南省林业局和</w:t>
      </w:r>
      <w:r>
        <w:rPr>
          <w:rFonts w:hint="eastAsia"/>
          <w:sz w:val="28"/>
          <w:szCs w:val="28"/>
          <w:lang w:eastAsia="zh-CN"/>
        </w:rPr>
        <w:t>原</w:t>
      </w:r>
      <w:r>
        <w:rPr>
          <w:rFonts w:hint="eastAsia"/>
          <w:sz w:val="28"/>
          <w:szCs w:val="28"/>
        </w:rPr>
        <w:t>湖南省</w:t>
      </w:r>
      <w:r>
        <w:rPr>
          <w:rFonts w:hint="eastAsia"/>
          <w:sz w:val="28"/>
          <w:szCs w:val="28"/>
          <w:lang w:eastAsia="zh-CN"/>
        </w:rPr>
        <w:t>质量技术</w:t>
      </w:r>
      <w:r>
        <w:rPr>
          <w:rFonts w:hint="eastAsia"/>
          <w:sz w:val="28"/>
          <w:szCs w:val="28"/>
        </w:rPr>
        <w:t>监督管理局</w:t>
      </w:r>
      <w:r>
        <w:rPr>
          <w:rFonts w:hint="eastAsia"/>
          <w:sz w:val="28"/>
          <w:szCs w:val="28"/>
          <w:lang w:val="en-US" w:eastAsia="zh-CN"/>
        </w:rPr>
        <w:t>2017年联合发布了</w:t>
      </w:r>
      <w:r>
        <w:rPr>
          <w:rFonts w:hint="eastAsia"/>
          <w:sz w:val="28"/>
          <w:szCs w:val="28"/>
        </w:rPr>
        <w:t>《森林康养基地建设标准综合体系》</w:t>
      </w:r>
      <w:r>
        <w:rPr>
          <w:rFonts w:hint="eastAsia"/>
          <w:sz w:val="28"/>
          <w:szCs w:val="28"/>
          <w:lang w:eastAsia="zh-CN"/>
        </w:rPr>
        <w:t>，</w:t>
      </w:r>
      <w:r>
        <w:rPr>
          <w:rFonts w:hint="eastAsia"/>
          <w:sz w:val="28"/>
          <w:szCs w:val="28"/>
        </w:rPr>
        <w:t>《森林康养技能培训规程》为</w:t>
      </w:r>
      <w:r>
        <w:rPr>
          <w:rFonts w:hint="eastAsia"/>
          <w:sz w:val="28"/>
          <w:szCs w:val="28"/>
          <w:lang w:eastAsia="zh-CN"/>
        </w:rPr>
        <w:t>其中一项，于</w:t>
      </w:r>
      <w:r>
        <w:rPr>
          <w:rFonts w:hint="eastAsia"/>
          <w:sz w:val="28"/>
          <w:szCs w:val="28"/>
          <w:lang w:val="en-US" w:eastAsia="zh-CN"/>
        </w:rPr>
        <w:t>2020年获省市场监督管理局地方标准计划立项</w:t>
      </w:r>
      <w:bookmarkStart w:id="8" w:name="_GoBack"/>
      <w:bookmarkEnd w:id="8"/>
      <w:r>
        <w:rPr>
          <w:rFonts w:hint="eastAsia"/>
          <w:sz w:val="28"/>
          <w:szCs w:val="28"/>
        </w:rPr>
        <w:t xml:space="preserve">。 </w:t>
      </w:r>
    </w:p>
    <w:p>
      <w:pPr>
        <w:rPr>
          <w:b/>
          <w:bCs/>
          <w:sz w:val="28"/>
          <w:szCs w:val="28"/>
        </w:rPr>
      </w:pPr>
      <w:r>
        <w:rPr>
          <w:rFonts w:hint="eastAsia"/>
          <w:b/>
          <w:bCs/>
          <w:sz w:val="28"/>
          <w:szCs w:val="28"/>
        </w:rPr>
        <w:t>1.</w:t>
      </w:r>
      <w:r>
        <w:rPr>
          <w:b/>
          <w:bCs/>
          <w:sz w:val="28"/>
          <w:szCs w:val="28"/>
        </w:rPr>
        <w:t>2</w:t>
      </w:r>
      <w:r>
        <w:rPr>
          <w:rFonts w:hint="eastAsia"/>
          <w:b/>
          <w:bCs/>
          <w:sz w:val="28"/>
          <w:szCs w:val="28"/>
        </w:rPr>
        <w:t xml:space="preserve"> 本标准提出单位、起草单位和归口单位</w:t>
      </w:r>
    </w:p>
    <w:p>
      <w:pPr>
        <w:ind w:firstLine="420" w:firstLineChars="150"/>
        <w:rPr>
          <w:sz w:val="28"/>
          <w:szCs w:val="28"/>
          <w:lang w:val="zh-CN"/>
        </w:rPr>
      </w:pPr>
      <w:r>
        <w:rPr>
          <w:rFonts w:hint="eastAsia"/>
          <w:sz w:val="28"/>
          <w:szCs w:val="28"/>
          <w:lang w:val="zh-CN"/>
        </w:rPr>
        <w:t>本标准提出单位：</w:t>
      </w:r>
      <w:r>
        <w:rPr>
          <w:rFonts w:hint="eastAsia"/>
          <w:sz w:val="28"/>
          <w:szCs w:val="28"/>
        </w:rPr>
        <w:t>湖南省林业局、湖南省市场监督管理局。</w:t>
      </w:r>
    </w:p>
    <w:p>
      <w:pPr>
        <w:ind w:firstLine="420" w:firstLineChars="150"/>
        <w:rPr>
          <w:sz w:val="28"/>
          <w:szCs w:val="28"/>
          <w:lang w:val="zh-CN"/>
        </w:rPr>
      </w:pPr>
      <w:r>
        <w:rPr>
          <w:rFonts w:hint="eastAsia"/>
          <w:sz w:val="28"/>
          <w:szCs w:val="28"/>
          <w:lang w:val="zh-CN"/>
        </w:rPr>
        <w:t>本标准起草单位：湖南环境生物职业技术学院。</w:t>
      </w:r>
    </w:p>
    <w:p>
      <w:pPr>
        <w:ind w:firstLine="420" w:firstLineChars="150"/>
        <w:rPr>
          <w:sz w:val="28"/>
          <w:szCs w:val="28"/>
          <w:lang w:val="zh-CN"/>
        </w:rPr>
      </w:pPr>
      <w:r>
        <w:rPr>
          <w:rFonts w:hint="eastAsia"/>
          <w:sz w:val="28"/>
          <w:szCs w:val="28"/>
          <w:lang w:val="zh-CN"/>
        </w:rPr>
        <w:t>本标准归口单位：湖南省林业标准化技术委员会。</w:t>
      </w:r>
    </w:p>
    <w:p>
      <w:pPr>
        <w:rPr>
          <w:b/>
          <w:bCs/>
          <w:sz w:val="28"/>
          <w:szCs w:val="28"/>
        </w:rPr>
      </w:pPr>
      <w:r>
        <w:rPr>
          <w:rFonts w:hint="eastAsia"/>
          <w:b/>
          <w:bCs/>
          <w:sz w:val="28"/>
          <w:szCs w:val="28"/>
        </w:rPr>
        <w:t>1.3 本标准编写时间</w:t>
      </w:r>
    </w:p>
    <w:p>
      <w:pPr>
        <w:ind w:firstLine="420" w:firstLineChars="150"/>
        <w:rPr>
          <w:sz w:val="28"/>
          <w:szCs w:val="28"/>
        </w:rPr>
      </w:pPr>
      <w:r>
        <w:rPr>
          <w:rFonts w:hint="eastAsia"/>
          <w:sz w:val="28"/>
          <w:szCs w:val="28"/>
        </w:rPr>
        <w:t>2018年~2019年。</w:t>
      </w:r>
    </w:p>
    <w:p>
      <w:pPr>
        <w:rPr>
          <w:b/>
          <w:bCs/>
          <w:sz w:val="28"/>
          <w:szCs w:val="28"/>
        </w:rPr>
      </w:pPr>
      <w:r>
        <w:rPr>
          <w:rFonts w:hint="eastAsia"/>
          <w:b/>
          <w:bCs/>
          <w:sz w:val="28"/>
          <w:szCs w:val="28"/>
        </w:rPr>
        <w:t>1.4 标准制定的背景及意义</w:t>
      </w:r>
    </w:p>
    <w:p>
      <w:pPr>
        <w:ind w:firstLine="420" w:firstLineChars="150"/>
        <w:rPr>
          <w:sz w:val="28"/>
          <w:szCs w:val="28"/>
          <w:lang w:val="zh-CN"/>
        </w:rPr>
      </w:pPr>
      <w:r>
        <w:rPr>
          <w:rFonts w:hint="eastAsia"/>
          <w:sz w:val="28"/>
          <w:szCs w:val="28"/>
          <w:lang w:val="zh-CN"/>
        </w:rPr>
        <w:t>依托良好生态环境基础逐渐兴起的森林康养产业，十分契合党中央提出的绿色惠民的理念，未来我国的森林康养产业将会快速崛起，成为新常态下的一个新业态、新产业。大力发展森林康养产业已经成为现实需求。但森林康养的专业技术人员在我国还属于空缺，也没有森林康养技能培训规程的相关标准，如何培训森林康养技能型从业人员势在必行。为尽快启动森林康养技能培训工作，给森林康养产业的发展提供人才支持，湖南省林业局、湖南市场监督管理局共同编制了《森林康养基地建设标准综合体系》，《森林康养技能培训规程》为子项目。 制定森林康养技能培训规程的标准，对我省乃至全国培训森林康养技能型从业人员具有重要意义。</w:t>
      </w:r>
    </w:p>
    <w:p>
      <w:pPr>
        <w:pStyle w:val="2"/>
        <w:rPr>
          <w:sz w:val="28"/>
          <w:szCs w:val="28"/>
        </w:rPr>
      </w:pPr>
      <w:bookmarkStart w:id="2" w:name="_Toc3138"/>
      <w:r>
        <w:rPr>
          <w:rFonts w:hint="eastAsia"/>
          <w:sz w:val="28"/>
          <w:szCs w:val="28"/>
        </w:rPr>
        <w:t>2 制定原则</w:t>
      </w:r>
      <w:bookmarkEnd w:id="2"/>
    </w:p>
    <w:p>
      <w:pPr>
        <w:rPr>
          <w:sz w:val="28"/>
          <w:szCs w:val="28"/>
        </w:rPr>
      </w:pPr>
      <w:r>
        <w:rPr>
          <w:rFonts w:hint="eastAsia"/>
          <w:b/>
          <w:bCs/>
          <w:sz w:val="28"/>
          <w:szCs w:val="28"/>
        </w:rPr>
        <w:t xml:space="preserve">2.1 </w:t>
      </w:r>
      <w:r>
        <w:rPr>
          <w:rFonts w:hint="eastAsia"/>
          <w:sz w:val="28"/>
          <w:szCs w:val="28"/>
        </w:rPr>
        <w:t xml:space="preserve"> </w:t>
      </w:r>
      <w:r>
        <w:rPr>
          <w:rFonts w:hint="eastAsia"/>
          <w:sz w:val="28"/>
          <w:szCs w:val="28"/>
          <w:lang w:val="zh-CN"/>
        </w:rPr>
        <w:t>根据《</w:t>
      </w:r>
      <w:r>
        <w:rPr>
          <w:rFonts w:hint="eastAsia"/>
          <w:sz w:val="28"/>
          <w:szCs w:val="28"/>
        </w:rPr>
        <w:t>GB/T1.1-2009标准化工作导则第1部分：标准的结构和编写规则》的要求和规则编写。</w:t>
      </w:r>
    </w:p>
    <w:p>
      <w:pPr>
        <w:widowControl/>
        <w:spacing w:line="375" w:lineRule="atLeast"/>
        <w:jc w:val="left"/>
        <w:rPr>
          <w:rFonts w:ascii="Times New Roman" w:hAnsi="Times New Roman" w:cs="宋体"/>
          <w:b/>
          <w:bCs/>
          <w:kern w:val="0"/>
          <w:sz w:val="28"/>
          <w:szCs w:val="28"/>
        </w:rPr>
      </w:pPr>
      <w:r>
        <w:rPr>
          <w:rFonts w:hint="eastAsia"/>
          <w:b/>
          <w:bCs/>
          <w:sz w:val="28"/>
          <w:szCs w:val="28"/>
        </w:rPr>
        <w:t xml:space="preserve">2.2 </w:t>
      </w:r>
      <w:r>
        <w:rPr>
          <w:rFonts w:hint="eastAsia"/>
          <w:sz w:val="28"/>
          <w:szCs w:val="28"/>
        </w:rPr>
        <w:t xml:space="preserve"> </w:t>
      </w:r>
      <w:r>
        <w:rPr>
          <w:rFonts w:hint="eastAsia"/>
          <w:b/>
          <w:bCs/>
          <w:sz w:val="28"/>
          <w:szCs w:val="28"/>
        </w:rPr>
        <w:t>制定</w:t>
      </w:r>
      <w:r>
        <w:rPr>
          <w:rFonts w:hint="eastAsia" w:ascii="Times New Roman" w:hAnsi="Times New Roman" w:cs="宋体"/>
          <w:b/>
          <w:bCs/>
          <w:kern w:val="0"/>
          <w:sz w:val="28"/>
          <w:szCs w:val="28"/>
        </w:rPr>
        <w:t>原则、要求及目标</w:t>
      </w:r>
    </w:p>
    <w:p>
      <w:pPr>
        <w:pStyle w:val="45"/>
        <w:widowControl/>
        <w:numPr>
          <w:ilvl w:val="0"/>
          <w:numId w:val="1"/>
        </w:numPr>
        <w:spacing w:line="375" w:lineRule="atLeast"/>
        <w:ind w:firstLineChars="0"/>
        <w:jc w:val="left"/>
        <w:rPr>
          <w:rFonts w:ascii="Times New Roman" w:hAnsi="Times New Roman" w:cs="宋体"/>
          <w:b/>
          <w:bCs/>
          <w:kern w:val="0"/>
          <w:sz w:val="28"/>
          <w:szCs w:val="28"/>
        </w:rPr>
      </w:pPr>
      <w:r>
        <w:rPr>
          <w:rFonts w:hint="eastAsia" w:ascii="Times New Roman" w:hAnsi="Times New Roman" w:cs="宋体"/>
          <w:b/>
          <w:bCs/>
          <w:kern w:val="0"/>
          <w:sz w:val="28"/>
          <w:szCs w:val="28"/>
        </w:rPr>
        <w:t>制定原则</w:t>
      </w:r>
    </w:p>
    <w:p>
      <w:pPr>
        <w:widowControl/>
        <w:spacing w:line="375" w:lineRule="atLeast"/>
        <w:ind w:firstLine="420" w:firstLineChars="150"/>
        <w:jc w:val="left"/>
        <w:rPr>
          <w:rFonts w:ascii="Times New Roman" w:hAnsi="Times New Roman" w:cs="宋体"/>
          <w:kern w:val="0"/>
          <w:sz w:val="28"/>
          <w:szCs w:val="28"/>
        </w:rPr>
      </w:pPr>
      <w:r>
        <w:rPr>
          <w:rFonts w:hint="eastAsia" w:ascii="Times New Roman" w:hAnsi="Times New Roman" w:cs="宋体"/>
          <w:kern w:val="0"/>
          <w:sz w:val="28"/>
          <w:szCs w:val="28"/>
        </w:rPr>
        <w:t>①合法性原则。编写本规程不能与任何强制性标准及法律法规相抵触。</w:t>
      </w:r>
    </w:p>
    <w:p>
      <w:pPr>
        <w:pStyle w:val="45"/>
        <w:widowControl/>
        <w:numPr>
          <w:ilvl w:val="1"/>
          <w:numId w:val="1"/>
        </w:numPr>
        <w:spacing w:line="375" w:lineRule="atLeast"/>
        <w:ind w:firstLineChars="0"/>
        <w:jc w:val="left"/>
        <w:rPr>
          <w:rFonts w:ascii="Times New Roman" w:hAnsi="Times New Roman" w:cs="宋体"/>
          <w:kern w:val="0"/>
          <w:sz w:val="28"/>
          <w:szCs w:val="28"/>
        </w:rPr>
      </w:pPr>
      <w:r>
        <w:rPr>
          <w:rFonts w:hint="eastAsia" w:ascii="Times New Roman" w:hAnsi="Times New Roman" w:cs="宋体"/>
          <w:kern w:val="0"/>
          <w:sz w:val="28"/>
          <w:szCs w:val="28"/>
        </w:rPr>
        <w:t>标准性原则。编写本规程必须注意基本格式、术语规范。</w:t>
      </w:r>
    </w:p>
    <w:p>
      <w:pPr>
        <w:pStyle w:val="45"/>
        <w:widowControl/>
        <w:numPr>
          <w:ilvl w:val="1"/>
          <w:numId w:val="1"/>
        </w:numPr>
        <w:spacing w:line="375" w:lineRule="atLeast"/>
        <w:ind w:firstLineChars="0"/>
        <w:jc w:val="left"/>
        <w:rPr>
          <w:rFonts w:ascii="Times New Roman" w:hAnsi="Times New Roman" w:cs="宋体"/>
          <w:b/>
          <w:bCs/>
          <w:kern w:val="0"/>
          <w:sz w:val="28"/>
          <w:szCs w:val="28"/>
        </w:rPr>
      </w:pPr>
      <w:r>
        <w:rPr>
          <w:rFonts w:hint="eastAsia" w:ascii="Times New Roman" w:hAnsi="Times New Roman" w:cs="宋体"/>
          <w:kern w:val="0"/>
          <w:sz w:val="28"/>
          <w:szCs w:val="28"/>
        </w:rPr>
        <w:t>引领性原则。编写本规程既要体现森林康养基地对从业人员的技</w:t>
      </w:r>
    </w:p>
    <w:p>
      <w:pPr>
        <w:widowControl/>
        <w:spacing w:line="375" w:lineRule="atLeast"/>
        <w:jc w:val="left"/>
        <w:rPr>
          <w:rFonts w:ascii="Times New Roman" w:hAnsi="Times New Roman" w:cs="宋体"/>
          <w:b/>
          <w:bCs/>
          <w:kern w:val="0"/>
          <w:sz w:val="28"/>
          <w:szCs w:val="28"/>
        </w:rPr>
      </w:pPr>
      <w:r>
        <w:rPr>
          <w:rFonts w:hint="eastAsia" w:ascii="Times New Roman" w:hAnsi="Times New Roman" w:cs="宋体"/>
          <w:kern w:val="0"/>
          <w:sz w:val="28"/>
          <w:szCs w:val="28"/>
        </w:rPr>
        <w:t>能需求，又要能具体实施，达到引领和接地气目的。</w:t>
      </w:r>
    </w:p>
    <w:p>
      <w:pPr>
        <w:pStyle w:val="45"/>
        <w:widowControl/>
        <w:numPr>
          <w:ilvl w:val="0"/>
          <w:numId w:val="1"/>
        </w:numPr>
        <w:spacing w:line="375" w:lineRule="atLeast"/>
        <w:ind w:firstLineChars="0"/>
        <w:jc w:val="left"/>
        <w:rPr>
          <w:rFonts w:ascii="Times New Roman" w:hAnsi="Times New Roman" w:cs="宋体"/>
          <w:b/>
          <w:bCs/>
          <w:kern w:val="0"/>
          <w:sz w:val="28"/>
          <w:szCs w:val="28"/>
        </w:rPr>
      </w:pPr>
      <w:r>
        <w:rPr>
          <w:rFonts w:hint="eastAsia" w:ascii="Times New Roman" w:hAnsi="Times New Roman" w:cs="宋体"/>
          <w:b/>
          <w:bCs/>
          <w:kern w:val="0"/>
          <w:sz w:val="28"/>
          <w:szCs w:val="28"/>
        </w:rPr>
        <w:t>制定要求</w:t>
      </w:r>
    </w:p>
    <w:p>
      <w:pPr>
        <w:widowControl/>
        <w:spacing w:line="375" w:lineRule="atLeast"/>
        <w:ind w:firstLine="560" w:firstLineChars="200"/>
        <w:jc w:val="left"/>
        <w:rPr>
          <w:rFonts w:ascii="Times New Roman" w:hAnsi="Times New Roman" w:cs="宋体"/>
          <w:kern w:val="0"/>
          <w:sz w:val="28"/>
          <w:szCs w:val="28"/>
        </w:rPr>
      </w:pPr>
      <w:r>
        <w:rPr>
          <w:rFonts w:hint="eastAsia" w:ascii="Times New Roman" w:hAnsi="Times New Roman" w:cs="宋体"/>
          <w:kern w:val="0"/>
          <w:sz w:val="28"/>
          <w:szCs w:val="28"/>
        </w:rPr>
        <w:t>①公共至上。编写本规程必须能够在各地推广应用，不能限制其他成果或排他成果。</w:t>
      </w:r>
    </w:p>
    <w:p>
      <w:pPr>
        <w:widowControl/>
        <w:spacing w:line="375" w:lineRule="atLeast"/>
        <w:ind w:firstLine="560" w:firstLineChars="200"/>
        <w:jc w:val="left"/>
        <w:rPr>
          <w:rFonts w:ascii="Times New Roman" w:hAnsi="Times New Roman" w:cs="宋体"/>
          <w:kern w:val="0"/>
          <w:sz w:val="28"/>
          <w:szCs w:val="28"/>
        </w:rPr>
      </w:pPr>
      <w:r>
        <w:rPr>
          <w:rFonts w:hint="eastAsia" w:ascii="Times New Roman" w:hAnsi="Times New Roman" w:cs="宋体"/>
          <w:kern w:val="0"/>
          <w:sz w:val="28"/>
          <w:szCs w:val="28"/>
        </w:rPr>
        <w:t>②简化优先。编写本规程要简练和协调统一，前者是指语言精练、不能拖泥带水，后者是指各个地方标准之间、地方标准与行业标准之间、各个行业标准之间、地方标准与国家标准之间要协调统一。</w:t>
      </w:r>
    </w:p>
    <w:p>
      <w:pPr>
        <w:widowControl/>
        <w:spacing w:line="375" w:lineRule="atLeast"/>
        <w:ind w:firstLine="560" w:firstLineChars="200"/>
        <w:jc w:val="left"/>
        <w:rPr>
          <w:rFonts w:ascii="Times New Roman" w:hAnsi="Times New Roman" w:cs="宋体"/>
          <w:kern w:val="0"/>
          <w:sz w:val="28"/>
          <w:szCs w:val="28"/>
        </w:rPr>
      </w:pPr>
      <w:r>
        <w:rPr>
          <w:rFonts w:hint="eastAsia" w:ascii="Times New Roman" w:hAnsi="Times New Roman" w:cs="宋体"/>
          <w:kern w:val="0"/>
          <w:sz w:val="28"/>
          <w:szCs w:val="28"/>
        </w:rPr>
        <w:t>③民主集中制。编写本规程要充分讨论，发挥集体智慧，负责人统筹考虑吸收各种意见定稿。</w:t>
      </w:r>
    </w:p>
    <w:p>
      <w:pPr>
        <w:pStyle w:val="45"/>
        <w:widowControl/>
        <w:numPr>
          <w:ilvl w:val="0"/>
          <w:numId w:val="1"/>
        </w:numPr>
        <w:spacing w:line="375" w:lineRule="atLeast"/>
        <w:ind w:firstLineChars="0"/>
        <w:jc w:val="left"/>
        <w:rPr>
          <w:rFonts w:ascii="Times New Roman" w:hAnsi="Times New Roman" w:cs="宋体"/>
          <w:b/>
          <w:bCs/>
          <w:kern w:val="0"/>
          <w:sz w:val="28"/>
          <w:szCs w:val="28"/>
        </w:rPr>
      </w:pPr>
      <w:r>
        <w:rPr>
          <w:rFonts w:hint="eastAsia" w:ascii="Times New Roman" w:hAnsi="Times New Roman" w:cs="宋体"/>
          <w:b/>
          <w:bCs/>
          <w:kern w:val="0"/>
          <w:sz w:val="28"/>
          <w:szCs w:val="28"/>
        </w:rPr>
        <w:t>制定目标</w:t>
      </w:r>
    </w:p>
    <w:p>
      <w:pPr>
        <w:pStyle w:val="45"/>
        <w:widowControl/>
        <w:spacing w:line="375" w:lineRule="atLeast"/>
        <w:ind w:left="141" w:leftChars="67" w:firstLine="560"/>
        <w:jc w:val="left"/>
        <w:rPr>
          <w:rFonts w:ascii="Times New Roman" w:hAnsi="Times New Roman" w:cs="宋体"/>
          <w:kern w:val="0"/>
          <w:sz w:val="28"/>
          <w:szCs w:val="28"/>
        </w:rPr>
      </w:pPr>
      <w:r>
        <w:rPr>
          <w:rFonts w:hint="eastAsia" w:ascii="Times New Roman" w:hAnsi="Times New Roman" w:cs="宋体"/>
          <w:kern w:val="0"/>
          <w:sz w:val="28"/>
          <w:szCs w:val="28"/>
        </w:rPr>
        <w:t>①科学性。编写本规程符合科学性，数据和观点有准确来源。如果表示很严格，非这样做不可的用词：正面词采用 “必须”、反面词采用 “严禁”。表示严格，在正常情况下均应这样做的用词：正面词采用 “应”、反面词采用 “不应”或“不得”。表示允许稍有选择，在条件许可时首先应这样做的用词：正面词采用“宜”、反面词采用“不宜”。</w:t>
      </w:r>
    </w:p>
    <w:p>
      <w:pPr>
        <w:widowControl/>
        <w:spacing w:line="375" w:lineRule="atLeast"/>
        <w:ind w:firstLine="560" w:firstLineChars="200"/>
        <w:jc w:val="left"/>
        <w:rPr>
          <w:rFonts w:ascii="Times New Roman" w:hAnsi="Times New Roman" w:cs="宋体"/>
          <w:kern w:val="0"/>
          <w:sz w:val="28"/>
          <w:szCs w:val="28"/>
        </w:rPr>
      </w:pPr>
      <w:r>
        <w:rPr>
          <w:rFonts w:hint="eastAsia" w:ascii="Times New Roman" w:hAnsi="Times New Roman" w:cs="宋体"/>
          <w:kern w:val="0"/>
          <w:sz w:val="28"/>
          <w:szCs w:val="28"/>
        </w:rPr>
        <w:t>②合理性。条文、条款、要求等要合理，不能牵强附会。</w:t>
      </w:r>
    </w:p>
    <w:p>
      <w:pPr>
        <w:pStyle w:val="45"/>
        <w:widowControl/>
        <w:spacing w:line="375" w:lineRule="atLeast"/>
        <w:ind w:left="141" w:leftChars="67" w:firstLineChars="150"/>
        <w:jc w:val="left"/>
        <w:rPr>
          <w:rFonts w:ascii="Times New Roman" w:hAnsi="Times New Roman" w:cs="宋体"/>
          <w:kern w:val="0"/>
          <w:sz w:val="28"/>
          <w:szCs w:val="28"/>
        </w:rPr>
      </w:pPr>
      <w:r>
        <w:rPr>
          <w:rFonts w:hint="eastAsia" w:ascii="Times New Roman" w:hAnsi="Times New Roman" w:cs="宋体"/>
          <w:kern w:val="0"/>
          <w:sz w:val="28"/>
          <w:szCs w:val="28"/>
        </w:rPr>
        <w:t>③规范性。编写本规程要符合国家规范性文件要求、编写标准规范性要求。条文中指明必须按其他有关标准和规范执行的写法为：“应符合……规定（或要求）”或“应按……执行”。非必须按指定的标准和其他规定执行的写法为：“可参照……的规定（或要求）”。</w:t>
      </w:r>
    </w:p>
    <w:p>
      <w:pPr>
        <w:pStyle w:val="2"/>
        <w:rPr>
          <w:sz w:val="28"/>
          <w:szCs w:val="28"/>
        </w:rPr>
      </w:pPr>
      <w:bookmarkStart w:id="3" w:name="_Toc18460"/>
      <w:r>
        <w:rPr>
          <w:rFonts w:hint="eastAsia"/>
          <w:sz w:val="28"/>
          <w:szCs w:val="28"/>
        </w:rPr>
        <w:t>3 工作情况</w:t>
      </w:r>
      <w:bookmarkEnd w:id="3"/>
    </w:p>
    <w:p>
      <w:pPr>
        <w:rPr>
          <w:b/>
          <w:bCs/>
          <w:sz w:val="28"/>
          <w:szCs w:val="28"/>
        </w:rPr>
      </w:pPr>
      <w:r>
        <w:rPr>
          <w:rFonts w:hint="eastAsia"/>
          <w:b/>
          <w:bCs/>
          <w:sz w:val="28"/>
          <w:szCs w:val="28"/>
        </w:rPr>
        <w:t>3.1 编制人员分工</w:t>
      </w:r>
    </w:p>
    <w:p>
      <w:pPr>
        <w:ind w:firstLine="560"/>
        <w:rPr>
          <w:sz w:val="28"/>
          <w:szCs w:val="28"/>
        </w:rPr>
      </w:pPr>
      <w:r>
        <w:rPr>
          <w:rFonts w:hint="eastAsia"/>
          <w:sz w:val="28"/>
          <w:szCs w:val="28"/>
        </w:rPr>
        <w:t>编写单位为湖南环境生物职业技术学院，编写组成员均为湖南环境生物职业技术学院具有林学或医学或旅游学或生态学专业背景，具有副高以上专业技术职称，熟悉相关理论和技术的专业教师，成员结构合理。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774"/>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jc w:val="center"/>
              <w:rPr>
                <w:sz w:val="28"/>
                <w:szCs w:val="28"/>
              </w:rPr>
            </w:pPr>
            <w:r>
              <w:rPr>
                <w:rFonts w:hint="eastAsia"/>
                <w:sz w:val="28"/>
                <w:szCs w:val="28"/>
              </w:rPr>
              <w:t>姓  名</w:t>
            </w:r>
          </w:p>
        </w:tc>
        <w:tc>
          <w:tcPr>
            <w:tcW w:w="2774" w:type="dxa"/>
            <w:vAlign w:val="center"/>
          </w:tcPr>
          <w:p>
            <w:pPr>
              <w:jc w:val="center"/>
              <w:rPr>
                <w:sz w:val="28"/>
                <w:szCs w:val="28"/>
              </w:rPr>
            </w:pPr>
            <w:r>
              <w:rPr>
                <w:rFonts w:hint="eastAsia"/>
                <w:sz w:val="28"/>
                <w:szCs w:val="28"/>
              </w:rPr>
              <w:t>职称/职务</w:t>
            </w:r>
          </w:p>
        </w:tc>
        <w:tc>
          <w:tcPr>
            <w:tcW w:w="4262" w:type="dxa"/>
            <w:vAlign w:val="center"/>
          </w:tcPr>
          <w:p>
            <w:pPr>
              <w:jc w:val="center"/>
              <w:rPr>
                <w:sz w:val="28"/>
                <w:szCs w:val="28"/>
              </w:rPr>
            </w:pPr>
            <w:r>
              <w:rPr>
                <w:rFonts w:hint="eastAsia"/>
                <w:sz w:val="28"/>
                <w:szCs w:val="28"/>
              </w:rPr>
              <w:t>成 员 分 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jc w:val="center"/>
              <w:rPr>
                <w:sz w:val="24"/>
                <w:szCs w:val="24"/>
              </w:rPr>
            </w:pPr>
            <w:r>
              <w:rPr>
                <w:rFonts w:hint="eastAsia"/>
                <w:sz w:val="24"/>
                <w:szCs w:val="24"/>
              </w:rPr>
              <w:t>雷巍娥</w:t>
            </w:r>
          </w:p>
        </w:tc>
        <w:tc>
          <w:tcPr>
            <w:tcW w:w="2774" w:type="dxa"/>
            <w:vAlign w:val="center"/>
          </w:tcPr>
          <w:p>
            <w:pPr>
              <w:rPr>
                <w:sz w:val="24"/>
                <w:szCs w:val="24"/>
              </w:rPr>
            </w:pPr>
            <w:r>
              <w:rPr>
                <w:rFonts w:hint="eastAsia"/>
                <w:sz w:val="24"/>
                <w:szCs w:val="24"/>
              </w:rPr>
              <w:t>教授/副校长</w:t>
            </w:r>
          </w:p>
        </w:tc>
        <w:tc>
          <w:tcPr>
            <w:tcW w:w="4262" w:type="dxa"/>
          </w:tcPr>
          <w:p>
            <w:pPr>
              <w:rPr>
                <w:sz w:val="24"/>
                <w:szCs w:val="24"/>
              </w:rPr>
            </w:pPr>
            <w:r>
              <w:rPr>
                <w:rFonts w:hint="eastAsia"/>
                <w:sz w:val="24"/>
                <w:szCs w:val="24"/>
              </w:rPr>
              <w:t>制定规程编制原则、框架结构，统筹标准的编制工作，培训内容模块一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姜小文</w:t>
            </w:r>
          </w:p>
        </w:tc>
        <w:tc>
          <w:tcPr>
            <w:tcW w:w="2774" w:type="dxa"/>
          </w:tcPr>
          <w:p>
            <w:pPr>
              <w:rPr>
                <w:sz w:val="24"/>
                <w:szCs w:val="24"/>
              </w:rPr>
            </w:pPr>
            <w:r>
              <w:rPr>
                <w:rFonts w:hint="eastAsia"/>
                <w:sz w:val="24"/>
                <w:szCs w:val="24"/>
              </w:rPr>
              <w:t>教授/评建办主任</w:t>
            </w:r>
          </w:p>
        </w:tc>
        <w:tc>
          <w:tcPr>
            <w:tcW w:w="4262" w:type="dxa"/>
          </w:tcPr>
          <w:p>
            <w:pPr>
              <w:rPr>
                <w:sz w:val="24"/>
                <w:szCs w:val="24"/>
              </w:rPr>
            </w:pPr>
            <w:r>
              <w:rPr>
                <w:rFonts w:hint="eastAsia"/>
                <w:sz w:val="24"/>
                <w:szCs w:val="24"/>
              </w:rPr>
              <w:t>术语与定义，培训内容模块二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张  翔</w:t>
            </w:r>
          </w:p>
        </w:tc>
        <w:tc>
          <w:tcPr>
            <w:tcW w:w="2774" w:type="dxa"/>
          </w:tcPr>
          <w:p>
            <w:pPr>
              <w:rPr>
                <w:sz w:val="24"/>
                <w:szCs w:val="24"/>
              </w:rPr>
            </w:pPr>
            <w:r>
              <w:rPr>
                <w:rFonts w:hint="eastAsia"/>
                <w:sz w:val="24"/>
                <w:szCs w:val="24"/>
              </w:rPr>
              <w:t>副教授/离退休办主任</w:t>
            </w:r>
          </w:p>
        </w:tc>
        <w:tc>
          <w:tcPr>
            <w:tcW w:w="4262" w:type="dxa"/>
          </w:tcPr>
          <w:p>
            <w:pPr>
              <w:rPr>
                <w:sz w:val="24"/>
                <w:szCs w:val="24"/>
              </w:rPr>
            </w:pPr>
            <w:r>
              <w:rPr>
                <w:rFonts w:hint="eastAsia"/>
                <w:sz w:val="24"/>
                <w:szCs w:val="24"/>
              </w:rPr>
              <w:t>培训内容模块三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李建铁</w:t>
            </w:r>
          </w:p>
        </w:tc>
        <w:tc>
          <w:tcPr>
            <w:tcW w:w="2774" w:type="dxa"/>
          </w:tcPr>
          <w:p>
            <w:pPr>
              <w:rPr>
                <w:sz w:val="24"/>
                <w:szCs w:val="24"/>
              </w:rPr>
            </w:pPr>
            <w:r>
              <w:rPr>
                <w:rFonts w:hint="eastAsia"/>
                <w:sz w:val="24"/>
                <w:szCs w:val="24"/>
              </w:rPr>
              <w:t>副教授/生态宜居学院党总支付书记</w:t>
            </w:r>
          </w:p>
        </w:tc>
        <w:tc>
          <w:tcPr>
            <w:tcW w:w="4262" w:type="dxa"/>
          </w:tcPr>
          <w:p>
            <w:pPr>
              <w:rPr>
                <w:sz w:val="24"/>
                <w:szCs w:val="24"/>
              </w:rPr>
            </w:pPr>
            <w:r>
              <w:rPr>
                <w:rFonts w:hint="eastAsia"/>
                <w:sz w:val="24"/>
                <w:szCs w:val="24"/>
              </w:rPr>
              <w:t>培训内容模块三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赵其辉</w:t>
            </w:r>
          </w:p>
        </w:tc>
        <w:tc>
          <w:tcPr>
            <w:tcW w:w="2774" w:type="dxa"/>
            <w:vAlign w:val="center"/>
          </w:tcPr>
          <w:p>
            <w:pPr>
              <w:jc w:val="left"/>
              <w:rPr>
                <w:sz w:val="24"/>
                <w:szCs w:val="24"/>
              </w:rPr>
            </w:pPr>
            <w:r>
              <w:rPr>
                <w:rFonts w:hint="eastAsia"/>
                <w:sz w:val="24"/>
                <w:szCs w:val="24"/>
              </w:rPr>
              <w:t>教授/医学院院长</w:t>
            </w:r>
          </w:p>
        </w:tc>
        <w:tc>
          <w:tcPr>
            <w:tcW w:w="4262" w:type="dxa"/>
          </w:tcPr>
          <w:p>
            <w:pPr>
              <w:widowControl/>
              <w:spacing w:line="375" w:lineRule="atLeast"/>
              <w:jc w:val="left"/>
              <w:rPr>
                <w:sz w:val="24"/>
                <w:szCs w:val="24"/>
              </w:rPr>
            </w:pPr>
            <w:r>
              <w:rPr>
                <w:rFonts w:hint="eastAsia"/>
                <w:sz w:val="24"/>
                <w:szCs w:val="24"/>
              </w:rPr>
              <w:t>培训内容模块四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何凤英</w:t>
            </w:r>
          </w:p>
        </w:tc>
        <w:tc>
          <w:tcPr>
            <w:tcW w:w="2774" w:type="dxa"/>
          </w:tcPr>
          <w:p>
            <w:pPr>
              <w:rPr>
                <w:sz w:val="24"/>
                <w:szCs w:val="24"/>
              </w:rPr>
            </w:pPr>
            <w:r>
              <w:rPr>
                <w:rFonts w:hint="eastAsia"/>
                <w:sz w:val="24"/>
                <w:szCs w:val="24"/>
              </w:rPr>
              <w:t>副主任医师/医学院副院长</w:t>
            </w:r>
          </w:p>
        </w:tc>
        <w:tc>
          <w:tcPr>
            <w:tcW w:w="4262" w:type="dxa"/>
          </w:tcPr>
          <w:p>
            <w:pPr>
              <w:widowControl/>
              <w:spacing w:line="375" w:lineRule="atLeast"/>
              <w:jc w:val="left"/>
              <w:rPr>
                <w:sz w:val="24"/>
                <w:szCs w:val="24"/>
              </w:rPr>
            </w:pPr>
            <w:r>
              <w:rPr>
                <w:rFonts w:hint="eastAsia"/>
                <w:sz w:val="24"/>
                <w:szCs w:val="24"/>
              </w:rPr>
              <w:t>培训内容模块四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张自珍</w:t>
            </w:r>
          </w:p>
        </w:tc>
        <w:tc>
          <w:tcPr>
            <w:tcW w:w="2774" w:type="dxa"/>
            <w:vAlign w:val="center"/>
          </w:tcPr>
          <w:p>
            <w:pPr>
              <w:ind w:left="240" w:hanging="240" w:hangingChars="100"/>
              <w:rPr>
                <w:sz w:val="24"/>
                <w:szCs w:val="24"/>
              </w:rPr>
            </w:pPr>
            <w:r>
              <w:rPr>
                <w:rFonts w:hint="eastAsia"/>
                <w:sz w:val="24"/>
                <w:szCs w:val="24"/>
              </w:rPr>
              <w:t>副教授/医学院副院长</w:t>
            </w:r>
          </w:p>
        </w:tc>
        <w:tc>
          <w:tcPr>
            <w:tcW w:w="4262" w:type="dxa"/>
          </w:tcPr>
          <w:p>
            <w:pPr>
              <w:rPr>
                <w:sz w:val="24"/>
                <w:szCs w:val="24"/>
              </w:rPr>
            </w:pPr>
            <w:r>
              <w:rPr>
                <w:rFonts w:hint="eastAsia"/>
                <w:sz w:val="24"/>
                <w:szCs w:val="24"/>
              </w:rPr>
              <w:t>培训内容模块六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蒋祁桂</w:t>
            </w:r>
          </w:p>
        </w:tc>
        <w:tc>
          <w:tcPr>
            <w:tcW w:w="2774" w:type="dxa"/>
          </w:tcPr>
          <w:p>
            <w:pPr>
              <w:rPr>
                <w:sz w:val="24"/>
                <w:szCs w:val="24"/>
              </w:rPr>
            </w:pPr>
            <w:r>
              <w:rPr>
                <w:rFonts w:hint="eastAsia"/>
                <w:sz w:val="24"/>
                <w:szCs w:val="24"/>
              </w:rPr>
              <w:t>中医教研室主任</w:t>
            </w:r>
          </w:p>
        </w:tc>
        <w:tc>
          <w:tcPr>
            <w:tcW w:w="4262" w:type="dxa"/>
          </w:tcPr>
          <w:p>
            <w:pPr>
              <w:rPr>
                <w:sz w:val="24"/>
                <w:szCs w:val="24"/>
              </w:rPr>
            </w:pPr>
            <w:r>
              <w:rPr>
                <w:rFonts w:hint="eastAsia"/>
                <w:sz w:val="24"/>
                <w:szCs w:val="24"/>
              </w:rPr>
              <w:t>培训内容模块七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罗小宁</w:t>
            </w:r>
          </w:p>
        </w:tc>
        <w:tc>
          <w:tcPr>
            <w:tcW w:w="2774" w:type="dxa"/>
          </w:tcPr>
          <w:p>
            <w:pPr>
              <w:rPr>
                <w:sz w:val="24"/>
                <w:szCs w:val="24"/>
              </w:rPr>
            </w:pPr>
            <w:r>
              <w:rPr>
                <w:rFonts w:hint="eastAsia"/>
                <w:sz w:val="24"/>
                <w:szCs w:val="24"/>
              </w:rPr>
              <w:t>副主任医师/医药技术学院教学班主任</w:t>
            </w:r>
          </w:p>
        </w:tc>
        <w:tc>
          <w:tcPr>
            <w:tcW w:w="4262" w:type="dxa"/>
          </w:tcPr>
          <w:p>
            <w:pPr>
              <w:rPr>
                <w:sz w:val="24"/>
                <w:szCs w:val="24"/>
              </w:rPr>
            </w:pPr>
            <w:r>
              <w:rPr>
                <w:rFonts w:hint="eastAsia"/>
                <w:sz w:val="24"/>
                <w:szCs w:val="24"/>
              </w:rPr>
              <w:t>培训内容模块七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袁迎春</w:t>
            </w:r>
          </w:p>
        </w:tc>
        <w:tc>
          <w:tcPr>
            <w:tcW w:w="2774" w:type="dxa"/>
            <w:vAlign w:val="center"/>
          </w:tcPr>
          <w:p>
            <w:pPr>
              <w:rPr>
                <w:sz w:val="24"/>
                <w:szCs w:val="24"/>
              </w:rPr>
            </w:pPr>
            <w:r>
              <w:rPr>
                <w:rFonts w:hint="eastAsia"/>
                <w:sz w:val="24"/>
                <w:szCs w:val="24"/>
              </w:rPr>
              <w:t>主任护师</w:t>
            </w:r>
          </w:p>
        </w:tc>
        <w:tc>
          <w:tcPr>
            <w:tcW w:w="4262" w:type="dxa"/>
          </w:tcPr>
          <w:p>
            <w:pPr>
              <w:widowControl/>
              <w:spacing w:line="375" w:lineRule="atLeast"/>
              <w:jc w:val="left"/>
              <w:rPr>
                <w:sz w:val="24"/>
                <w:szCs w:val="24"/>
              </w:rPr>
            </w:pPr>
            <w:r>
              <w:rPr>
                <w:rFonts w:hint="eastAsia"/>
                <w:sz w:val="24"/>
                <w:szCs w:val="24"/>
              </w:rPr>
              <w:t>培训内容模块八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曹建平</w:t>
            </w:r>
          </w:p>
        </w:tc>
        <w:tc>
          <w:tcPr>
            <w:tcW w:w="2774" w:type="dxa"/>
            <w:vAlign w:val="center"/>
          </w:tcPr>
          <w:p>
            <w:pPr>
              <w:rPr>
                <w:sz w:val="24"/>
                <w:szCs w:val="24"/>
              </w:rPr>
            </w:pPr>
            <w:r>
              <w:rPr>
                <w:rFonts w:hint="eastAsia"/>
                <w:sz w:val="24"/>
                <w:szCs w:val="24"/>
              </w:rPr>
              <w:t>副教授/医药技术学院院副院长</w:t>
            </w:r>
          </w:p>
        </w:tc>
        <w:tc>
          <w:tcPr>
            <w:tcW w:w="4262" w:type="dxa"/>
          </w:tcPr>
          <w:p>
            <w:pPr>
              <w:widowControl/>
              <w:spacing w:line="375" w:lineRule="atLeast"/>
              <w:jc w:val="left"/>
              <w:rPr>
                <w:sz w:val="24"/>
                <w:szCs w:val="24"/>
              </w:rPr>
            </w:pPr>
            <w:r>
              <w:rPr>
                <w:rFonts w:hint="eastAsia"/>
                <w:sz w:val="24"/>
                <w:szCs w:val="24"/>
              </w:rPr>
              <w:t>培训内容模块九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刘德勇</w:t>
            </w:r>
          </w:p>
        </w:tc>
        <w:tc>
          <w:tcPr>
            <w:tcW w:w="2774" w:type="dxa"/>
            <w:vAlign w:val="center"/>
          </w:tcPr>
          <w:p>
            <w:pPr>
              <w:rPr>
                <w:sz w:val="24"/>
                <w:szCs w:val="24"/>
              </w:rPr>
            </w:pPr>
            <w:r>
              <w:rPr>
                <w:rFonts w:hint="eastAsia"/>
                <w:sz w:val="24"/>
                <w:szCs w:val="24"/>
              </w:rPr>
              <w:t>副教授/继续教育部副主任</w:t>
            </w:r>
          </w:p>
        </w:tc>
        <w:tc>
          <w:tcPr>
            <w:tcW w:w="4262" w:type="dxa"/>
          </w:tcPr>
          <w:p>
            <w:pPr>
              <w:widowControl/>
              <w:spacing w:line="375" w:lineRule="atLeast"/>
              <w:jc w:val="left"/>
              <w:rPr>
                <w:sz w:val="24"/>
                <w:szCs w:val="24"/>
              </w:rPr>
            </w:pPr>
            <w:r>
              <w:rPr>
                <w:rFonts w:hint="eastAsia"/>
                <w:sz w:val="24"/>
                <w:szCs w:val="24"/>
              </w:rPr>
              <w:t>培训组织与培训管理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Align w:val="center"/>
          </w:tcPr>
          <w:p>
            <w:pPr>
              <w:widowControl/>
              <w:spacing w:line="375" w:lineRule="atLeast"/>
              <w:jc w:val="center"/>
              <w:rPr>
                <w:sz w:val="24"/>
                <w:szCs w:val="24"/>
              </w:rPr>
            </w:pPr>
            <w:r>
              <w:rPr>
                <w:rFonts w:hint="eastAsia"/>
                <w:sz w:val="24"/>
                <w:szCs w:val="24"/>
              </w:rPr>
              <w:t>林仲桂</w:t>
            </w:r>
          </w:p>
        </w:tc>
        <w:tc>
          <w:tcPr>
            <w:tcW w:w="2774" w:type="dxa"/>
            <w:vAlign w:val="center"/>
          </w:tcPr>
          <w:p>
            <w:pPr>
              <w:rPr>
                <w:sz w:val="24"/>
                <w:szCs w:val="24"/>
              </w:rPr>
            </w:pPr>
            <w:r>
              <w:rPr>
                <w:rFonts w:hint="eastAsia"/>
                <w:sz w:val="24"/>
                <w:szCs w:val="24"/>
              </w:rPr>
              <w:t>教授/教务处处长</w:t>
            </w:r>
          </w:p>
        </w:tc>
        <w:tc>
          <w:tcPr>
            <w:tcW w:w="4262" w:type="dxa"/>
          </w:tcPr>
          <w:p>
            <w:pPr>
              <w:widowControl/>
              <w:spacing w:line="375" w:lineRule="atLeast"/>
              <w:jc w:val="left"/>
              <w:rPr>
                <w:sz w:val="24"/>
                <w:szCs w:val="24"/>
              </w:rPr>
            </w:pPr>
            <w:r>
              <w:rPr>
                <w:rFonts w:hint="eastAsia"/>
                <w:sz w:val="24"/>
                <w:szCs w:val="24"/>
              </w:rPr>
              <w:t>培训组织与培训管理</w:t>
            </w:r>
          </w:p>
        </w:tc>
      </w:tr>
    </w:tbl>
    <w:p>
      <w:pPr>
        <w:rPr>
          <w:sz w:val="28"/>
          <w:szCs w:val="28"/>
        </w:rPr>
      </w:pPr>
    </w:p>
    <w:p>
      <w:pPr>
        <w:rPr>
          <w:b/>
          <w:bCs/>
          <w:sz w:val="28"/>
          <w:szCs w:val="28"/>
        </w:rPr>
      </w:pPr>
      <w:r>
        <w:rPr>
          <w:rFonts w:hint="eastAsia"/>
          <w:b/>
          <w:bCs/>
          <w:sz w:val="28"/>
          <w:szCs w:val="28"/>
        </w:rPr>
        <w:t>3.2 主要工作过程</w:t>
      </w:r>
    </w:p>
    <w:p>
      <w:pPr>
        <w:rPr>
          <w:b/>
          <w:bCs/>
          <w:sz w:val="28"/>
          <w:szCs w:val="28"/>
        </w:rPr>
      </w:pPr>
      <w:r>
        <w:rPr>
          <w:rFonts w:hint="eastAsia"/>
          <w:b/>
          <w:bCs/>
          <w:sz w:val="28"/>
          <w:szCs w:val="28"/>
        </w:rPr>
        <w:t>3.2.1 工作基础</w:t>
      </w:r>
    </w:p>
    <w:p>
      <w:pPr>
        <w:ind w:firstLine="560"/>
        <w:rPr>
          <w:sz w:val="28"/>
          <w:szCs w:val="28"/>
        </w:rPr>
      </w:pPr>
      <w:r>
        <w:rPr>
          <w:rFonts w:hint="eastAsia"/>
          <w:sz w:val="28"/>
          <w:szCs w:val="28"/>
        </w:rPr>
        <w:t>自1975年办学以来，我院先后开办了林业、园林、森林保护、森林生态旅游等专业，2004年具有近60年办学历史的原国家重点中专衡阳市卫生学校整体并入。几十年的办学历史，积累了丰富的教育教学经验，形成了一支专业基础扎实、科研能力强的师资队伍，承担了多项服务社会项目，为该项目的顺利进行及完成提供人才保障。</w:t>
      </w:r>
    </w:p>
    <w:p>
      <w:pPr>
        <w:ind w:firstLine="560"/>
        <w:rPr>
          <w:sz w:val="28"/>
          <w:szCs w:val="28"/>
        </w:rPr>
      </w:pPr>
      <w:r>
        <w:rPr>
          <w:rFonts w:hint="eastAsia"/>
          <w:sz w:val="28"/>
          <w:szCs w:val="28"/>
        </w:rPr>
        <w:t>项目组成员精心挑选，均为相关专业骨干，熟悉业务，有若干成员主持或参与过标准的制订工作，或参加了《森林康养概论》（2016年10月，中国林业出版社出版）的编写工作，对森林康养及其产业发展有较深的了解与理解，有利于本项目的进行和完成。</w:t>
      </w:r>
    </w:p>
    <w:p>
      <w:pPr>
        <w:ind w:firstLine="560"/>
        <w:rPr>
          <w:sz w:val="28"/>
          <w:szCs w:val="28"/>
        </w:rPr>
      </w:pPr>
      <w:r>
        <w:rPr>
          <w:rFonts w:hint="eastAsia"/>
          <w:sz w:val="28"/>
          <w:szCs w:val="28"/>
        </w:rPr>
        <w:t>在湖南省林业局的组织与指导下，</w:t>
      </w:r>
      <w:r>
        <w:rPr>
          <w:sz w:val="28"/>
          <w:szCs w:val="28"/>
        </w:rPr>
        <w:t>2017</w:t>
      </w:r>
      <w:r>
        <w:rPr>
          <w:rFonts w:hint="eastAsia"/>
          <w:sz w:val="28"/>
          <w:szCs w:val="28"/>
        </w:rPr>
        <w:t>年8月，我院与青羊湖国家森林公园联合承办了“首届国际森林康养技能培训班”，项目组成员大多为培训课程教师，积累了森林康养技能培训经验，为标准的研制奠定了一定的基础。</w:t>
      </w:r>
    </w:p>
    <w:p>
      <w:pPr>
        <w:ind w:firstLine="560"/>
        <w:rPr>
          <w:sz w:val="28"/>
          <w:szCs w:val="28"/>
        </w:rPr>
      </w:pPr>
    </w:p>
    <w:p>
      <w:pPr>
        <w:rPr>
          <w:b/>
          <w:bCs/>
          <w:sz w:val="28"/>
          <w:szCs w:val="28"/>
        </w:rPr>
      </w:pPr>
      <w:r>
        <w:rPr>
          <w:rFonts w:hint="eastAsia"/>
          <w:b/>
          <w:bCs/>
          <w:sz w:val="28"/>
          <w:szCs w:val="28"/>
        </w:rPr>
        <w:t>3.2.2 工作方法</w:t>
      </w:r>
    </w:p>
    <w:p>
      <w:pPr>
        <w:rPr>
          <w:sz w:val="28"/>
          <w:szCs w:val="28"/>
        </w:rPr>
      </w:pPr>
      <w:r>
        <w:rPr>
          <w:rFonts w:hint="eastAsia"/>
          <w:sz w:val="28"/>
          <w:szCs w:val="28"/>
        </w:rPr>
        <w:t xml:space="preserve">    2017年12月成立了标准制订项目组，确定了本规程编制的主要内容和技术指标，并根据工作内容，对人员进行了分工。</w:t>
      </w:r>
    </w:p>
    <w:p>
      <w:pPr>
        <w:rPr>
          <w:sz w:val="28"/>
          <w:szCs w:val="28"/>
        </w:rPr>
      </w:pPr>
      <w:r>
        <w:rPr>
          <w:rFonts w:hint="eastAsia"/>
          <w:sz w:val="28"/>
          <w:szCs w:val="28"/>
        </w:rPr>
        <w:t xml:space="preserve">    以国家和行业最新标准为基础，结合森林康养基地对从业人员技能需求的实际情况，根据国家规程编写格式，完成了标准的征求意见稿。在广泛征求相关单位专家意见的基础上修改、完善形成送审稿。</w:t>
      </w:r>
    </w:p>
    <w:p>
      <w:pPr>
        <w:rPr>
          <w:b/>
          <w:bCs/>
          <w:sz w:val="28"/>
          <w:szCs w:val="28"/>
        </w:rPr>
      </w:pPr>
      <w:r>
        <w:rPr>
          <w:rFonts w:hint="eastAsia"/>
          <w:b/>
          <w:bCs/>
          <w:sz w:val="28"/>
          <w:szCs w:val="28"/>
        </w:rPr>
        <w:t>3.2.3 主要工作过程</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3.2.3.1 准备阶段</w:t>
      </w:r>
    </w:p>
    <w:p>
      <w:pPr>
        <w:widowControl/>
        <w:spacing w:line="375" w:lineRule="atLeast"/>
        <w:ind w:firstLine="560" w:firstLineChars="200"/>
        <w:jc w:val="left"/>
        <w:rPr>
          <w:rFonts w:ascii="宋体" w:hAnsi="宋体" w:eastAsia="宋体" w:cs="宋体"/>
          <w:kern w:val="0"/>
          <w:sz w:val="28"/>
          <w:szCs w:val="28"/>
          <w:lang w:bidi="ar"/>
        </w:rPr>
      </w:pPr>
      <w:r>
        <w:rPr>
          <w:rFonts w:hint="eastAsia"/>
          <w:sz w:val="28"/>
          <w:szCs w:val="28"/>
        </w:rPr>
        <w:t>2017年12月成立了标准制订项目组，本月召开了第一次项目组会议，制定了工作方案和技术路线，分派了编写任务。</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3.2.3.2 收集资料</w:t>
      </w:r>
    </w:p>
    <w:p>
      <w:pPr>
        <w:widowControl/>
        <w:spacing w:line="375" w:lineRule="atLeast"/>
        <w:jc w:val="left"/>
        <w:rPr>
          <w:rFonts w:ascii="宋体" w:hAnsi="宋体" w:eastAsia="宋体" w:cs="宋体"/>
          <w:kern w:val="0"/>
          <w:sz w:val="28"/>
          <w:szCs w:val="28"/>
          <w:lang w:bidi="ar"/>
        </w:rPr>
      </w:pPr>
      <w:r>
        <w:rPr>
          <w:rFonts w:hint="eastAsia" w:ascii="宋体" w:hAnsi="宋体" w:eastAsia="宋体" w:cs="宋体"/>
          <w:kern w:val="0"/>
          <w:sz w:val="28"/>
          <w:szCs w:val="28"/>
          <w:lang w:bidi="ar"/>
        </w:rPr>
        <w:t xml:space="preserve">    2018年1</w:t>
      </w:r>
      <w:r>
        <w:rPr>
          <w:rFonts w:hint="eastAsia"/>
          <w:sz w:val="28"/>
          <w:szCs w:val="28"/>
        </w:rPr>
        <w:t>~</w:t>
      </w:r>
      <w:r>
        <w:rPr>
          <w:rFonts w:hint="eastAsia" w:ascii="宋体" w:hAnsi="宋体" w:eastAsia="宋体" w:cs="宋体"/>
          <w:kern w:val="0"/>
          <w:sz w:val="28"/>
          <w:szCs w:val="28"/>
          <w:lang w:bidi="ar"/>
        </w:rPr>
        <w:t>2月，主要收集与森林康养及其技能培训相关的技术标准、规程及专业文献资料等。</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3.2.3.3 初稿编写阶段</w:t>
      </w:r>
    </w:p>
    <w:p>
      <w:pPr>
        <w:widowControl/>
        <w:spacing w:line="375" w:lineRule="atLeast"/>
        <w:jc w:val="left"/>
        <w:rPr>
          <w:rFonts w:ascii="宋体" w:hAnsi="宋体" w:eastAsia="宋体" w:cs="宋体"/>
          <w:kern w:val="0"/>
          <w:sz w:val="28"/>
          <w:szCs w:val="28"/>
          <w:lang w:bidi="ar"/>
        </w:rPr>
      </w:pPr>
      <w:r>
        <w:rPr>
          <w:rFonts w:hint="eastAsia" w:ascii="宋体" w:hAnsi="宋体" w:eastAsia="宋体" w:cs="宋体"/>
          <w:kern w:val="0"/>
          <w:sz w:val="28"/>
          <w:szCs w:val="28"/>
          <w:lang w:bidi="ar"/>
        </w:rPr>
        <w:t xml:space="preserve">    2018年3月</w:t>
      </w:r>
      <w:r>
        <w:rPr>
          <w:rFonts w:hint="eastAsia"/>
          <w:sz w:val="28"/>
          <w:szCs w:val="28"/>
        </w:rPr>
        <w:t>~</w:t>
      </w:r>
      <w:r>
        <w:rPr>
          <w:rFonts w:hint="eastAsia" w:ascii="宋体" w:hAnsi="宋体" w:eastAsia="宋体" w:cs="宋体"/>
          <w:kern w:val="0"/>
          <w:sz w:val="28"/>
          <w:szCs w:val="28"/>
          <w:lang w:bidi="ar"/>
        </w:rPr>
        <w:t>9月，</w:t>
      </w:r>
      <w:r>
        <w:rPr>
          <w:rFonts w:hint="eastAsia"/>
          <w:sz w:val="28"/>
          <w:szCs w:val="28"/>
        </w:rPr>
        <w:t>标准制订项目组成员</w:t>
      </w:r>
      <w:r>
        <w:rPr>
          <w:rFonts w:hint="eastAsia" w:ascii="宋体" w:hAnsi="宋体" w:eastAsia="宋体" w:cs="宋体"/>
          <w:kern w:val="0"/>
          <w:sz w:val="28"/>
          <w:szCs w:val="28"/>
          <w:lang w:bidi="ar"/>
        </w:rPr>
        <w:t>根据分派的编写任务进行标准制订与条文编写。初稿编写过程中，项目组成员多次碰头，反复研讨，并召开了初稿汇报会，征求相关专家意见。在充分研究专家意见和建议的基础上，对初稿进行了修改、完善，形成了《森林康养技能培训规程》（以下简称《规程》）讨论意见稿。</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3.2.3.4 征求意见稿编写阶段</w:t>
      </w:r>
    </w:p>
    <w:p>
      <w:pPr>
        <w:widowControl/>
        <w:spacing w:line="375" w:lineRule="atLeast"/>
        <w:ind w:firstLine="560" w:firstLineChars="200"/>
        <w:jc w:val="left"/>
        <w:rPr>
          <w:rFonts w:ascii="宋体" w:hAnsi="宋体" w:eastAsia="宋体" w:cs="宋体"/>
          <w:kern w:val="0"/>
          <w:sz w:val="28"/>
          <w:szCs w:val="28"/>
          <w:lang w:bidi="ar"/>
        </w:rPr>
      </w:pPr>
      <w:r>
        <w:rPr>
          <w:rFonts w:hint="eastAsia" w:ascii="宋体" w:hAnsi="宋体" w:eastAsia="宋体" w:cs="宋体"/>
          <w:kern w:val="0"/>
          <w:sz w:val="28"/>
          <w:szCs w:val="28"/>
          <w:lang w:bidi="ar"/>
        </w:rPr>
        <w:t>2018年10月，我单位组织相关单位专家对《规程》（讨论意见稿）进行认真讨论，</w:t>
      </w:r>
      <w:r>
        <w:rPr>
          <w:rFonts w:hint="eastAsia"/>
          <w:sz w:val="28"/>
          <w:szCs w:val="28"/>
        </w:rPr>
        <w:t>项目组根据讨论会专家提出的意见和建议做了详细的修改、补充、完善，形成了</w:t>
      </w:r>
      <w:r>
        <w:rPr>
          <w:rFonts w:hint="eastAsia" w:ascii="宋体" w:hAnsi="宋体" w:eastAsia="宋体" w:cs="宋体"/>
          <w:kern w:val="0"/>
          <w:sz w:val="28"/>
          <w:szCs w:val="28"/>
          <w:lang w:bidi="ar"/>
        </w:rPr>
        <w:t>《规程》（</w:t>
      </w:r>
      <w:r>
        <w:rPr>
          <w:rFonts w:hint="eastAsia"/>
          <w:sz w:val="28"/>
          <w:szCs w:val="28"/>
        </w:rPr>
        <w:t>征求意见稿）。</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3.2.3.5修改送审稿阶段</w:t>
      </w:r>
    </w:p>
    <w:p>
      <w:pPr>
        <w:widowControl/>
        <w:spacing w:line="375" w:lineRule="atLeast"/>
        <w:ind w:firstLine="560" w:firstLineChars="200"/>
        <w:jc w:val="left"/>
        <w:rPr>
          <w:rFonts w:ascii="宋体" w:hAnsi="宋体" w:eastAsia="宋体" w:cs="宋体"/>
          <w:kern w:val="0"/>
          <w:sz w:val="28"/>
          <w:szCs w:val="28"/>
          <w:lang w:bidi="ar"/>
        </w:rPr>
      </w:pPr>
      <w:r>
        <w:rPr>
          <w:rFonts w:hint="eastAsia" w:ascii="宋体" w:hAnsi="宋体" w:eastAsia="宋体" w:cs="宋体"/>
          <w:kern w:val="0"/>
          <w:sz w:val="28"/>
          <w:szCs w:val="28"/>
          <w:lang w:bidi="ar"/>
        </w:rPr>
        <w:t>2018年10月下旬，我单位发送了关于征求湖南省地方标准《规程》修改意见的函，向相关单位或个人征求意见。到2018年12月，共收到反馈意见9份，提出建议65条（对收集到的意见采纳修改或拒绝采纳的情况见附件1：湖南省地方标准《规程》征求意见反馈与处理表）。</w:t>
      </w:r>
      <w:r>
        <w:rPr>
          <w:rFonts w:hint="eastAsia"/>
          <w:sz w:val="28"/>
          <w:szCs w:val="28"/>
        </w:rPr>
        <w:t>项目组根据专家们的意见和建议做了详细的修改、补充和完善，至2019年6月形成了送审稿。</w:t>
      </w:r>
    </w:p>
    <w:p>
      <w:pPr>
        <w:pStyle w:val="2"/>
        <w:rPr>
          <w:sz w:val="28"/>
          <w:szCs w:val="28"/>
        </w:rPr>
      </w:pPr>
      <w:bookmarkStart w:id="4" w:name="_Toc9996"/>
      <w:r>
        <w:rPr>
          <w:rFonts w:hint="eastAsia"/>
          <w:sz w:val="28"/>
          <w:szCs w:val="28"/>
        </w:rPr>
        <w:t>4 标准制定的主要内容</w:t>
      </w:r>
      <w:bookmarkEnd w:id="4"/>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4.1 标准的适用范围</w:t>
      </w:r>
    </w:p>
    <w:p>
      <w:pPr>
        <w:widowControl/>
        <w:spacing w:line="375" w:lineRule="atLeast"/>
        <w:ind w:firstLine="560" w:firstLineChars="200"/>
        <w:jc w:val="left"/>
        <w:rPr>
          <w:sz w:val="28"/>
          <w:szCs w:val="28"/>
        </w:rPr>
      </w:pPr>
      <w:r>
        <w:rPr>
          <w:rFonts w:hint="eastAsia"/>
          <w:sz w:val="28"/>
          <w:szCs w:val="28"/>
        </w:rPr>
        <w:t>本标准适用于森林康养基地从业人员的技能培训。</w:t>
      </w:r>
    </w:p>
    <w:p>
      <w:pPr>
        <w:widowControl/>
        <w:spacing w:line="375" w:lineRule="atLeast"/>
        <w:jc w:val="left"/>
        <w:rPr>
          <w:rFonts w:ascii="宋体" w:hAnsi="宋体" w:eastAsia="宋体" w:cs="宋体"/>
          <w:kern w:val="0"/>
          <w:sz w:val="28"/>
          <w:szCs w:val="28"/>
          <w:lang w:bidi="ar"/>
        </w:rPr>
      </w:pPr>
      <w:r>
        <w:rPr>
          <w:rFonts w:hint="eastAsia" w:ascii="宋体" w:hAnsi="宋体" w:eastAsia="宋体" w:cs="宋体"/>
          <w:b/>
          <w:bCs/>
          <w:kern w:val="0"/>
          <w:sz w:val="28"/>
          <w:szCs w:val="28"/>
          <w:lang w:bidi="ar"/>
        </w:rPr>
        <w:t>4.2 规范性引用文件</w:t>
      </w:r>
    </w:p>
    <w:p>
      <w:pPr>
        <w:pStyle w:val="47"/>
        <w:spacing w:line="360" w:lineRule="auto"/>
        <w:ind w:firstLine="560"/>
        <w:rPr>
          <w:sz w:val="28"/>
          <w:szCs w:val="28"/>
        </w:rPr>
      </w:pPr>
      <w:r>
        <w:rPr>
          <w:rFonts w:hint="eastAsia"/>
          <w:sz w:val="28"/>
          <w:szCs w:val="28"/>
        </w:rPr>
        <w:t>引用现有的无障碍设计规范、休闲露营地建设与服务规范、森林基地总体规划导则、森林基地质量评定标准、国家康养旅游示范基地标准、饭店服务礼仪规范、临床常用急救操作技术标准等。</w:t>
      </w:r>
    </w:p>
    <w:p>
      <w:pPr>
        <w:widowControl/>
        <w:spacing w:line="375" w:lineRule="atLeast"/>
        <w:jc w:val="left"/>
        <w:rPr>
          <w:rFonts w:ascii="宋体" w:hAnsi="宋体" w:eastAsia="宋体" w:cs="宋体"/>
          <w:b/>
          <w:bCs/>
          <w:kern w:val="0"/>
          <w:sz w:val="28"/>
          <w:szCs w:val="28"/>
          <w:lang w:bidi="ar"/>
        </w:rPr>
      </w:pPr>
      <w:r>
        <w:rPr>
          <w:rFonts w:hint="eastAsia" w:ascii="宋体" w:hAnsi="宋体" w:eastAsia="宋体" w:cs="宋体"/>
          <w:b/>
          <w:bCs/>
          <w:kern w:val="0"/>
          <w:sz w:val="28"/>
          <w:szCs w:val="28"/>
          <w:lang w:bidi="ar"/>
        </w:rPr>
        <w:t>4.3 规定了有关术语和定义</w:t>
      </w:r>
    </w:p>
    <w:p>
      <w:pPr>
        <w:widowControl/>
        <w:spacing w:line="375" w:lineRule="atLeast"/>
        <w:ind w:firstLine="560" w:firstLineChars="200"/>
        <w:jc w:val="left"/>
        <w:rPr>
          <w:rFonts w:ascii="宋体" w:hAnsi="宋体" w:eastAsia="宋体" w:cs="宋体"/>
          <w:kern w:val="0"/>
          <w:sz w:val="28"/>
          <w:szCs w:val="28"/>
          <w:lang w:bidi="ar"/>
        </w:rPr>
      </w:pPr>
      <w:r>
        <w:rPr>
          <w:rFonts w:hint="eastAsia" w:ascii="宋体" w:hAnsi="宋体" w:eastAsia="宋体" w:cs="宋体"/>
          <w:kern w:val="0"/>
          <w:sz w:val="28"/>
          <w:szCs w:val="28"/>
          <w:lang w:bidi="ar"/>
        </w:rPr>
        <w:t>定义了森林康养、森林康养技能、森林康养心理辅导、正念减压疗法、定制式运动处方、森林体验式教育等术语。</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4.4 建设原则</w:t>
      </w:r>
    </w:p>
    <w:p>
      <w:pPr>
        <w:widowControl/>
        <w:spacing w:line="375" w:lineRule="atLeast"/>
        <w:ind w:firstLine="560" w:firstLineChars="200"/>
        <w:jc w:val="left"/>
        <w:rPr>
          <w:rFonts w:ascii="宋体" w:hAnsi="宋体" w:eastAsia="宋体" w:cs="宋体"/>
          <w:kern w:val="0"/>
          <w:sz w:val="28"/>
          <w:szCs w:val="28"/>
          <w:lang w:bidi="ar"/>
        </w:rPr>
      </w:pPr>
      <w:r>
        <w:rPr>
          <w:rFonts w:hint="eastAsia" w:ascii="宋体" w:hAnsi="宋体" w:eastAsia="宋体" w:cs="宋体"/>
          <w:kern w:val="0"/>
          <w:sz w:val="28"/>
          <w:szCs w:val="28"/>
          <w:lang w:bidi="ar"/>
        </w:rPr>
        <w:t>面向需要、科学规范、质量保证的原则。</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4.5 指标体系</w:t>
      </w:r>
    </w:p>
    <w:p>
      <w:pPr>
        <w:widowControl/>
        <w:spacing w:line="375" w:lineRule="atLeast"/>
        <w:ind w:firstLine="560" w:firstLineChars="200"/>
        <w:jc w:val="left"/>
        <w:rPr>
          <w:rFonts w:ascii="宋体" w:hAnsi="宋体" w:eastAsia="宋体" w:cs="宋体"/>
          <w:kern w:val="0"/>
          <w:sz w:val="28"/>
          <w:szCs w:val="28"/>
          <w:lang w:bidi="ar"/>
        </w:rPr>
      </w:pPr>
      <w:r>
        <w:rPr>
          <w:rFonts w:hint="eastAsia" w:ascii="宋体" w:hAnsi="宋体" w:eastAsia="宋体" w:cs="宋体"/>
          <w:kern w:val="0"/>
          <w:sz w:val="28"/>
          <w:szCs w:val="28"/>
          <w:lang w:bidi="ar"/>
        </w:rPr>
        <w:t>包括培训内容、培训教学设施设备、培训组织、培训管理等指标。</w:t>
      </w:r>
    </w:p>
    <w:p>
      <w:pPr>
        <w:widowControl/>
        <w:spacing w:line="375" w:lineRule="atLeast"/>
        <w:jc w:val="left"/>
        <w:rPr>
          <w:rFonts w:ascii="Times New Roman" w:hAnsi="Times New Roman" w:cs="宋体"/>
          <w:b/>
          <w:bCs/>
          <w:kern w:val="0"/>
          <w:sz w:val="28"/>
          <w:szCs w:val="28"/>
        </w:rPr>
      </w:pPr>
      <w:r>
        <w:rPr>
          <w:rFonts w:hint="eastAsia" w:ascii="宋体" w:hAnsi="宋体" w:cs="宋体"/>
          <w:b/>
          <w:bCs/>
          <w:sz w:val="24"/>
        </w:rPr>
        <w:t xml:space="preserve">4.6 </w:t>
      </w:r>
      <w:r>
        <w:rPr>
          <w:rFonts w:hint="eastAsia" w:ascii="Times New Roman" w:hAnsi="Times New Roman" w:cs="宋体"/>
          <w:b/>
          <w:bCs/>
          <w:kern w:val="0"/>
          <w:sz w:val="28"/>
          <w:szCs w:val="28"/>
        </w:rPr>
        <w:t>预期的效果</w:t>
      </w:r>
    </w:p>
    <w:p>
      <w:pPr>
        <w:pStyle w:val="6"/>
        <w:tabs>
          <w:tab w:val="right" w:leader="dot" w:pos="8296"/>
        </w:tabs>
        <w:spacing w:after="60" w:line="360" w:lineRule="auto"/>
        <w:ind w:firstLine="560" w:firstLineChars="200"/>
        <w:rPr>
          <w:rFonts w:ascii="Times New Roman" w:hAnsi="Times New Roman"/>
          <w:kern w:val="0"/>
          <w:sz w:val="28"/>
          <w:szCs w:val="28"/>
        </w:rPr>
      </w:pPr>
      <w:r>
        <w:rPr>
          <w:rFonts w:hint="eastAsia" w:ascii="Times New Roman" w:hAnsi="Times New Roman" w:cs="宋体"/>
          <w:kern w:val="0"/>
          <w:sz w:val="28"/>
          <w:szCs w:val="28"/>
        </w:rPr>
        <w:t>本标准可用于森林康养基地从业人员的技能培训，构建了“森林康养及其产业发展动态、森林康养基地认知与质量评定、森林康养服务礼仪与从业人员职业素养、森林康养健康管理、</w:t>
      </w:r>
      <w:r>
        <w:fldChar w:fldCharType="begin"/>
      </w:r>
      <w:r>
        <w:instrText xml:space="preserve"> HYPERLINK \l "_Toc950" </w:instrText>
      </w:r>
      <w:r>
        <w:fldChar w:fldCharType="separate"/>
      </w:r>
      <w:r>
        <w:rPr>
          <w:rFonts w:hint="eastAsia" w:ascii="Times New Roman" w:hAnsi="Times New Roman" w:cs="宋体"/>
          <w:kern w:val="0"/>
          <w:sz w:val="28"/>
          <w:szCs w:val="28"/>
        </w:rPr>
        <w:t>森林康养方案编制</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森林康养心理辅导</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森林养生实践指导</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野外急救技术、森林体验式教育。</w:t>
      </w:r>
      <w:r>
        <w:rPr>
          <w:rFonts w:ascii="Times New Roman" w:hAnsi="Times New Roman" w:cs="宋体"/>
          <w:kern w:val="0"/>
          <w:sz w:val="28"/>
          <w:szCs w:val="28"/>
        </w:rPr>
        <w:tab/>
      </w:r>
      <w:r>
        <w:rPr>
          <w:rFonts w:ascii="Times New Roman" w:hAnsi="Times New Roman" w:cs="宋体"/>
          <w:kern w:val="0"/>
          <w:sz w:val="28"/>
          <w:szCs w:val="28"/>
        </w:rPr>
        <w:fldChar w:fldCharType="end"/>
      </w:r>
      <w:r>
        <w:rPr>
          <w:rFonts w:hint="eastAsia" w:ascii="Times New Roman" w:hAnsi="Times New Roman" w:cs="宋体"/>
          <w:kern w:val="0"/>
          <w:sz w:val="28"/>
          <w:szCs w:val="28"/>
        </w:rPr>
        <w:t>”九个方面的培训内容，规范了培训教学设施设备、培训组织、培训管理。本标准有助于提高森林康养基地从业人员的职业素养与服务水平；有助于推动森林康养产业与大健康事业的发展</w:t>
      </w:r>
      <w:r>
        <w:rPr>
          <w:rFonts w:hint="eastAsia" w:ascii="Times New Roman" w:hAnsi="Times New Roman" w:eastAsia="宋体" w:cs="宋体"/>
          <w:kern w:val="0"/>
          <w:sz w:val="27"/>
          <w:szCs w:val="27"/>
          <w:shd w:val="clear" w:color="auto" w:fill="FFFFFF"/>
          <w:lang w:bidi="ar"/>
        </w:rPr>
        <w:t>。</w:t>
      </w:r>
    </w:p>
    <w:p>
      <w:pPr>
        <w:widowControl/>
        <w:spacing w:line="360" w:lineRule="auto"/>
        <w:ind w:right="46" w:rightChars="22" w:firstLine="560" w:firstLineChars="200"/>
        <w:jc w:val="left"/>
        <w:rPr>
          <w:rFonts w:ascii="宋体" w:hAnsi="宋体" w:cs="宋体"/>
          <w:sz w:val="28"/>
          <w:szCs w:val="28"/>
        </w:rPr>
      </w:pPr>
      <w:r>
        <w:rPr>
          <w:rFonts w:hint="eastAsia" w:ascii="Times New Roman" w:hAnsi="Times New Roman" w:cs="宋体"/>
          <w:kern w:val="0"/>
          <w:sz w:val="28"/>
          <w:szCs w:val="28"/>
        </w:rPr>
        <w:t>本标准各项技术要求及指标是项目组成员在广泛调研，海量查阅国内外有关资料和对国内知名森林康养基地实地考察，参考借鉴国内相关标准的基础上编制的。从森林康养产业发展与服务对象需求的维度，以培养能解决森林康养服务中实际问题的森林康养基地从业人员为出发点与落脚点，研制标准编制构架，拟定编制大纲。先后多次召开研讨会，调整与完善编制大纲。本标准系统性强、技术性强、实践性强、可操作性强。</w:t>
      </w:r>
      <w:r>
        <w:rPr>
          <w:rFonts w:hint="eastAsia" w:ascii="Times New Roman" w:hAnsi="Times New Roman" w:eastAsia="宋体" w:cs="Times New Roman"/>
          <w:sz w:val="28"/>
          <w:szCs w:val="28"/>
          <w:lang w:bidi="ar"/>
        </w:rPr>
        <w:t>为</w:t>
      </w:r>
      <w:r>
        <w:rPr>
          <w:rFonts w:hint="eastAsia" w:ascii="Times New Roman" w:hAnsi="Times New Roman" w:cs="宋体"/>
          <w:kern w:val="0"/>
          <w:sz w:val="28"/>
          <w:szCs w:val="28"/>
        </w:rPr>
        <w:t>我省乃至全</w:t>
      </w:r>
      <w:r>
        <w:rPr>
          <w:rFonts w:hint="eastAsia" w:ascii="Times New Roman" w:hAnsi="Times New Roman" w:eastAsia="宋体" w:cs="Times New Roman"/>
          <w:sz w:val="28"/>
          <w:szCs w:val="28"/>
          <w:lang w:bidi="ar"/>
        </w:rPr>
        <w:t>国</w:t>
      </w:r>
      <w:r>
        <w:rPr>
          <w:rFonts w:hint="eastAsia" w:ascii="Times New Roman" w:hAnsi="Times New Roman" w:cs="宋体"/>
          <w:kern w:val="0"/>
          <w:sz w:val="28"/>
          <w:szCs w:val="28"/>
        </w:rPr>
        <w:t>培养技能型、实用型森林康养产业从业人员提供了</w:t>
      </w:r>
      <w:r>
        <w:rPr>
          <w:rFonts w:hint="eastAsia" w:ascii="Times New Roman" w:hAnsi="Times New Roman" w:eastAsia="宋体" w:cs="Times New Roman"/>
          <w:sz w:val="28"/>
          <w:szCs w:val="28"/>
          <w:lang w:bidi="ar"/>
        </w:rPr>
        <w:t>范本</w:t>
      </w:r>
      <w:r>
        <w:rPr>
          <w:rFonts w:hint="eastAsia" w:ascii="宋体" w:hAnsi="宋体" w:cs="宋体"/>
          <w:sz w:val="28"/>
          <w:szCs w:val="28"/>
        </w:rPr>
        <w:t>。</w:t>
      </w:r>
    </w:p>
    <w:p>
      <w:pPr>
        <w:pStyle w:val="2"/>
        <w:rPr>
          <w:sz w:val="28"/>
          <w:szCs w:val="28"/>
        </w:rPr>
      </w:pPr>
      <w:r>
        <w:rPr>
          <w:sz w:val="28"/>
          <w:szCs w:val="28"/>
        </w:rPr>
        <w:t>5</w:t>
      </w:r>
      <w:r>
        <w:rPr>
          <w:rFonts w:hint="eastAsia"/>
          <w:sz w:val="28"/>
          <w:szCs w:val="28"/>
        </w:rPr>
        <w:t>主要试验或者验证的分析</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5.1主要技术指标确定</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5.1.1培训内容</w:t>
      </w:r>
    </w:p>
    <w:p>
      <w:pPr>
        <w:spacing w:line="360" w:lineRule="auto"/>
        <w:ind w:firstLine="548" w:firstLineChars="196"/>
        <w:rPr>
          <w:rFonts w:ascii="Times New Roman" w:hAnsi="Times New Roman" w:cs="宋体"/>
          <w:b/>
          <w:bCs/>
          <w:kern w:val="0"/>
          <w:sz w:val="28"/>
          <w:szCs w:val="28"/>
        </w:rPr>
      </w:pPr>
      <w:r>
        <w:rPr>
          <w:rFonts w:hint="eastAsia"/>
          <w:sz w:val="28"/>
          <w:szCs w:val="28"/>
        </w:rPr>
        <w:t>从森林康养产业从业者的知识与技术需求考量，从森林康养参与者的服务需求考虑，确定培训内容为</w:t>
      </w:r>
      <w:r>
        <w:rPr>
          <w:rFonts w:hint="eastAsia" w:ascii="Times New Roman" w:hAnsi="Times New Roman" w:cs="宋体"/>
          <w:kern w:val="0"/>
          <w:sz w:val="28"/>
          <w:szCs w:val="28"/>
        </w:rPr>
        <w:t>“森林康养及其产业发展动态、森林康养基地认知与质量评定、森林康养服务礼仪与从业人员职业素养、森林康养健康管理、</w:t>
      </w:r>
      <w:r>
        <w:fldChar w:fldCharType="begin"/>
      </w:r>
      <w:r>
        <w:instrText xml:space="preserve"> HYPERLINK \l "_Toc950" </w:instrText>
      </w:r>
      <w:r>
        <w:fldChar w:fldCharType="separate"/>
      </w:r>
      <w:r>
        <w:rPr>
          <w:rFonts w:hint="eastAsia" w:ascii="Times New Roman" w:hAnsi="Times New Roman" w:cs="宋体"/>
          <w:kern w:val="0"/>
          <w:sz w:val="28"/>
          <w:szCs w:val="28"/>
        </w:rPr>
        <w:t>森林康养方案编制</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森林康养心理辅导</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森林养生实践指导</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w:t>
      </w:r>
      <w:r>
        <w:fldChar w:fldCharType="begin"/>
      </w:r>
      <w:r>
        <w:instrText xml:space="preserve"> HYPERLINK \l "_Toc19150" </w:instrText>
      </w:r>
      <w:r>
        <w:fldChar w:fldCharType="separate"/>
      </w:r>
      <w:r>
        <w:rPr>
          <w:rFonts w:hint="eastAsia" w:ascii="Times New Roman" w:hAnsi="Times New Roman" w:cs="宋体"/>
          <w:kern w:val="0"/>
          <w:sz w:val="28"/>
          <w:szCs w:val="28"/>
        </w:rPr>
        <w:t>野外急救技术、森林体验式教育</w:t>
      </w:r>
      <w:r>
        <w:rPr>
          <w:rFonts w:hint="eastAsia" w:ascii="Times New Roman" w:hAnsi="Times New Roman" w:cs="宋体"/>
          <w:kern w:val="0"/>
          <w:sz w:val="28"/>
          <w:szCs w:val="28"/>
        </w:rPr>
        <w:fldChar w:fldCharType="end"/>
      </w:r>
      <w:r>
        <w:rPr>
          <w:rFonts w:hint="eastAsia" w:ascii="Times New Roman" w:hAnsi="Times New Roman" w:cs="宋体"/>
          <w:kern w:val="0"/>
          <w:sz w:val="28"/>
          <w:szCs w:val="28"/>
        </w:rPr>
        <w:t xml:space="preserve"> ”九个方面，涵盖了林学、旅游学、医学、中医康复学、礼仪学等方面的科普知识与技能。</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 xml:space="preserve">5.1.2培训设施设备 </w:t>
      </w:r>
    </w:p>
    <w:p>
      <w:pPr>
        <w:spacing w:line="360" w:lineRule="auto"/>
        <w:ind w:firstLine="548" w:firstLineChars="196"/>
        <w:rPr>
          <w:rFonts w:ascii="Times New Roman" w:hAnsi="Times New Roman" w:cs="宋体"/>
          <w:b/>
          <w:bCs/>
          <w:kern w:val="0"/>
          <w:sz w:val="28"/>
          <w:szCs w:val="28"/>
        </w:rPr>
      </w:pPr>
      <w:r>
        <w:rPr>
          <w:rFonts w:hint="eastAsia" w:ascii="Times New Roman" w:hAnsi="Times New Roman" w:cs="宋体"/>
          <w:kern w:val="0"/>
          <w:sz w:val="28"/>
          <w:szCs w:val="28"/>
        </w:rPr>
        <w:t>根据培训需要提出培训所需的教学设施设备的规范与要求，包括教学基础设施设备；森林康养康复技术教学设备；森林康养心理辅导教学设备；森林养生实践指导教学设备；野外急救技术教学设备。</w:t>
      </w:r>
      <w:r>
        <w:rPr>
          <w:rFonts w:ascii="Times New Roman" w:hAnsi="Times New Roman" w:cs="宋体"/>
          <w:kern w:val="0"/>
          <w:sz w:val="28"/>
          <w:szCs w:val="28"/>
        </w:rPr>
        <w:t xml:space="preserve"> </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5.1.3培训组织</w:t>
      </w:r>
    </w:p>
    <w:p>
      <w:pPr>
        <w:spacing w:line="360" w:lineRule="auto"/>
        <w:ind w:firstLine="548" w:firstLineChars="196"/>
        <w:rPr>
          <w:rFonts w:ascii="Times New Roman" w:hAnsi="Times New Roman" w:cs="宋体"/>
          <w:b/>
          <w:bCs/>
          <w:kern w:val="0"/>
          <w:sz w:val="28"/>
          <w:szCs w:val="28"/>
        </w:rPr>
      </w:pPr>
      <w:r>
        <w:rPr>
          <w:rFonts w:hint="eastAsia" w:ascii="Times New Roman" w:hAnsi="Times New Roman" w:cs="宋体"/>
          <w:kern w:val="0"/>
          <w:sz w:val="28"/>
          <w:szCs w:val="28"/>
        </w:rPr>
        <w:t>为确保培训的规范性，对培训原则，培训目标，培训对象，培训机构，培训师资提出了规范与要求。</w:t>
      </w:r>
    </w:p>
    <w:p>
      <w:pPr>
        <w:spacing w:line="360" w:lineRule="auto"/>
        <w:rPr>
          <w:rFonts w:ascii="Times New Roman" w:hAnsi="Times New Roman" w:cs="宋体"/>
          <w:b/>
          <w:bCs/>
          <w:kern w:val="0"/>
          <w:sz w:val="28"/>
          <w:szCs w:val="28"/>
        </w:rPr>
      </w:pPr>
      <w:r>
        <w:rPr>
          <w:rFonts w:hint="eastAsia" w:ascii="Times New Roman" w:hAnsi="Times New Roman" w:cs="宋体"/>
          <w:b/>
          <w:bCs/>
          <w:kern w:val="0"/>
          <w:sz w:val="28"/>
          <w:szCs w:val="28"/>
        </w:rPr>
        <w:t>5.1.4 培训管理。</w:t>
      </w:r>
    </w:p>
    <w:p>
      <w:pPr>
        <w:spacing w:line="360" w:lineRule="auto"/>
        <w:ind w:firstLine="548" w:firstLineChars="196"/>
        <w:rPr>
          <w:rFonts w:ascii="Times New Roman" w:hAnsi="Times New Roman" w:cs="宋体"/>
          <w:kern w:val="0"/>
          <w:sz w:val="28"/>
          <w:szCs w:val="28"/>
        </w:rPr>
      </w:pPr>
      <w:r>
        <w:rPr>
          <w:rFonts w:hint="eastAsia" w:ascii="Times New Roman" w:hAnsi="Times New Roman" w:cs="宋体"/>
          <w:kern w:val="0"/>
          <w:sz w:val="28"/>
          <w:szCs w:val="28"/>
        </w:rPr>
        <w:t>为确保培训的实效性，对培训的管理模式，培训形式，培训考核，培训档案，培训评价提出了规范。</w:t>
      </w:r>
    </w:p>
    <w:p>
      <w:pPr>
        <w:widowControl/>
        <w:spacing w:line="375" w:lineRule="atLeast"/>
        <w:jc w:val="left"/>
        <w:rPr>
          <w:rFonts w:ascii="Times New Roman" w:hAnsi="Times New Roman" w:cs="宋体"/>
          <w:b/>
          <w:bCs/>
          <w:kern w:val="0"/>
          <w:sz w:val="28"/>
          <w:szCs w:val="28"/>
        </w:rPr>
      </w:pPr>
      <w:r>
        <w:rPr>
          <w:rFonts w:hint="eastAsia" w:ascii="Times New Roman" w:hAnsi="Times New Roman" w:cs="宋体"/>
          <w:b/>
          <w:bCs/>
          <w:kern w:val="0"/>
          <w:sz w:val="28"/>
          <w:szCs w:val="28"/>
        </w:rPr>
        <w:t>5.2综述报告</w:t>
      </w:r>
    </w:p>
    <w:p>
      <w:pPr>
        <w:spacing w:line="360" w:lineRule="auto"/>
        <w:ind w:firstLine="548" w:firstLineChars="196"/>
        <w:rPr>
          <w:rFonts w:ascii="Times New Roman" w:hAnsi="Times New Roman" w:cs="宋体"/>
          <w:kern w:val="0"/>
          <w:sz w:val="28"/>
          <w:szCs w:val="28"/>
        </w:rPr>
      </w:pPr>
      <w:r>
        <w:rPr>
          <w:rFonts w:hint="eastAsia" w:ascii="Times New Roman" w:hAnsi="Times New Roman" w:cs="宋体"/>
          <w:kern w:val="0"/>
          <w:sz w:val="28"/>
          <w:szCs w:val="28"/>
        </w:rPr>
        <w:t>详见附件2：《森林康养产业发展与从业人员需求调研报告》</w:t>
      </w:r>
    </w:p>
    <w:p>
      <w:pPr>
        <w:pStyle w:val="2"/>
        <w:rPr>
          <w:sz w:val="28"/>
          <w:szCs w:val="28"/>
        </w:rPr>
      </w:pPr>
      <w:bookmarkStart w:id="5" w:name="_Toc8435"/>
      <w:r>
        <w:rPr>
          <w:rFonts w:hint="eastAsia"/>
          <w:sz w:val="28"/>
          <w:szCs w:val="28"/>
        </w:rPr>
        <w:t>6 与国内外同类标准水平的对比情况</w:t>
      </w:r>
      <w:bookmarkEnd w:id="5"/>
    </w:p>
    <w:p>
      <w:pPr>
        <w:widowControl/>
        <w:spacing w:line="375" w:lineRule="atLeast"/>
        <w:ind w:firstLine="560" w:firstLineChars="200"/>
        <w:jc w:val="left"/>
      </w:pPr>
      <w:r>
        <w:rPr>
          <w:rFonts w:hint="eastAsia" w:ascii="Times New Roman" w:hAnsi="Times New Roman" w:cs="宋体"/>
          <w:kern w:val="0"/>
          <w:sz w:val="28"/>
          <w:szCs w:val="28"/>
        </w:rPr>
        <w:t>目前，国内外还没有同类标准，</w:t>
      </w:r>
      <w:r>
        <w:rPr>
          <w:rFonts w:hint="eastAsia" w:ascii="Times New Roman" w:hAnsi="Times New Roman" w:eastAsia="宋体" w:cs="宋体"/>
          <w:kern w:val="0"/>
          <w:sz w:val="27"/>
          <w:szCs w:val="27"/>
          <w:shd w:val="clear" w:color="auto" w:fill="FFFFFF"/>
          <w:lang w:bidi="ar"/>
        </w:rPr>
        <w:t>本标准的制订填补了国内空白，达到国内领先水平。</w:t>
      </w:r>
    </w:p>
    <w:p>
      <w:pPr>
        <w:pStyle w:val="2"/>
        <w:rPr>
          <w:sz w:val="28"/>
          <w:szCs w:val="28"/>
        </w:rPr>
      </w:pPr>
      <w:bookmarkStart w:id="6" w:name="_Toc17545"/>
      <w:r>
        <w:rPr>
          <w:rFonts w:hint="eastAsia"/>
          <w:sz w:val="28"/>
          <w:szCs w:val="28"/>
        </w:rPr>
        <w:t>7 意见与意见处理情况</w:t>
      </w:r>
      <w:bookmarkEnd w:id="6"/>
    </w:p>
    <w:p>
      <w:pPr>
        <w:ind w:firstLine="570"/>
        <w:rPr>
          <w:rFonts w:ascii="Times New Roman" w:hAnsi="Times New Roman" w:cs="宋体"/>
          <w:kern w:val="0"/>
          <w:sz w:val="28"/>
          <w:szCs w:val="28"/>
        </w:rPr>
      </w:pPr>
      <w:r>
        <w:rPr>
          <w:rFonts w:hint="eastAsia" w:ascii="Times New Roman" w:hAnsi="Times New Roman" w:cs="宋体"/>
          <w:kern w:val="0"/>
          <w:sz w:val="28"/>
          <w:szCs w:val="28"/>
        </w:rPr>
        <w:t>本标准在充分调研的基础上，参考最新文献、规程和标准，结合我省实际情况，广泛征求有关单位和人员的意见，逐步修改而成，详见征求意见汇总处理表。</w:t>
      </w:r>
    </w:p>
    <w:p>
      <w:pPr>
        <w:pStyle w:val="2"/>
        <w:rPr>
          <w:sz w:val="28"/>
          <w:szCs w:val="28"/>
        </w:rPr>
      </w:pPr>
      <w:bookmarkStart w:id="7" w:name="_Toc26005"/>
      <w:r>
        <w:rPr>
          <w:rFonts w:hint="eastAsia"/>
          <w:sz w:val="28"/>
          <w:szCs w:val="28"/>
        </w:rPr>
        <w:t>8 贯彻标准要求、措施和建议</w:t>
      </w:r>
      <w:bookmarkEnd w:id="7"/>
    </w:p>
    <w:p>
      <w:pPr>
        <w:widowControl/>
        <w:spacing w:line="375" w:lineRule="atLeast"/>
        <w:ind w:firstLine="560" w:firstLineChars="200"/>
        <w:jc w:val="left"/>
        <w:rPr>
          <w:rFonts w:ascii="Times New Roman" w:hAnsi="Times New Roman" w:cs="宋体"/>
          <w:kern w:val="0"/>
          <w:sz w:val="28"/>
          <w:szCs w:val="28"/>
        </w:rPr>
      </w:pPr>
      <w:r>
        <w:rPr>
          <w:rFonts w:hint="eastAsia" w:ascii="Times New Roman" w:hAnsi="Times New Roman" w:cs="宋体"/>
          <w:kern w:val="0"/>
          <w:sz w:val="28"/>
          <w:szCs w:val="28"/>
        </w:rPr>
        <w:t>该标准正式发布实施时，应及时组织有关单位宣传、贯彻执行。建议由湖南省市场监督管理局或湖南省林业局印发该标准，在湖南省各森林康养基地广为宣传。标准起草单位负责编写宣传材料。</w:t>
      </w:r>
    </w:p>
    <w:p>
      <w:pPr>
        <w:widowControl/>
        <w:spacing w:line="375" w:lineRule="atLeast"/>
        <w:ind w:firstLine="560" w:firstLineChars="200"/>
        <w:jc w:val="left"/>
        <w:rPr>
          <w:rFonts w:ascii="Times New Roman" w:hAnsi="Times New Roman" w:cs="宋体"/>
          <w:kern w:val="0"/>
          <w:sz w:val="28"/>
          <w:szCs w:val="28"/>
        </w:rPr>
      </w:pPr>
    </w:p>
    <w:p>
      <w:pPr>
        <w:widowControl/>
        <w:spacing w:line="375" w:lineRule="atLeast"/>
        <w:ind w:firstLine="560" w:firstLineChars="200"/>
        <w:jc w:val="left"/>
        <w:rPr>
          <w:rFonts w:ascii="Times New Roman" w:hAnsi="Times New Roman" w:cs="宋体"/>
          <w:kern w:val="0"/>
          <w:sz w:val="28"/>
          <w:szCs w:val="28"/>
        </w:rPr>
      </w:pPr>
    </w:p>
    <w:p>
      <w:pPr>
        <w:widowControl/>
        <w:spacing w:line="375" w:lineRule="atLeast"/>
        <w:ind w:firstLine="560" w:firstLineChars="200"/>
        <w:jc w:val="left"/>
        <w:rPr>
          <w:rFonts w:ascii="Times New Roman" w:hAnsi="Times New Roman" w:cs="宋体"/>
          <w:kern w:val="0"/>
          <w:sz w:val="28"/>
          <w:szCs w:val="28"/>
        </w:rPr>
      </w:pPr>
    </w:p>
    <w:p>
      <w:pPr>
        <w:rPr>
          <w:b/>
          <w:bCs/>
          <w:sz w:val="24"/>
          <w:szCs w:val="24"/>
        </w:rPr>
      </w:pPr>
    </w:p>
    <w:p>
      <w:pPr>
        <w:spacing w:line="660" w:lineRule="exact"/>
        <w:jc w:val="left"/>
        <w:rPr>
          <w:rFonts w:ascii="方正小标宋简体" w:hAnsi="宋体" w:eastAsia="方正小标宋简体"/>
          <w:sz w:val="32"/>
          <w:szCs w:val="32"/>
        </w:rPr>
      </w:pPr>
      <w:r>
        <w:rPr>
          <w:rFonts w:hint="eastAsia" w:ascii="方正小标宋简体" w:hAnsi="宋体" w:eastAsia="方正小标宋简体"/>
          <w:sz w:val="32"/>
          <w:szCs w:val="32"/>
        </w:rPr>
        <w:t>附件1：</w:t>
      </w:r>
    </w:p>
    <w:p>
      <w:pPr>
        <w:spacing w:line="6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湖南省地方标准修改单征求意见处理汇总表</w:t>
      </w:r>
    </w:p>
    <w:tbl>
      <w:tblPr>
        <w:tblStyle w:val="13"/>
        <w:tblW w:w="8780" w:type="dxa"/>
        <w:tblInd w:w="93" w:type="dxa"/>
        <w:tblLayout w:type="fixed"/>
        <w:tblCellMar>
          <w:top w:w="0" w:type="dxa"/>
          <w:left w:w="108" w:type="dxa"/>
          <w:bottom w:w="0" w:type="dxa"/>
          <w:right w:w="108" w:type="dxa"/>
        </w:tblCellMar>
      </w:tblPr>
      <w:tblGrid>
        <w:gridCol w:w="723"/>
        <w:gridCol w:w="564"/>
        <w:gridCol w:w="871"/>
        <w:gridCol w:w="905"/>
        <w:gridCol w:w="857"/>
        <w:gridCol w:w="393"/>
        <w:gridCol w:w="369"/>
        <w:gridCol w:w="578"/>
        <w:gridCol w:w="184"/>
        <w:gridCol w:w="1193"/>
        <w:gridCol w:w="608"/>
        <w:gridCol w:w="464"/>
        <w:gridCol w:w="1071"/>
      </w:tblGrid>
      <w:tr>
        <w:tblPrEx>
          <w:tblLayout w:type="fixed"/>
          <w:tblCellMar>
            <w:top w:w="0" w:type="dxa"/>
            <w:left w:w="108" w:type="dxa"/>
            <w:bottom w:w="0" w:type="dxa"/>
            <w:right w:w="108" w:type="dxa"/>
          </w:tblCellMar>
        </w:tblPrEx>
        <w:trPr>
          <w:trHeight w:val="846" w:hRule="atLeast"/>
        </w:trPr>
        <w:tc>
          <w:tcPr>
            <w:tcW w:w="1287" w:type="dxa"/>
            <w:gridSpan w:val="2"/>
            <w:tcBorders>
              <w:top w:val="single" w:color="auto" w:sz="8" w:space="0"/>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标准编号</w:t>
            </w:r>
          </w:p>
        </w:tc>
        <w:tc>
          <w:tcPr>
            <w:tcW w:w="1776" w:type="dxa"/>
            <w:gridSpan w:val="2"/>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p>
        </w:tc>
        <w:tc>
          <w:tcPr>
            <w:tcW w:w="1250" w:type="dxa"/>
            <w:gridSpan w:val="2"/>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标准名称</w:t>
            </w:r>
          </w:p>
        </w:tc>
        <w:tc>
          <w:tcPr>
            <w:tcW w:w="4467" w:type="dxa"/>
            <w:gridSpan w:val="7"/>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森林康养技能培训规程</w:t>
            </w:r>
          </w:p>
        </w:tc>
      </w:tr>
      <w:tr>
        <w:tblPrEx>
          <w:tblLayout w:type="fixed"/>
          <w:tblCellMar>
            <w:top w:w="0" w:type="dxa"/>
            <w:left w:w="108" w:type="dxa"/>
            <w:bottom w:w="0" w:type="dxa"/>
            <w:right w:w="108" w:type="dxa"/>
          </w:tblCellMar>
        </w:tblPrEx>
        <w:trPr>
          <w:trHeight w:val="801" w:hRule="atLeast"/>
        </w:trPr>
        <w:tc>
          <w:tcPr>
            <w:tcW w:w="1287" w:type="dxa"/>
            <w:gridSpan w:val="2"/>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归口单位</w:t>
            </w:r>
          </w:p>
        </w:tc>
        <w:tc>
          <w:tcPr>
            <w:tcW w:w="7493" w:type="dxa"/>
            <w:gridSpan w:val="11"/>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湖南省林业局</w:t>
            </w:r>
          </w:p>
        </w:tc>
      </w:tr>
      <w:tr>
        <w:tblPrEx>
          <w:tblLayout w:type="fixed"/>
          <w:tblCellMar>
            <w:top w:w="0" w:type="dxa"/>
            <w:left w:w="108" w:type="dxa"/>
            <w:bottom w:w="0" w:type="dxa"/>
            <w:right w:w="108" w:type="dxa"/>
          </w:tblCellMar>
        </w:tblPrEx>
        <w:trPr>
          <w:trHeight w:val="1352" w:hRule="atLeast"/>
        </w:trPr>
        <w:tc>
          <w:tcPr>
            <w:tcW w:w="1287" w:type="dxa"/>
            <w:gridSpan w:val="2"/>
            <w:vMerge w:val="restart"/>
            <w:tcBorders>
              <w:top w:val="nil"/>
              <w:left w:val="single" w:color="auto" w:sz="8" w:space="0"/>
              <w:right w:val="single" w:color="auto" w:sz="8" w:space="0"/>
            </w:tcBorders>
            <w:vAlign w:val="center"/>
          </w:tcPr>
          <w:p>
            <w:pPr>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意见分发和回收情况</w:t>
            </w:r>
          </w:p>
        </w:tc>
        <w:tc>
          <w:tcPr>
            <w:tcW w:w="8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905"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政府</w:t>
            </w:r>
          </w:p>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部门</w:t>
            </w:r>
          </w:p>
        </w:tc>
        <w:tc>
          <w:tcPr>
            <w:tcW w:w="857"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行业</w:t>
            </w:r>
          </w:p>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协会</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企业</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科研</w:t>
            </w:r>
          </w:p>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机构</w:t>
            </w:r>
          </w:p>
        </w:tc>
        <w:tc>
          <w:tcPr>
            <w:tcW w:w="1193"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检验检测机构</w:t>
            </w:r>
          </w:p>
        </w:tc>
        <w:tc>
          <w:tcPr>
            <w:tcW w:w="107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认证认可机构</w:t>
            </w:r>
          </w:p>
        </w:tc>
        <w:tc>
          <w:tcPr>
            <w:tcW w:w="10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消费者代表</w:t>
            </w:r>
          </w:p>
        </w:tc>
      </w:tr>
      <w:tr>
        <w:tblPrEx>
          <w:tblLayout w:type="fixed"/>
          <w:tblCellMar>
            <w:top w:w="0" w:type="dxa"/>
            <w:left w:w="108" w:type="dxa"/>
            <w:bottom w:w="0" w:type="dxa"/>
            <w:right w:w="108" w:type="dxa"/>
          </w:tblCellMar>
        </w:tblPrEx>
        <w:trPr>
          <w:trHeight w:val="1352" w:hRule="atLeast"/>
        </w:trPr>
        <w:tc>
          <w:tcPr>
            <w:tcW w:w="1287" w:type="dxa"/>
            <w:gridSpan w:val="2"/>
            <w:vMerge w:val="continue"/>
            <w:tcBorders>
              <w:left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p>
        </w:tc>
        <w:tc>
          <w:tcPr>
            <w:tcW w:w="8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发出份数</w:t>
            </w:r>
          </w:p>
        </w:tc>
        <w:tc>
          <w:tcPr>
            <w:tcW w:w="905"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857"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193"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p>
        </w:tc>
        <w:tc>
          <w:tcPr>
            <w:tcW w:w="107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0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p>
          <w:p>
            <w:pPr>
              <w:widowControl/>
              <w:spacing w:line="62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352" w:hRule="atLeast"/>
        </w:trPr>
        <w:tc>
          <w:tcPr>
            <w:tcW w:w="1287" w:type="dxa"/>
            <w:gridSpan w:val="2"/>
            <w:vMerge w:val="continue"/>
            <w:tcBorders>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p>
        </w:tc>
        <w:tc>
          <w:tcPr>
            <w:tcW w:w="8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收回份数</w:t>
            </w:r>
          </w:p>
        </w:tc>
        <w:tc>
          <w:tcPr>
            <w:tcW w:w="905"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857"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76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1193"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p>
        </w:tc>
        <w:tc>
          <w:tcPr>
            <w:tcW w:w="1072" w:type="dxa"/>
            <w:gridSpan w:val="2"/>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1071" w:type="dxa"/>
            <w:tcBorders>
              <w:top w:val="nil"/>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kern w:val="0"/>
                <w:sz w:val="24"/>
              </w:rPr>
            </w:pPr>
          </w:p>
          <w:p>
            <w:pPr>
              <w:widowControl/>
              <w:spacing w:line="62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87" w:hRule="atLeast"/>
        </w:trPr>
        <w:tc>
          <w:tcPr>
            <w:tcW w:w="8780" w:type="dxa"/>
            <w:gridSpan w:val="13"/>
            <w:tcBorders>
              <w:top w:val="single" w:color="auto" w:sz="8" w:space="0"/>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意见及处理情况</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4537" w:type="dxa"/>
            <w:gridSpan w:val="7"/>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意见或建议</w:t>
            </w:r>
          </w:p>
        </w:tc>
        <w:tc>
          <w:tcPr>
            <w:tcW w:w="1985" w:type="dxa"/>
            <w:gridSpan w:val="3"/>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提出单位或个人</w:t>
            </w:r>
          </w:p>
        </w:tc>
        <w:tc>
          <w:tcPr>
            <w:tcW w:w="1535" w:type="dxa"/>
            <w:gridSpan w:val="2"/>
            <w:tcBorders>
              <w:top w:val="single" w:color="auto" w:sz="8" w:space="0"/>
              <w:left w:val="nil"/>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处理情况</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前言部分：删除“本标准的某些内容可能涉及专利和知识产权，本标准的发布机构不承担识别专利和知识产权的责任”。</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拒绝。理由：该条款是格式内容。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第一页，规范性引用文件：增加LY</w:t>
            </w:r>
            <w:r>
              <w:rPr>
                <w:rFonts w:ascii="宋体" w:hAnsi="宋体" w:cs="宋体"/>
                <w:sz w:val="18"/>
                <w:szCs w:val="18"/>
              </w:rPr>
              <w:t>/</w:t>
            </w:r>
            <w:r>
              <w:rPr>
                <w:rFonts w:hint="eastAsia" w:ascii="宋体" w:hAnsi="宋体" w:cs="宋体"/>
                <w:sz w:val="18"/>
                <w:szCs w:val="18"/>
              </w:rPr>
              <w:t>T 2934-2018  森林基地质量评定、LY</w:t>
            </w:r>
            <w:r>
              <w:rPr>
                <w:rFonts w:ascii="宋体" w:hAnsi="宋体" w:cs="宋体"/>
                <w:sz w:val="18"/>
                <w:szCs w:val="18"/>
              </w:rPr>
              <w:t>/</w:t>
            </w:r>
            <w:r>
              <w:rPr>
                <w:rFonts w:hint="eastAsia" w:ascii="宋体" w:hAnsi="宋体" w:cs="宋体"/>
                <w:sz w:val="18"/>
                <w:szCs w:val="18"/>
              </w:rPr>
              <w:t>T 2788-2017  森林体验基地质量评定、</w:t>
            </w:r>
          </w:p>
          <w:p>
            <w:pPr>
              <w:spacing w:line="360" w:lineRule="auto"/>
              <w:rPr>
                <w:rFonts w:ascii="宋体" w:hAnsi="宋体" w:cs="宋体"/>
                <w:sz w:val="18"/>
                <w:szCs w:val="18"/>
              </w:rPr>
            </w:pPr>
            <w:r>
              <w:rPr>
                <w:rFonts w:hint="eastAsia" w:ascii="宋体" w:hAnsi="宋体" w:cs="宋体"/>
                <w:sz w:val="18"/>
                <w:szCs w:val="18"/>
              </w:rPr>
              <w:t>LY</w:t>
            </w:r>
            <w:r>
              <w:rPr>
                <w:rFonts w:ascii="宋体" w:hAnsi="宋体" w:cs="宋体"/>
                <w:sz w:val="18"/>
                <w:szCs w:val="18"/>
              </w:rPr>
              <w:t>/</w:t>
            </w:r>
            <w:r>
              <w:rPr>
                <w:rFonts w:hint="eastAsia" w:ascii="宋体" w:hAnsi="宋体" w:cs="宋体"/>
                <w:sz w:val="18"/>
                <w:szCs w:val="18"/>
              </w:rPr>
              <w:t>T 2789-2017  森林养生基地质量评定。</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第2页4.2：在“相关设施符合</w:t>
            </w:r>
            <w:r>
              <w:rPr>
                <w:rFonts w:ascii="宋体" w:hAnsi="宋体" w:cs="宋体"/>
                <w:sz w:val="18"/>
                <w:szCs w:val="18"/>
              </w:rPr>
              <w:t>GB50763</w:t>
            </w:r>
            <w:r>
              <w:rPr>
                <w:rFonts w:hint="eastAsia" w:ascii="宋体" w:hAnsi="宋体" w:cs="宋体"/>
                <w:sz w:val="18"/>
                <w:szCs w:val="18"/>
              </w:rPr>
              <w:t>、</w:t>
            </w:r>
            <w:r>
              <w:rPr>
                <w:rFonts w:ascii="宋体" w:hAnsi="宋体" w:cs="宋体"/>
                <w:sz w:val="18"/>
                <w:szCs w:val="18"/>
              </w:rPr>
              <w:t>GB/T13391</w:t>
            </w:r>
            <w:r>
              <w:rPr>
                <w:rFonts w:hint="eastAsia" w:ascii="宋体" w:hAnsi="宋体" w:cs="宋体"/>
                <w:sz w:val="18"/>
                <w:szCs w:val="18"/>
              </w:rPr>
              <w:t>、</w:t>
            </w:r>
            <w:r>
              <w:rPr>
                <w:rFonts w:ascii="宋体" w:hAnsi="宋体" w:cs="宋体"/>
                <w:sz w:val="18"/>
                <w:szCs w:val="18"/>
              </w:rPr>
              <w:t>GB/T31710</w:t>
            </w:r>
            <w:r>
              <w:rPr>
                <w:rFonts w:hint="eastAsia" w:ascii="宋体" w:hAnsi="宋体" w:cs="宋体"/>
                <w:sz w:val="18"/>
                <w:szCs w:val="18"/>
              </w:rPr>
              <w:t>标准”中， 增加LY</w:t>
            </w:r>
            <w:r>
              <w:rPr>
                <w:rFonts w:ascii="宋体" w:hAnsi="宋体" w:cs="宋体"/>
                <w:sz w:val="18"/>
                <w:szCs w:val="18"/>
              </w:rPr>
              <w:t>/</w:t>
            </w:r>
            <w:r>
              <w:rPr>
                <w:rFonts w:hint="eastAsia" w:ascii="宋体" w:hAnsi="宋体" w:cs="宋体"/>
                <w:sz w:val="18"/>
                <w:szCs w:val="18"/>
              </w:rPr>
              <w:t>T 2788-2017，LY</w:t>
            </w:r>
            <w:r>
              <w:rPr>
                <w:rFonts w:ascii="宋体" w:hAnsi="宋体" w:cs="宋体"/>
                <w:sz w:val="18"/>
                <w:szCs w:val="18"/>
              </w:rPr>
              <w:t>/</w:t>
            </w:r>
            <w:r>
              <w:rPr>
                <w:rFonts w:hint="eastAsia" w:ascii="宋体" w:hAnsi="宋体" w:cs="宋体"/>
                <w:sz w:val="18"/>
                <w:szCs w:val="18"/>
              </w:rPr>
              <w:t xml:space="preserve">T 2789-2017。 </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第3页，4.6.1．4：将“康复运动的操作规程按《常用康复治疗技术操作规范（</w:t>
            </w:r>
            <w:r>
              <w:rPr>
                <w:rFonts w:ascii="宋体" w:hAnsi="宋体" w:cs="宋体"/>
                <w:sz w:val="18"/>
                <w:szCs w:val="18"/>
              </w:rPr>
              <w:t>2012</w:t>
            </w:r>
            <w:r>
              <w:rPr>
                <w:rFonts w:hint="eastAsia" w:ascii="宋体" w:hAnsi="宋体" w:cs="宋体"/>
                <w:sz w:val="18"/>
                <w:szCs w:val="18"/>
              </w:rPr>
              <w:t>年版）》执行”，改为“引用《常用康复治疗技术操作规范（</w:t>
            </w:r>
            <w:r>
              <w:rPr>
                <w:rFonts w:ascii="宋体" w:hAnsi="宋体" w:cs="宋体"/>
                <w:sz w:val="18"/>
                <w:szCs w:val="18"/>
              </w:rPr>
              <w:t>2012</w:t>
            </w:r>
            <w:r>
              <w:rPr>
                <w:rFonts w:hint="eastAsia" w:ascii="宋体" w:hAnsi="宋体" w:cs="宋体"/>
                <w:sz w:val="18"/>
                <w:szCs w:val="18"/>
              </w:rPr>
              <w:t xml:space="preserve">年版）》标准号”。 </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第4页，4.6.2：将“中药材采用《湖南省中药材标准（</w:t>
            </w:r>
            <w:r>
              <w:rPr>
                <w:rFonts w:ascii="宋体" w:hAnsi="宋体" w:cs="宋体"/>
                <w:sz w:val="18"/>
                <w:szCs w:val="18"/>
              </w:rPr>
              <w:t>2009</w:t>
            </w:r>
            <w:r>
              <w:rPr>
                <w:rFonts w:hint="eastAsia" w:ascii="宋体" w:hAnsi="宋体" w:cs="宋体"/>
                <w:sz w:val="18"/>
                <w:szCs w:val="18"/>
              </w:rPr>
              <w:t>年版）》标准”，改为“中药材采用湖南省食品药品监督局编《湖南省中药材标准（</w:t>
            </w:r>
            <w:r>
              <w:rPr>
                <w:rFonts w:ascii="宋体" w:hAnsi="宋体" w:cs="宋体"/>
                <w:sz w:val="18"/>
                <w:szCs w:val="18"/>
              </w:rPr>
              <w:t>2009</w:t>
            </w:r>
            <w:r>
              <w:rPr>
                <w:rFonts w:hint="eastAsia" w:ascii="宋体" w:hAnsi="宋体" w:cs="宋体"/>
                <w:sz w:val="18"/>
                <w:szCs w:val="18"/>
              </w:rPr>
              <w:t>年版）》”。</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6</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第5页，5.3：将“《团体心理辅导活动手册》</w:t>
            </w:r>
            <w:r>
              <w:rPr>
                <w:rFonts w:ascii="宋体" w:hAnsi="宋体" w:cs="宋体"/>
                <w:sz w:val="18"/>
                <w:szCs w:val="18"/>
              </w:rPr>
              <w:t>+</w:t>
            </w:r>
            <w:r>
              <w:rPr>
                <w:rFonts w:hint="eastAsia" w:ascii="宋体" w:hAnsi="宋体" w:cs="宋体"/>
                <w:sz w:val="18"/>
                <w:szCs w:val="18"/>
              </w:rPr>
              <w:t>航空箱</w:t>
            </w:r>
            <w:r>
              <w:rPr>
                <w:rFonts w:ascii="宋体" w:hAnsi="宋体" w:cs="宋体"/>
                <w:sz w:val="18"/>
                <w:szCs w:val="18"/>
              </w:rPr>
              <w:t>+</w:t>
            </w:r>
            <w:r>
              <w:rPr>
                <w:rFonts w:hint="eastAsia" w:ascii="宋体" w:hAnsi="宋体" w:cs="宋体"/>
                <w:sz w:val="18"/>
                <w:szCs w:val="18"/>
              </w:rPr>
              <w:t>专家指导手册</w:t>
            </w:r>
            <w:r>
              <w:rPr>
                <w:rFonts w:ascii="宋体" w:hAnsi="宋体" w:cs="宋体"/>
                <w:sz w:val="18"/>
                <w:szCs w:val="18"/>
              </w:rPr>
              <w:t>+</w:t>
            </w:r>
            <w:r>
              <w:rPr>
                <w:rFonts w:hint="eastAsia" w:ascii="宋体" w:hAnsi="宋体" w:cs="宋体"/>
                <w:sz w:val="18"/>
                <w:szCs w:val="18"/>
              </w:rPr>
              <w:t>活动光盘</w:t>
            </w:r>
            <w:r>
              <w:rPr>
                <w:rFonts w:ascii="宋体" w:hAnsi="宋体" w:cs="宋体"/>
                <w:sz w:val="18"/>
                <w:szCs w:val="18"/>
              </w:rPr>
              <w:t>+</w:t>
            </w:r>
            <w:r>
              <w:rPr>
                <w:rFonts w:hint="eastAsia" w:ascii="宋体" w:hAnsi="宋体" w:cs="宋体"/>
                <w:sz w:val="18"/>
                <w:szCs w:val="18"/>
              </w:rPr>
              <w:t>活动主题</w:t>
            </w:r>
            <w:r>
              <w:rPr>
                <w:rFonts w:ascii="宋体" w:hAnsi="宋体" w:cs="宋体"/>
                <w:sz w:val="18"/>
                <w:szCs w:val="18"/>
              </w:rPr>
              <w:t>+</w:t>
            </w:r>
            <w:r>
              <w:rPr>
                <w:rFonts w:hint="eastAsia" w:ascii="宋体" w:hAnsi="宋体" w:cs="宋体"/>
                <w:sz w:val="18"/>
                <w:szCs w:val="18"/>
              </w:rPr>
              <w:t>活动项目数量”，修改“为《团体心理辅导活动手册》、航空箱、专家指导手册、活动光盘、活动主题、活动项目数量”。</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7</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第6页，7.2.2：集中培训与网上学习相结合  集中培训时间不少于两周，网上学习不少于</w:t>
            </w:r>
            <w:r>
              <w:rPr>
                <w:rFonts w:ascii="宋体" w:hAnsi="宋体" w:cs="宋体"/>
                <w:sz w:val="18"/>
                <w:szCs w:val="18"/>
              </w:rPr>
              <w:t>20</w:t>
            </w:r>
            <w:r>
              <w:rPr>
                <w:rFonts w:hint="eastAsia" w:ascii="宋体" w:hAnsi="宋体" w:cs="宋体"/>
                <w:sz w:val="18"/>
                <w:szCs w:val="18"/>
              </w:rPr>
              <w:t>学时，建议统一用学时。</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8</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模块一《森林康养概述》，改为《森林康养的背景与意义及国内外森林康养产业发展动态与趋势》。</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9</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在模块二</w:t>
            </w:r>
            <w:r>
              <w:rPr>
                <w:rFonts w:ascii="宋体" w:hAnsi="宋体" w:cs="宋体"/>
                <w:sz w:val="18"/>
                <w:szCs w:val="18"/>
              </w:rPr>
              <w:t>:</w:t>
            </w:r>
            <w:r>
              <w:rPr>
                <w:rFonts w:hint="eastAsia" w:ascii="宋体" w:hAnsi="宋体" w:cs="宋体"/>
                <w:sz w:val="18"/>
                <w:szCs w:val="18"/>
              </w:rPr>
              <w:t>《森林康养基地认知》中增加森林康养基地的基本要求。</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王晓明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10</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在引用规范性文件中，</w:t>
            </w:r>
            <w:r>
              <w:rPr>
                <w:rFonts w:hint="eastAsia" w:ascii="宋体" w:hAnsi="宋体" w:cs="宋体"/>
                <w:sz w:val="18"/>
                <w:szCs w:val="18"/>
              </w:rPr>
              <w:t>补充最新国标：LB</w:t>
            </w:r>
            <w:r>
              <w:rPr>
                <w:rFonts w:ascii="宋体" w:hAnsi="宋体" w:cs="宋体"/>
                <w:sz w:val="18"/>
                <w:szCs w:val="18"/>
              </w:rPr>
              <w:t>/</w:t>
            </w:r>
            <w:r>
              <w:rPr>
                <w:rFonts w:hint="eastAsia" w:ascii="宋体" w:hAnsi="宋体" w:cs="宋体"/>
                <w:sz w:val="18"/>
                <w:szCs w:val="18"/>
              </w:rPr>
              <w:t xml:space="preserve"> 051  国家康养旅游示范基地标准，LY</w:t>
            </w:r>
            <w:r>
              <w:rPr>
                <w:rFonts w:ascii="宋体" w:hAnsi="宋体" w:cs="宋体"/>
                <w:sz w:val="18"/>
                <w:szCs w:val="18"/>
              </w:rPr>
              <w:t>/</w:t>
            </w:r>
            <w:r>
              <w:rPr>
                <w:rFonts w:hint="eastAsia" w:ascii="宋体" w:hAnsi="宋体" w:cs="宋体"/>
                <w:sz w:val="18"/>
                <w:szCs w:val="18"/>
              </w:rPr>
              <w:t>T 2934-2018  森林基地质量评定，LY</w:t>
            </w:r>
            <w:r>
              <w:rPr>
                <w:rFonts w:ascii="宋体" w:hAnsi="宋体" w:cs="宋体"/>
                <w:sz w:val="18"/>
                <w:szCs w:val="18"/>
              </w:rPr>
              <w:t>/</w:t>
            </w:r>
            <w:r>
              <w:rPr>
                <w:rFonts w:hint="eastAsia" w:ascii="宋体" w:hAnsi="宋体" w:cs="宋体"/>
                <w:sz w:val="18"/>
                <w:szCs w:val="18"/>
              </w:rPr>
              <w:t xml:space="preserve"> 2935-2018  森林基地总体规划导则。</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森林康养定义应以国家标准为准（详见LY</w:t>
            </w:r>
            <w:r>
              <w:rPr>
                <w:rFonts w:ascii="宋体" w:hAnsi="宋体" w:cs="宋体"/>
                <w:sz w:val="18"/>
                <w:szCs w:val="18"/>
              </w:rPr>
              <w:t>/</w:t>
            </w:r>
            <w:r>
              <w:rPr>
                <w:rFonts w:hint="eastAsia" w:ascii="宋体" w:hAnsi="宋体" w:cs="宋体"/>
                <w:sz w:val="18"/>
                <w:szCs w:val="18"/>
              </w:rPr>
              <w:t>T 2934-2018  森林基地质量评定，本规程的英文封面一同修改）。</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建议将心理辅导改为心理疏导。</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拒绝。本标准是培训学员，要求培训教师必须具有心理咨询师资格证，具有心理辅导的能力。</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增加森林康养与人体健康。</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第2页，4.2：</w:t>
            </w:r>
            <w:r>
              <w:rPr>
                <w:rFonts w:hint="eastAsia" w:ascii="宋体" w:hAnsi="宋体" w:cs="宋体"/>
                <w:sz w:val="18"/>
                <w:szCs w:val="18"/>
              </w:rPr>
              <w:t>辅助设施（相关标准）应补充LY</w:t>
            </w:r>
            <w:r>
              <w:rPr>
                <w:rFonts w:ascii="宋体" w:hAnsi="宋体" w:cs="宋体"/>
                <w:sz w:val="18"/>
                <w:szCs w:val="18"/>
              </w:rPr>
              <w:t>/</w:t>
            </w:r>
            <w:r>
              <w:rPr>
                <w:rFonts w:hint="eastAsia" w:ascii="宋体" w:hAnsi="宋体" w:cs="宋体"/>
                <w:sz w:val="18"/>
                <w:szCs w:val="18"/>
              </w:rPr>
              <w:t>T 2934-2018。</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增加“森林康养对象”子项。</w:t>
            </w:r>
          </w:p>
          <w:p>
            <w:pPr>
              <w:spacing w:line="360" w:lineRule="auto"/>
              <w:rPr>
                <w:rFonts w:ascii="宋体" w:hAnsi="宋体" w:cs="宋体"/>
                <w:sz w:val="18"/>
                <w:szCs w:val="18"/>
              </w:rPr>
            </w:pP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拒绝。本标准健康管理的对象就是森林康养对象。</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16</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在4.8后增加4.4森林康养产业人员素养。</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17</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第3页，4.4：</w:t>
            </w:r>
            <w:r>
              <w:rPr>
                <w:rFonts w:hint="eastAsia" w:ascii="宋体" w:hAnsi="宋体" w:cs="宋体"/>
                <w:sz w:val="18"/>
                <w:szCs w:val="18"/>
              </w:rPr>
              <w:t>将“设计”改为“编制”。</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jc w:val="center"/>
              <w:rPr>
                <w:b/>
                <w:bCs/>
                <w:sz w:val="18"/>
                <w:szCs w:val="18"/>
              </w:rPr>
            </w:pPr>
            <w:r>
              <w:rPr>
                <w:rFonts w:hint="eastAsia"/>
                <w:b/>
                <w:bCs/>
                <w:sz w:val="18"/>
                <w:szCs w:val="18"/>
              </w:rPr>
              <w:t>18</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建议完善为充分考虑森林康养基地的地形地貌、植被分、适宜时段，以及森林康养基地建筑、步道、专类园、医疗设施等条件。</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拒绝。考虑到编制标准的精简，具体内容不详述，已将该部分内容删除。</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19</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第3页，</w:t>
            </w:r>
            <w:r>
              <w:rPr>
                <w:rFonts w:hint="eastAsia"/>
                <w:bCs/>
                <w:sz w:val="18"/>
                <w:szCs w:val="18"/>
              </w:rPr>
              <w:t>4.2.2：</w:t>
            </w:r>
            <w:r>
              <w:rPr>
                <w:rFonts w:hint="eastAsia" w:ascii="宋体" w:hAnsi="宋体" w:cs="宋体"/>
                <w:sz w:val="18"/>
                <w:szCs w:val="18"/>
              </w:rPr>
              <w:t>增加子项4.2.2.1场地踏查。</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增加森林康养流程。</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第3页，4.5.1</w:t>
            </w:r>
            <w:r>
              <w:rPr>
                <w:rFonts w:hint="eastAsia" w:ascii="宋体" w:hAnsi="宋体" w:cs="宋体"/>
                <w:sz w:val="18"/>
                <w:szCs w:val="18"/>
              </w:rPr>
              <w:t xml:space="preserve"> ：“森林五感训练”单列。</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将“森林养生园”改为“专类园”，补充“宠物园”或“动物角”。</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“森林体验式教育”单列。</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建议用森林环境的其他技术代替用心理沙设备心理辅导的训练。</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拒绝。心理沙设备心理辅导训练无法用森林环境的其他技术代替。</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在7.5之后增加继续教育。</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拒绝。继续教育不属于本标准范畴。</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26</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附件1，模块二</w:t>
            </w:r>
            <w:r>
              <w:rPr>
                <w:rFonts w:hint="eastAsia" w:ascii="宋体" w:hAnsi="宋体" w:cs="宋体"/>
                <w:sz w:val="18"/>
                <w:szCs w:val="18"/>
              </w:rPr>
              <w:t>：知识目标改为“了解森林康养基地的总体布局与功能分区”。</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27</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附件，模块七：</w:t>
            </w:r>
            <w:r>
              <w:rPr>
                <w:rFonts w:hint="eastAsia" w:ascii="宋体" w:hAnsi="宋体" w:cs="宋体"/>
                <w:sz w:val="18"/>
                <w:szCs w:val="18"/>
              </w:rPr>
              <w:t>技能目标中补充毒虫蜇伤。</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欧阳叙回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28</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建议该概念诠释与《湖南省森林康养基地建设管理规范》一致，目前表述基本相同，但个别用词不一样，建议湖南省关于森林康养的系列地方标准的表述要统一。</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29</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在《湖南省森林康养基地建设管理规范》中出现了“森林康养师”的概念英文都是“</w:t>
            </w:r>
            <w:r>
              <w:rPr>
                <w:rFonts w:ascii="宋体" w:hAnsi="宋体" w:cs="宋体"/>
                <w:sz w:val="18"/>
                <w:szCs w:val="18"/>
              </w:rPr>
              <w:t>forest wellness trainer</w:t>
            </w:r>
            <w:r>
              <w:rPr>
                <w:rFonts w:hint="eastAsia" w:ascii="宋体" w:hAnsi="宋体" w:cs="宋体"/>
                <w:sz w:val="18"/>
                <w:szCs w:val="18"/>
              </w:rPr>
              <w:t>”，但中文名称不一，中文描述不同。本标准是“培训技术规程”，但此处的“指导员”不是面对“康养师”的，而是直接面对服务对象的，既然是培训，应该是培训工作人员，不应该培训参与康养的顾客。这个两个层次应该理清楚。</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除了3的术语与定义，《规程》中其它条款都不应该以名词解释的方式表述，不能一个标题，后面进行解释。</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31</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建议不要这样写，这样写就不是培训规程了，用条来概括哪些内容应该包含在培训课程中就行了，同时，如“概述”、“设计原则”不应该成为标准的条款，后面涉及到医学部分的都是名词解释，类似与前面的术语，不要这样写，要直接描述，并且在培训内容中建议不要写这么细。</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32</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建议把设备这一章重新梳理，分特定教学内容所需要的基本设备来描述，不要如此罗列。</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33</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此处是不是笔误？</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34</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原则不需要列一条，要写意识6.1</w:t>
            </w:r>
            <w:r>
              <w:rPr>
                <w:rFonts w:ascii="宋体" w:hAnsi="宋体" w:cs="宋体"/>
                <w:sz w:val="18"/>
                <w:szCs w:val="18"/>
              </w:rPr>
              <w:t xml:space="preserve"> </w:t>
            </w:r>
            <w:r>
              <w:rPr>
                <w:rFonts w:hint="eastAsia" w:ascii="宋体" w:hAnsi="宋体" w:cs="宋体"/>
                <w:sz w:val="18"/>
                <w:szCs w:val="18"/>
              </w:rPr>
              <w:t>表述一句话，不要细分下去，并且不需要在每一个条款前加一个名词。</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35</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这体系是个规划，标准将逐步出台，不要这样写，因为有些标准还没有颁布。</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36</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（1）没有必要必须具有高效教师资格，（2）到底是“中级”还是“副高”？该句话逗号到底，没读明白。</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37</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不要把这些知识并列在一起，否则这样的师资将一个也找不高。改为“应聘请。。。。。。方面的师资”。</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38</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这个培训时间的规定有点长，在实际工作中将难于操作，后面的附件教学大纲过于细化，课时过多，也难于操作</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39</w:t>
            </w:r>
          </w:p>
        </w:tc>
        <w:tc>
          <w:tcPr>
            <w:tcW w:w="4537" w:type="dxa"/>
            <w:gridSpan w:val="7"/>
            <w:tcBorders>
              <w:top w:val="single" w:color="auto" w:sz="8" w:space="0"/>
              <w:left w:val="nil"/>
              <w:bottom w:val="single" w:color="auto" w:sz="8" w:space="0"/>
              <w:right w:val="single" w:color="auto" w:sz="8" w:space="0"/>
            </w:tcBorders>
          </w:tcPr>
          <w:p>
            <w:pPr>
              <w:spacing w:line="360" w:lineRule="auto"/>
              <w:rPr>
                <w:rFonts w:ascii="宋体" w:hAnsi="宋体" w:cs="宋体"/>
                <w:sz w:val="18"/>
                <w:szCs w:val="18"/>
              </w:rPr>
            </w:pPr>
            <w:r>
              <w:rPr>
                <w:rFonts w:hint="eastAsia" w:ascii="宋体" w:hAnsi="宋体" w:cs="宋体"/>
                <w:sz w:val="18"/>
                <w:szCs w:val="18"/>
              </w:rPr>
              <w:t>是发给结业证书，还是“森林康养指导员证”，或者“森林康养师证”更合适？。</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钟永德</w:t>
            </w:r>
          </w:p>
        </w:tc>
        <w:tc>
          <w:tcPr>
            <w:tcW w:w="1535" w:type="dxa"/>
            <w:gridSpan w:val="2"/>
            <w:tcBorders>
              <w:top w:val="single" w:color="auto" w:sz="8" w:space="0"/>
              <w:left w:val="nil"/>
              <w:bottom w:val="single" w:color="auto" w:sz="8" w:space="0"/>
              <w:right w:val="single" w:color="auto" w:sz="8" w:space="0"/>
            </w:tcBorders>
            <w:vAlign w:val="center"/>
          </w:tcPr>
          <w:p>
            <w:pPr>
              <w:jc w:val="left"/>
              <w:rPr>
                <w:rFonts w:ascii="宋体" w:hAnsi="宋体" w:cs="宋体"/>
                <w:sz w:val="18"/>
                <w:szCs w:val="18"/>
              </w:rPr>
            </w:pPr>
            <w:r>
              <w:rPr>
                <w:rFonts w:hint="eastAsia" w:ascii="宋体" w:hAnsi="宋体" w:cs="宋体"/>
                <w:sz w:val="18"/>
                <w:szCs w:val="18"/>
              </w:rPr>
              <w:t>部分接受。可以发“森林康养指导员证”，或者“森林康养技能培训结业证书”。</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40</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建议分1-3级，如果没有分级标准，建议按照最低要求“可以执行森林康养方案”即可。制定森林康养方案的难度过大。</w:t>
            </w:r>
          </w:p>
        </w:tc>
        <w:tc>
          <w:tcPr>
            <w:tcW w:w="1985" w:type="dxa"/>
            <w:gridSpan w:val="3"/>
            <w:tcBorders>
              <w:top w:val="single" w:color="auto" w:sz="8" w:space="0"/>
              <w:left w:val="nil"/>
              <w:bottom w:val="single" w:color="auto" w:sz="8" w:space="0"/>
              <w:right w:val="single" w:color="auto" w:sz="8" w:space="0"/>
            </w:tcBorders>
            <w:vAlign w:val="center"/>
          </w:tcPr>
          <w:p>
            <w:pPr>
              <w:widowControl/>
              <w:spacing w:line="620" w:lineRule="exact"/>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不接受分级，接受取消森林康养指导员。</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建议4.6和4.7归入4.4，健康包括身心健康，身体和心理的健康管理可纳入。</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拒绝。理由：4.4、4.6、4.7的内容不能整合。</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如果分级的建议接受，此内容可以省略，主要是技术难度大，不容易掌握。</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拒绝。理由：森林康养心理辅导内容十分必要。</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建议合并为森林减压，使用具体的心理学的技术帮助人们缓解压力增进健康的方法都可以使用。</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拒绝。理由：定义与内容无法整合。</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建议分教学场地和教学设备设施，</w:t>
            </w:r>
          </w:p>
          <w:p>
            <w:pPr>
              <w:spacing w:line="360" w:lineRule="auto"/>
              <w:rPr>
                <w:rFonts w:ascii="宋体" w:hAnsi="宋体" w:cs="宋体"/>
                <w:sz w:val="18"/>
                <w:szCs w:val="18"/>
              </w:rPr>
            </w:pPr>
            <w:r>
              <w:rPr>
                <w:rFonts w:hint="eastAsia" w:ascii="宋体" w:hAnsi="宋体" w:cs="宋体"/>
                <w:sz w:val="18"/>
                <w:szCs w:val="18"/>
              </w:rPr>
              <w:t>场地分室内、森林、实训场地分别列出，</w:t>
            </w:r>
          </w:p>
          <w:p>
            <w:pPr>
              <w:spacing w:line="360" w:lineRule="auto"/>
              <w:rPr>
                <w:rFonts w:ascii="宋体" w:hAnsi="宋体" w:cs="宋体"/>
                <w:sz w:val="18"/>
                <w:szCs w:val="18"/>
              </w:rPr>
            </w:pPr>
            <w:r>
              <w:rPr>
                <w:rFonts w:hint="eastAsia" w:ascii="宋体" w:hAnsi="宋体" w:cs="宋体"/>
                <w:sz w:val="18"/>
                <w:szCs w:val="18"/>
              </w:rPr>
              <w:t>教学设备设施从多媒体、教具、专业设备、专业软件等根据课程模块分别列出。</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拒绝。理由：标准不宜过细。</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建议具体到准确的理论知识目标，和分课程的技能目标，增加考核指标体系。</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拒绝。理由：标准不宜太具体。</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46</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建议明确培训机构的架构、分岗位的职责、工作人员的资质、以及任职程序。</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47</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建议具体到与课程对应的师资任职资格或条件，比如身体健康方面的任课教师需要的资格和条件、心理健康方面的任课教师需要的资格和条件；需要说明师资来源是否有保障。</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48</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建议将网上学习后的审查考核标准列入，比如课程是否学完、作业是否完成。</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49</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建议制定详细的分模块的考核大纲、理论考核和技能考核指标，理论通过后参与实践技能考核的条件以及补考规定。</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拒绝。理由：因培训时间短。</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50</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建议在了解我国森林资源的基础上熟识省内森林康养基地的森林资源，包括常见森林植物及其作用，突出省内特点。</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建议理论结合实操，课堂就可以进行一些练习</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建议提出身体健康、心理健康方面常见问题，预防手段以及相应的可使用森林康养技术，可以提供不同类别森林康养健康管理方案的学习，并要求掌握记忆。</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身体健康方面比如生活习惯病、高血压、肩颈问题等相应的预防手段和森林康养技术的使用；心理健康方面比如压力、情绪不稳定、抑郁情绪等方面的干预措施和森林康养技术的使用；康复相关知识和技能，比如脑血栓后遗症身体机能的恢复、视力、听力等能力的恢复所需要的技能和森林康养技术。</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接受。理由：原本已涵盖。</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因为内容的合并、删减又增加的空间</w:t>
            </w:r>
          </w:p>
          <w:p>
            <w:pPr>
              <w:spacing w:line="360" w:lineRule="auto"/>
              <w:rPr>
                <w:rFonts w:ascii="宋体" w:hAnsi="宋体" w:cs="宋体"/>
                <w:sz w:val="18"/>
                <w:szCs w:val="18"/>
              </w:rPr>
            </w:pPr>
            <w:r>
              <w:rPr>
                <w:rFonts w:hint="eastAsia" w:ascii="宋体" w:hAnsi="宋体" w:cs="宋体"/>
                <w:sz w:val="18"/>
                <w:szCs w:val="18"/>
              </w:rPr>
              <w:t>很多内容同时具有调节身心的作用，可以综合考虑融合。</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刘建兰</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拒绝。不便融合。</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增加健康管理概念、健康管理基本策略内容。</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蒋红霞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56</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在健康管理技能中增加健康管理信息采集、健康风险分析与评估的内容。</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蒋红霞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57</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增加中医养生、康复医学、健康保险。</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蒋红霞</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拒绝。理由：中医养生，康复医学等内容在森林养生实践指导模块中讲述，健康保险无需列为培训内容。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58</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建议将森林康养服务礼仪的理论课与实践课占比50%。</w:t>
            </w:r>
          </w:p>
        </w:tc>
        <w:tc>
          <w:tcPr>
            <w:tcW w:w="1985" w:type="dxa"/>
            <w:gridSpan w:val="3"/>
            <w:tcBorders>
              <w:top w:val="single" w:color="auto" w:sz="8" w:space="0"/>
              <w:left w:val="nil"/>
              <w:bottom w:val="single" w:color="auto" w:sz="8" w:space="0"/>
              <w:right w:val="single" w:color="auto" w:sz="8" w:space="0"/>
            </w:tcBorders>
            <w:vAlign w:val="center"/>
          </w:tcPr>
          <w:p>
            <w:pPr>
              <w:widowControl/>
              <w:spacing w:line="620" w:lineRule="exact"/>
              <w:jc w:val="center"/>
              <w:rPr>
                <w:rFonts w:ascii="宋体" w:hAnsi="宋体" w:cs="宋体"/>
                <w:sz w:val="18"/>
                <w:szCs w:val="18"/>
              </w:rPr>
            </w:pPr>
            <w:r>
              <w:rPr>
                <w:rFonts w:hint="eastAsia" w:ascii="宋体" w:hAnsi="宋体" w:cs="宋体"/>
                <w:sz w:val="18"/>
                <w:szCs w:val="18"/>
              </w:rPr>
              <w:t>付美华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59</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模块六：</w:t>
            </w:r>
            <w:r>
              <w:rPr>
                <w:rFonts w:hint="eastAsia" w:ascii="宋体" w:hAnsi="宋体" w:cs="宋体"/>
                <w:sz w:val="18"/>
                <w:szCs w:val="18"/>
              </w:rPr>
              <w:t>理论课减少1-2学时，增加放松训练课。</w:t>
            </w:r>
          </w:p>
        </w:tc>
        <w:tc>
          <w:tcPr>
            <w:tcW w:w="1985" w:type="dxa"/>
            <w:gridSpan w:val="3"/>
            <w:tcBorders>
              <w:top w:val="single" w:color="auto" w:sz="8" w:space="0"/>
              <w:left w:val="nil"/>
              <w:bottom w:val="single" w:color="auto" w:sz="8" w:space="0"/>
              <w:right w:val="single" w:color="auto" w:sz="8" w:space="0"/>
            </w:tcBorders>
          </w:tcPr>
          <w:p>
            <w:pPr>
              <w:jc w:val="center"/>
              <w:rPr>
                <w:rFonts w:ascii="宋体" w:hAnsi="宋体" w:cs="宋体"/>
                <w:sz w:val="18"/>
                <w:szCs w:val="18"/>
              </w:rPr>
            </w:pPr>
            <w:r>
              <w:rPr>
                <w:rFonts w:hint="eastAsia" w:ascii="宋体" w:hAnsi="宋体" w:cs="宋体"/>
                <w:sz w:val="18"/>
                <w:szCs w:val="18"/>
              </w:rPr>
              <w:t>付美华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60</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模块七：</w:t>
            </w:r>
            <w:r>
              <w:rPr>
                <w:rFonts w:hint="eastAsia" w:ascii="宋体" w:hAnsi="宋体" w:cs="宋体"/>
                <w:sz w:val="18"/>
                <w:szCs w:val="18"/>
              </w:rPr>
              <w:t>1.增加喜闻乐见的活动。2.增加实操课时。</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付美华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拒绝。理由：这种森林康养活动形式不便在标准中规定。</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61</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模块七：</w:t>
            </w:r>
            <w:r>
              <w:rPr>
                <w:rFonts w:hint="eastAsia" w:ascii="宋体" w:hAnsi="宋体" w:cs="宋体"/>
                <w:sz w:val="18"/>
                <w:szCs w:val="18"/>
              </w:rPr>
              <w:t>植物过敏的应急处理和晕厥增加实操课。</w:t>
            </w:r>
          </w:p>
        </w:tc>
        <w:tc>
          <w:tcPr>
            <w:tcW w:w="1985" w:type="dxa"/>
            <w:gridSpan w:val="3"/>
            <w:tcBorders>
              <w:top w:val="single" w:color="auto" w:sz="8" w:space="0"/>
              <w:left w:val="nil"/>
              <w:bottom w:val="single" w:color="auto" w:sz="8" w:space="0"/>
              <w:right w:val="single" w:color="auto" w:sz="8" w:space="0"/>
            </w:tcBorders>
          </w:tcPr>
          <w:p>
            <w:pPr>
              <w:spacing w:line="360" w:lineRule="auto"/>
              <w:jc w:val="center"/>
              <w:rPr>
                <w:rFonts w:ascii="宋体" w:hAnsi="宋体" w:cs="宋体"/>
                <w:sz w:val="18"/>
                <w:szCs w:val="18"/>
              </w:rPr>
            </w:pPr>
            <w:r>
              <w:rPr>
                <w:rFonts w:hint="eastAsia" w:ascii="宋体" w:hAnsi="宋体" w:cs="宋体"/>
                <w:sz w:val="18"/>
                <w:szCs w:val="18"/>
              </w:rPr>
              <w:t>付美华</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62</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建议：增加火灾紧急撤离、急救技术</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曾慧</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63</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培训正念减压疗法心理内容的师资必须有正规相关培训资质证明的心理咨询师或心理相关专业人员。</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曾慧</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64</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ascii="宋体" w:hAnsi="宋体" w:cs="宋体"/>
                <w:sz w:val="18"/>
                <w:szCs w:val="18"/>
              </w:rPr>
              <w:t>增加中医药森林康养馆建设。</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刘枚武</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拒绝。理由：中医药森林康养馆建设专业性较强，不属于森林康养技能培训范畴。</w:t>
            </w:r>
          </w:p>
        </w:tc>
      </w:tr>
      <w:tr>
        <w:tblPrEx>
          <w:tblLayout w:type="fixed"/>
          <w:tblCellMar>
            <w:top w:w="0" w:type="dxa"/>
            <w:left w:w="108" w:type="dxa"/>
            <w:bottom w:w="0" w:type="dxa"/>
            <w:right w:w="108" w:type="dxa"/>
          </w:tblCellMar>
        </w:tblPrEx>
        <w:trPr>
          <w:trHeight w:val="687"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65</w:t>
            </w:r>
          </w:p>
        </w:tc>
        <w:tc>
          <w:tcPr>
            <w:tcW w:w="4537" w:type="dxa"/>
            <w:gridSpan w:val="7"/>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r>
              <w:rPr>
                <w:rFonts w:hint="eastAsia"/>
                <w:sz w:val="18"/>
                <w:szCs w:val="18"/>
              </w:rPr>
              <w:t>模块七</w:t>
            </w:r>
            <w:r>
              <w:rPr>
                <w:rFonts w:hint="eastAsia" w:ascii="宋体" w:hAnsi="宋体" w:cs="宋体"/>
                <w:sz w:val="18"/>
                <w:szCs w:val="18"/>
              </w:rPr>
              <w:t>：将“按照先阻断血流，再尽可能挤出毒液，最后紧急送医的原则进行”，改为“按照马上对患肢制动，先阻断血流，再尽可能挤出毒液，最后紧急送医的原则进行”。</w:t>
            </w:r>
          </w:p>
        </w:tc>
        <w:tc>
          <w:tcPr>
            <w:tcW w:w="1985" w:type="dxa"/>
            <w:gridSpan w:val="3"/>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cs="宋体"/>
                <w:sz w:val="18"/>
                <w:szCs w:val="18"/>
              </w:rPr>
            </w:pPr>
            <w:r>
              <w:rPr>
                <w:rFonts w:hint="eastAsia" w:ascii="宋体" w:hAnsi="宋体" w:cs="宋体"/>
                <w:sz w:val="18"/>
                <w:szCs w:val="18"/>
              </w:rPr>
              <w:t>胡小平</w:t>
            </w:r>
          </w:p>
        </w:tc>
        <w:tc>
          <w:tcPr>
            <w:tcW w:w="1535" w:type="dxa"/>
            <w:gridSpan w:val="2"/>
            <w:tcBorders>
              <w:top w:val="single" w:color="auto" w:sz="8" w:space="0"/>
              <w:left w:val="nil"/>
              <w:bottom w:val="single" w:color="auto" w:sz="8" w:space="0"/>
              <w:right w:val="single" w:color="auto" w:sz="8" w:space="0"/>
            </w:tcBorders>
            <w:vAlign w:val="center"/>
          </w:tcPr>
          <w:p>
            <w:pPr>
              <w:spacing w:line="360" w:lineRule="auto"/>
              <w:jc w:val="left"/>
              <w:rPr>
                <w:rFonts w:ascii="宋体" w:hAnsi="宋体" w:cs="宋体"/>
                <w:sz w:val="18"/>
                <w:szCs w:val="18"/>
              </w:rPr>
            </w:pPr>
            <w:r>
              <w:rPr>
                <w:rFonts w:hint="eastAsia" w:ascii="宋体" w:hAnsi="宋体" w:cs="宋体"/>
                <w:sz w:val="18"/>
                <w:szCs w:val="18"/>
              </w:rPr>
              <w:t>接受并修改。</w:t>
            </w:r>
          </w:p>
        </w:tc>
      </w:tr>
      <w:tr>
        <w:tblPrEx>
          <w:tblLayout w:type="fixed"/>
          <w:tblCellMar>
            <w:top w:w="0" w:type="dxa"/>
            <w:left w:w="108" w:type="dxa"/>
            <w:bottom w:w="0" w:type="dxa"/>
            <w:right w:w="108" w:type="dxa"/>
          </w:tblCellMar>
        </w:tblPrEx>
        <w:trPr>
          <w:trHeight w:val="708" w:hRule="atLeast"/>
        </w:trPr>
        <w:tc>
          <w:tcPr>
            <w:tcW w:w="723" w:type="dxa"/>
            <w:tcBorders>
              <w:top w:val="nil"/>
              <w:left w:val="single" w:color="auto" w:sz="8" w:space="0"/>
              <w:bottom w:val="single" w:color="auto" w:sz="8" w:space="0"/>
              <w:right w:val="single" w:color="auto" w:sz="8" w:space="0"/>
            </w:tcBorders>
            <w:vAlign w:val="center"/>
          </w:tcPr>
          <w:p>
            <w:pPr>
              <w:widowControl/>
              <w:spacing w:line="6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w:t>
            </w:r>
          </w:p>
        </w:tc>
        <w:tc>
          <w:tcPr>
            <w:tcW w:w="8057" w:type="dxa"/>
            <w:gridSpan w:val="12"/>
            <w:tcBorders>
              <w:top w:val="single" w:color="auto" w:sz="8" w:space="0"/>
              <w:left w:val="nil"/>
              <w:bottom w:val="single" w:color="auto" w:sz="8" w:space="0"/>
              <w:right w:val="single" w:color="auto" w:sz="8" w:space="0"/>
            </w:tcBorders>
            <w:vAlign w:val="center"/>
          </w:tcPr>
          <w:p>
            <w:pPr>
              <w:spacing w:line="360" w:lineRule="auto"/>
              <w:rPr>
                <w:rFonts w:ascii="宋体" w:hAnsi="宋体" w:cs="宋体"/>
                <w:sz w:val="18"/>
                <w:szCs w:val="18"/>
              </w:rPr>
            </w:pPr>
          </w:p>
        </w:tc>
      </w:tr>
    </w:tbl>
    <w:p/>
    <w:p>
      <w:pPr>
        <w:spacing w:line="360" w:lineRule="auto"/>
        <w:rPr>
          <w:rFonts w:ascii="宋体" w:hAnsi="宋体" w:eastAsia="宋体"/>
          <w:b/>
          <w:bCs/>
          <w:sz w:val="28"/>
          <w:szCs w:val="32"/>
        </w:rPr>
      </w:pPr>
      <w:r>
        <w:rPr>
          <w:rFonts w:hint="eastAsia" w:ascii="宋体" w:hAnsi="宋体" w:eastAsia="宋体"/>
          <w:b/>
          <w:bCs/>
          <w:sz w:val="28"/>
          <w:szCs w:val="32"/>
        </w:rPr>
        <w:t>附件2：</w:t>
      </w:r>
    </w:p>
    <w:p>
      <w:pPr>
        <w:spacing w:line="360" w:lineRule="auto"/>
        <w:jc w:val="left"/>
        <w:rPr>
          <w:rFonts w:ascii="宋体" w:hAnsi="宋体" w:eastAsia="宋体"/>
          <w:b/>
          <w:bCs/>
          <w:sz w:val="32"/>
          <w:szCs w:val="32"/>
        </w:rPr>
      </w:pPr>
      <w:r>
        <w:rPr>
          <w:rFonts w:hint="eastAsia" w:ascii="宋体" w:hAnsi="宋体" w:eastAsia="宋体"/>
          <w:b/>
          <w:bCs/>
          <w:sz w:val="32"/>
          <w:szCs w:val="32"/>
        </w:rPr>
        <w:t>综述报告</w:t>
      </w:r>
    </w:p>
    <w:p>
      <w:pPr>
        <w:spacing w:line="360" w:lineRule="auto"/>
        <w:jc w:val="center"/>
        <w:rPr>
          <w:rFonts w:ascii="宋体" w:hAnsi="宋体" w:eastAsia="宋体"/>
          <w:b/>
          <w:bCs/>
          <w:sz w:val="32"/>
          <w:szCs w:val="32"/>
        </w:rPr>
      </w:pPr>
      <w:r>
        <w:rPr>
          <w:rFonts w:hint="eastAsia" w:ascii="宋体" w:hAnsi="宋体" w:eastAsia="宋体"/>
          <w:b/>
          <w:bCs/>
          <w:sz w:val="32"/>
          <w:szCs w:val="32"/>
        </w:rPr>
        <w:t>——森林康养产业发展与从业人员需求的调研报告</w:t>
      </w:r>
    </w:p>
    <w:p>
      <w:pPr>
        <w:spacing w:line="360" w:lineRule="auto"/>
        <w:rPr>
          <w:rFonts w:ascii="宋体" w:hAnsi="宋体" w:eastAsia="宋体"/>
          <w:b/>
          <w:bCs/>
          <w:sz w:val="28"/>
          <w:szCs w:val="32"/>
        </w:rPr>
      </w:pPr>
      <w:r>
        <w:rPr>
          <w:rFonts w:hint="eastAsia" w:ascii="宋体" w:hAnsi="宋体" w:eastAsia="宋体"/>
          <w:b/>
          <w:bCs/>
          <w:sz w:val="28"/>
          <w:szCs w:val="32"/>
        </w:rPr>
        <w:t xml:space="preserve">          </w:t>
      </w:r>
    </w:p>
    <w:p>
      <w:pPr>
        <w:spacing w:line="360" w:lineRule="auto"/>
        <w:rPr>
          <w:rFonts w:ascii="宋体" w:hAnsi="宋体" w:eastAsia="宋体"/>
          <w:b/>
          <w:bCs/>
          <w:sz w:val="28"/>
          <w:szCs w:val="32"/>
        </w:rPr>
      </w:pPr>
      <w:r>
        <w:rPr>
          <w:rFonts w:hint="eastAsia" w:ascii="宋体" w:hAnsi="宋体" w:eastAsia="宋体"/>
          <w:b/>
          <w:bCs/>
          <w:sz w:val="28"/>
          <w:szCs w:val="32"/>
        </w:rPr>
        <w:t>一、国家战略</w:t>
      </w:r>
    </w:p>
    <w:p>
      <w:pPr>
        <w:spacing w:line="360" w:lineRule="auto"/>
        <w:rPr>
          <w:rFonts w:ascii="宋体" w:hAnsi="宋体" w:eastAsia="宋体"/>
          <w:b/>
          <w:bCs/>
          <w:sz w:val="24"/>
          <w:szCs w:val="28"/>
        </w:rPr>
      </w:pPr>
      <w:r>
        <w:rPr>
          <w:rFonts w:hint="eastAsia" w:ascii="宋体" w:hAnsi="宋体" w:eastAsia="宋体"/>
          <w:b/>
          <w:bCs/>
          <w:sz w:val="24"/>
          <w:szCs w:val="28"/>
        </w:rPr>
        <w:t>（一）《林业发展“十三五”规划》</w:t>
      </w:r>
    </w:p>
    <w:p>
      <w:pPr>
        <w:spacing w:line="360" w:lineRule="auto"/>
        <w:ind w:firstLine="420" w:firstLineChars="200"/>
        <w:rPr>
          <w:rFonts w:ascii="宋体" w:hAnsi="宋体" w:eastAsia="宋体"/>
        </w:rPr>
      </w:pPr>
      <w:r>
        <w:rPr>
          <w:rFonts w:hint="eastAsia" w:ascii="宋体" w:hAnsi="宋体" w:eastAsia="宋体"/>
        </w:rPr>
        <w:t>国家林业局发布《林业发展“十三五”规划》，十三五林业发展的主要目标：森林年生态服务价值达到</w:t>
      </w:r>
      <w:r>
        <w:rPr>
          <w:rFonts w:ascii="宋体" w:hAnsi="宋体" w:eastAsia="宋体"/>
        </w:rPr>
        <w:t>15万亿元，林业年旅游休闲康养人数力争突破25亿人次，要求大力推进森林体验和康养，发展集旅游、医疗、康养、教育、文化、扶贫于一体的林业综合服务业。开发和提供优质的生态教育、游憩休闲、健康养生养老等生态服务产品。</w:t>
      </w:r>
    </w:p>
    <w:p>
      <w:pPr>
        <w:spacing w:line="360" w:lineRule="auto"/>
        <w:ind w:firstLine="420" w:firstLineChars="200"/>
        <w:rPr>
          <w:rFonts w:ascii="宋体" w:hAnsi="宋体" w:eastAsia="宋体"/>
        </w:rPr>
      </w:pPr>
      <w:r>
        <w:rPr>
          <w:rFonts w:hint="eastAsia" w:ascii="宋体" w:hAnsi="宋体" w:eastAsia="宋体"/>
        </w:rPr>
        <w:t>做大做强森林等自然资源旅游，大力推进森林体验和康养，发展集旅游、医疗、康养、教育、文化、扶贫于一体的林业综合服务业。</w:t>
      </w:r>
    </w:p>
    <w:p>
      <w:pPr>
        <w:spacing w:line="360" w:lineRule="auto"/>
        <w:ind w:firstLine="420" w:firstLineChars="200"/>
        <w:rPr>
          <w:rFonts w:ascii="宋体" w:hAnsi="宋体" w:eastAsia="宋体"/>
        </w:rPr>
      </w:pPr>
      <w:r>
        <w:rPr>
          <w:rFonts w:hint="eastAsia" w:ascii="宋体" w:hAnsi="宋体" w:eastAsia="宋体"/>
        </w:rPr>
        <w:t>加大自然保护地、生态体验地的建设力度，开发和提供优质的生态教育、游憩休闲、健康养生养老等生态服务产品。</w:t>
      </w:r>
    </w:p>
    <w:p>
      <w:pPr>
        <w:spacing w:line="360" w:lineRule="auto"/>
        <w:ind w:firstLine="420" w:firstLineChars="200"/>
        <w:rPr>
          <w:rFonts w:ascii="宋体" w:hAnsi="宋体" w:eastAsia="宋体"/>
        </w:rPr>
      </w:pPr>
      <w:r>
        <w:rPr>
          <w:rFonts w:hint="eastAsia" w:ascii="宋体" w:hAnsi="宋体" w:eastAsia="宋体"/>
        </w:rPr>
        <w:t>重点强调发展森林旅游休闲康养产业：</w:t>
      </w:r>
      <w:r>
        <w:rPr>
          <w:rFonts w:ascii="宋体" w:hAnsi="宋体" w:eastAsia="宋体"/>
        </w:rPr>
        <w:t xml:space="preserve"> 构建以森林公园为主体，湿地公园、自然保护区、沙漠公园、森林人家等相结合的森林旅游休闲体系，大力发展森林康养和养老产业。到2020年，各类林业旅游景区数量达到9000处，森林康养和养老基地500处，森林康养国际合作示范基地5-10个。</w:t>
      </w:r>
    </w:p>
    <w:p>
      <w:pPr>
        <w:spacing w:line="360" w:lineRule="auto"/>
        <w:rPr>
          <w:rFonts w:ascii="宋体" w:hAnsi="宋体" w:eastAsia="宋体"/>
          <w:b/>
          <w:bCs/>
          <w:sz w:val="24"/>
          <w:szCs w:val="28"/>
        </w:rPr>
      </w:pPr>
      <w:r>
        <w:rPr>
          <w:rFonts w:hint="eastAsia" w:ascii="宋体" w:hAnsi="宋体" w:eastAsia="宋体"/>
          <w:b/>
          <w:bCs/>
          <w:sz w:val="24"/>
          <w:szCs w:val="28"/>
        </w:rPr>
        <w:t>（二）国家林业局关于印发《中国生态文化发展纲要</w:t>
      </w:r>
      <w:r>
        <w:rPr>
          <w:rFonts w:ascii="宋体" w:hAnsi="宋体" w:eastAsia="宋体"/>
          <w:b/>
          <w:bCs/>
          <w:sz w:val="24"/>
          <w:szCs w:val="28"/>
        </w:rPr>
        <w:t>(2016-2020年)》的通知（林规发〔2016〕44号）</w:t>
      </w:r>
    </w:p>
    <w:p>
      <w:pPr>
        <w:spacing w:line="360" w:lineRule="auto"/>
        <w:ind w:firstLine="420" w:firstLineChars="200"/>
        <w:rPr>
          <w:rFonts w:ascii="宋体" w:hAnsi="宋体" w:eastAsia="宋体"/>
        </w:rPr>
      </w:pPr>
      <w:r>
        <w:rPr>
          <w:rFonts w:hint="eastAsia" w:ascii="宋体" w:hAnsi="宋体" w:eastAsia="宋体"/>
        </w:rPr>
        <w:t>我国</w:t>
      </w:r>
      <w:r>
        <w:rPr>
          <w:rFonts w:ascii="宋体" w:hAnsi="宋体" w:eastAsia="宋体"/>
        </w:rPr>
        <w:t>4300多个森林公园、湿地公园、沙漠公园和2189处林业自然保护区，森林旅游和林业休闲服务业年产值5965亿元；森林文化、生态旅游、休闲养生等生态文化产业，正在成为最具发展潜力的就业空间和普惠民生的新兴产业。</w:t>
      </w:r>
    </w:p>
    <w:p>
      <w:pPr>
        <w:spacing w:line="360" w:lineRule="auto"/>
        <w:ind w:firstLine="420" w:firstLineChars="200"/>
        <w:rPr>
          <w:rFonts w:ascii="宋体" w:hAnsi="宋体" w:eastAsia="宋体"/>
        </w:rPr>
      </w:pPr>
      <w:r>
        <w:rPr>
          <w:rFonts w:hint="eastAsia" w:ascii="宋体" w:hAnsi="宋体" w:eastAsia="宋体"/>
        </w:rPr>
        <w:t>以国家级森林公园为重点，建设</w:t>
      </w:r>
      <w:r>
        <w:rPr>
          <w:rFonts w:ascii="宋体" w:hAnsi="宋体" w:eastAsia="宋体"/>
        </w:rPr>
        <w:t>200处生态文明教育示范基地、森林体验基地、森林养生基地和自然课堂。</w:t>
      </w:r>
    </w:p>
    <w:p>
      <w:pPr>
        <w:spacing w:line="360" w:lineRule="auto"/>
        <w:ind w:firstLine="420" w:firstLineChars="200"/>
        <w:rPr>
          <w:rFonts w:ascii="宋体" w:hAnsi="宋体" w:eastAsia="宋体"/>
        </w:rPr>
      </w:pPr>
      <w:r>
        <w:rPr>
          <w:rFonts w:hint="eastAsia" w:ascii="宋体" w:hAnsi="宋体" w:eastAsia="宋体"/>
        </w:rPr>
        <w:t>推进多种类型、各具特色的森林公园、湿地公园、沙漠公园、美丽乡村和民族生态文化原生地等生态旅游业，健康疗养、假日休闲等生态服务业；</w:t>
      </w:r>
    </w:p>
    <w:p>
      <w:pPr>
        <w:spacing w:line="360" w:lineRule="auto"/>
        <w:ind w:firstLine="420" w:firstLineChars="200"/>
        <w:rPr>
          <w:rFonts w:ascii="宋体" w:hAnsi="宋体" w:eastAsia="宋体"/>
        </w:rPr>
      </w:pPr>
      <w:r>
        <w:rPr>
          <w:rFonts w:hint="eastAsia" w:ascii="宋体" w:hAnsi="宋体" w:eastAsia="宋体"/>
        </w:rPr>
        <w:t>推动与休闲游憩、健康养生、科研教育、品德养成、地域历史、民族民俗等生态文化相融合的生态文化产业开发，加强基础设施建设，提升可达性和安全性。</w:t>
      </w:r>
    </w:p>
    <w:p>
      <w:pPr>
        <w:spacing w:line="360" w:lineRule="auto"/>
        <w:rPr>
          <w:rFonts w:ascii="宋体" w:hAnsi="宋体" w:eastAsia="宋体"/>
          <w:b/>
          <w:bCs/>
          <w:sz w:val="24"/>
          <w:szCs w:val="28"/>
        </w:rPr>
      </w:pPr>
      <w:r>
        <w:rPr>
          <w:rFonts w:hint="eastAsia" w:ascii="宋体" w:hAnsi="宋体" w:eastAsia="宋体"/>
          <w:b/>
          <w:bCs/>
          <w:sz w:val="24"/>
          <w:szCs w:val="28"/>
        </w:rPr>
        <w:t>（三）《关于促进林草产业高质量发展的指导意见》（林改发〔</w:t>
      </w:r>
      <w:r>
        <w:rPr>
          <w:rFonts w:ascii="宋体" w:hAnsi="宋体" w:eastAsia="宋体"/>
          <w:b/>
          <w:bCs/>
          <w:sz w:val="24"/>
          <w:szCs w:val="28"/>
        </w:rPr>
        <w:t>2019〕20号</w:t>
      </w:r>
      <w:r>
        <w:rPr>
          <w:rFonts w:hint="eastAsia" w:ascii="宋体" w:hAnsi="宋体" w:eastAsia="宋体"/>
          <w:b/>
          <w:bCs/>
          <w:sz w:val="24"/>
          <w:szCs w:val="28"/>
        </w:rPr>
        <w:t>）</w:t>
      </w:r>
    </w:p>
    <w:p>
      <w:pPr>
        <w:spacing w:line="360" w:lineRule="auto"/>
        <w:ind w:firstLine="420" w:firstLineChars="200"/>
        <w:rPr>
          <w:rFonts w:ascii="宋体" w:hAnsi="宋体" w:eastAsia="宋体"/>
        </w:rPr>
      </w:pPr>
      <w:r>
        <w:rPr>
          <w:rFonts w:hint="eastAsia" w:ascii="宋体" w:hAnsi="宋体" w:eastAsia="宋体"/>
        </w:rPr>
        <w:t>积极发展森林康养。编制实施森林康养产业发展规划，以满足多层次市场需求为导向，科学利用森林生态环境、景观资源、食品药材和文化资源，大力兴办保健养生、康复疗养、健康养老等森林康养服务。建设森林浴场、森林氧吧、森林康复中心、森林疗养场馆、康养步道、导引系统等服务设施。加强林药材种植培育、森林食品和药材保健疗养功能研发。推动实施森林康养基地质量评定标准，创建国家森林康养基地。</w:t>
      </w:r>
    </w:p>
    <w:p>
      <w:pPr>
        <w:spacing w:line="360" w:lineRule="auto"/>
        <w:ind w:firstLine="420" w:firstLineChars="200"/>
        <w:rPr>
          <w:rFonts w:ascii="宋体" w:hAnsi="宋体" w:eastAsia="宋体"/>
        </w:rPr>
      </w:pPr>
      <w:r>
        <w:rPr>
          <w:rFonts w:hint="eastAsia" w:ascii="宋体" w:hAnsi="宋体" w:eastAsia="宋体"/>
        </w:rPr>
        <w:t>到</w:t>
      </w:r>
      <w:r>
        <w:rPr>
          <w:rFonts w:ascii="宋体" w:hAnsi="宋体" w:eastAsia="宋体"/>
        </w:rPr>
        <w:t>2035年，建成覆盖全国的森林康养服务体系，建设国家森林康养基地1200处，建立一支高素质的森林康养专业人才队伍。到2050年，森林康养服务体系更加健全，森林康养理念深入人心，人民群众享有更加充分的森林康养服务。</w:t>
      </w:r>
    </w:p>
    <w:p>
      <w:pPr>
        <w:spacing w:line="360" w:lineRule="auto"/>
        <w:rPr>
          <w:rFonts w:ascii="宋体" w:hAnsi="宋体" w:eastAsia="宋体"/>
          <w:b/>
          <w:bCs/>
          <w:sz w:val="24"/>
          <w:szCs w:val="28"/>
        </w:rPr>
      </w:pPr>
      <w:r>
        <w:rPr>
          <w:rFonts w:hint="eastAsia" w:ascii="宋体" w:hAnsi="宋体" w:eastAsia="宋体"/>
          <w:b/>
          <w:bCs/>
          <w:sz w:val="24"/>
          <w:szCs w:val="28"/>
        </w:rPr>
        <w:t>（四）《关于大力推进森林体验和森林养生发展的通知》（林场发</w:t>
      </w:r>
      <w:r>
        <w:rPr>
          <w:rFonts w:ascii="宋体" w:hAnsi="宋体" w:eastAsia="宋体"/>
          <w:b/>
          <w:bCs/>
          <w:sz w:val="24"/>
          <w:szCs w:val="28"/>
        </w:rPr>
        <w:t>[2016]3号）</w:t>
      </w:r>
    </w:p>
    <w:p>
      <w:pPr>
        <w:spacing w:line="360" w:lineRule="auto"/>
        <w:ind w:firstLine="420" w:firstLineChars="200"/>
        <w:rPr>
          <w:rFonts w:ascii="宋体" w:hAnsi="宋体" w:eastAsia="宋体"/>
        </w:rPr>
      </w:pPr>
      <w:r>
        <w:rPr>
          <w:rFonts w:hint="eastAsia" w:ascii="宋体" w:hAnsi="宋体" w:eastAsia="宋体"/>
        </w:rPr>
        <w:t>要在开展一般性休闲游憩活动的同时，为人们提供各有侧重的森林养生服务，特别是要结合中老年人的多样化养生需求，构建集吃、住、行、游、娱和文化、体育、保健、医疗等于一体的森林养生体系，使良好的森林生态环境真正成为人们的养生天堂。要加强森林体验（馆）中心、森林养生（馆）中心、森林浴场、解说步道、健身步道等基础设施建设，完善相关配套设施。</w:t>
      </w:r>
    </w:p>
    <w:p>
      <w:pPr>
        <w:spacing w:line="360" w:lineRule="auto"/>
        <w:ind w:firstLine="420" w:firstLineChars="200"/>
        <w:rPr>
          <w:rFonts w:ascii="宋体" w:hAnsi="宋体" w:eastAsia="宋体"/>
        </w:rPr>
      </w:pPr>
      <w:r>
        <w:rPr>
          <w:rFonts w:hint="eastAsia" w:ascii="宋体" w:hAnsi="宋体" w:eastAsia="宋体"/>
        </w:rPr>
        <w:t>各种政策利好为森林康养产业发展带来了重大战略机遇。当我们沿着大健康产业链、旅游产业链延伸与森林康养交汇、融合时去研究其发展趋势，及沿着我国人均GDP的变化去研究产业的发展变迁的规律时，会发现，随着社会经济发展水平的不断提高，大健康、旅游两大产业在与森林康养复合后延伸、交叉，其产业的内涵会不断充实，外延会不断扩展，结果是必定会催生出森林康养产业；更重要的是我国人均GDP的变化趋势也揭示出——森林康养在我国必将形成产业。</w:t>
      </w:r>
    </w:p>
    <w:p>
      <w:pPr>
        <w:spacing w:line="360" w:lineRule="auto"/>
        <w:rPr>
          <w:rFonts w:ascii="宋体" w:hAnsi="宋体" w:eastAsia="宋体"/>
          <w:b/>
          <w:bCs/>
        </w:rPr>
      </w:pPr>
      <w:r>
        <w:rPr>
          <w:rFonts w:hint="eastAsia" w:ascii="宋体" w:hAnsi="宋体" w:eastAsia="宋体"/>
          <w:b/>
          <w:bCs/>
          <w:sz w:val="28"/>
          <w:szCs w:val="32"/>
        </w:rPr>
        <w:t>二、研究现状</w:t>
      </w:r>
    </w:p>
    <w:p>
      <w:pPr>
        <w:spacing w:line="360" w:lineRule="auto"/>
        <w:rPr>
          <w:rFonts w:ascii="宋体" w:hAnsi="宋体" w:eastAsia="宋体"/>
          <w:b/>
          <w:bCs/>
          <w:sz w:val="24"/>
          <w:szCs w:val="28"/>
        </w:rPr>
      </w:pPr>
      <w:r>
        <w:rPr>
          <w:rFonts w:hint="eastAsia" w:ascii="宋体" w:hAnsi="宋体" w:eastAsia="宋体"/>
          <w:b/>
          <w:bCs/>
          <w:sz w:val="24"/>
          <w:szCs w:val="28"/>
        </w:rPr>
        <w:t>(一</w:t>
      </w:r>
      <w:r>
        <w:rPr>
          <w:rFonts w:ascii="宋体" w:hAnsi="宋体" w:eastAsia="宋体"/>
          <w:b/>
          <w:bCs/>
          <w:sz w:val="24"/>
          <w:szCs w:val="28"/>
        </w:rPr>
        <w:t>)</w:t>
      </w:r>
      <w:r>
        <w:rPr>
          <w:rFonts w:hint="eastAsia" w:ascii="宋体" w:hAnsi="宋体" w:eastAsia="宋体"/>
          <w:b/>
          <w:bCs/>
          <w:sz w:val="24"/>
          <w:szCs w:val="28"/>
        </w:rPr>
        <w:t>专著教材</w:t>
      </w:r>
    </w:p>
    <w:p>
      <w:pPr>
        <w:spacing w:line="360" w:lineRule="auto"/>
        <w:rPr>
          <w:rFonts w:ascii="宋体" w:hAnsi="宋体" w:eastAsia="宋体"/>
        </w:rPr>
      </w:pPr>
      <w:r>
        <w:rPr>
          <w:rFonts w:hint="eastAsia" w:ascii="宋体" w:hAnsi="宋体" w:eastAsia="宋体"/>
        </w:rPr>
        <w:t>1、雷巍娥，森林康养概论</w:t>
      </w:r>
      <w:r>
        <w:rPr>
          <w:rFonts w:ascii="宋体" w:hAnsi="宋体" w:eastAsia="宋体"/>
        </w:rPr>
        <w:t>(国家林业局职业教育十三五规划教材)</w:t>
      </w:r>
      <w:r>
        <w:rPr>
          <w:rFonts w:hint="eastAsia" w:ascii="宋体" w:hAnsi="宋体" w:eastAsia="宋体"/>
        </w:rPr>
        <w:t>，中国林业出版社，2</w:t>
      </w:r>
      <w:r>
        <w:rPr>
          <w:rFonts w:ascii="宋体" w:hAnsi="宋体" w:eastAsia="宋体"/>
        </w:rPr>
        <w:t>016</w:t>
      </w:r>
    </w:p>
    <w:p>
      <w:pPr>
        <w:spacing w:line="360" w:lineRule="auto"/>
        <w:rPr>
          <w:rFonts w:ascii="宋体" w:hAnsi="宋体" w:eastAsia="宋体"/>
        </w:rPr>
      </w:pPr>
      <w:r>
        <w:rPr>
          <w:rFonts w:hint="eastAsia" w:ascii="宋体" w:hAnsi="宋体" w:eastAsia="宋体"/>
        </w:rPr>
        <w:t>2、雷巍娥，森林康养实务</w:t>
      </w:r>
      <w:r>
        <w:rPr>
          <w:rFonts w:ascii="宋体" w:hAnsi="宋体" w:eastAsia="宋体"/>
        </w:rPr>
        <w:t>(国家林业局职业教育十三五规划教材)</w:t>
      </w:r>
      <w:r>
        <w:rPr>
          <w:rFonts w:hint="eastAsia" w:ascii="宋体" w:hAnsi="宋体" w:eastAsia="宋体"/>
        </w:rPr>
        <w:t>，中国林业出版社，2</w:t>
      </w:r>
      <w:r>
        <w:rPr>
          <w:rFonts w:ascii="宋体" w:hAnsi="宋体" w:eastAsia="宋体"/>
        </w:rPr>
        <w:t>018</w:t>
      </w:r>
    </w:p>
    <w:p>
      <w:pPr>
        <w:spacing w:line="360" w:lineRule="auto"/>
        <w:rPr>
          <w:rFonts w:ascii="宋体" w:hAnsi="宋体" w:eastAsia="宋体"/>
        </w:rPr>
      </w:pPr>
      <w:r>
        <w:rPr>
          <w:rFonts w:hint="eastAsia" w:ascii="宋体" w:hAnsi="宋体" w:eastAsia="宋体"/>
        </w:rPr>
        <w:t>3、上原严（日），森林疗养学，科学出版社，2</w:t>
      </w:r>
      <w:r>
        <w:rPr>
          <w:rFonts w:ascii="宋体" w:hAnsi="宋体" w:eastAsia="宋体"/>
        </w:rPr>
        <w:t>019</w:t>
      </w:r>
    </w:p>
    <w:p>
      <w:pPr>
        <w:spacing w:line="360" w:lineRule="auto"/>
        <w:rPr>
          <w:rFonts w:ascii="宋体" w:hAnsi="宋体" w:eastAsia="宋体"/>
        </w:rPr>
      </w:pPr>
      <w:r>
        <w:rPr>
          <w:rFonts w:hint="eastAsia" w:ascii="宋体" w:hAnsi="宋体" w:eastAsia="宋体"/>
        </w:rPr>
        <w:t>4、周彩贤，森林疗养师培训教材——基础知识篇，科学出版社，2</w:t>
      </w:r>
      <w:r>
        <w:rPr>
          <w:rFonts w:ascii="宋体" w:hAnsi="宋体" w:eastAsia="宋体"/>
        </w:rPr>
        <w:t>018</w:t>
      </w:r>
    </w:p>
    <w:p>
      <w:pPr>
        <w:spacing w:line="360" w:lineRule="auto"/>
        <w:rPr>
          <w:rFonts w:ascii="宋体" w:hAnsi="宋体" w:eastAsia="宋体"/>
        </w:rPr>
      </w:pPr>
      <w:r>
        <w:rPr>
          <w:rFonts w:hint="eastAsia" w:ascii="宋体" w:hAnsi="宋体" w:eastAsia="宋体"/>
        </w:rPr>
        <w:t>5、</w:t>
      </w:r>
      <w:r>
        <w:rPr>
          <w:rFonts w:ascii="宋体" w:hAnsi="宋体" w:eastAsia="宋体"/>
        </w:rPr>
        <w:t>R.伯杰</w:t>
      </w:r>
      <w:r>
        <w:rPr>
          <w:rFonts w:hint="eastAsia" w:ascii="宋体" w:hAnsi="宋体" w:eastAsia="宋体"/>
        </w:rPr>
        <w:t>（美），危机后儿童心理创伤的森林疗育，科学出版社，2</w:t>
      </w:r>
      <w:r>
        <w:rPr>
          <w:rFonts w:ascii="宋体" w:hAnsi="宋体" w:eastAsia="宋体"/>
        </w:rPr>
        <w:t>018</w:t>
      </w:r>
    </w:p>
    <w:p>
      <w:pPr>
        <w:spacing w:line="360" w:lineRule="auto"/>
        <w:rPr>
          <w:rFonts w:ascii="宋体" w:hAnsi="宋体" w:eastAsia="宋体"/>
        </w:rPr>
      </w:pPr>
      <w:r>
        <w:rPr>
          <w:rFonts w:hint="eastAsia" w:ascii="宋体" w:hAnsi="宋体" w:eastAsia="宋体"/>
        </w:rPr>
        <w:t>6、郑群明，森林保健旅游，中国环境出版社，2</w:t>
      </w:r>
      <w:r>
        <w:rPr>
          <w:rFonts w:ascii="宋体" w:hAnsi="宋体" w:eastAsia="宋体"/>
        </w:rPr>
        <w:t>014</w:t>
      </w:r>
    </w:p>
    <w:p>
      <w:pPr>
        <w:spacing w:line="360" w:lineRule="auto"/>
        <w:rPr>
          <w:rFonts w:ascii="宋体" w:hAnsi="宋体" w:eastAsia="宋体"/>
          <w:b/>
          <w:bCs/>
          <w:sz w:val="24"/>
          <w:szCs w:val="28"/>
        </w:rPr>
      </w:pPr>
      <w:r>
        <w:rPr>
          <w:rFonts w:hint="eastAsia" w:ascii="宋体" w:hAnsi="宋体" w:eastAsia="宋体"/>
          <w:b/>
          <w:bCs/>
          <w:sz w:val="24"/>
          <w:szCs w:val="28"/>
        </w:rPr>
        <w:t>（二）论文方向</w:t>
      </w:r>
    </w:p>
    <w:p>
      <w:pPr>
        <w:spacing w:line="360" w:lineRule="auto"/>
        <w:rPr>
          <w:rFonts w:ascii="宋体" w:hAnsi="宋体" w:eastAsia="宋体"/>
          <w:sz w:val="24"/>
          <w:szCs w:val="28"/>
        </w:rPr>
      </w:pPr>
      <w:r>
        <w:rPr>
          <w:rFonts w:hint="eastAsia" w:ascii="宋体" w:hAnsi="宋体" w:eastAsia="宋体"/>
          <w:sz w:val="24"/>
          <w:szCs w:val="28"/>
        </w:rPr>
        <w:t>1、森林康养发展模式研究</w:t>
      </w:r>
    </w:p>
    <w:p>
      <w:pPr>
        <w:spacing w:line="360" w:lineRule="auto"/>
        <w:ind w:firstLine="420" w:firstLineChars="200"/>
        <w:rPr>
          <w:rFonts w:ascii="宋体" w:hAnsi="宋体" w:eastAsia="宋体"/>
        </w:rPr>
      </w:pPr>
      <w:r>
        <w:rPr>
          <w:rFonts w:hint="eastAsia" w:ascii="宋体" w:hAnsi="宋体" w:eastAsia="宋体"/>
        </w:rPr>
        <w:t>张力强</w:t>
      </w:r>
      <w:r>
        <w:rPr>
          <w:rFonts w:hint="eastAsia" w:ascii="宋体" w:hAnsi="宋体" w:eastAsia="宋体"/>
          <w:vertAlign w:val="superscript"/>
        </w:rPr>
        <w:t>[</w:t>
      </w:r>
      <w:r>
        <w:rPr>
          <w:rFonts w:ascii="宋体" w:hAnsi="宋体" w:eastAsia="宋体"/>
          <w:vertAlign w:val="superscript"/>
        </w:rPr>
        <w:t>1]</w:t>
      </w:r>
      <w:r>
        <w:rPr>
          <w:rFonts w:hint="eastAsia" w:ascii="宋体" w:hAnsi="宋体" w:eastAsia="宋体"/>
        </w:rPr>
        <w:t>从乡村振兴角度提出发展森林康养是迈向绿色经济</w:t>
      </w:r>
      <w:r>
        <w:rPr>
          <w:rFonts w:ascii="宋体" w:hAnsi="宋体" w:eastAsia="宋体"/>
        </w:rPr>
        <w:t>,破解城乡二元结构,实现城市发展转型的最佳路径之一。</w:t>
      </w:r>
      <w:r>
        <w:rPr>
          <w:rFonts w:hint="eastAsia" w:ascii="宋体" w:hAnsi="宋体" w:eastAsia="宋体"/>
        </w:rPr>
        <w:t>张洋</w:t>
      </w:r>
      <w:r>
        <w:rPr>
          <w:rFonts w:hint="eastAsia" w:ascii="宋体" w:hAnsi="宋体" w:eastAsia="宋体"/>
          <w:vertAlign w:val="superscript"/>
        </w:rPr>
        <w:t>[</w:t>
      </w:r>
      <w:r>
        <w:rPr>
          <w:rFonts w:ascii="宋体" w:hAnsi="宋体" w:eastAsia="宋体"/>
          <w:vertAlign w:val="superscript"/>
        </w:rPr>
        <w:t>2]</w:t>
      </w:r>
      <w:r>
        <w:rPr>
          <w:rFonts w:hint="eastAsia" w:ascii="宋体" w:hAnsi="宋体" w:eastAsia="宋体"/>
        </w:rPr>
        <w:t>从供需前景、</w:t>
      </w:r>
      <w:r>
        <w:rPr>
          <w:rFonts w:ascii="宋体" w:hAnsi="宋体" w:eastAsia="宋体"/>
        </w:rPr>
        <w:t>产业态势</w:t>
      </w:r>
      <w:r>
        <w:rPr>
          <w:rFonts w:hint="eastAsia" w:ascii="宋体" w:hAnsi="宋体" w:eastAsia="宋体"/>
        </w:rPr>
        <w:t>、</w:t>
      </w:r>
      <w:r>
        <w:rPr>
          <w:rFonts w:ascii="宋体" w:hAnsi="宋体" w:eastAsia="宋体"/>
        </w:rPr>
        <w:t>康养基础设施建设与配套医疗服务</w:t>
      </w:r>
      <w:r>
        <w:rPr>
          <w:rFonts w:hint="eastAsia" w:ascii="宋体" w:hAnsi="宋体" w:eastAsia="宋体"/>
        </w:rPr>
        <w:t>对</w:t>
      </w:r>
      <w:r>
        <w:rPr>
          <w:rFonts w:ascii="宋体" w:hAnsi="宋体" w:eastAsia="宋体"/>
        </w:rPr>
        <w:t>森林康养产业</w:t>
      </w:r>
      <w:r>
        <w:rPr>
          <w:rFonts w:hint="eastAsia" w:ascii="宋体" w:hAnsi="宋体" w:eastAsia="宋体"/>
        </w:rPr>
        <w:t>发展进行分析。郑贵军</w:t>
      </w:r>
      <w:r>
        <w:rPr>
          <w:rFonts w:hint="eastAsia" w:ascii="宋体" w:hAnsi="宋体" w:eastAsia="宋体"/>
          <w:vertAlign w:val="superscript"/>
        </w:rPr>
        <w:t>[</w:t>
      </w:r>
      <w:r>
        <w:rPr>
          <w:rFonts w:ascii="宋体" w:hAnsi="宋体" w:eastAsia="宋体"/>
          <w:vertAlign w:val="superscript"/>
        </w:rPr>
        <w:t>3]</w:t>
      </w:r>
      <w:r>
        <w:rPr>
          <w:rFonts w:hint="eastAsia" w:ascii="宋体" w:hAnsi="宋体" w:eastAsia="宋体"/>
        </w:rPr>
        <w:t>运用文献分析法归纳了制约森林康养产业发展的国家政策、资源供给、消费需求等相关影响因素</w:t>
      </w:r>
      <w:r>
        <w:rPr>
          <w:rFonts w:ascii="宋体" w:hAnsi="宋体" w:eastAsia="宋体"/>
        </w:rPr>
        <w:t>,并采用系统动力学理论分析方法,阐述了森林康养产业与国家政策、森林资源要素和市场需求因素的内在机理,并从产业发展的角度提出了</w:t>
      </w:r>
      <w:r>
        <w:rPr>
          <w:rFonts w:hint="eastAsia" w:ascii="宋体" w:hAnsi="宋体" w:eastAsia="宋体"/>
        </w:rPr>
        <w:t>相应策略。史云</w:t>
      </w:r>
      <w:r>
        <w:rPr>
          <w:rFonts w:hint="eastAsia" w:ascii="宋体" w:hAnsi="宋体" w:eastAsia="宋体"/>
          <w:vertAlign w:val="superscript"/>
        </w:rPr>
        <w:t>[</w:t>
      </w:r>
      <w:r>
        <w:rPr>
          <w:rFonts w:ascii="宋体" w:hAnsi="宋体" w:eastAsia="宋体"/>
          <w:vertAlign w:val="superscript"/>
        </w:rPr>
        <w:t>4]</w:t>
      </w:r>
      <w:r>
        <w:rPr>
          <w:rFonts w:hint="eastAsia" w:ascii="宋体" w:hAnsi="宋体" w:eastAsia="宋体"/>
        </w:rPr>
        <w:t>通过分析开展森林康养的内外条件及要素指标</w:t>
      </w:r>
      <w:r>
        <w:rPr>
          <w:rFonts w:ascii="宋体" w:hAnsi="宋体" w:eastAsia="宋体"/>
        </w:rPr>
        <w:t>,根据不同的标准将森林康养划分为四种类型及相应的亚类型。</w:t>
      </w:r>
    </w:p>
    <w:p>
      <w:pPr>
        <w:spacing w:line="360" w:lineRule="auto"/>
        <w:rPr>
          <w:rFonts w:ascii="宋体" w:hAnsi="宋体" w:eastAsia="宋体"/>
          <w:sz w:val="24"/>
          <w:szCs w:val="28"/>
        </w:rPr>
      </w:pPr>
      <w:r>
        <w:rPr>
          <w:rFonts w:hint="eastAsia" w:ascii="宋体" w:hAnsi="宋体" w:eastAsia="宋体"/>
          <w:sz w:val="24"/>
          <w:szCs w:val="28"/>
        </w:rPr>
        <w:t>2、</w:t>
      </w:r>
      <w:r>
        <w:rPr>
          <w:rFonts w:ascii="宋体" w:hAnsi="宋体" w:eastAsia="宋体"/>
          <w:sz w:val="24"/>
          <w:szCs w:val="28"/>
        </w:rPr>
        <w:t>森林康养基地建设研究</w:t>
      </w:r>
    </w:p>
    <w:p>
      <w:pPr>
        <w:spacing w:line="360" w:lineRule="auto"/>
        <w:ind w:firstLine="420" w:firstLineChars="200"/>
        <w:rPr>
          <w:rFonts w:ascii="宋体" w:hAnsi="宋体" w:eastAsia="宋体"/>
        </w:rPr>
      </w:pPr>
      <w:r>
        <w:rPr>
          <w:rFonts w:hint="eastAsia" w:ascii="宋体" w:hAnsi="宋体" w:eastAsia="宋体"/>
        </w:rPr>
        <w:t>刘朝望、潘洋刘、曾进</w:t>
      </w:r>
      <w:r>
        <w:rPr>
          <w:rFonts w:hint="eastAsia" w:ascii="宋体" w:hAnsi="宋体" w:eastAsia="宋体"/>
          <w:vertAlign w:val="superscript"/>
        </w:rPr>
        <w:t>［</w:t>
      </w:r>
      <w:r>
        <w:rPr>
          <w:rFonts w:ascii="宋体" w:hAnsi="宋体" w:eastAsia="宋体"/>
          <w:vertAlign w:val="superscript"/>
        </w:rPr>
        <w:t>5</w:t>
      </w:r>
      <w:r>
        <w:rPr>
          <w:rFonts w:hint="eastAsia" w:ascii="宋体" w:hAnsi="宋体" w:eastAsia="宋体"/>
          <w:vertAlign w:val="superscript"/>
        </w:rPr>
        <w:t>-</w:t>
      </w:r>
      <w:r>
        <w:rPr>
          <w:rFonts w:ascii="宋体" w:hAnsi="宋体" w:eastAsia="宋体"/>
          <w:vertAlign w:val="superscript"/>
        </w:rPr>
        <w:t>6］</w:t>
      </w:r>
      <w:r>
        <w:rPr>
          <w:rFonts w:ascii="宋体" w:hAnsi="宋体" w:eastAsia="宋体"/>
        </w:rPr>
        <w:t>等以判断建设用地是否具有建设森林医疗保健基地的价值，建立了基地建设适宜性评价指标体系，提出了评价方法和评价标准。谭益民与张志强</w:t>
      </w:r>
      <w:r>
        <w:rPr>
          <w:rFonts w:ascii="宋体" w:hAnsi="宋体" w:eastAsia="宋体"/>
          <w:vertAlign w:val="superscript"/>
        </w:rPr>
        <w:t>［7］</w:t>
      </w:r>
      <w:r>
        <w:rPr>
          <w:rFonts w:ascii="宋体" w:hAnsi="宋体" w:eastAsia="宋体"/>
        </w:rPr>
        <w:t>主要阐述了疗法因素与康养基地的关系，以及康养基地选址、步道设计、规划设计研究。</w:t>
      </w:r>
      <w:r>
        <w:rPr>
          <w:rFonts w:hint="eastAsia" w:ascii="宋体" w:hAnsi="宋体" w:eastAsia="宋体"/>
        </w:rPr>
        <w:t>王悦霖</w:t>
      </w:r>
      <w:r>
        <w:rPr>
          <w:rFonts w:hint="eastAsia" w:ascii="宋体" w:hAnsi="宋体" w:eastAsia="宋体"/>
          <w:vertAlign w:val="superscript"/>
        </w:rPr>
        <w:t>[</w:t>
      </w:r>
      <w:r>
        <w:rPr>
          <w:rFonts w:ascii="宋体" w:hAnsi="宋体" w:eastAsia="宋体"/>
          <w:vertAlign w:val="superscript"/>
        </w:rPr>
        <w:t>8]</w:t>
      </w:r>
      <w:r>
        <w:rPr>
          <w:rFonts w:hint="eastAsia" w:ascii="宋体" w:hAnsi="宋体" w:eastAsia="宋体"/>
        </w:rPr>
        <w:t>运用层次分析法</w:t>
      </w:r>
      <w:r>
        <w:rPr>
          <w:rFonts w:ascii="宋体" w:hAnsi="宋体" w:eastAsia="宋体"/>
        </w:rPr>
        <w:t>(AHP)构建了森林康养服务体验满意度影响因素指标评价体系</w:t>
      </w:r>
      <w:r>
        <w:rPr>
          <w:rFonts w:hint="eastAsia" w:ascii="宋体" w:hAnsi="宋体" w:eastAsia="宋体"/>
        </w:rPr>
        <w:t>。陈明泽</w:t>
      </w:r>
      <w:r>
        <w:rPr>
          <w:rFonts w:hint="eastAsia" w:ascii="宋体" w:hAnsi="宋体" w:eastAsia="宋体"/>
          <w:vertAlign w:val="superscript"/>
        </w:rPr>
        <w:t>[</w:t>
      </w:r>
      <w:r>
        <w:rPr>
          <w:rFonts w:ascii="宋体" w:hAnsi="宋体" w:eastAsia="宋体"/>
          <w:vertAlign w:val="superscript"/>
        </w:rPr>
        <w:t>9]</w:t>
      </w:r>
      <w:r>
        <w:rPr>
          <w:rFonts w:hint="eastAsia" w:ascii="宋体" w:hAnsi="宋体" w:eastAsia="宋体"/>
        </w:rPr>
        <w:t>提出了森林康养基地规划应遵循的基本原则。并对森林康养具体项目从森林疗养、森林体验、森林科普教育、森林养老几个方面进行了规划。</w:t>
      </w:r>
    </w:p>
    <w:p>
      <w:pPr>
        <w:spacing w:line="360" w:lineRule="auto"/>
        <w:rPr>
          <w:rFonts w:ascii="宋体" w:hAnsi="宋体" w:eastAsia="宋体"/>
          <w:b/>
          <w:bCs/>
          <w:sz w:val="28"/>
          <w:szCs w:val="32"/>
        </w:rPr>
      </w:pPr>
      <w:r>
        <w:rPr>
          <w:rFonts w:hint="eastAsia" w:ascii="宋体" w:hAnsi="宋体" w:eastAsia="宋体"/>
          <w:b/>
          <w:bCs/>
          <w:sz w:val="28"/>
          <w:szCs w:val="32"/>
        </w:rPr>
        <w:t>三、需求分析</w:t>
      </w:r>
    </w:p>
    <w:p>
      <w:pPr>
        <w:spacing w:line="360" w:lineRule="auto"/>
        <w:ind w:firstLine="420" w:firstLineChars="200"/>
        <w:rPr>
          <w:rFonts w:ascii="宋体" w:hAnsi="宋体" w:eastAsia="宋体"/>
        </w:rPr>
      </w:pPr>
      <w:r>
        <w:rPr>
          <w:rFonts w:hint="eastAsia" w:ascii="宋体" w:hAnsi="宋体" w:eastAsia="宋体"/>
        </w:rPr>
        <w:t>可以看出，大力发展森林康养产业已经成为国家战略与现实需求，森林康养作为一个新兴的产业，面临着人才匮乏的困难。森林康养是以森林资源开发为主要内容，融入旅游、休闲、医疗、度假、娱乐、养生、养老等健康服务新理念，形成一个多元组合、产业共融业态相生的商业综合体，它是我国大健康产业新模式、新业态、新创意。他起源于德国，流行于美国、日本与韩国等发达国家，被誉为世界上没有被人类污染与破坏的原生态，也是人类唯一不用人工医疗手段可以进行一定自我康复的“天然医院”。目前森林康养主要面对五类人群：身心障碍者（主要指智障）、医疗康复者、老年人、幼儿、精神和心理烦躁者。开展的主要活动主要体现在5个方面：①森林浴为代表的森林休闲游憩；②利用树木和林产品的作业疗法；③森林心理疗法和集体辅导活动；④利用森林地形和自然环境的医疗康复锻炼；⑤森林幼儿保育。与此同时，为开展森林康养产业，除具备森林环境和相应的硬件设施，还需具有森林康养的技术指导人员。而就目前而言，森林康养的专业技术人员在我国还属于空缺。2016年，湖南环境生物职业技术学院对准未来需求申报了森林康养专业，但没有获批。</w:t>
      </w:r>
    </w:p>
    <w:p>
      <w:pPr>
        <w:autoSpaceDE w:val="0"/>
        <w:autoSpaceDN w:val="0"/>
        <w:adjustRightInd w:val="0"/>
        <w:spacing w:line="360" w:lineRule="auto"/>
        <w:ind w:firstLine="420" w:firstLineChars="200"/>
        <w:jc w:val="left"/>
        <w:rPr>
          <w:rFonts w:ascii="宋体" w:hAnsi="宋体" w:eastAsia="宋体"/>
        </w:rPr>
      </w:pPr>
      <w:r>
        <w:rPr>
          <w:rFonts w:hint="eastAsia" w:ascii="宋体" w:hAnsi="宋体" w:eastAsia="宋体"/>
        </w:rPr>
        <w:t>近年来，我国国家林业局就森林疗养工作与德、日、韩等国家开展了项目合作，并在北京、甘肃、福建、四川、黑龙江、湖南等地建立了森林康养中心、森林体验基地、森林体验教育中心等。</w:t>
      </w:r>
      <w:r>
        <w:rPr>
          <w:rFonts w:ascii="宋体" w:hAnsi="宋体" w:eastAsia="宋体"/>
        </w:rPr>
        <w:t>北京市园林绿化</w:t>
      </w:r>
      <w:r>
        <w:rPr>
          <w:rFonts w:hint="eastAsia" w:ascii="宋体" w:hAnsi="宋体" w:eastAsia="宋体"/>
        </w:rPr>
        <w:t>局与日本开展了合作培养森林疗养师的项目，</w:t>
      </w:r>
      <w:r>
        <w:rPr>
          <w:rFonts w:ascii="宋体" w:hAnsi="宋体" w:eastAsia="宋体"/>
        </w:rPr>
        <w:t>首届森林疗养师培训班2015年7月开始公募学员，同年9月开始第1次集中培训。培训邀请国外知名专家亲临授课，费用全部由北京市园林绿化国际合作项目管理办公室和北京林学会买单。整个培训分为集中培训、函授和实践三部分，集中培训是室内室外相结合，历时1年，共安排5次，每次2天；函授是每次集中培训后发1本辅导教材，学员课下自学；实践是学员结合自身专业特长，编制森林疗养活动方案，协助开展实践活动。首届培训班已经完成全部集中培训工作，</w:t>
      </w:r>
      <w:r>
        <w:rPr>
          <w:rFonts w:hint="eastAsia" w:ascii="宋体" w:hAnsi="宋体" w:eastAsia="宋体"/>
        </w:rPr>
        <w:t>次年</w:t>
      </w:r>
      <w:r>
        <w:rPr>
          <w:rFonts w:ascii="宋体" w:hAnsi="宋体" w:eastAsia="宋体"/>
        </w:rPr>
        <w:t>9月末安排闭卷笔试，笔试合格者在积累1年在职训练经验后，可申请实操考核，并最终获得森林疗养师资格。</w:t>
      </w:r>
      <w:r>
        <w:rPr>
          <w:rFonts w:hint="eastAsia" w:ascii="宋体" w:hAnsi="宋体" w:eastAsia="宋体"/>
        </w:rPr>
        <w:t>但由于人们的认识不足，培训时间较长，参与度不高，能从事森林康养指导工作的技能人员远不能满足现实需要。森林康养的专业技术人员在我国还属于空缺，也没有森林康养师或森林康养技能培训规程的相关标准，如何快速培训森林康养技能型从业人员势在必行。</w:t>
      </w:r>
    </w:p>
    <w:p>
      <w:pPr>
        <w:spacing w:line="360" w:lineRule="auto"/>
        <w:rPr>
          <w:rFonts w:ascii="宋体" w:hAnsi="宋体" w:eastAsia="宋体"/>
          <w:b/>
          <w:bCs/>
          <w:sz w:val="28"/>
          <w:szCs w:val="32"/>
        </w:rPr>
      </w:pPr>
      <w:r>
        <w:rPr>
          <w:rFonts w:hint="eastAsia" w:ascii="宋体" w:hAnsi="宋体" w:eastAsia="宋体"/>
          <w:b/>
          <w:bCs/>
          <w:sz w:val="28"/>
          <w:szCs w:val="32"/>
        </w:rPr>
        <w:t>四、研发背景</w:t>
      </w:r>
    </w:p>
    <w:p>
      <w:pPr>
        <w:widowControl/>
        <w:spacing w:line="360" w:lineRule="auto"/>
        <w:ind w:right="46" w:rightChars="22" w:firstLine="420" w:firstLineChars="200"/>
        <w:jc w:val="left"/>
        <w:rPr>
          <w:rFonts w:ascii="宋体" w:hAnsi="宋体" w:eastAsia="宋体"/>
        </w:rPr>
      </w:pPr>
      <w:r>
        <w:rPr>
          <w:rFonts w:hint="eastAsia" w:ascii="宋体" w:hAnsi="宋体" w:eastAsia="宋体"/>
        </w:rPr>
        <w:t>为了尽快给森林康养产业的发展提供人才支持， 2017年初，湖南环境生物职业技术学院左家哺校长根据国家林业局与湖南省林业局的规划要求，由本院牵头开发“森林康养师”培训方案。 对此，成立了以雷巍娥教授负责的“森林康养师”培训方案开发团队。先后多次召开研讨会，拟定、调整与完善 “森林康养师”培训大纲，大纲得到林学与医学专家的认同与首肯。2017年4月湖南省林业局在永州阳明山举办了“海峡两岸森林康养论坛”会议，会后国家林业局对外合作项目中心副主任、中国林业经济学会森林疗养国际合作专业委员会主任委员刘立军先生，湖南省林业厅巡视员柏方敏高级工程师一行来湖南环境生物职业技术学院就“森林康养师”培训大纲进行了研讨，在研讨会上各位领导与专家对大纲给予了充分的肯定，提出了中肯的指导意见。</w:t>
      </w:r>
    </w:p>
    <w:p>
      <w:pPr>
        <w:widowControl/>
        <w:spacing w:line="360" w:lineRule="auto"/>
        <w:ind w:right="46" w:rightChars="22" w:firstLine="420" w:firstLineChars="200"/>
        <w:jc w:val="left"/>
        <w:rPr>
          <w:rFonts w:ascii="宋体" w:hAnsi="宋体" w:eastAsia="宋体"/>
        </w:rPr>
      </w:pPr>
      <w:r>
        <w:rPr>
          <w:rFonts w:hint="eastAsia" w:ascii="宋体" w:hAnsi="宋体" w:eastAsia="宋体"/>
        </w:rPr>
        <w:t>会后再一次对培训大纲进行修改与完善，将“森林康养师”培训内容分为森林康养基地认知</w:t>
      </w:r>
      <w:r>
        <w:rPr>
          <w:rFonts w:ascii="宋体" w:hAnsi="宋体" w:eastAsia="宋体"/>
        </w:rPr>
        <w:t>、</w:t>
      </w:r>
      <w:r>
        <w:rPr>
          <w:rFonts w:hint="eastAsia" w:ascii="宋体" w:hAnsi="宋体" w:eastAsia="宋体"/>
        </w:rPr>
        <w:t>森林康养产品设计与健康管理</w:t>
      </w:r>
      <w:r>
        <w:rPr>
          <w:rFonts w:ascii="宋体" w:hAnsi="宋体" w:eastAsia="宋体"/>
        </w:rPr>
        <w:t>、</w:t>
      </w:r>
      <w:r>
        <w:rPr>
          <w:rFonts w:hint="eastAsia" w:ascii="宋体" w:hAnsi="宋体" w:eastAsia="宋体"/>
        </w:rPr>
        <w:t>森林养生实践</w:t>
      </w:r>
      <w:r>
        <w:rPr>
          <w:rFonts w:ascii="宋体" w:hAnsi="宋体" w:eastAsia="宋体"/>
        </w:rPr>
        <w:t>、</w:t>
      </w:r>
      <w:r>
        <w:rPr>
          <w:rFonts w:hint="eastAsia" w:ascii="宋体" w:hAnsi="宋体" w:eastAsia="宋体"/>
        </w:rPr>
        <w:t>森林康养心理辅导、森林康养野外安全问题应急处理</w:t>
      </w:r>
      <w:r>
        <w:rPr>
          <w:rFonts w:ascii="宋体" w:hAnsi="宋体" w:eastAsia="宋体"/>
        </w:rPr>
        <w:t>、</w:t>
      </w:r>
      <w:r>
        <w:rPr>
          <w:rFonts w:hint="eastAsia" w:ascii="宋体" w:hAnsi="宋体" w:eastAsia="宋体"/>
        </w:rPr>
        <w:t>森林康养礼仪与推介等6个单元、26个技能模块，内容上循序渐进，涵盖了</w:t>
      </w:r>
      <w:r>
        <w:rPr>
          <w:rFonts w:ascii="宋体" w:hAnsi="宋体" w:eastAsia="宋体"/>
        </w:rPr>
        <w:t>与</w:t>
      </w:r>
      <w:r>
        <w:rPr>
          <w:rFonts w:hint="eastAsia" w:ascii="宋体" w:hAnsi="宋体" w:eastAsia="宋体"/>
        </w:rPr>
        <w:t>森林康养产业从业人员工作</w:t>
      </w:r>
      <w:r>
        <w:rPr>
          <w:rFonts w:ascii="宋体" w:hAnsi="宋体" w:eastAsia="宋体"/>
        </w:rPr>
        <w:t>相关的</w:t>
      </w:r>
      <w:r>
        <w:rPr>
          <w:rFonts w:hint="eastAsia" w:ascii="宋体" w:hAnsi="宋体" w:eastAsia="宋体"/>
        </w:rPr>
        <w:t>基本技能。由于涉及“森林康养师”合法考证的问题未能得到人社部的支持，“森林康养师”培训方案开发工作被搁置，“森林康养师”培训也改为了“森林康养技能”培训。</w:t>
      </w:r>
    </w:p>
    <w:p>
      <w:pPr>
        <w:autoSpaceDE w:val="0"/>
        <w:autoSpaceDN w:val="0"/>
        <w:adjustRightInd w:val="0"/>
        <w:spacing w:line="360" w:lineRule="auto"/>
        <w:ind w:firstLine="420" w:firstLineChars="200"/>
        <w:jc w:val="left"/>
        <w:rPr>
          <w:rFonts w:ascii="宋体" w:hAnsi="宋体" w:eastAsia="宋体"/>
        </w:rPr>
      </w:pPr>
      <w:r>
        <w:rPr>
          <w:rFonts w:hint="eastAsia" w:ascii="宋体" w:hAnsi="宋体" w:eastAsia="宋体"/>
        </w:rPr>
        <w:t>2017年8月12~18日，由中国林业经济学会森林康养国际合作专业委员会，日本森林康养协会，湖南省森林康养协会举办，湖南环境生物职业技术学院、青羊湖国家森林公园承办的“首届国际森林康养技能培训班”的培训计划由湖南环境生物职业技术学院拟定初稿与最后定稿。本次森林康养技能培训包括国际、国内森林康养动态、湖南森林康养的理论与实践、日本森林疗养基地的建与的发展、植物精气与森林康养、森林康养基地的规划设计与建设、森林康养中的自然教育与体验、森林康养的安全应急处理、森林康养的健康管理、森林康养的产品设计、森林养生实践指导、生态心理学与森林康养户外实训体验等内容。湖南环境生物职业技术学院雷巍娥、赵其辉、何凤英、张自珍、蒋祁桂等同志承担了培训任务。</w:t>
      </w:r>
    </w:p>
    <w:p>
      <w:pPr>
        <w:autoSpaceDE w:val="0"/>
        <w:autoSpaceDN w:val="0"/>
        <w:adjustRightInd w:val="0"/>
        <w:spacing w:line="360" w:lineRule="auto"/>
        <w:ind w:firstLine="420" w:firstLineChars="200"/>
        <w:jc w:val="left"/>
        <w:rPr>
          <w:rFonts w:ascii="宋体" w:hAnsi="宋体" w:eastAsia="宋体"/>
        </w:rPr>
      </w:pPr>
      <w:r>
        <w:rPr>
          <w:rFonts w:hint="eastAsia" w:ascii="宋体" w:hAnsi="宋体" w:eastAsia="宋体"/>
        </w:rPr>
        <w:t>2017年10月13日，湖南省林业局和湖南省市场监督管理局联合印发《森林康养基地建设标准综合体系》的通知（湘林外【</w:t>
      </w:r>
      <w:r>
        <w:rPr>
          <w:rFonts w:ascii="宋体" w:hAnsi="宋体" w:eastAsia="宋体"/>
        </w:rPr>
        <w:t>201</w:t>
      </w:r>
      <w:r>
        <w:rPr>
          <w:rFonts w:hint="eastAsia" w:ascii="宋体" w:hAnsi="宋体" w:eastAsia="宋体"/>
        </w:rPr>
        <w:t>7】5号），通知要求各地、各有关单位高度重视，在实施森林康养产业化标准项目中支持标准研究，积极推进森林康养基地建设标准综合体的研制。《森林康养技能培训规程》为 《森林康养基地建设标准综合体系》的子项目，由湖南环境生物职业技术学院完成。学院党委高度重视，左家哺校长指示由雷巍娥教授牵头负责该项目的研制。同年12月成立了《森林康养技能培训规程》标准研制项目组，在前期工作的基础上，明确与规范森林康养技能培训内容、培训教学设施设备、培训组织、培训管理等主要技术指标。</w:t>
      </w:r>
    </w:p>
    <w:p>
      <w:pPr>
        <w:spacing w:line="360" w:lineRule="auto"/>
        <w:rPr>
          <w:rFonts w:ascii="宋体" w:hAnsi="宋体" w:eastAsia="宋体"/>
          <w:b/>
          <w:bCs/>
        </w:rPr>
      </w:pPr>
    </w:p>
    <w:p>
      <w:pPr>
        <w:spacing w:line="360" w:lineRule="auto"/>
        <w:rPr>
          <w:rFonts w:ascii="宋体" w:hAnsi="宋体" w:eastAsia="宋体"/>
          <w:b/>
          <w:bCs/>
        </w:rPr>
      </w:pPr>
      <w:r>
        <w:rPr>
          <w:rFonts w:hint="eastAsia" w:ascii="宋体" w:hAnsi="宋体" w:eastAsia="宋体"/>
          <w:b/>
          <w:bCs/>
        </w:rPr>
        <w:t>参考文献：</w:t>
      </w:r>
    </w:p>
    <w:p>
      <w:pPr>
        <w:spacing w:line="360" w:lineRule="auto"/>
        <w:rPr>
          <w:rFonts w:ascii="宋体" w:hAnsi="宋体" w:eastAsia="宋体"/>
        </w:rPr>
      </w:pPr>
      <w:r>
        <w:rPr>
          <w:rFonts w:ascii="宋体" w:hAnsi="宋体" w:eastAsia="宋体"/>
        </w:rPr>
        <w:t>[1]</w:t>
      </w:r>
      <w:r>
        <w:rPr>
          <w:rFonts w:hint="eastAsia" w:ascii="宋体" w:hAnsi="宋体" w:eastAsia="宋体"/>
        </w:rPr>
        <w:t>廖高文</w:t>
      </w:r>
      <w:r>
        <w:rPr>
          <w:rFonts w:ascii="宋体" w:hAnsi="宋体" w:eastAsia="宋体"/>
        </w:rPr>
        <w:t>.基于非单一性林区全域森林康养的配置思考——以金洞管理区为例[J].现代园艺,2019,(11):95-97.</w:t>
      </w:r>
    </w:p>
    <w:p>
      <w:pPr>
        <w:spacing w:line="360" w:lineRule="auto"/>
        <w:rPr>
          <w:rFonts w:ascii="宋体" w:hAnsi="宋体" w:eastAsia="宋体"/>
        </w:rPr>
      </w:pPr>
      <w:r>
        <w:rPr>
          <w:rFonts w:ascii="宋体" w:hAnsi="宋体" w:eastAsia="宋体"/>
        </w:rPr>
        <w:t>[2]</w:t>
      </w:r>
      <w:r>
        <w:rPr>
          <w:rFonts w:hint="eastAsia" w:ascii="宋体" w:hAnsi="宋体" w:eastAsia="宋体"/>
        </w:rPr>
        <w:t>张洋</w:t>
      </w:r>
      <w:r>
        <w:rPr>
          <w:rFonts w:ascii="宋体" w:hAnsi="宋体" w:eastAsia="宋体"/>
        </w:rPr>
        <w:t>,林楠,吴成亮.我国森林康养产业的供需前景分析[J].中南林业科技大学学报(社会科学版),2019,(01):89-95.</w:t>
      </w:r>
    </w:p>
    <w:p>
      <w:pPr>
        <w:spacing w:line="360" w:lineRule="auto"/>
        <w:rPr>
          <w:rFonts w:ascii="宋体" w:hAnsi="宋体" w:eastAsia="宋体"/>
        </w:rPr>
      </w:pPr>
      <w:r>
        <w:rPr>
          <w:rFonts w:ascii="宋体" w:hAnsi="宋体" w:eastAsia="宋体"/>
        </w:rPr>
        <w:t>[3]</w:t>
      </w:r>
      <w:r>
        <w:rPr>
          <w:rFonts w:hint="eastAsia" w:ascii="宋体" w:hAnsi="宋体" w:eastAsia="宋体"/>
        </w:rPr>
        <w:t>郑贵军</w:t>
      </w:r>
      <w:r>
        <w:rPr>
          <w:rFonts w:ascii="宋体" w:hAnsi="宋体" w:eastAsia="宋体"/>
        </w:rPr>
        <w:t>,段菁阳,刘俊昌.森林康养产业发展的动力机理研究[J].中南林业科技大学学报(社会科学版),2019,(02):95-101.</w:t>
      </w:r>
    </w:p>
    <w:p>
      <w:pPr>
        <w:spacing w:line="360" w:lineRule="auto"/>
        <w:rPr>
          <w:rFonts w:ascii="宋体" w:hAnsi="宋体" w:eastAsia="宋体"/>
        </w:rPr>
      </w:pPr>
      <w:r>
        <w:rPr>
          <w:rFonts w:ascii="宋体" w:hAnsi="宋体" w:eastAsia="宋体"/>
        </w:rPr>
        <w:t>[4]</w:t>
      </w:r>
      <w:r>
        <w:rPr>
          <w:rFonts w:hint="eastAsia" w:ascii="宋体" w:hAnsi="宋体" w:eastAsia="宋体"/>
        </w:rPr>
        <w:t>史云</w:t>
      </w:r>
      <w:r>
        <w:rPr>
          <w:rFonts w:ascii="宋体" w:hAnsi="宋体" w:eastAsia="宋体"/>
        </w:rPr>
        <w:t>,董劭璇,殷海萍,高欣悦,白靖怡.森林康养模式研究[J].合作经济与科技,2019,(08):12-15.</w:t>
      </w:r>
    </w:p>
    <w:p>
      <w:pPr>
        <w:spacing w:line="360" w:lineRule="auto"/>
        <w:rPr>
          <w:rFonts w:ascii="宋体" w:hAnsi="宋体" w:eastAsia="宋体"/>
        </w:rPr>
      </w:pPr>
      <w:r>
        <w:rPr>
          <w:rFonts w:ascii="宋体" w:hAnsi="宋体" w:eastAsia="宋体"/>
        </w:rPr>
        <w:t>[5]</w:t>
      </w:r>
      <w:r>
        <w:rPr>
          <w:rFonts w:hint="eastAsia" w:ascii="宋体" w:hAnsi="宋体" w:eastAsia="宋体"/>
        </w:rPr>
        <w:t>潘洋刘，曾进，文野，等．</w:t>
      </w:r>
      <w:r>
        <w:rPr>
          <w:rFonts w:ascii="宋体" w:hAnsi="宋体" w:eastAsia="宋体"/>
        </w:rPr>
        <w:t>森林康养基地建设适宜性评价指标体系研究［J］．林业资源管理，2017(05):101～107．</w:t>
      </w:r>
    </w:p>
    <w:p>
      <w:pPr>
        <w:spacing w:line="360" w:lineRule="auto"/>
        <w:rPr>
          <w:rFonts w:ascii="宋体" w:hAnsi="宋体" w:eastAsia="宋体"/>
        </w:rPr>
      </w:pPr>
      <w:r>
        <w:rPr>
          <w:rFonts w:ascii="宋体" w:hAnsi="宋体" w:eastAsia="宋体"/>
        </w:rPr>
        <w:t>[6]刘朝望，王道阳，乔永强． 森林康养基地建设探究［J］．林业资源管理， 2017(02):93～96+156．</w:t>
      </w:r>
    </w:p>
    <w:p>
      <w:pPr>
        <w:spacing w:line="360" w:lineRule="auto"/>
        <w:rPr>
          <w:rFonts w:ascii="宋体" w:hAnsi="宋体" w:eastAsia="宋体"/>
        </w:rPr>
      </w:pPr>
      <w:r>
        <w:rPr>
          <w:rFonts w:ascii="宋体" w:hAnsi="宋体" w:eastAsia="宋体"/>
        </w:rPr>
        <w:t>[7]谭益民，张志强．森林康养基地规划设计研究［J］．湖南工业 大学学报，2017，31(01):1～9．</w:t>
      </w:r>
    </w:p>
    <w:p>
      <w:pPr>
        <w:spacing w:line="360" w:lineRule="auto"/>
        <w:rPr>
          <w:rFonts w:ascii="宋体" w:hAnsi="宋体" w:eastAsia="宋体"/>
        </w:rPr>
      </w:pPr>
      <w:r>
        <w:rPr>
          <w:rFonts w:ascii="宋体" w:hAnsi="宋体" w:eastAsia="宋体"/>
        </w:rPr>
        <w:t>[8]</w:t>
      </w:r>
      <w:r>
        <w:rPr>
          <w:rFonts w:hint="eastAsia" w:ascii="宋体" w:hAnsi="宋体" w:eastAsia="宋体"/>
        </w:rPr>
        <w:t>王悦霖</w:t>
      </w:r>
      <w:r>
        <w:rPr>
          <w:rFonts w:ascii="宋体" w:hAnsi="宋体" w:eastAsia="宋体"/>
        </w:rPr>
        <w:t>,黄世琪,申龙燮,吕洁华.森林康养服务体验满意度的影响因素分析——基于黑龙江省三大森林康养基地调查数据[J].现代商业,2019,(04):181-182.</w:t>
      </w:r>
    </w:p>
    <w:p>
      <w:pPr>
        <w:spacing w:line="360" w:lineRule="auto"/>
        <w:rPr>
          <w:rFonts w:ascii="宋体" w:hAnsi="宋体" w:eastAsia="宋体"/>
        </w:rPr>
      </w:pPr>
      <w:r>
        <w:rPr>
          <w:rFonts w:ascii="宋体" w:hAnsi="宋体" w:eastAsia="宋体"/>
        </w:rPr>
        <w:t>[9]</w:t>
      </w:r>
      <w:r>
        <w:rPr>
          <w:rFonts w:hint="eastAsia" w:ascii="宋体" w:hAnsi="宋体" w:eastAsia="宋体"/>
        </w:rPr>
        <w:t>陈明泽</w:t>
      </w:r>
      <w:r>
        <w:rPr>
          <w:rFonts w:ascii="宋体" w:hAnsi="宋体" w:eastAsia="宋体"/>
        </w:rPr>
        <w:t>.湘乡市东台山国家森林公园森林康养基地规划研究[D].导师：杨柳青.中南林业科技大学,2018.</w:t>
      </w:r>
    </w:p>
    <w:p>
      <w:pPr>
        <w:rPr>
          <w:sz w:val="30"/>
          <w:szCs w:val="30"/>
        </w:rPr>
      </w:pPr>
    </w:p>
    <w:sectPr>
      <w:headerReference r:id="rId4" w:type="default"/>
      <w:footerReference r:id="rId5" w:type="default"/>
      <w:pgSz w:w="11906" w:h="16838"/>
      <w:pgMar w:top="1440" w:right="1633" w:bottom="1440" w:left="1633"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w: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94AA3"/>
    <w:multiLevelType w:val="multilevel"/>
    <w:tmpl w:val="4F594AA3"/>
    <w:lvl w:ilvl="0" w:tentative="0">
      <w:start w:val="1"/>
      <w:numFmt w:val="decimalEnclosedParen"/>
      <w:lvlText w:val="%1"/>
      <w:lvlJc w:val="left"/>
      <w:pPr>
        <w:ind w:left="360" w:hanging="360"/>
      </w:pPr>
      <w:rPr>
        <w:rFonts w:hint="default"/>
      </w:rPr>
    </w:lvl>
    <w:lvl w:ilvl="1" w:tentative="0">
      <w:start w:val="2"/>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A20BF"/>
    <w:rsid w:val="00005D99"/>
    <w:rsid w:val="00021DA6"/>
    <w:rsid w:val="00032C44"/>
    <w:rsid w:val="00033151"/>
    <w:rsid w:val="00036571"/>
    <w:rsid w:val="00042454"/>
    <w:rsid w:val="000535C1"/>
    <w:rsid w:val="00067E56"/>
    <w:rsid w:val="00083362"/>
    <w:rsid w:val="000A401B"/>
    <w:rsid w:val="000A7E3D"/>
    <w:rsid w:val="000B4ED2"/>
    <w:rsid w:val="000C4C46"/>
    <w:rsid w:val="000D610E"/>
    <w:rsid w:val="00100F32"/>
    <w:rsid w:val="001130E9"/>
    <w:rsid w:val="00113E22"/>
    <w:rsid w:val="00123558"/>
    <w:rsid w:val="00126494"/>
    <w:rsid w:val="00131E29"/>
    <w:rsid w:val="00134C11"/>
    <w:rsid w:val="001532E1"/>
    <w:rsid w:val="00164771"/>
    <w:rsid w:val="00166573"/>
    <w:rsid w:val="00180C9E"/>
    <w:rsid w:val="00184062"/>
    <w:rsid w:val="00195797"/>
    <w:rsid w:val="001976CA"/>
    <w:rsid w:val="001A173B"/>
    <w:rsid w:val="001A2BB1"/>
    <w:rsid w:val="001B39C5"/>
    <w:rsid w:val="001B4DBB"/>
    <w:rsid w:val="001B7FD8"/>
    <w:rsid w:val="001C00A6"/>
    <w:rsid w:val="001C5F89"/>
    <w:rsid w:val="001D6718"/>
    <w:rsid w:val="001F30A4"/>
    <w:rsid w:val="001F4446"/>
    <w:rsid w:val="001F76F8"/>
    <w:rsid w:val="00206690"/>
    <w:rsid w:val="002109CD"/>
    <w:rsid w:val="00234524"/>
    <w:rsid w:val="00234C25"/>
    <w:rsid w:val="00242E79"/>
    <w:rsid w:val="002460D1"/>
    <w:rsid w:val="00250B3C"/>
    <w:rsid w:val="00251B15"/>
    <w:rsid w:val="00254455"/>
    <w:rsid w:val="00287D71"/>
    <w:rsid w:val="00290CB6"/>
    <w:rsid w:val="002A111E"/>
    <w:rsid w:val="002A5130"/>
    <w:rsid w:val="002B1964"/>
    <w:rsid w:val="002B2CAA"/>
    <w:rsid w:val="002D4120"/>
    <w:rsid w:val="002F056E"/>
    <w:rsid w:val="00300D39"/>
    <w:rsid w:val="00303405"/>
    <w:rsid w:val="00303FDC"/>
    <w:rsid w:val="00311BFC"/>
    <w:rsid w:val="003142BD"/>
    <w:rsid w:val="00325C92"/>
    <w:rsid w:val="00345258"/>
    <w:rsid w:val="00347FB8"/>
    <w:rsid w:val="0035699A"/>
    <w:rsid w:val="00367FCA"/>
    <w:rsid w:val="00377D4B"/>
    <w:rsid w:val="003871DE"/>
    <w:rsid w:val="00391482"/>
    <w:rsid w:val="00393889"/>
    <w:rsid w:val="0039533A"/>
    <w:rsid w:val="003A1C4D"/>
    <w:rsid w:val="003A526C"/>
    <w:rsid w:val="003B1664"/>
    <w:rsid w:val="003B1DA0"/>
    <w:rsid w:val="003B578C"/>
    <w:rsid w:val="003B5898"/>
    <w:rsid w:val="003D7706"/>
    <w:rsid w:val="003E2C15"/>
    <w:rsid w:val="003E3C43"/>
    <w:rsid w:val="003F4541"/>
    <w:rsid w:val="00420C71"/>
    <w:rsid w:val="00423E86"/>
    <w:rsid w:val="00427AA5"/>
    <w:rsid w:val="00454804"/>
    <w:rsid w:val="00463E7A"/>
    <w:rsid w:val="00466C67"/>
    <w:rsid w:val="00471B55"/>
    <w:rsid w:val="0048700E"/>
    <w:rsid w:val="0049798A"/>
    <w:rsid w:val="004B35B9"/>
    <w:rsid w:val="004B6FC0"/>
    <w:rsid w:val="004B7BCE"/>
    <w:rsid w:val="004C481A"/>
    <w:rsid w:val="004D7FAF"/>
    <w:rsid w:val="004E0A53"/>
    <w:rsid w:val="004F251F"/>
    <w:rsid w:val="00503DF3"/>
    <w:rsid w:val="005143F8"/>
    <w:rsid w:val="005227C4"/>
    <w:rsid w:val="0052717B"/>
    <w:rsid w:val="00532472"/>
    <w:rsid w:val="005423CC"/>
    <w:rsid w:val="005578C1"/>
    <w:rsid w:val="005603DE"/>
    <w:rsid w:val="00560566"/>
    <w:rsid w:val="00564C49"/>
    <w:rsid w:val="005A20BF"/>
    <w:rsid w:val="005A3AAB"/>
    <w:rsid w:val="005A7086"/>
    <w:rsid w:val="005C71ED"/>
    <w:rsid w:val="005D11C0"/>
    <w:rsid w:val="005D646D"/>
    <w:rsid w:val="005F7637"/>
    <w:rsid w:val="00601B99"/>
    <w:rsid w:val="006352DC"/>
    <w:rsid w:val="00650616"/>
    <w:rsid w:val="00661B14"/>
    <w:rsid w:val="006827D0"/>
    <w:rsid w:val="006977FB"/>
    <w:rsid w:val="006A5A9A"/>
    <w:rsid w:val="006A7883"/>
    <w:rsid w:val="006B651D"/>
    <w:rsid w:val="006F3429"/>
    <w:rsid w:val="006F4E3C"/>
    <w:rsid w:val="00707E69"/>
    <w:rsid w:val="007167F7"/>
    <w:rsid w:val="007218CC"/>
    <w:rsid w:val="00731E89"/>
    <w:rsid w:val="0077248C"/>
    <w:rsid w:val="00775E19"/>
    <w:rsid w:val="00782EDC"/>
    <w:rsid w:val="0078301A"/>
    <w:rsid w:val="0079608F"/>
    <w:rsid w:val="007A0D2E"/>
    <w:rsid w:val="007A67AF"/>
    <w:rsid w:val="007D0311"/>
    <w:rsid w:val="007E2F8B"/>
    <w:rsid w:val="00824AFB"/>
    <w:rsid w:val="0083508D"/>
    <w:rsid w:val="00835C15"/>
    <w:rsid w:val="00850888"/>
    <w:rsid w:val="008829AC"/>
    <w:rsid w:val="00883267"/>
    <w:rsid w:val="00891AC1"/>
    <w:rsid w:val="008C0702"/>
    <w:rsid w:val="008D4E25"/>
    <w:rsid w:val="008D67F7"/>
    <w:rsid w:val="008D697F"/>
    <w:rsid w:val="0090067B"/>
    <w:rsid w:val="00901D75"/>
    <w:rsid w:val="00903BAE"/>
    <w:rsid w:val="0092264E"/>
    <w:rsid w:val="009276C5"/>
    <w:rsid w:val="0093589B"/>
    <w:rsid w:val="00980188"/>
    <w:rsid w:val="009844E7"/>
    <w:rsid w:val="00994D0A"/>
    <w:rsid w:val="009A0689"/>
    <w:rsid w:val="009B017B"/>
    <w:rsid w:val="009B099C"/>
    <w:rsid w:val="009E0B2A"/>
    <w:rsid w:val="009E53C5"/>
    <w:rsid w:val="009E5BBC"/>
    <w:rsid w:val="009F1BDC"/>
    <w:rsid w:val="009F36B4"/>
    <w:rsid w:val="009F7C42"/>
    <w:rsid w:val="00A21FA6"/>
    <w:rsid w:val="00A23E3E"/>
    <w:rsid w:val="00A258CA"/>
    <w:rsid w:val="00A41D2E"/>
    <w:rsid w:val="00A474BD"/>
    <w:rsid w:val="00A515FD"/>
    <w:rsid w:val="00A54B7A"/>
    <w:rsid w:val="00A5587B"/>
    <w:rsid w:val="00A65322"/>
    <w:rsid w:val="00A83CF0"/>
    <w:rsid w:val="00A856CC"/>
    <w:rsid w:val="00A90056"/>
    <w:rsid w:val="00AA1D19"/>
    <w:rsid w:val="00AA4814"/>
    <w:rsid w:val="00AB5EA8"/>
    <w:rsid w:val="00AD3E6C"/>
    <w:rsid w:val="00B235CF"/>
    <w:rsid w:val="00B32452"/>
    <w:rsid w:val="00B60011"/>
    <w:rsid w:val="00B60117"/>
    <w:rsid w:val="00B6217E"/>
    <w:rsid w:val="00B62EA7"/>
    <w:rsid w:val="00B86B9C"/>
    <w:rsid w:val="00BA1799"/>
    <w:rsid w:val="00BA56F5"/>
    <w:rsid w:val="00BA630F"/>
    <w:rsid w:val="00BA7170"/>
    <w:rsid w:val="00BB2685"/>
    <w:rsid w:val="00BB42EB"/>
    <w:rsid w:val="00BC2EEB"/>
    <w:rsid w:val="00BC397F"/>
    <w:rsid w:val="00BC4539"/>
    <w:rsid w:val="00BC4727"/>
    <w:rsid w:val="00BE1F39"/>
    <w:rsid w:val="00C16D6E"/>
    <w:rsid w:val="00C21EC0"/>
    <w:rsid w:val="00C270C9"/>
    <w:rsid w:val="00C71EEC"/>
    <w:rsid w:val="00C861A8"/>
    <w:rsid w:val="00C915BF"/>
    <w:rsid w:val="00C96619"/>
    <w:rsid w:val="00CB103E"/>
    <w:rsid w:val="00CB6F4F"/>
    <w:rsid w:val="00CB7948"/>
    <w:rsid w:val="00CC6D3F"/>
    <w:rsid w:val="00CD576F"/>
    <w:rsid w:val="00CF7CBA"/>
    <w:rsid w:val="00D01D4D"/>
    <w:rsid w:val="00D21AB5"/>
    <w:rsid w:val="00D26EA4"/>
    <w:rsid w:val="00D55986"/>
    <w:rsid w:val="00D61D83"/>
    <w:rsid w:val="00D649D5"/>
    <w:rsid w:val="00D661ED"/>
    <w:rsid w:val="00D7430C"/>
    <w:rsid w:val="00D81DE8"/>
    <w:rsid w:val="00D82D64"/>
    <w:rsid w:val="00D82FBC"/>
    <w:rsid w:val="00D84190"/>
    <w:rsid w:val="00D8628A"/>
    <w:rsid w:val="00D95D00"/>
    <w:rsid w:val="00D97555"/>
    <w:rsid w:val="00DA373B"/>
    <w:rsid w:val="00DD1507"/>
    <w:rsid w:val="00DE5799"/>
    <w:rsid w:val="00DF5BAD"/>
    <w:rsid w:val="00E03109"/>
    <w:rsid w:val="00E04CBD"/>
    <w:rsid w:val="00E16912"/>
    <w:rsid w:val="00E21750"/>
    <w:rsid w:val="00E265FF"/>
    <w:rsid w:val="00E40D81"/>
    <w:rsid w:val="00E52B53"/>
    <w:rsid w:val="00E52E9E"/>
    <w:rsid w:val="00E53C43"/>
    <w:rsid w:val="00E80226"/>
    <w:rsid w:val="00E80E3F"/>
    <w:rsid w:val="00E83B63"/>
    <w:rsid w:val="00E865D5"/>
    <w:rsid w:val="00EA7838"/>
    <w:rsid w:val="00EB0413"/>
    <w:rsid w:val="00EC5A38"/>
    <w:rsid w:val="00EC6BA3"/>
    <w:rsid w:val="00EE2629"/>
    <w:rsid w:val="00EE2FB5"/>
    <w:rsid w:val="00EE46D6"/>
    <w:rsid w:val="00EE6A6E"/>
    <w:rsid w:val="00EF6D1E"/>
    <w:rsid w:val="00EF6F6C"/>
    <w:rsid w:val="00F009C3"/>
    <w:rsid w:val="00F07999"/>
    <w:rsid w:val="00F15F16"/>
    <w:rsid w:val="00F33274"/>
    <w:rsid w:val="00F532FD"/>
    <w:rsid w:val="00F55FB5"/>
    <w:rsid w:val="00F57C21"/>
    <w:rsid w:val="00F6032B"/>
    <w:rsid w:val="00F8503D"/>
    <w:rsid w:val="00F920D8"/>
    <w:rsid w:val="00F93C52"/>
    <w:rsid w:val="00FB11B0"/>
    <w:rsid w:val="00FC289C"/>
    <w:rsid w:val="00FD3A41"/>
    <w:rsid w:val="00FD5CEE"/>
    <w:rsid w:val="00FD7684"/>
    <w:rsid w:val="00FE45CB"/>
    <w:rsid w:val="00FE4FE0"/>
    <w:rsid w:val="00FE624D"/>
    <w:rsid w:val="00FF1CA3"/>
    <w:rsid w:val="02884017"/>
    <w:rsid w:val="02C956B2"/>
    <w:rsid w:val="03B0572B"/>
    <w:rsid w:val="04471633"/>
    <w:rsid w:val="052E4F0C"/>
    <w:rsid w:val="05F1462E"/>
    <w:rsid w:val="06EE14E8"/>
    <w:rsid w:val="0703182C"/>
    <w:rsid w:val="073C45D7"/>
    <w:rsid w:val="075F0833"/>
    <w:rsid w:val="087F6481"/>
    <w:rsid w:val="08A72388"/>
    <w:rsid w:val="090C7043"/>
    <w:rsid w:val="091703E2"/>
    <w:rsid w:val="096E383A"/>
    <w:rsid w:val="09960F03"/>
    <w:rsid w:val="09E12204"/>
    <w:rsid w:val="0A980F18"/>
    <w:rsid w:val="0AA3104D"/>
    <w:rsid w:val="0B6F259A"/>
    <w:rsid w:val="0CF44FF0"/>
    <w:rsid w:val="0F6521D6"/>
    <w:rsid w:val="102E1E85"/>
    <w:rsid w:val="10DB1F62"/>
    <w:rsid w:val="11050924"/>
    <w:rsid w:val="113E4E31"/>
    <w:rsid w:val="114B44A8"/>
    <w:rsid w:val="114E7280"/>
    <w:rsid w:val="12897501"/>
    <w:rsid w:val="131559C5"/>
    <w:rsid w:val="14B74CF0"/>
    <w:rsid w:val="178734CF"/>
    <w:rsid w:val="18685E14"/>
    <w:rsid w:val="190D1B4F"/>
    <w:rsid w:val="19141145"/>
    <w:rsid w:val="19F66301"/>
    <w:rsid w:val="1A3C1E99"/>
    <w:rsid w:val="1C8F0B2D"/>
    <w:rsid w:val="1DA80462"/>
    <w:rsid w:val="1DF03D30"/>
    <w:rsid w:val="1E1249F3"/>
    <w:rsid w:val="1E6550F0"/>
    <w:rsid w:val="1EB031F0"/>
    <w:rsid w:val="1F4F51D8"/>
    <w:rsid w:val="1F9F66A4"/>
    <w:rsid w:val="1FA2112C"/>
    <w:rsid w:val="20942DD2"/>
    <w:rsid w:val="20F73533"/>
    <w:rsid w:val="2173320C"/>
    <w:rsid w:val="21872052"/>
    <w:rsid w:val="21E6205B"/>
    <w:rsid w:val="21F15E6A"/>
    <w:rsid w:val="22A430B6"/>
    <w:rsid w:val="22EE7ACA"/>
    <w:rsid w:val="23CC2876"/>
    <w:rsid w:val="23E51A9D"/>
    <w:rsid w:val="24155541"/>
    <w:rsid w:val="244751C3"/>
    <w:rsid w:val="25597525"/>
    <w:rsid w:val="256A61B9"/>
    <w:rsid w:val="258013F2"/>
    <w:rsid w:val="26CA0E04"/>
    <w:rsid w:val="26D6142F"/>
    <w:rsid w:val="26DC685E"/>
    <w:rsid w:val="274B49B5"/>
    <w:rsid w:val="27DA2A8A"/>
    <w:rsid w:val="296B4DC5"/>
    <w:rsid w:val="29ED571B"/>
    <w:rsid w:val="2AB35019"/>
    <w:rsid w:val="2AF12D9F"/>
    <w:rsid w:val="2B605151"/>
    <w:rsid w:val="2B781970"/>
    <w:rsid w:val="2BA96F9F"/>
    <w:rsid w:val="2C63493F"/>
    <w:rsid w:val="2CDE12D1"/>
    <w:rsid w:val="2D1305DC"/>
    <w:rsid w:val="2D165F65"/>
    <w:rsid w:val="2DC93EF1"/>
    <w:rsid w:val="2E607313"/>
    <w:rsid w:val="2F1C1D02"/>
    <w:rsid w:val="2F9F4160"/>
    <w:rsid w:val="2FA026A1"/>
    <w:rsid w:val="2FAA5099"/>
    <w:rsid w:val="31413108"/>
    <w:rsid w:val="32483BE6"/>
    <w:rsid w:val="32E36575"/>
    <w:rsid w:val="32F447F5"/>
    <w:rsid w:val="33BB0777"/>
    <w:rsid w:val="34035EC8"/>
    <w:rsid w:val="344004C0"/>
    <w:rsid w:val="35C2134C"/>
    <w:rsid w:val="35D20DE2"/>
    <w:rsid w:val="36B26A9D"/>
    <w:rsid w:val="36C245D1"/>
    <w:rsid w:val="36C56BE4"/>
    <w:rsid w:val="36CA31A7"/>
    <w:rsid w:val="37214393"/>
    <w:rsid w:val="387A55B5"/>
    <w:rsid w:val="389C78DC"/>
    <w:rsid w:val="39337868"/>
    <w:rsid w:val="39D11F3A"/>
    <w:rsid w:val="3A286361"/>
    <w:rsid w:val="3AAC573A"/>
    <w:rsid w:val="3B600A8C"/>
    <w:rsid w:val="3C3514E3"/>
    <w:rsid w:val="3C477CF7"/>
    <w:rsid w:val="3C6A5B53"/>
    <w:rsid w:val="3D071712"/>
    <w:rsid w:val="3D1B4F62"/>
    <w:rsid w:val="3D655582"/>
    <w:rsid w:val="404F6947"/>
    <w:rsid w:val="40F519E7"/>
    <w:rsid w:val="419B27C5"/>
    <w:rsid w:val="44A32EE4"/>
    <w:rsid w:val="455836B3"/>
    <w:rsid w:val="45B41292"/>
    <w:rsid w:val="45CB1C9D"/>
    <w:rsid w:val="471076E2"/>
    <w:rsid w:val="4718213D"/>
    <w:rsid w:val="475A46AE"/>
    <w:rsid w:val="476A45EE"/>
    <w:rsid w:val="47706789"/>
    <w:rsid w:val="47DE196F"/>
    <w:rsid w:val="482E0EA2"/>
    <w:rsid w:val="487D53F3"/>
    <w:rsid w:val="48A03CBE"/>
    <w:rsid w:val="49051D76"/>
    <w:rsid w:val="4A5C2B00"/>
    <w:rsid w:val="4AD428F5"/>
    <w:rsid w:val="4BDB08ED"/>
    <w:rsid w:val="4BE159BD"/>
    <w:rsid w:val="4C8B773B"/>
    <w:rsid w:val="4E7E75C9"/>
    <w:rsid w:val="4EFD4E4A"/>
    <w:rsid w:val="4F4173FF"/>
    <w:rsid w:val="50515677"/>
    <w:rsid w:val="50745427"/>
    <w:rsid w:val="507F2035"/>
    <w:rsid w:val="50AE62EE"/>
    <w:rsid w:val="50DD39FF"/>
    <w:rsid w:val="52260AF9"/>
    <w:rsid w:val="522929AC"/>
    <w:rsid w:val="5274023E"/>
    <w:rsid w:val="528423E7"/>
    <w:rsid w:val="542E5DC7"/>
    <w:rsid w:val="54517F61"/>
    <w:rsid w:val="54E50BCA"/>
    <w:rsid w:val="558C155E"/>
    <w:rsid w:val="55A55614"/>
    <w:rsid w:val="561C4DFA"/>
    <w:rsid w:val="562A7FFF"/>
    <w:rsid w:val="5686735B"/>
    <w:rsid w:val="56922CAB"/>
    <w:rsid w:val="56B9502E"/>
    <w:rsid w:val="57D1488E"/>
    <w:rsid w:val="57FA1C16"/>
    <w:rsid w:val="586052D8"/>
    <w:rsid w:val="596D700A"/>
    <w:rsid w:val="59E470FE"/>
    <w:rsid w:val="5B4D2DCF"/>
    <w:rsid w:val="5B8913F6"/>
    <w:rsid w:val="5C240357"/>
    <w:rsid w:val="5D681061"/>
    <w:rsid w:val="5F372539"/>
    <w:rsid w:val="60284CEB"/>
    <w:rsid w:val="60646844"/>
    <w:rsid w:val="60DD14D9"/>
    <w:rsid w:val="61715F59"/>
    <w:rsid w:val="61DD4DD5"/>
    <w:rsid w:val="62AB51BA"/>
    <w:rsid w:val="631754EB"/>
    <w:rsid w:val="63531B3E"/>
    <w:rsid w:val="642503E5"/>
    <w:rsid w:val="6A335255"/>
    <w:rsid w:val="6D3249DF"/>
    <w:rsid w:val="6D49452C"/>
    <w:rsid w:val="6D780599"/>
    <w:rsid w:val="6E0C5B5E"/>
    <w:rsid w:val="6EAB11DB"/>
    <w:rsid w:val="6FA442B0"/>
    <w:rsid w:val="6FBE2E67"/>
    <w:rsid w:val="6FCA1790"/>
    <w:rsid w:val="6FD07B18"/>
    <w:rsid w:val="71687D51"/>
    <w:rsid w:val="724D0192"/>
    <w:rsid w:val="728331F6"/>
    <w:rsid w:val="73751261"/>
    <w:rsid w:val="76DF2ACA"/>
    <w:rsid w:val="77C037D3"/>
    <w:rsid w:val="78D81EB1"/>
    <w:rsid w:val="79156A4B"/>
    <w:rsid w:val="797B1B6B"/>
    <w:rsid w:val="79F75C9F"/>
    <w:rsid w:val="7A1878B3"/>
    <w:rsid w:val="7ABD5101"/>
    <w:rsid w:val="7BB97DF2"/>
    <w:rsid w:val="7BD01BE4"/>
    <w:rsid w:val="7C8C642F"/>
    <w:rsid w:val="7D2919B8"/>
    <w:rsid w:val="7DD86D45"/>
    <w:rsid w:val="7E0148A5"/>
    <w:rsid w:val="7E806C68"/>
    <w:rsid w:val="7E8738A6"/>
    <w:rsid w:val="7E902A58"/>
    <w:rsid w:val="7ED93905"/>
    <w:rsid w:val="7F721ED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50"/>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0">
    <w:name w:val="FollowedHyperlink"/>
    <w:basedOn w:val="9"/>
    <w:unhideWhenUsed/>
    <w:qFormat/>
    <w:uiPriority w:val="99"/>
    <w:rPr>
      <w:color w:val="333333"/>
      <w:u w:val="none"/>
    </w:rPr>
  </w:style>
  <w:style w:type="character" w:styleId="11">
    <w:name w:val="Emphasis"/>
    <w:basedOn w:val="9"/>
    <w:qFormat/>
    <w:uiPriority w:val="20"/>
  </w:style>
  <w:style w:type="character" w:styleId="12">
    <w:name w:val="Hyperlink"/>
    <w:basedOn w:val="9"/>
    <w:unhideWhenUsed/>
    <w:qFormat/>
    <w:uiPriority w:val="99"/>
    <w:rPr>
      <w:color w:val="333333"/>
      <w:u w:val="non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style2"/>
    <w:basedOn w:val="9"/>
    <w:qFormat/>
    <w:uiPriority w:val="0"/>
    <w:rPr>
      <w:color w:val="000000"/>
    </w:rPr>
  </w:style>
  <w:style w:type="character" w:customStyle="1" w:styleId="16">
    <w:name w:val="color6"/>
    <w:basedOn w:val="9"/>
    <w:qFormat/>
    <w:uiPriority w:val="0"/>
    <w:rPr>
      <w:color w:val="999999"/>
    </w:rPr>
  </w:style>
  <w:style w:type="character" w:customStyle="1" w:styleId="17">
    <w:name w:val="color61"/>
    <w:basedOn w:val="9"/>
    <w:qFormat/>
    <w:uiPriority w:val="0"/>
    <w:rPr>
      <w:color w:val="999999"/>
    </w:rPr>
  </w:style>
  <w:style w:type="character" w:customStyle="1" w:styleId="18">
    <w:name w:val="color62"/>
    <w:basedOn w:val="9"/>
    <w:qFormat/>
    <w:uiPriority w:val="0"/>
    <w:rPr>
      <w:color w:val="999999"/>
    </w:rPr>
  </w:style>
  <w:style w:type="character" w:customStyle="1" w:styleId="19">
    <w:name w:val="color63"/>
    <w:basedOn w:val="9"/>
    <w:qFormat/>
    <w:uiPriority w:val="0"/>
    <w:rPr>
      <w:color w:val="999999"/>
    </w:rPr>
  </w:style>
  <w:style w:type="character" w:customStyle="1" w:styleId="20">
    <w:name w:val="n4"/>
    <w:basedOn w:val="9"/>
    <w:qFormat/>
    <w:uiPriority w:val="0"/>
  </w:style>
  <w:style w:type="character" w:customStyle="1" w:styleId="21">
    <w:name w:val="class_name"/>
    <w:basedOn w:val="9"/>
    <w:qFormat/>
    <w:uiPriority w:val="0"/>
    <w:rPr>
      <w:sz w:val="21"/>
      <w:szCs w:val="21"/>
    </w:rPr>
  </w:style>
  <w:style w:type="character" w:customStyle="1" w:styleId="22">
    <w:name w:val="n6"/>
    <w:basedOn w:val="9"/>
    <w:qFormat/>
    <w:uiPriority w:val="0"/>
  </w:style>
  <w:style w:type="character" w:customStyle="1" w:styleId="23">
    <w:name w:val="n1"/>
    <w:basedOn w:val="9"/>
    <w:qFormat/>
    <w:uiPriority w:val="0"/>
  </w:style>
  <w:style w:type="character" w:customStyle="1" w:styleId="24">
    <w:name w:val="intro"/>
    <w:basedOn w:val="9"/>
    <w:qFormat/>
    <w:uiPriority w:val="0"/>
    <w:rPr>
      <w:sz w:val="18"/>
      <w:szCs w:val="18"/>
    </w:rPr>
  </w:style>
  <w:style w:type="character" w:customStyle="1" w:styleId="25">
    <w:name w:val="intro1"/>
    <w:basedOn w:val="9"/>
    <w:qFormat/>
    <w:uiPriority w:val="0"/>
    <w:rPr>
      <w:color w:val="666666"/>
    </w:rPr>
  </w:style>
  <w:style w:type="character" w:customStyle="1" w:styleId="26">
    <w:name w:val="intro2"/>
    <w:basedOn w:val="9"/>
    <w:qFormat/>
    <w:uiPriority w:val="0"/>
    <w:rPr>
      <w:sz w:val="18"/>
      <w:szCs w:val="18"/>
    </w:rPr>
  </w:style>
  <w:style w:type="character" w:customStyle="1" w:styleId="27">
    <w:name w:val="n5"/>
    <w:basedOn w:val="9"/>
    <w:qFormat/>
    <w:uiPriority w:val="0"/>
  </w:style>
  <w:style w:type="character" w:customStyle="1" w:styleId="28">
    <w:name w:val="n2"/>
    <w:basedOn w:val="9"/>
    <w:qFormat/>
    <w:uiPriority w:val="0"/>
  </w:style>
  <w:style w:type="character" w:customStyle="1" w:styleId="29">
    <w:name w:val="n3"/>
    <w:basedOn w:val="9"/>
    <w:qFormat/>
    <w:uiPriority w:val="0"/>
  </w:style>
  <w:style w:type="character" w:customStyle="1" w:styleId="30">
    <w:name w:val="n7"/>
    <w:basedOn w:val="9"/>
    <w:qFormat/>
    <w:uiPriority w:val="0"/>
  </w:style>
  <w:style w:type="character" w:customStyle="1" w:styleId="31">
    <w:name w:val="n8"/>
    <w:basedOn w:val="9"/>
    <w:qFormat/>
    <w:uiPriority w:val="0"/>
  </w:style>
  <w:style w:type="character" w:customStyle="1" w:styleId="32">
    <w:name w:val="n9"/>
    <w:basedOn w:val="9"/>
    <w:qFormat/>
    <w:uiPriority w:val="0"/>
  </w:style>
  <w:style w:type="character" w:customStyle="1" w:styleId="33">
    <w:name w:val="n10"/>
    <w:basedOn w:val="9"/>
    <w:qFormat/>
    <w:uiPriority w:val="0"/>
  </w:style>
  <w:style w:type="character" w:customStyle="1" w:styleId="34">
    <w:name w:val="infocol"/>
    <w:basedOn w:val="9"/>
    <w:qFormat/>
    <w:uiPriority w:val="0"/>
  </w:style>
  <w:style w:type="character" w:customStyle="1" w:styleId="35">
    <w:name w:val="redbold"/>
    <w:basedOn w:val="9"/>
    <w:qFormat/>
    <w:uiPriority w:val="0"/>
    <w:rPr>
      <w:b/>
      <w:color w:val="FF6600"/>
    </w:rPr>
  </w:style>
  <w:style w:type="character" w:customStyle="1" w:styleId="36">
    <w:name w:val="f14"/>
    <w:basedOn w:val="9"/>
    <w:qFormat/>
    <w:uiPriority w:val="0"/>
    <w:rPr>
      <w:b/>
      <w:color w:val="000000"/>
      <w:sz w:val="21"/>
      <w:szCs w:val="21"/>
      <w:shd w:val="clear" w:color="auto" w:fill="E4F3F6"/>
    </w:rPr>
  </w:style>
  <w:style w:type="character" w:customStyle="1" w:styleId="37">
    <w:name w:val="f141"/>
    <w:basedOn w:val="9"/>
    <w:qFormat/>
    <w:uiPriority w:val="0"/>
    <w:rPr>
      <w:b/>
      <w:color w:val="000000"/>
      <w:sz w:val="21"/>
      <w:szCs w:val="21"/>
      <w:shd w:val="clear" w:color="auto" w:fill="E4F3F6"/>
    </w:rPr>
  </w:style>
  <w:style w:type="character" w:customStyle="1" w:styleId="38">
    <w:name w:val="style1"/>
    <w:basedOn w:val="9"/>
    <w:qFormat/>
    <w:uiPriority w:val="0"/>
    <w:rPr>
      <w:b/>
      <w:color w:val="008000"/>
      <w:sz w:val="21"/>
      <w:szCs w:val="21"/>
    </w:rPr>
  </w:style>
  <w:style w:type="character" w:customStyle="1" w:styleId="39">
    <w:name w:val="color9"/>
    <w:basedOn w:val="9"/>
    <w:qFormat/>
    <w:uiPriority w:val="0"/>
    <w:rPr>
      <w:color w:val="999999"/>
    </w:rPr>
  </w:style>
  <w:style w:type="character" w:customStyle="1" w:styleId="40">
    <w:name w:val="zj"/>
    <w:basedOn w:val="9"/>
    <w:qFormat/>
    <w:uiPriority w:val="0"/>
    <w:rPr>
      <w:b/>
      <w:color w:val="FF6600"/>
      <w:sz w:val="30"/>
      <w:szCs w:val="30"/>
    </w:rPr>
  </w:style>
  <w:style w:type="character" w:customStyle="1" w:styleId="41">
    <w:name w:val="num2"/>
    <w:basedOn w:val="9"/>
    <w:qFormat/>
    <w:uiPriority w:val="0"/>
    <w:rPr>
      <w:color w:val="CC0000"/>
    </w:rPr>
  </w:style>
  <w:style w:type="character" w:customStyle="1" w:styleId="42">
    <w:name w:val="num"/>
    <w:basedOn w:val="9"/>
    <w:qFormat/>
    <w:uiPriority w:val="0"/>
    <w:rPr>
      <w:color w:val="CC0000"/>
    </w:rPr>
  </w:style>
  <w:style w:type="paragraph" w:customStyle="1" w:styleId="43">
    <w:name w:val="列出段落1"/>
    <w:basedOn w:val="1"/>
    <w:qFormat/>
    <w:uiPriority w:val="0"/>
    <w:pPr>
      <w:ind w:firstLine="420" w:firstLineChars="200"/>
    </w:pPr>
    <w:rPr>
      <w:rFonts w:ascii="Calibri" w:hAnsi="Calibri"/>
    </w:rPr>
  </w:style>
  <w:style w:type="paragraph" w:customStyle="1" w:styleId="4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List Paragraph"/>
    <w:basedOn w:val="1"/>
    <w:unhideWhenUsed/>
    <w:qFormat/>
    <w:uiPriority w:val="99"/>
    <w:pPr>
      <w:ind w:firstLine="420" w:firstLineChars="200"/>
    </w:pPr>
  </w:style>
  <w:style w:type="character" w:customStyle="1" w:styleId="46">
    <w:name w:val="段 Char"/>
    <w:link w:val="47"/>
    <w:locked/>
    <w:uiPriority w:val="99"/>
    <w:rPr>
      <w:rFonts w:ascii="宋体" w:cs="宋体"/>
      <w:kern w:val="2"/>
      <w:sz w:val="22"/>
      <w:szCs w:val="22"/>
    </w:rPr>
  </w:style>
  <w:style w:type="paragraph" w:customStyle="1" w:styleId="47">
    <w:name w:val="段"/>
    <w:link w:val="46"/>
    <w:qFormat/>
    <w:uiPriority w:val="99"/>
    <w:pPr>
      <w:tabs>
        <w:tab w:val="center" w:pos="4201"/>
        <w:tab w:val="right" w:leader="dot" w:pos="9298"/>
      </w:tabs>
      <w:autoSpaceDE w:val="0"/>
      <w:autoSpaceDN w:val="0"/>
      <w:ind w:firstLine="420" w:firstLineChars="200"/>
      <w:jc w:val="both"/>
    </w:pPr>
    <w:rPr>
      <w:rFonts w:ascii="宋体" w:hAnsi="Times New Roman" w:eastAsia="宋体" w:cs="宋体"/>
      <w:kern w:val="2"/>
      <w:sz w:val="22"/>
      <w:szCs w:val="22"/>
      <w:lang w:val="en-US" w:eastAsia="zh-CN" w:bidi="ar-SA"/>
    </w:rPr>
  </w:style>
  <w:style w:type="paragraph" w:customStyle="1" w:styleId="4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49">
    <w:name w:val="Char1"/>
    <w:basedOn w:val="1"/>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0">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5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A3CE2A-5A5C-408E-961F-087C2E2F9127}">
  <ds:schemaRefs/>
</ds:datastoreItem>
</file>

<file path=docProps/app.xml><?xml version="1.0" encoding="utf-8"?>
<Properties xmlns="http://schemas.openxmlformats.org/officeDocument/2006/extended-properties" xmlns:vt="http://schemas.openxmlformats.org/officeDocument/2006/docPropsVTypes">
  <Template>Normal</Template>
  <Company>ylmf</Company>
  <Pages>24</Pages>
  <Words>2201</Words>
  <Characters>12552</Characters>
  <Lines>104</Lines>
  <Paragraphs>29</Paragraphs>
  <TotalTime>0</TotalTime>
  <ScaleCrop>false</ScaleCrop>
  <LinksUpToDate>false</LinksUpToDate>
  <CharactersWithSpaces>14724</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2017-06-29T01:54:00Z</dcterms:created>
  <dc:creator>付美云</dc:creator>
  <cp:lastModifiedBy>吴慧</cp:lastModifiedBy>
  <cp:lastPrinted>2019-05-20T02:44:00Z</cp:lastPrinted>
  <dcterms:modified xsi:type="dcterms:W3CDTF">2020-05-29T01:37:14Z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