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湖南省知识产权保护中心</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单位</w:t>
      </w:r>
      <w:r>
        <w:rPr>
          <w:rFonts w:ascii="Times New Roman" w:hAnsi="Times New Roman" w:eastAsia="方正小标宋简体" w:cs="Times New Roman"/>
          <w:sz w:val="72"/>
          <w:szCs w:val="72"/>
        </w:rPr>
        <w:t>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spacing w:line="540" w:lineRule="exact"/>
        <w:jc w:val="both"/>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湖南省知识产权保护中心</w:t>
      </w:r>
      <w:r>
        <w:rPr>
          <w:rFonts w:ascii="Times New Roman" w:hAnsi="Times New Roman" w:cs="Times New Roman"/>
          <w:bCs/>
          <w:sz w:val="32"/>
          <w:szCs w:val="32"/>
        </w:rPr>
        <w:t>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eastAsia="zh-CN"/>
        </w:rPr>
        <w:t>单位</w:t>
      </w:r>
      <w:r>
        <w:rPr>
          <w:rFonts w:ascii="Times New Roman" w:hAnsi="Times New Roman" w:cs="Times New Roman"/>
          <w:bCs/>
          <w:sz w:val="32"/>
          <w:szCs w:val="32"/>
        </w:rPr>
        <w:t>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第三部分 </w:t>
      </w:r>
      <w:r>
        <w:rPr>
          <w:rFonts w:hint="eastAsia" w:ascii="Times New Roman" w:hAnsi="Times New Roman" w:cs="Times New Roman"/>
          <w:bCs/>
          <w:sz w:val="32"/>
          <w:szCs w:val="32"/>
          <w:lang w:eastAsia="zh-CN"/>
        </w:rPr>
        <w:t>单位</w:t>
      </w:r>
      <w:r>
        <w:rPr>
          <w:rFonts w:ascii="Times New Roman" w:hAnsi="Times New Roman" w:cs="Times New Roman"/>
          <w:bCs/>
          <w:sz w:val="32"/>
          <w:szCs w:val="32"/>
        </w:rPr>
        <w:t>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湖南省知识产权保护中心</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3"/>
        <w:numPr>
          <w:ilvl w:val="0"/>
          <w:numId w:val="1"/>
        </w:numP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黑体" w:cs="Times New Roman"/>
          <w:sz w:val="32"/>
          <w:szCs w:val="32"/>
        </w:rPr>
      </w:pPr>
      <w:r>
        <w:rPr>
          <w:rFonts w:hint="eastAsia" w:ascii="Times New Roman" w:hAnsi="Times New Roman" w:eastAsia="仿宋_GB2312" w:cs="Times New Roman"/>
          <w:sz w:val="32"/>
          <w:szCs w:val="32"/>
          <w:u w:val="none"/>
          <w:lang w:eastAsia="zh-CN"/>
        </w:rPr>
        <w:t>湖南省知识产权保护中心贯彻落实党中央和省委关于知识产权保护、促进、运用工作的方针政策和决策部署。主要职责是：</w:t>
      </w:r>
    </w:p>
    <w:p>
      <w:pPr>
        <w:spacing w:line="600" w:lineRule="exact"/>
        <w:ind w:firstLine="800" w:firstLineChars="25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承担全省先进制造和新材料产业等技术领域专利申请快速审查、快速确权、快速维权工作。</w:t>
      </w:r>
    </w:p>
    <w:p>
      <w:pPr>
        <w:spacing w:line="600" w:lineRule="exact"/>
        <w:ind w:firstLine="800" w:firstLineChars="25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承担全省知识产权公共服务体系技术指导支持工作；提供知识产权快速协同保护技术支持；开展专利导航，知识产权转化运营、维权援助、鉴定评估等公益性工作。</w:t>
      </w:r>
    </w:p>
    <w:p>
      <w:pPr>
        <w:spacing w:line="600" w:lineRule="exact"/>
        <w:ind w:firstLine="800" w:firstLineChars="250"/>
        <w:jc w:val="both"/>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kern w:val="2"/>
          <w:sz w:val="32"/>
          <w:szCs w:val="32"/>
          <w:lang w:val="en-US" w:eastAsia="zh-CN" w:bidi="ar-SA"/>
        </w:rPr>
        <w:t>协助省市场监督管理局开展知识产权保护、促进、运用工作，为相关工作提供技术支撑。</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800" w:firstLineChars="250"/>
        <w:jc w:val="both"/>
        <w:textAlignment w:val="auto"/>
        <w:rPr>
          <w:rFonts w:hint="default"/>
          <w:lang w:val="en-US" w:eastAsia="zh-CN"/>
        </w:rPr>
      </w:pPr>
      <w:r>
        <w:rPr>
          <w:rFonts w:hint="eastAsia" w:ascii="Times New Roman" w:hAnsi="Times New Roman" w:eastAsia="仿宋_GB2312" w:cs="Times New Roman"/>
          <w:kern w:val="2"/>
          <w:sz w:val="32"/>
          <w:szCs w:val="32"/>
          <w:lang w:val="en-US" w:eastAsia="zh-CN" w:bidi="ar-SA"/>
        </w:rPr>
        <w:t>（四）</w:t>
      </w:r>
      <w:r>
        <w:rPr>
          <w:rFonts w:hint="default" w:ascii="Times New Roman" w:hAnsi="Times New Roman" w:eastAsia="仿宋_GB2312" w:cs="Times New Roman"/>
          <w:sz w:val="32"/>
          <w:szCs w:val="32"/>
          <w:u w:val="none"/>
        </w:rPr>
        <w:t>完成国家知识产权局和省市场监督管理局交办的其他任务。</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800" w:firstLineChars="25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湖南省知识产权保护中心</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综合部、预审一部、预审二部、维权援助部、公共服务部、预警分析部。</w:t>
      </w:r>
    </w:p>
    <w:p>
      <w:pPr>
        <w:keepNext w:val="0"/>
        <w:keepLines w:val="0"/>
        <w:pageBreakBefore w:val="0"/>
        <w:widowControl/>
        <w:kinsoku/>
        <w:wordWrap/>
        <w:overflowPunct/>
        <w:topLinePunct w:val="0"/>
        <w:autoSpaceDE/>
        <w:autoSpaceDN/>
        <w:bidi w:val="0"/>
        <w:adjustRightInd/>
        <w:snapToGrid/>
        <w:spacing w:line="600" w:lineRule="exact"/>
        <w:ind w:firstLine="800" w:firstLineChars="250"/>
        <w:textAlignment w:val="auto"/>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湖南省知识产权保护中心</w:t>
      </w:r>
      <w:r>
        <w:rPr>
          <w:rFonts w:ascii="Times New Roman" w:hAnsi="Times New Roman" w:eastAsia="仿宋_GB2312" w:cs="Times New Roman"/>
          <w:bCs/>
          <w:kern w:val="0"/>
          <w:sz w:val="32"/>
          <w:szCs w:val="32"/>
        </w:rPr>
        <w:t>2024年</w:t>
      </w:r>
      <w:r>
        <w:rPr>
          <w:rFonts w:hint="eastAsia" w:ascii="Times New Roman" w:hAnsi="Times New Roman" w:eastAsia="仿宋_GB2312" w:cs="Times New Roman"/>
          <w:bCs/>
          <w:kern w:val="0"/>
          <w:sz w:val="32"/>
          <w:szCs w:val="32"/>
          <w:lang w:eastAsia="zh-CN"/>
        </w:rPr>
        <w:t>单位</w:t>
      </w:r>
      <w:r>
        <w:rPr>
          <w:rFonts w:ascii="Times New Roman" w:hAnsi="Times New Roman" w:eastAsia="仿宋_GB2312" w:cs="Times New Roman"/>
          <w:bCs/>
          <w:kern w:val="0"/>
          <w:sz w:val="32"/>
          <w:szCs w:val="32"/>
        </w:rPr>
        <w:t>决算汇总公开单位构成包括：</w:t>
      </w:r>
      <w:r>
        <w:rPr>
          <w:rFonts w:hint="eastAsia" w:ascii="Times New Roman" w:hAnsi="Times New Roman" w:eastAsia="仿宋_GB2312" w:cs="Times New Roman"/>
          <w:bCs/>
          <w:kern w:val="0"/>
          <w:sz w:val="32"/>
          <w:szCs w:val="32"/>
          <w:lang w:eastAsia="zh-CN"/>
        </w:rPr>
        <w:t>湖南省知识产权保护中心</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pPr>
        <w:jc w:val="both"/>
        <w:rPr>
          <w:rFonts w:ascii="Times New Roman" w:hAnsi="Times New Roman" w:eastAsia="黑体" w:cs="Times New Roman"/>
          <w:sz w:val="28"/>
          <w:szCs w:val="28"/>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28"/>
        <w:gridCol w:w="899"/>
        <w:gridCol w:w="1354"/>
        <w:gridCol w:w="4826"/>
        <w:gridCol w:w="899"/>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52"/>
                <w:szCs w:val="52"/>
                <w:u w:val="none"/>
              </w:rPr>
            </w:pPr>
            <w:r>
              <w:rPr>
                <w:rFonts w:hint="eastAsia" w:ascii="方正小标宋_GBK" w:hAnsi="方正小标宋_GBK" w:eastAsia="方正小标宋_GBK" w:cs="方正小标宋_GBK"/>
                <w:i w:val="0"/>
                <w:iCs w:val="0"/>
                <w:color w:val="000000"/>
                <w:kern w:val="0"/>
                <w:sz w:val="52"/>
                <w:szCs w:val="52"/>
                <w:u w:val="none"/>
                <w:lang w:val="en-US" w:eastAsia="zh-CN" w:bidi="ar"/>
              </w:rPr>
              <w:t>第二部分        单位决算表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34"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304"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5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163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304"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566"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3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单位：湖南省知识产权保护中心</w:t>
            </w:r>
          </w:p>
        </w:tc>
        <w:tc>
          <w:tcPr>
            <w:tcW w:w="304"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5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163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304"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566"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收入</w:t>
            </w:r>
          </w:p>
        </w:tc>
        <w:tc>
          <w:tcPr>
            <w:tcW w:w="250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行次</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决算数</w:t>
            </w: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行次</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栏次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栏次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一、一般公共预算财政拨款收入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1,679.69</w:t>
            </w: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一、一般公共服务支出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二、政府性基金预算财政拨款收入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二、外交支出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三、国有资本经营预算财政拨款收入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三、国防支出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四、上级补助收入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四、公共安全支出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五、事业收入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五、教育支出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六、经营收入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六、科学技术支出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七、附属单位上缴收入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七、文化旅游体育与传媒支出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八、其他收入</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八、社会保障和就业支出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九、卫生健康支出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十、节能环保支出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十一、城乡社区支出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十二、农林水支出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十三、交通运输支出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十四、资源勘探工业信息等支出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十五、商业服务业等支出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十六、金融支出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十七、援助其他地区支出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十八、自然资源海洋气象等支出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十九、住房保障支出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二十、粮油物资储备支出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二十一、国有资本经营预算支出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二十二、灾害防治及应急管理支出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二十三、其他支出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二十四、债务还本支出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二十五、债务付息支出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二十六、抗疫特别国债安排的支出</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本年收入合计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1,679.69</w:t>
            </w: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本年支出合计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40" w:firstLineChars="2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使用非财政拨款结余（含专用结余）</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1760" w:firstLineChars="80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结余分配</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880" w:firstLineChars="40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年初结转和结余</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718.47</w:t>
            </w: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年末结转和结余</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总计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2,398.16</w:t>
            </w:r>
          </w:p>
        </w:tc>
        <w:tc>
          <w:tcPr>
            <w:tcW w:w="1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总计</w:t>
            </w:r>
          </w:p>
        </w:tc>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ind w:firstLine="240" w:firstLineChars="100"/>
              <w:jc w:val="left"/>
              <w:textAlignment w:val="center"/>
              <w:rPr>
                <w:rFonts w:hint="eastAsia" w:ascii="仿宋_GB2312" w:hAnsi="宋体" w:eastAsia="仿宋_GB2312" w:cs="仿宋_GB2312"/>
                <w:i w:val="0"/>
                <w:iCs w:val="0"/>
                <w:color w:val="000000"/>
                <w:sz w:val="22"/>
                <w:szCs w:val="22"/>
                <w:u w:val="none"/>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w:t>
            </w:r>
            <w:r>
              <w:rPr>
                <w:rFonts w:hint="eastAsia" w:ascii="Times New Roman" w:hAnsi="Times New Roman" w:eastAsia="仿宋_GB2312" w:cs="Times New Roman"/>
                <w:color w:val="000000"/>
                <w:kern w:val="0"/>
                <w:sz w:val="24"/>
                <w:szCs w:val="24"/>
                <w:lang w:val="en-US" w:eastAsia="zh-CN" w:bidi="ar"/>
              </w:rPr>
              <w:t xml:space="preserve">  </w:t>
            </w:r>
            <w:r>
              <w:rPr>
                <w:rFonts w:ascii="Times New Roman" w:hAnsi="Times New Roman" w:eastAsia="仿宋_GB2312" w:cs="Times New Roman"/>
                <w:color w:val="000000"/>
                <w:kern w:val="0"/>
                <w:sz w:val="24"/>
                <w:szCs w:val="24"/>
                <w:lang w:bidi="ar"/>
              </w:rPr>
              <w:t xml:space="preserve"> 2.本套报表金额单位转换时可能存在尾数误差。</w:t>
            </w:r>
          </w:p>
        </w:tc>
      </w:tr>
    </w:tbl>
    <w:p>
      <w:pPr>
        <w:rPr>
          <w:rFonts w:ascii="Times New Roman" w:hAnsi="Times New Roman" w:eastAsia="华文中宋" w:cs="Times New Roman"/>
          <w:color w:val="000000"/>
          <w:sz w:val="32"/>
          <w:szCs w:val="32"/>
        </w:rPr>
        <w:sectPr>
          <w:pgSz w:w="16838" w:h="11906" w:orient="landscape"/>
          <w:pgMar w:top="1134" w:right="1134" w:bottom="1134" w:left="1134" w:header="851" w:footer="992" w:gutter="0"/>
          <w:cols w:space="425" w:num="1"/>
          <w:docGrid w:type="lines" w:linePitch="312" w:charSpace="0"/>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4"/>
        <w:gridCol w:w="3929"/>
        <w:gridCol w:w="1813"/>
        <w:gridCol w:w="1553"/>
        <w:gridCol w:w="1071"/>
        <w:gridCol w:w="1153"/>
        <w:gridCol w:w="1139"/>
        <w:gridCol w:w="1207"/>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bookmarkStart w:id="0" w:name="RANGE!A1:F16"/>
            <w:r>
              <w:rPr>
                <w:rFonts w:hint="eastAsia" w:ascii="黑体" w:hAnsi="宋体" w:eastAsia="黑体" w:cs="黑体"/>
                <w:i w:val="0"/>
                <w:iCs w:val="0"/>
                <w:color w:val="000000"/>
                <w:kern w:val="0"/>
                <w:sz w:val="36"/>
                <w:szCs w:val="36"/>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5"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132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613"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525"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36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390"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385"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0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509"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4"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单位：湖南省知识产权保护中心</w:t>
            </w:r>
          </w:p>
        </w:tc>
        <w:tc>
          <w:tcPr>
            <w:tcW w:w="613"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525"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36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390"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385"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0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509"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     目</w:t>
            </w: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本年收入合计</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财政拨款收入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上级补助收入</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事业收入</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经营收入</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附属单位</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上缴收入</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功能分类</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科目编码</w:t>
            </w:r>
          </w:p>
        </w:tc>
        <w:tc>
          <w:tcPr>
            <w:tcW w:w="13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科目名称</w:t>
            </w: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2"/>
                <w:szCs w:val="22"/>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2"/>
                <w:szCs w:val="22"/>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栏次</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8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1,679.69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1,679.69</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一般公共服务支出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1,362.36</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1,362.36</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20114</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知识产权事务</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2011499</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其他知识产权事务支出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160.00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市场监督管理事务</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1,202.36</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1,202.36</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2013810</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质量基础</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2013850</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事业运行</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937.60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937.60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2013899</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其他市场监督管理事务</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261.76</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261.76</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20508</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进修及培训</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2050803</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培训支出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50.70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社会保障和就业支出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114.42</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114.42</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行政事业单位养老支出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100.42</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100.42</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2080502</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事业单位离退休</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机关事业单位基本养老保险缴费支出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97.80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97.80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20899</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其他社会保障和就业支出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其他社会保障和就业支出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卫生健康支出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行政事业单位医疗</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2101102</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事业单位医疗</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住房保障支出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住房改革支出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住房公积金</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注：本表反映部门本年度取得的各项收入情况。</w:t>
            </w:r>
          </w:p>
        </w:tc>
      </w:tr>
    </w:tbl>
    <w:p>
      <w:pPr>
        <w:widowControl/>
        <w:spacing w:after="156" w:afterLines="50"/>
        <w:jc w:val="center"/>
        <w:textAlignment w:val="center"/>
      </w:pPr>
    </w:p>
    <w:p>
      <w:pPr>
        <w:pStyle w:val="2"/>
      </w:pPr>
    </w:p>
    <w:p>
      <w:pPr>
        <w:pStyle w:val="3"/>
      </w:pPr>
    </w:p>
    <w:p>
      <w:pPr>
        <w:widowControl/>
        <w:spacing w:after="156" w:afterLines="50"/>
        <w:jc w:val="center"/>
        <w:textAlignment w:val="center"/>
      </w:pP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
      <w:pPr>
        <w:pStyle w:val="2"/>
      </w:pPr>
    </w:p>
    <w:p>
      <w:pPr>
        <w:pStyle w:val="3"/>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8"/>
        <w:gridCol w:w="398"/>
        <w:gridCol w:w="714"/>
        <w:gridCol w:w="3833"/>
        <w:gridCol w:w="1867"/>
        <w:gridCol w:w="1767"/>
        <w:gridCol w:w="1766"/>
        <w:gridCol w:w="1269"/>
        <w:gridCol w:w="1387"/>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786"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8"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398"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714"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3833"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86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76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766"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269"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38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38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3"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单位：湖南省知识产权保护中心</w:t>
            </w:r>
          </w:p>
        </w:tc>
        <w:tc>
          <w:tcPr>
            <w:tcW w:w="186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76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766"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269"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387" w:type="dxa"/>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38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     目</w:t>
            </w:r>
          </w:p>
        </w:tc>
        <w:tc>
          <w:tcPr>
            <w:tcW w:w="1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基本支出</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上缴上级</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支出</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经营支出</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对附属单位</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功能分类</w:t>
            </w:r>
            <w:r>
              <w:rPr>
                <w:rFonts w:hint="eastAsia" w:ascii="仿宋_GB2312" w:hAnsi="宋体" w:eastAsia="仿宋_GB2312" w:cs="仿宋_GB2312"/>
                <w:b/>
                <w:bCs/>
                <w:i w:val="0"/>
                <w:iCs w:val="0"/>
                <w:color w:val="000000"/>
                <w:kern w:val="0"/>
                <w:sz w:val="22"/>
                <w:szCs w:val="22"/>
                <w:u w:val="none"/>
                <w:lang w:val="en-US" w:eastAsia="zh-CN" w:bidi="ar"/>
              </w:rPr>
              <w:br w:type="textWrapping"/>
            </w:r>
            <w:r>
              <w:rPr>
                <w:rFonts w:hint="eastAsia" w:ascii="仿宋_GB2312" w:hAnsi="宋体" w:eastAsia="仿宋_GB2312" w:cs="仿宋_GB2312"/>
                <w:b/>
                <w:bCs/>
                <w:i w:val="0"/>
                <w:iCs w:val="0"/>
                <w:color w:val="000000"/>
                <w:kern w:val="0"/>
                <w:sz w:val="22"/>
                <w:szCs w:val="22"/>
                <w:u w:val="none"/>
                <w:lang w:val="en-US" w:eastAsia="zh-CN" w:bidi="ar"/>
              </w:rPr>
              <w:t>科目编码</w:t>
            </w:r>
          </w:p>
        </w:tc>
        <w:tc>
          <w:tcPr>
            <w:tcW w:w="3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科目名称</w:t>
            </w: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2"/>
                <w:szCs w:val="22"/>
                <w:u w:val="none"/>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2"/>
                <w:szCs w:val="22"/>
                <w:u w:val="none"/>
              </w:rPr>
            </w:pPr>
          </w:p>
        </w:tc>
        <w:tc>
          <w:tcPr>
            <w:tcW w:w="1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3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栏次</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3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1,985.24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1,196.95</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788.30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一般公共服务支出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1,697.89</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930.53</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767.36</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20114</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知识产权事务</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534.99</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534.99</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2011402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一般行政管理事务</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11.92</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2011405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知识产权战略和规划</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119.44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119.44</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2011499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其他知识产权事务支出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403.63</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403.63</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市场监督管理事务</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1,162.90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930.53</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232.37</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2013810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质量基础</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2013850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事业运行</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930.53</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930.53</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2013899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其他市场监督管理事务</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229.37</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229.37</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进修及培训</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2050803</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培训支出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社会保障和就业支出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114.20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114.20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行政事业单位养老支出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100.20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100.20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事业单位离退休</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机关事业单位基本养老保险缴费支出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97.59</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97.59</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20899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其他社会保障和就业支出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其他社会保障和就业支出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卫生健康支出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行政事业单位医疗</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2101102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事业单位医疗</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住房保障支出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住房改革支出</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3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住房公积金</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786"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注：本表反映部门本年度各项支出情况。</w:t>
            </w:r>
          </w:p>
        </w:tc>
      </w:tr>
    </w:tbl>
    <w:p/>
    <w:p>
      <w:pPr>
        <w:widowControl/>
        <w:jc w:val="center"/>
        <w:rPr>
          <w:rFonts w:ascii="Times New Roman" w:hAnsi="Times New Roman" w:eastAsia="方正小标宋_GBK" w:cs="Times New Roman"/>
          <w:kern w:val="0"/>
          <w:sz w:val="36"/>
          <w:szCs w:val="36"/>
        </w:rPr>
      </w:pPr>
    </w:p>
    <w:bookmarkEnd w:id="0"/>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2"/>
        <w:gridCol w:w="606"/>
        <w:gridCol w:w="1422"/>
        <w:gridCol w:w="3528"/>
        <w:gridCol w:w="727"/>
        <w:gridCol w:w="1204"/>
        <w:gridCol w:w="1440"/>
        <w:gridCol w:w="1278"/>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30"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205"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80"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1193"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246"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0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8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2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18"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3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单位：湖南省知识产权保护中心</w:t>
            </w:r>
          </w:p>
        </w:tc>
        <w:tc>
          <w:tcPr>
            <w:tcW w:w="205"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80"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1193"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246"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0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8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2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18"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8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收     入</w:t>
            </w:r>
          </w:p>
        </w:tc>
        <w:tc>
          <w:tcPr>
            <w:tcW w:w="318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行次</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金额</w:t>
            </w:r>
          </w:p>
        </w:tc>
        <w:tc>
          <w:tcPr>
            <w:tcW w:w="1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项目</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行次</w:t>
            </w:r>
          </w:p>
        </w:tc>
        <w:tc>
          <w:tcPr>
            <w:tcW w:w="4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一般公共预算财政拨款</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政府性基金预算财政拨款</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4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栏次</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栏次</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一、一般公共预算财政拨款</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1,679.69</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一、一般公共服务支出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1,697.89</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1,697.89</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二、政府性基金预算财政拨款</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二、外交支出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三、国有资本经营预算财政拨款</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三、国防支出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四、公共安全支出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五、教育支出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六、科学技术支出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七、文化旅游体育与传媒支出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八、社会保障和就业支出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114.20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114.20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九、卫生健康支出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十、节能环保支出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十一、城乡社区支出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十二、农林水支出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十三、交通运输支出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十四、资源勘探工业信息等支出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十五、商业服务业等支出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十六、金融支出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十七、援助其他地区支出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十八、自然资源海洋气象等支出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十九、住房保障支出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二十、粮油物资储备支出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二十一、国有资本经营预算支出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二十二、灾害防治及应急管理支出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二十三、其他支出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0"/>
                <w:szCs w:val="20"/>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二十四、债务还本支出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0"/>
                <w:szCs w:val="20"/>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二十五、债务付息支出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0"/>
                <w:szCs w:val="20"/>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二十六、抗疫特别国债安排的支出</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本年收入合计</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1,679.69</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本年支出合计</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1,985.24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1,985.24</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年初财政拨款结转和结余</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718.47</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年末财政拨款结转和结余</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412.91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412.91</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一般公共预算财政拨款</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718.47</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政府性基金预算财政拨款</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国有资本经营预算财政拨款</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总计</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2,398.16</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总计</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2,398.16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2,398.16</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81"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418" w:type="pct"/>
            <w:tcBorders>
              <w:top w:val="nil"/>
              <w:left w:val="nil"/>
              <w:bottom w:val="nil"/>
              <w:right w:val="nil"/>
            </w:tcBorders>
            <w:shd w:val="clear" w:color="auto" w:fill="auto"/>
            <w:noWrap/>
            <w:vAlign w:val="center"/>
          </w:tcPr>
          <w:p>
            <w:pPr>
              <w:jc w:val="left"/>
              <w:rPr>
                <w:rFonts w:hint="eastAsia" w:ascii="仿宋_GB2312" w:hAnsi="宋体" w:eastAsia="仿宋_GB2312" w:cs="仿宋_GB2312"/>
                <w:i w:val="0"/>
                <w:iCs w:val="0"/>
                <w:color w:val="000000"/>
                <w:sz w:val="20"/>
                <w:szCs w:val="20"/>
                <w:u w:val="none"/>
              </w:rPr>
            </w:pP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9"/>
        <w:gridCol w:w="4542"/>
        <w:gridCol w:w="2567"/>
        <w:gridCol w:w="2570"/>
        <w:gridCol w:w="2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1535"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86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86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97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82" w:type="pct"/>
            <w:gridSpan w:val="2"/>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单位：湖南省知识产权保护中心</w:t>
            </w:r>
          </w:p>
        </w:tc>
        <w:tc>
          <w:tcPr>
            <w:tcW w:w="86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86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97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     目</w:t>
            </w:r>
          </w:p>
        </w:tc>
        <w:tc>
          <w:tcPr>
            <w:tcW w:w="271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功能分类科目编码</w:t>
            </w:r>
          </w:p>
        </w:tc>
        <w:tc>
          <w:tcPr>
            <w:tcW w:w="15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科目名称</w:t>
            </w:r>
          </w:p>
        </w:tc>
        <w:tc>
          <w:tcPr>
            <w:tcW w:w="8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小计</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基本支出</w:t>
            </w:r>
          </w:p>
        </w:tc>
        <w:tc>
          <w:tcPr>
            <w:tcW w:w="9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2"/>
                <w:szCs w:val="22"/>
                <w:u w:val="none"/>
              </w:rPr>
            </w:pPr>
          </w:p>
        </w:tc>
        <w:tc>
          <w:tcPr>
            <w:tcW w:w="8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2"/>
                <w:szCs w:val="22"/>
                <w:u w:val="none"/>
              </w:rPr>
            </w:pPr>
          </w:p>
        </w:tc>
        <w:tc>
          <w:tcPr>
            <w:tcW w:w="8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9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栏次</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1,985.24</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1,196.95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788.30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一般公共服务支出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1,697.89</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930.53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20114</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知识产权事务</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534.99</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2011402</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一般行政管理事务</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11.92</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2011405</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知识产权战略和规划</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119.44</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2011499</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其他知识产权事务支出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403.63</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市场监督管理事务</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1,162.90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930.53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2013810</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质量基础</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2013850</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事业运行</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930.53</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930.53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2013899</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其他市场监督管理事务</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229.37</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20508</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进修及培训</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2050803</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培训支出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社会保障和就业支出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114.20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114.20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行政事业单位养老支出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100.20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100.20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2080502</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事业单位离退休</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机关事业单位基本养老保险缴费支出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97.59</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97.59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20899</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其他社会保障和就业支出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2089999</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其他社会保障和就业支出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卫生健康支出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行政事业单位医疗</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2101102</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事业单位医疗</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52.58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住房保障支出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住房改革支出</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住房公积金</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99.63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注：本表反映部门本年度一般公共预算财政拨款支出情况。</w:t>
            </w:r>
          </w:p>
        </w:tc>
      </w:tr>
    </w:tbl>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pStyle w:val="2"/>
        <w:rPr>
          <w:rFonts w:ascii="Times New Roman" w:hAnsi="Times New Roman" w:eastAsia="仿宋_GB2312" w:cs="Times New Roman"/>
          <w:color w:val="000000"/>
          <w:kern w:val="0"/>
          <w:sz w:val="32"/>
          <w:szCs w:val="32"/>
          <w:lang w:bidi="ar"/>
        </w:rPr>
      </w:pPr>
    </w:p>
    <w:p>
      <w:pPr>
        <w:pStyle w:val="3"/>
        <w:rPr>
          <w:rFonts w:ascii="Times New Roman" w:hAnsi="Times New Roman" w:eastAsia="仿宋_GB2312" w:cs="Times New Roman"/>
          <w:color w:val="000000"/>
          <w:kern w:val="0"/>
          <w:sz w:val="32"/>
          <w:szCs w:val="32"/>
          <w:lang w:bidi="ar"/>
        </w:rPr>
      </w:pPr>
    </w:p>
    <w:p>
      <w:pPr>
        <w:pStyle w:val="3"/>
        <w:ind w:left="0" w:leftChars="0" w:firstLine="0" w:firstLineChars="0"/>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
      <w:pPr>
        <w:pStyle w:val="2"/>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0"/>
        <w:gridCol w:w="2805"/>
        <w:gridCol w:w="1028"/>
        <w:gridCol w:w="1067"/>
        <w:gridCol w:w="2333"/>
        <w:gridCol w:w="1117"/>
        <w:gridCol w:w="1250"/>
        <w:gridCol w:w="2817"/>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94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34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360"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78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37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42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95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39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57" w:type="pct"/>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部门：湖南省知识产权保护中心</w:t>
            </w:r>
          </w:p>
        </w:tc>
        <w:tc>
          <w:tcPr>
            <w:tcW w:w="34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360"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78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37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42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95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39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经济分类</w:t>
            </w:r>
            <w:r>
              <w:rPr>
                <w:rFonts w:hint="eastAsia" w:ascii="仿宋_GB2312" w:hAnsi="宋体" w:eastAsia="仿宋_GB2312" w:cs="仿宋_GB2312"/>
                <w:b/>
                <w:bCs/>
                <w:i w:val="0"/>
                <w:iCs w:val="0"/>
                <w:color w:val="000000"/>
                <w:kern w:val="0"/>
                <w:sz w:val="21"/>
                <w:szCs w:val="21"/>
                <w:u w:val="none"/>
                <w:lang w:val="en-US" w:eastAsia="zh-CN" w:bidi="ar"/>
              </w:rPr>
              <w:br w:type="textWrapping"/>
            </w:r>
            <w:r>
              <w:rPr>
                <w:rFonts w:hint="eastAsia" w:ascii="仿宋_GB2312" w:hAnsi="宋体" w:eastAsia="仿宋_GB2312" w:cs="仿宋_GB2312"/>
                <w:b/>
                <w:bCs/>
                <w:i w:val="0"/>
                <w:iCs w:val="0"/>
                <w:color w:val="000000"/>
                <w:kern w:val="0"/>
                <w:sz w:val="21"/>
                <w:szCs w:val="21"/>
                <w:u w:val="none"/>
                <w:lang w:val="en-US" w:eastAsia="zh-CN" w:bidi="ar"/>
              </w:rPr>
              <w:t>科目编码</w:t>
            </w: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科目名称</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决算数</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经济分类</w:t>
            </w:r>
            <w:r>
              <w:rPr>
                <w:rFonts w:hint="eastAsia" w:ascii="仿宋_GB2312" w:hAnsi="宋体" w:eastAsia="仿宋_GB2312" w:cs="仿宋_GB2312"/>
                <w:b/>
                <w:bCs/>
                <w:i w:val="0"/>
                <w:iCs w:val="0"/>
                <w:color w:val="000000"/>
                <w:kern w:val="0"/>
                <w:sz w:val="21"/>
                <w:szCs w:val="21"/>
                <w:u w:val="none"/>
                <w:lang w:val="en-US" w:eastAsia="zh-CN" w:bidi="ar"/>
              </w:rPr>
              <w:br w:type="textWrapping"/>
            </w:r>
            <w:r>
              <w:rPr>
                <w:rFonts w:hint="eastAsia" w:ascii="仿宋_GB2312" w:hAnsi="宋体" w:eastAsia="仿宋_GB2312" w:cs="仿宋_GB2312"/>
                <w:b/>
                <w:bCs/>
                <w:i w:val="0"/>
                <w:iCs w:val="0"/>
                <w:color w:val="000000"/>
                <w:kern w:val="0"/>
                <w:sz w:val="21"/>
                <w:szCs w:val="21"/>
                <w:u w:val="none"/>
                <w:lang w:val="en-US" w:eastAsia="zh-CN" w:bidi="ar"/>
              </w:rPr>
              <w:t>科目编码</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科目名称</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决算数</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经济分类</w:t>
            </w:r>
            <w:r>
              <w:rPr>
                <w:rFonts w:hint="eastAsia" w:ascii="仿宋_GB2312" w:hAnsi="宋体" w:eastAsia="仿宋_GB2312" w:cs="仿宋_GB2312"/>
                <w:b/>
                <w:bCs/>
                <w:i w:val="0"/>
                <w:iCs w:val="0"/>
                <w:color w:val="000000"/>
                <w:kern w:val="0"/>
                <w:sz w:val="21"/>
                <w:szCs w:val="21"/>
                <w:u w:val="none"/>
                <w:lang w:val="en-US" w:eastAsia="zh-CN" w:bidi="ar"/>
              </w:rPr>
              <w:br w:type="textWrapping"/>
            </w:r>
            <w:r>
              <w:rPr>
                <w:rFonts w:hint="eastAsia" w:ascii="仿宋_GB2312" w:hAnsi="宋体" w:eastAsia="仿宋_GB2312" w:cs="仿宋_GB2312"/>
                <w:b/>
                <w:bCs/>
                <w:i w:val="0"/>
                <w:iCs w:val="0"/>
                <w:color w:val="000000"/>
                <w:kern w:val="0"/>
                <w:sz w:val="21"/>
                <w:szCs w:val="21"/>
                <w:u w:val="none"/>
                <w:lang w:val="en-US" w:eastAsia="zh-CN" w:bidi="ar"/>
              </w:rPr>
              <w:t>科目编码</w:t>
            </w:r>
          </w:p>
        </w:tc>
        <w:tc>
          <w:tcPr>
            <w:tcW w:w="9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科目名称</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1"/>
                <w:szCs w:val="21"/>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1"/>
                <w:szCs w:val="21"/>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1"/>
                <w:szCs w:val="21"/>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1"/>
                <w:szCs w:val="21"/>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1"/>
                <w:szCs w:val="21"/>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1"/>
                <w:szCs w:val="21"/>
                <w:u w:val="none"/>
              </w:rPr>
            </w:pP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1"/>
                <w:szCs w:val="21"/>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工资福利支出</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1,022.04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商品和服务支出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172.29</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债务利息及费用支出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30101</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基本工资</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203.18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30201</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办公费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15.59</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30701</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国内债务付息</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30102</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津贴补贴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84.83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30202</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印刷费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2.89</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30702</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国外债务付息</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30103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奖金</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30203</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咨询费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资本性支出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30106</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伙食补助费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50.31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30204</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手续费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31001</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房屋建筑物购建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30107</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绩效工资</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413.21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30205</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水费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31002</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办公设备购置</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30108</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机关事业单位基本养老保险缴费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90.51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30206</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电费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31003</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专用设备购置</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30109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职业年金缴费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30207</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邮电费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31005</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基础设施建设</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30110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职工基本医疗保险缴费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50.28</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30208</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取暖费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31006</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大型修缮</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30111</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公务员医疗补助缴费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30209</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物业管理费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22.47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31007</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信息网络及软件购置更新</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30112</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其他社会保障缴费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14.09</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30211</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差旅费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0.68</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31008</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物资储备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30113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住房公积金</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99.63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30212</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因公出国（境）费用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31009</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土地补偿</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30114</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医疗费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12.99</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30213</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维修（护）费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31010</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安置补助</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30199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其他工资福利支出</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30214</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租赁费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0.07</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31011</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地上附着物和青苗补偿</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对个人和家庭的补助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30215</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会议费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31012</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拆迁补偿</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30301</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离休费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30216</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培训费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31013</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公务用车购置</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30302</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退休费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30217</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公务接待费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31019</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其他交通工具购置</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30303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退职（役）费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30218</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专用材料费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31021</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文物和陈列品购置</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30304</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抚恤金</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30224</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被装购置费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31022</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无形资产购置</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30305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生活补助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30225</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专用燃料费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31099</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其他资本性支出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30306</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救济费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30226</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劳务费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52.25</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其他支出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30307</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医疗费补助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30227</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委托业务费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39907</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国家赔偿费用支出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30308</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助学金</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30228</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工会经费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39908</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对民间非营利组织和群众性自治组织补贴</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30309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奖励金</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30229</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福利费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39909</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经常性赠与</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30310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个人农业生产补贴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30231</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公务用车运行维护费</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39910</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资本性赠与</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30311</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代缴社会保险费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30239</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其他交通费用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7.33</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39999</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其他支出</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30399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其他对个人和家庭的补助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30240</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税金及附加费用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30299</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其他商品和服务支出</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0"/>
                <w:szCs w:val="20"/>
                <w:u w:val="none"/>
              </w:rPr>
            </w:pP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人员经费合计</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1,024.65</w:t>
            </w:r>
          </w:p>
        </w:tc>
        <w:tc>
          <w:tcPr>
            <w:tcW w:w="290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公用经费合计</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注：本表反映部门本年度一般公共预算财政拨款基本支出明细情况。</w:t>
            </w:r>
          </w:p>
        </w:tc>
      </w:tr>
    </w:tbl>
    <w:p>
      <w:pPr>
        <w:pStyle w:val="3"/>
      </w:pPr>
    </w:p>
    <w:p/>
    <w:p>
      <w:pPr>
        <w:pStyle w:val="2"/>
      </w:pPr>
    </w:p>
    <w:p>
      <w:pPr>
        <w:pStyle w:val="3"/>
      </w:pPr>
    </w:p>
    <w:p/>
    <w:p>
      <w:pPr>
        <w:pStyle w:val="2"/>
      </w:pPr>
    </w:p>
    <w:p>
      <w:pPr>
        <w:pStyle w:val="3"/>
      </w:pPr>
    </w:p>
    <w:p/>
    <w:p>
      <w:pPr>
        <w:pStyle w:val="2"/>
      </w:pPr>
    </w:p>
    <w:p>
      <w:pPr>
        <w:pStyle w:val="3"/>
      </w:pPr>
    </w:p>
    <w:p>
      <w:pPr>
        <w:widowControl/>
        <w:jc w:val="left"/>
        <w:textAlignment w:val="center"/>
        <w:rPr>
          <w:rFonts w:ascii="Times New Roman" w:hAnsi="Times New Roman" w:eastAsia="仿宋_GB2312" w:cs="Times New Roman"/>
          <w:color w:val="000000"/>
          <w:kern w:val="0"/>
          <w:sz w:val="24"/>
          <w:szCs w:val="24"/>
          <w:lang w:bidi="ar"/>
        </w:rPr>
      </w:pPr>
    </w:p>
    <w:p>
      <w:pPr>
        <w:pStyle w:val="2"/>
        <w:rPr>
          <w:rFonts w:ascii="Times New Roman" w:hAnsi="Times New Roman" w:eastAsia="仿宋_GB2312" w:cs="Times New Roman"/>
          <w:color w:val="000000"/>
          <w:kern w:val="0"/>
          <w:sz w:val="24"/>
          <w:szCs w:val="24"/>
          <w:lang w:bidi="ar"/>
        </w:rPr>
      </w:pPr>
    </w:p>
    <w:p>
      <w:pPr>
        <w:pStyle w:val="3"/>
        <w:rPr>
          <w:rFonts w:ascii="Times New Roman" w:hAnsi="Times New Roman" w:eastAsia="仿宋_GB2312" w:cs="Times New Roman"/>
          <w:color w:val="000000"/>
          <w:kern w:val="0"/>
          <w:sz w:val="24"/>
          <w:szCs w:val="24"/>
          <w:lang w:bidi="ar"/>
        </w:rPr>
      </w:pPr>
    </w:p>
    <w:p>
      <w:pPr>
        <w:rPr>
          <w:rFonts w:ascii="Times New Roman" w:hAnsi="Times New Roman" w:eastAsia="仿宋_GB2312" w:cs="Times New Roman"/>
          <w:color w:val="000000"/>
          <w:kern w:val="0"/>
          <w:sz w:val="24"/>
          <w:szCs w:val="24"/>
          <w:lang w:bidi="ar"/>
        </w:rPr>
      </w:pPr>
    </w:p>
    <w:p>
      <w:pPr>
        <w:pStyle w:val="2"/>
      </w:pPr>
    </w:p>
    <w:p>
      <w:pPr>
        <w:pStyle w:val="2"/>
        <w:rPr>
          <w:rFonts w:ascii="Times New Roman" w:hAnsi="Times New Roman" w:eastAsia="仿宋_GB2312" w:cs="Times New Roman"/>
          <w:color w:val="000000"/>
          <w:kern w:val="0"/>
          <w:sz w:val="24"/>
          <w:szCs w:val="24"/>
          <w:lang w:bidi="ar"/>
        </w:rPr>
      </w:pPr>
    </w:p>
    <w:p>
      <w:pPr>
        <w:pStyle w:val="3"/>
        <w:rPr>
          <w:rFonts w:ascii="Times New Roman" w:hAnsi="Times New Roman" w:eastAsia="仿宋_GB2312" w:cs="Times New Roman"/>
          <w:color w:val="000000"/>
          <w:kern w:val="0"/>
          <w:sz w:val="24"/>
          <w:szCs w:val="24"/>
          <w:lang w:bidi="ar"/>
        </w:rPr>
      </w:pPr>
    </w:p>
    <w:p>
      <w:pPr>
        <w:rPr>
          <w:rFonts w:ascii="Times New Roman" w:hAnsi="Times New Roman" w:eastAsia="仿宋_GB2312" w:cs="Times New Roman"/>
          <w:color w:val="000000"/>
          <w:kern w:val="0"/>
          <w:sz w:val="24"/>
          <w:szCs w:val="24"/>
          <w:lang w:bidi="ar"/>
        </w:rPr>
      </w:pPr>
    </w:p>
    <w:p>
      <w:pPr>
        <w:pStyle w:val="2"/>
        <w:rPr>
          <w:rFonts w:ascii="Times New Roman" w:hAnsi="Times New Roman" w:eastAsia="仿宋_GB2312" w:cs="Times New Roman"/>
          <w:color w:val="000000"/>
          <w:kern w:val="0"/>
          <w:sz w:val="24"/>
          <w:szCs w:val="24"/>
          <w:lang w:bidi="ar"/>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6"/>
        <w:gridCol w:w="1706"/>
        <w:gridCol w:w="1961"/>
        <w:gridCol w:w="1822"/>
        <w:gridCol w:w="1683"/>
        <w:gridCol w:w="1683"/>
        <w:gridCol w:w="1694"/>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13"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576"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663"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616"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56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56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57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619"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90" w:type="pct"/>
            <w:gridSpan w:val="2"/>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0"/>
                <w:szCs w:val="20"/>
                <w:u w:val="none"/>
                <w:lang w:val="en-US" w:eastAsia="zh-CN" w:bidi="ar"/>
              </w:rPr>
              <w:t>单位：湖南省知识产权保护中心</w:t>
            </w:r>
          </w:p>
        </w:tc>
        <w:tc>
          <w:tcPr>
            <w:tcW w:w="663"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616"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56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56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57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61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    目</w:t>
            </w:r>
          </w:p>
        </w:tc>
        <w:tc>
          <w:tcPr>
            <w:tcW w:w="6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年初结转和结余</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本年收入</w:t>
            </w:r>
          </w:p>
        </w:tc>
        <w:tc>
          <w:tcPr>
            <w:tcW w:w="17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本年支出</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科目代码</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科目名称</w:t>
            </w: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小计</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基本支出</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w:t>
            </w: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2"/>
                <w:szCs w:val="22"/>
                <w:u w:val="none"/>
              </w:rPr>
            </w:pPr>
          </w:p>
        </w:tc>
        <w:tc>
          <w:tcPr>
            <w:tcW w:w="6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栏次</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2"/>
                <w:szCs w:val="22"/>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2"/>
                <w:szCs w:val="22"/>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2"/>
                <w:szCs w:val="22"/>
                <w:u w:val="none"/>
              </w:rPr>
            </w:pPr>
          </w:p>
        </w:tc>
      </w:tr>
    </w:tbl>
    <w:p>
      <w:pPr>
        <w:pStyle w:val="3"/>
        <w:rPr>
          <w:rFonts w:ascii="Times New Roman" w:hAnsi="Times New Roman" w:eastAsia="仿宋_GB2312" w:cs="Times New Roman"/>
          <w:color w:val="000000"/>
          <w:kern w:val="0"/>
          <w:sz w:val="24"/>
          <w:szCs w:val="24"/>
          <w:lang w:bidi="ar"/>
        </w:rPr>
      </w:pPr>
    </w:p>
    <w:tbl>
      <w:tblPr>
        <w:tblStyle w:val="8"/>
        <w:tblW w:w="17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71"/>
        <w:gridCol w:w="353"/>
        <w:gridCol w:w="353"/>
        <w:gridCol w:w="353"/>
        <w:gridCol w:w="353"/>
        <w:gridCol w:w="353"/>
        <w:gridCol w:w="353"/>
        <w:gridCol w:w="353"/>
        <w:gridCol w:w="353"/>
        <w:gridCol w:w="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144"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说明：我单位没有政府性基金收入，也没有使用政府性基金安排的支出，故本表无数据。</w:t>
            </w:r>
          </w:p>
        </w:tc>
        <w:tc>
          <w:tcPr>
            <w:tcW w:w="0" w:type="auto"/>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both"/>
              <w:rPr>
                <w:rFonts w:hint="eastAsia" w:ascii="仿宋_GB2312" w:hAnsi="宋体" w:eastAsia="仿宋_GB2312" w:cs="仿宋_GB2312"/>
                <w:b/>
                <w:bCs/>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pPr>
    </w:p>
    <w:p>
      <w:pPr>
        <w:pStyle w:val="3"/>
      </w:pPr>
    </w:p>
    <w:p>
      <w:pPr>
        <w:widowControl/>
        <w:jc w:val="center"/>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5"/>
        <w:gridCol w:w="3049"/>
        <w:gridCol w:w="2650"/>
        <w:gridCol w:w="2777"/>
        <w:gridCol w:w="3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0"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031"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896"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938" w:type="pct"/>
            <w:tcBorders>
              <w:top w:val="nil"/>
              <w:left w:val="nil"/>
              <w:bottom w:val="nil"/>
              <w:right w:val="nil"/>
            </w:tcBorders>
            <w:shd w:val="clear" w:color="auto" w:fill="auto"/>
            <w:noWrap/>
            <w:vAlign w:val="center"/>
          </w:tcPr>
          <w:p>
            <w:pP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 xml:space="preserve">                            </w:t>
            </w:r>
          </w:p>
        </w:tc>
        <w:tc>
          <w:tcPr>
            <w:tcW w:w="1093"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单位：湖南省知识产权保护中心</w:t>
            </w:r>
          </w:p>
        </w:tc>
        <w:tc>
          <w:tcPr>
            <w:tcW w:w="1031"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896"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93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2"/>
                <w:szCs w:val="22"/>
                <w:u w:val="none"/>
              </w:rPr>
            </w:pPr>
          </w:p>
        </w:tc>
        <w:tc>
          <w:tcPr>
            <w:tcW w:w="1093"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    目</w:t>
            </w:r>
          </w:p>
        </w:tc>
        <w:tc>
          <w:tcPr>
            <w:tcW w:w="29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科目代码</w:t>
            </w:r>
          </w:p>
        </w:tc>
        <w:tc>
          <w:tcPr>
            <w:tcW w:w="10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科目名称</w:t>
            </w:r>
          </w:p>
        </w:tc>
        <w:tc>
          <w:tcPr>
            <w:tcW w:w="8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合计</w:t>
            </w:r>
          </w:p>
        </w:tc>
        <w:tc>
          <w:tcPr>
            <w:tcW w:w="9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基本支出</w:t>
            </w:r>
          </w:p>
        </w:tc>
        <w:tc>
          <w:tcPr>
            <w:tcW w:w="10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2"/>
                <w:szCs w:val="22"/>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0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22"/>
                <w:szCs w:val="22"/>
                <w:u w:val="none"/>
              </w:rPr>
            </w:pPr>
          </w:p>
        </w:tc>
        <w:tc>
          <w:tcPr>
            <w:tcW w:w="8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栏次</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合计</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0.00</w:t>
            </w: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2"/>
                <w:szCs w:val="22"/>
                <w:u w:val="none"/>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06"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说明：我单位没有使用国有资本经营预算安排的支出，故本表无数据。</w:t>
            </w:r>
          </w:p>
        </w:tc>
        <w:tc>
          <w:tcPr>
            <w:tcW w:w="10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jc w:val="center"/>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3"/>
        <w:rPr>
          <w:rFonts w:ascii="Times New Roman" w:hAnsi="Times New Roman" w:eastAsia="方正小标宋_GBK" w:cs="Times New Roman"/>
          <w:color w:val="000000"/>
          <w:kern w:val="0"/>
          <w:sz w:val="36"/>
          <w:szCs w:val="36"/>
        </w:rPr>
      </w:pPr>
    </w:p>
    <w:p>
      <w:pPr>
        <w:pStyle w:val="3"/>
        <w:ind w:left="0" w:leftChars="0" w:firstLine="0" w:firstLineChars="0"/>
        <w:rPr>
          <w:rFonts w:ascii="Times New Roman" w:hAnsi="Times New Roman" w:eastAsia="方正小标宋_GBK" w:cs="Times New Roman"/>
          <w:color w:val="000000"/>
          <w:kern w:val="0"/>
          <w:sz w:val="36"/>
          <w:szCs w:val="36"/>
        </w:rPr>
      </w:pPr>
    </w:p>
    <w:p>
      <w:pPr>
        <w:pStyle w:val="3"/>
        <w:ind w:left="0" w:leftChars="0" w:firstLine="0" w:firstLineChars="0"/>
        <w:jc w:val="both"/>
        <w:rPr>
          <w:rFonts w:ascii="Times New Roman" w:hAnsi="Times New Roman" w:eastAsia="方正小标宋_GBK" w:cs="Times New Roman"/>
          <w:color w:val="000000"/>
          <w:kern w:val="0"/>
          <w:sz w:val="36"/>
          <w:szCs w:val="36"/>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1209"/>
        <w:gridCol w:w="1227"/>
        <w:gridCol w:w="1209"/>
        <w:gridCol w:w="1325"/>
        <w:gridCol w:w="1381"/>
        <w:gridCol w:w="1115"/>
        <w:gridCol w:w="1209"/>
        <w:gridCol w:w="1212"/>
        <w:gridCol w:w="1218"/>
        <w:gridCol w:w="1355"/>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0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13"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0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4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65"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37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0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10"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1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5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45"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62"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单位：湖南省知识产权保护中心</w:t>
            </w:r>
          </w:p>
        </w:tc>
        <w:tc>
          <w:tcPr>
            <w:tcW w:w="40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48"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65"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37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09"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10"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12"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57" w:type="pct"/>
            <w:tcBorders>
              <w:top w:val="nil"/>
              <w:left w:val="nil"/>
              <w:bottom w:val="nil"/>
              <w:right w:val="nil"/>
            </w:tcBorders>
            <w:shd w:val="clear" w:color="auto" w:fill="auto"/>
            <w:noWrap/>
            <w:vAlign w:val="center"/>
          </w:tcPr>
          <w:p>
            <w:pPr>
              <w:rPr>
                <w:rFonts w:hint="eastAsia" w:ascii="仿宋_GB2312" w:hAnsi="宋体" w:eastAsia="仿宋_GB2312" w:cs="仿宋_GB2312"/>
                <w:i w:val="0"/>
                <w:iCs w:val="0"/>
                <w:color w:val="000000"/>
                <w:sz w:val="20"/>
                <w:szCs w:val="20"/>
                <w:u w:val="none"/>
              </w:rPr>
            </w:pPr>
          </w:p>
        </w:tc>
        <w:tc>
          <w:tcPr>
            <w:tcW w:w="44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合计</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公务用车购置及运行维护费</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公务接待费</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合计</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因公出国（境）费</w:t>
            </w:r>
          </w:p>
        </w:tc>
        <w:tc>
          <w:tcPr>
            <w:tcW w:w="12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公务用车购置及运行维护费</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小计</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公务用车购置费</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公务用车运行维护费</w:t>
            </w: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小计</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公务用车购置费</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公务用车运行维护费</w:t>
            </w: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4.28</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3.13</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22"/>
                <w:szCs w:val="22"/>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rPr>
          <w:rFonts w:ascii="Times New Roman" w:hAnsi="Times New Roman" w:eastAsia="方正小标宋_GBK" w:cs="Times New Roman"/>
          <w:color w:val="000000"/>
          <w:kern w:val="0"/>
          <w:sz w:val="36"/>
          <w:szCs w:val="36"/>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134" w:bottom="1134" w:left="1134"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w:t>
      </w:r>
      <w:r>
        <w:rPr>
          <w:rFonts w:hint="eastAsia" w:ascii="Times New Roman" w:hAnsi="Times New Roman" w:eastAsia="方正小标宋_GBK" w:cs="Times New Roman"/>
          <w:sz w:val="52"/>
          <w:szCs w:val="52"/>
          <w:lang w:eastAsia="zh-CN"/>
        </w:rPr>
        <w:t>单位</w:t>
      </w:r>
      <w:r>
        <w:rPr>
          <w:rFonts w:ascii="Times New Roman" w:hAnsi="Times New Roman" w:eastAsia="方正小标宋_GBK" w:cs="Times New Roman"/>
          <w:sz w:val="52"/>
          <w:szCs w:val="52"/>
        </w:rPr>
        <w:t>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2398.16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968.34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28.76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2023年下达了国家级知识产权保护中心建设项目专项经费，2024年没有此项经费预算。</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1679.69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1679.69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1985.24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1196.94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60.29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788.3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39.71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2398.16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968.34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28.76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2023年下达了国家级知识产权保护中心建设项目专项经费，2024年没有此项经费预算。</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1985.24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662.46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国家级知识产权保护中心建设项目专项经费主要在</w:t>
      </w:r>
      <w:r>
        <w:rPr>
          <w:rFonts w:hint="eastAsia" w:ascii="Times New Roman" w:hAnsi="Times New Roman" w:eastAsia="仿宋_GB2312" w:cs="Times New Roman"/>
          <w:sz w:val="32"/>
          <w:szCs w:val="32"/>
          <w:lang w:val="en-US" w:eastAsia="zh-CN"/>
        </w:rPr>
        <w:t>2023年开支。</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hint="eastAsia" w:ascii="Times New Roman" w:hAnsi="Times New Roman" w:eastAsia="仿宋_GB2312"/>
          <w:sz w:val="32"/>
          <w:szCs w:val="32"/>
          <w:highlight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1985.24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1697.89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85.53</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20.94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highlight w:val="none"/>
          <w:lang w:val="en-US" w:eastAsia="zh-CN"/>
        </w:rPr>
        <w:t>社会保障和就业</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114.2</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5.75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 xml:space="preserve"> 卫生健康</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支出52.58万元，占2.65%；住房保障</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支出99.63万元，占5.02%。</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2193.16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1985.24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90.52</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知识产权事务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决算数等于年初预算数的主要原因是：收支持平</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知识产权事务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知识产权战略和规划</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288.86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119.44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lang w:val="en-US" w:eastAsia="zh-CN"/>
        </w:rPr>
        <w:t>41.35%，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国家级知识产权保护中心建设专项中的部分项目经费根据实际工作需求进行缩减。</w:t>
      </w:r>
    </w:p>
    <w:p>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知识产权事务</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其他知识产权事务支出（项）。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411.53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403.63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lang w:val="en-US" w:eastAsia="zh-CN"/>
        </w:rPr>
        <w:t>98.08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：部分项目跨年度，相关经费需明年开支。</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市场监督管理事务</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质量基础（项）。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42.86</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：根据省财政的要求，调减项目支出。</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5、一般公共服务支出（类）市场监督管理事务（款）事业运行（项）。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908.6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930.53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102.41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：年中追加了知识产权大院物业费</w:t>
      </w:r>
      <w:r>
        <w:rPr>
          <w:rFonts w:hint="eastAsia" w:ascii="Times New Roman" w:hAnsi="Times New Roman" w:eastAsia="仿宋_GB2312" w:cs="Times New Roman"/>
          <w:sz w:val="32"/>
          <w:szCs w:val="32"/>
          <w:lang w:val="en-US" w:eastAsia="zh-CN"/>
        </w:rPr>
        <w:t>。</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6、一般公共服务支出（类）市场监督管理事务（款）其他市场监督管理事务（项）。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247.91</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229.37</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92.52</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hint="eastAsia"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部分项目跨年度，相关经费需明年开支</w:t>
      </w:r>
      <w:r>
        <w:rPr>
          <w:rFonts w:hint="eastAsia" w:ascii="Times New Roman" w:hAnsi="Times New Roman" w:eastAsia="仿宋_GB2312" w:cs="Times New Roman"/>
          <w:sz w:val="32"/>
          <w:szCs w:val="32"/>
        </w:rPr>
        <w:t>。</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7、教育支出（类）进修及培训（款）培训支出（项）。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年初预算为50.7万元，支出决算为20.94万元，完成年初预算的41.3%，决算数小于年初预算数的主要原因是：贯彻落实习惯过“紧日子”要求，节约培训费支出并根据实际工作开展情况对培训活动进行了适时调整。</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8、社会保障和就业支出（类）行政事业单位养老支出（款）事业单位离退休（项）。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2.62</w:t>
      </w:r>
      <w:r>
        <w:rPr>
          <w:rFonts w:hint="eastAsia" w:ascii="Times New Roman" w:hAnsi="Times New Roman" w:eastAsia="仿宋_GB2312" w:cs="Times New Roman"/>
          <w:sz w:val="32"/>
          <w:szCs w:val="32"/>
        </w:rPr>
        <w:t>万元，完成年初预算的100%，决算数等于年初预算数的主要原因是：收支持平。</w:t>
      </w:r>
    </w:p>
    <w:p>
      <w:pPr>
        <w:pStyle w:val="12"/>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1"/>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社会保障和就业支出（类）行政事业单位养老支出（款）机关事业单位基本养老保险缴费支出（项）。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1"/>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97.8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97.59</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99.79</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略</w:t>
      </w:r>
      <w:r>
        <w:rPr>
          <w:rFonts w:hint="eastAsia" w:ascii="Times New Roman" w:hAnsi="Times New Roman" w:eastAsia="仿宋_GB2312" w:cs="Times New Roman"/>
          <w:sz w:val="32"/>
          <w:szCs w:val="32"/>
        </w:rPr>
        <w:t>小于年初预算数的主要原因是</w:t>
      </w:r>
      <w:r>
        <w:rPr>
          <w:rFonts w:hint="eastAsia" w:ascii="Times New Roman" w:hAnsi="Times New Roman" w:eastAsia="仿宋_GB2312" w:cs="Times New Roman"/>
          <w:sz w:val="32"/>
          <w:szCs w:val="32"/>
          <w:lang w:eastAsia="zh-CN"/>
        </w:rPr>
        <w:t>：实际支出与预算编制基本持平</w:t>
      </w:r>
      <w:r>
        <w:rPr>
          <w:rFonts w:hint="eastAsia" w:ascii="Times New Roman" w:hAnsi="Times New Roman" w:eastAsia="仿宋_GB2312" w:cs="Times New Roman"/>
          <w:sz w:val="32"/>
          <w:szCs w:val="32"/>
        </w:rPr>
        <w:t>。</w:t>
      </w:r>
    </w:p>
    <w:p>
      <w:pPr>
        <w:pStyle w:val="12"/>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0" w:leftChars="0" w:firstLine="641"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社会保障和就业支出（类）其他社会保障和就业支出（款）其他社会保障和就业支出（项）。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1" w:firstLineChars="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万元，完成年初预算的100%，决算数等于年初预算数的主要原因是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收支持平。</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1"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11、卫生健康支出（类）行政事业单位医疗（款）事业单位医疗（项）。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1" w:firstLineChars="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52.58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52.58</w:t>
      </w:r>
      <w:r>
        <w:rPr>
          <w:rFonts w:hint="eastAsia" w:ascii="Times New Roman" w:hAnsi="Times New Roman" w:eastAsia="仿宋_GB2312" w:cs="Times New Roman"/>
          <w:sz w:val="32"/>
          <w:szCs w:val="32"/>
        </w:rPr>
        <w:t>万元，完成年初预算的100%，决算数等于年初预算数的主要原因是：收支持平。</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1"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12、住房保障支出（类）住房改革支出（款）住房公积金（项）。</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firstLine="641" w:firstLineChars="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99.63</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99.63</w:t>
      </w:r>
      <w:r>
        <w:rPr>
          <w:rFonts w:hint="eastAsia" w:ascii="Times New Roman" w:hAnsi="Times New Roman" w:eastAsia="仿宋_GB2312" w:cs="Times New Roman"/>
          <w:sz w:val="32"/>
          <w:szCs w:val="32"/>
        </w:rPr>
        <w:t>万元，完成年初预算的100%，决算数等于年初预算数的主要原因是：收支持平。</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1196.94</w:t>
      </w:r>
      <w:r>
        <w:rPr>
          <w:rFonts w:ascii="Times New Roman" w:hAnsi="Times New Roman" w:eastAsia="仿宋_GB2312" w:cs="Times New Roman"/>
          <w:sz w:val="32"/>
          <w:szCs w:val="32"/>
        </w:rPr>
        <w:t>万元，其中：</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1024.65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85.61</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、绩效工资、机关事业单位基本养老保险缴费、职业年金缴费、职工医疗保险、离休费、退休费、抚恤金、生活补助、奖励金、其他对个人和家庭补助等。</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172.29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14.39</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lang w:eastAsia="zh-CN"/>
        </w:rPr>
        <w:t>、水费、电费、取暖费、物业管理费、差旅费、维修（护）费、租赁费、会议费、培训费、公务接待费、专用材料费、劳务费、委托业务费、工会经费、其他交通费、其他商品和服务支出等。</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61.14</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24.65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遵循厉行节约的原则，进一步压缩三公经费支出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遵循</w:t>
      </w:r>
      <w:r>
        <w:rPr>
          <w:rFonts w:hint="eastAsia" w:ascii="Times New Roman" w:hAnsi="Times New Roman" w:eastAsia="仿宋_GB2312" w:cs="Times New Roman"/>
          <w:sz w:val="32"/>
          <w:szCs w:val="32"/>
        </w:rPr>
        <w:t>厉行节约的原则</w:t>
      </w:r>
      <w:r>
        <w:rPr>
          <w:rFonts w:hint="eastAsia" w:ascii="Times New Roman" w:hAnsi="Times New Roman" w:eastAsia="仿宋_GB2312" w:cs="Times New Roman"/>
          <w:sz w:val="32"/>
          <w:szCs w:val="32"/>
          <w:lang w:eastAsia="zh-CN"/>
        </w:rPr>
        <w:t>，进一步压缩三公经费</w:t>
      </w:r>
      <w:r>
        <w:rPr>
          <w:rFonts w:hint="eastAsia" w:ascii="Times New Roman" w:hAnsi="Times New Roman" w:eastAsia="仿宋_GB2312" w:cs="Times New Roman"/>
          <w:sz w:val="32"/>
          <w:szCs w:val="32"/>
        </w:rPr>
        <w:t>支出</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上年度、本年度均无此项预算和支出</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104.33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11.79</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上年度、本年度均无此项预算和支出</w:t>
      </w:r>
      <w:r>
        <w:rPr>
          <w:rFonts w:ascii="Times New Roman" w:hAnsi="Times New Roman" w:eastAsia="仿宋_GB2312" w:cs="Times New Roman"/>
          <w:color w:val="000000" w:themeColor="text1"/>
          <w:sz w:val="32"/>
          <w:szCs w:val="32"/>
          <w14:textFill>
            <w14:solidFill>
              <w14:schemeClr w14:val="tx1"/>
            </w14:solidFill>
          </w14:textFill>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3.13</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车辆</w:t>
      </w:r>
      <w:r>
        <w:rPr>
          <w:rFonts w:hint="eastAsia" w:ascii="Times New Roman" w:hAnsi="Times New Roman" w:eastAsia="仿宋_GB2312" w:cs="Times New Roman"/>
          <w:sz w:val="32"/>
          <w:szCs w:val="32"/>
        </w:rPr>
        <w:t>燃油费、保险、维修维护费、过路</w:t>
      </w:r>
      <w:r>
        <w:rPr>
          <w:rFonts w:hint="eastAsia" w:ascii="Times New Roman" w:hAnsi="Times New Roman" w:eastAsia="仿宋_GB2312" w:cs="Times New Roman"/>
          <w:sz w:val="32"/>
          <w:szCs w:val="32"/>
          <w:lang w:eastAsia="zh-CN"/>
        </w:rPr>
        <w:t>过桥</w:t>
      </w:r>
      <w:r>
        <w:rPr>
          <w:rFonts w:hint="eastAsia" w:ascii="Times New Roman" w:hAnsi="Times New Roman" w:eastAsia="仿宋_GB2312" w:cs="Times New Roman"/>
          <w:sz w:val="32"/>
          <w:szCs w:val="32"/>
        </w:rPr>
        <w:t>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104.33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0.33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11.79</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eastAsia="zh-CN"/>
        </w:rPr>
        <w:t>编制预算时依据上年度经费支出进行预测，未考虑到国家级知识产权保护中心正式运行后前往地市级开展工作频率增加等情况，导致实际支出与年初预算出现偏差</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国家级知识产权保护中心正式运行，</w:t>
      </w:r>
      <w:r>
        <w:rPr>
          <w:rFonts w:hint="eastAsia" w:ascii="Times New Roman" w:hAnsi="Times New Roman" w:eastAsia="仿宋_GB2312" w:cs="Times New Roman"/>
          <w:sz w:val="32"/>
          <w:szCs w:val="32"/>
          <w:lang w:eastAsia="zh-CN"/>
        </w:rPr>
        <w:t>前往地市级开展工作频率增加，导致该项支出较上年度小幅度上升</w:t>
      </w:r>
      <w:r>
        <w:rPr>
          <w:rFonts w:ascii="Times New Roman" w:hAnsi="Times New Roman" w:eastAsia="仿宋_GB2312" w:cs="Times New Roman"/>
          <w:sz w:val="32"/>
          <w:szCs w:val="32"/>
        </w:rPr>
        <w:t>。截</w:t>
      </w:r>
      <w:r>
        <w:rPr>
          <w:rFonts w:hint="eastAsia" w:ascii="Times New Roman" w:hAnsi="Times New Roman" w:eastAsia="仿宋_GB2312" w:cs="Times New Roman"/>
          <w:sz w:val="32"/>
          <w:szCs w:val="32"/>
          <w:lang w:eastAsia="zh-CN"/>
        </w:rPr>
        <w:t>至</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28.75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1.73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60.07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遵循厉行节约原则，进一步减少</w:t>
      </w:r>
      <w:r>
        <w:rPr>
          <w:rFonts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2023年国家级知识产权保护中心初步建成，兄弟单位之间业务交流、对接工作、调研等活动较多；2024年国家级知识产权保护中心正式运行，前往市州开展工作频率增加，所以中心2024年的公务接待费较上年度有所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113</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兄弟单位来</w:t>
      </w:r>
      <w:r>
        <w:rPr>
          <w:rFonts w:hint="eastAsia" w:ascii="Times New Roman" w:hAnsi="Times New Roman" w:eastAsia="仿宋_GB2312" w:cs="Times New Roman"/>
          <w:sz w:val="32"/>
          <w:szCs w:val="32"/>
        </w:rPr>
        <w:t>中心调研、对接工作、学习交流等公务活动</w:t>
      </w:r>
      <w:r>
        <w:rPr>
          <w:rFonts w:ascii="Times New Roman" w:hAnsi="Times New Roman" w:eastAsia="仿宋_GB2312" w:cs="Times New Roman"/>
          <w:sz w:val="32"/>
          <w:szCs w:val="32"/>
        </w:rPr>
        <w:t>发生的接待支出。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年度本单位无政府性基金收支</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本单位无</w:t>
      </w:r>
      <w:r>
        <w:rPr>
          <w:rFonts w:hint="eastAsia" w:ascii="Times New Roman" w:hAnsi="Times New Roman" w:eastAsia="仿宋_GB2312" w:cs="Times New Roman"/>
          <w:sz w:val="32"/>
          <w:szCs w:val="32"/>
        </w:rPr>
        <w:t>机关运行经费支出</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50.88</w:t>
      </w:r>
      <w:r>
        <w:rPr>
          <w:rFonts w:ascii="Times New Roman" w:hAnsi="Times New Roman" w:eastAsia="仿宋_GB2312" w:cs="Times New Roman"/>
          <w:sz w:val="32"/>
          <w:szCs w:val="32"/>
        </w:rPr>
        <w:t>万元，用于开展</w:t>
      </w:r>
      <w:r>
        <w:rPr>
          <w:rFonts w:hint="eastAsia" w:ascii="Times New Roman" w:hAnsi="Times New Roman" w:eastAsia="仿宋_GB2312"/>
          <w:sz w:val="32"/>
          <w:szCs w:val="32"/>
          <w:highlight w:val="none"/>
          <w:lang w:val="en-US" w:eastAsia="zh-CN"/>
        </w:rPr>
        <w:t>企业海外知识产权保护应对</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eastAsia="zh-CN"/>
        </w:rPr>
        <w:t>班、知识产权保护和管理培训班、湖南省专利申请预审业务培训班、专利转化对接培训班、知识产权“大篷车”、知识产权服务进高校等培训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1168</w:t>
      </w:r>
      <w:r>
        <w:rPr>
          <w:rFonts w:ascii="Times New Roman" w:hAnsi="Times New Roman" w:eastAsia="仿宋_GB2312" w:cs="Times New Roman"/>
          <w:sz w:val="32"/>
          <w:szCs w:val="32"/>
        </w:rPr>
        <w:t>人，内容为</w:t>
      </w:r>
      <w:r>
        <w:rPr>
          <w:rFonts w:hint="eastAsia" w:ascii="Times New Roman" w:hAnsi="Times New Roman" w:eastAsia="仿宋_GB2312"/>
          <w:sz w:val="32"/>
          <w:szCs w:val="32"/>
          <w:highlight w:val="none"/>
          <w:lang w:val="en-US" w:eastAsia="zh-CN"/>
        </w:rPr>
        <w:t>围绕知识</w:t>
      </w:r>
      <w:r>
        <w:rPr>
          <w:rFonts w:hint="eastAsia" w:ascii="Times New Roman" w:hAnsi="Times New Roman" w:eastAsia="仿宋_GB2312"/>
          <w:sz w:val="32"/>
          <w:szCs w:val="32"/>
          <w:lang w:val="en-US" w:eastAsia="zh-CN"/>
        </w:rPr>
        <w:t>产权相关工作开展的业务培训</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0场次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highlight w:val="none"/>
          <w:lang w:eastAsia="zh-CN"/>
        </w:rPr>
      </w:pPr>
      <w:r>
        <w:rPr>
          <w:rFonts w:ascii="Times New Roman" w:hAnsi="Times New Roman" w:eastAsia="仿宋_GB2312" w:cs="Times New Roman"/>
          <w:sz w:val="32"/>
          <w:szCs w:val="32"/>
          <w:highlight w:val="none"/>
        </w:rPr>
        <w:t>本</w:t>
      </w:r>
      <w:r>
        <w:rPr>
          <w:rFonts w:hint="eastAsia" w:ascii="Times New Roman" w:hAnsi="Times New Roman" w:eastAsia="仿宋_GB2312" w:cs="Times New Roman"/>
          <w:sz w:val="32"/>
          <w:szCs w:val="32"/>
          <w:highlight w:val="none"/>
          <w:lang w:eastAsia="zh-CN"/>
        </w:rPr>
        <w:t>单位</w:t>
      </w:r>
      <w:r>
        <w:rPr>
          <w:rFonts w:ascii="Times New Roman" w:hAnsi="Times New Roman" w:eastAsia="仿宋_GB2312" w:cs="Times New Roman"/>
          <w:sz w:val="32"/>
          <w:szCs w:val="32"/>
          <w:highlight w:val="none"/>
        </w:rPr>
        <w:t>2024年度政府采购支出总额</w:t>
      </w:r>
      <w:r>
        <w:rPr>
          <w:rFonts w:hint="eastAsia" w:ascii="Times New Roman" w:hAnsi="Times New Roman" w:eastAsia="仿宋_GB2312" w:cs="Times New Roman"/>
          <w:sz w:val="32"/>
          <w:szCs w:val="32"/>
          <w:highlight w:val="none"/>
          <w:lang w:val="en-US" w:eastAsia="zh-CN"/>
        </w:rPr>
        <w:t>579.6</w:t>
      </w:r>
      <w:r>
        <w:rPr>
          <w:rFonts w:ascii="Times New Roman" w:hAnsi="Times New Roman" w:eastAsia="仿宋_GB2312" w:cs="Times New Roman"/>
          <w:sz w:val="32"/>
          <w:szCs w:val="32"/>
          <w:highlight w:val="none"/>
        </w:rPr>
        <w:t>万元，其中：政府采购货物支出</w:t>
      </w:r>
      <w:r>
        <w:rPr>
          <w:rFonts w:hint="eastAsia" w:ascii="Times New Roman" w:hAnsi="Times New Roman" w:eastAsia="仿宋_GB2312" w:cs="Times New Roman"/>
          <w:sz w:val="32"/>
          <w:szCs w:val="32"/>
          <w:highlight w:val="none"/>
          <w:lang w:val="en-US" w:eastAsia="zh-CN"/>
        </w:rPr>
        <w:t>88.75</w:t>
      </w:r>
      <w:r>
        <w:rPr>
          <w:rFonts w:ascii="Times New Roman" w:hAnsi="Times New Roman" w:eastAsia="仿宋_GB2312" w:cs="Times New Roman"/>
          <w:sz w:val="32"/>
          <w:szCs w:val="32"/>
          <w:highlight w:val="none"/>
        </w:rPr>
        <w:t>万元、政府采购工程支出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万元、政府采购服务支出</w:t>
      </w:r>
      <w:r>
        <w:rPr>
          <w:rFonts w:hint="eastAsia" w:ascii="Times New Roman" w:hAnsi="Times New Roman" w:eastAsia="仿宋_GB2312" w:cs="Times New Roman"/>
          <w:sz w:val="32"/>
          <w:szCs w:val="32"/>
          <w:highlight w:val="none"/>
          <w:lang w:val="en-US" w:eastAsia="zh-CN"/>
        </w:rPr>
        <w:t>490.85</w:t>
      </w:r>
      <w:r>
        <w:rPr>
          <w:rFonts w:ascii="Times New Roman" w:hAnsi="Times New Roman" w:eastAsia="仿宋_GB2312" w:cs="Times New Roman"/>
          <w:sz w:val="32"/>
          <w:szCs w:val="32"/>
          <w:highlight w:val="none"/>
        </w:rPr>
        <w:t>万元。授予中小企业合同金额</w:t>
      </w:r>
      <w:r>
        <w:rPr>
          <w:rFonts w:hint="eastAsia" w:ascii="Times New Roman" w:hAnsi="Times New Roman" w:eastAsia="仿宋_GB2312" w:cs="Times New Roman"/>
          <w:sz w:val="32"/>
          <w:szCs w:val="32"/>
          <w:highlight w:val="none"/>
          <w:lang w:val="en-US" w:eastAsia="zh-CN"/>
        </w:rPr>
        <w:t>420.55</w:t>
      </w:r>
      <w:r>
        <w:rPr>
          <w:rFonts w:ascii="Times New Roman" w:hAnsi="Times New Roman" w:eastAsia="仿宋_GB2312" w:cs="Times New Roman"/>
          <w:sz w:val="32"/>
          <w:szCs w:val="32"/>
          <w:highlight w:val="none"/>
        </w:rPr>
        <w:t>万元，占政府采购支出总额的</w:t>
      </w:r>
      <w:r>
        <w:rPr>
          <w:rFonts w:hint="eastAsia" w:ascii="Times New Roman" w:hAnsi="Times New Roman" w:eastAsia="仿宋_GB2312" w:cs="Times New Roman"/>
          <w:sz w:val="32"/>
          <w:szCs w:val="32"/>
          <w:highlight w:val="none"/>
          <w:lang w:val="en-US" w:eastAsia="zh-CN"/>
        </w:rPr>
        <w:t>72.56</w:t>
      </w:r>
      <w:r>
        <w:rPr>
          <w:rFonts w:ascii="Times New Roman" w:hAnsi="Times New Roman" w:eastAsia="仿宋_GB2312" w:cs="Times New Roman"/>
          <w:sz w:val="32"/>
          <w:szCs w:val="32"/>
          <w:highlight w:val="none"/>
        </w:rPr>
        <w:t>%，其中：授予小微企业合同金额</w:t>
      </w:r>
      <w:r>
        <w:rPr>
          <w:rFonts w:hint="eastAsia" w:ascii="Times New Roman" w:hAnsi="Times New Roman" w:eastAsia="仿宋_GB2312" w:cs="Times New Roman"/>
          <w:sz w:val="32"/>
          <w:szCs w:val="32"/>
          <w:highlight w:val="none"/>
          <w:lang w:val="en-US" w:eastAsia="zh-CN"/>
        </w:rPr>
        <w:t>355.79</w:t>
      </w:r>
      <w:r>
        <w:rPr>
          <w:rFonts w:ascii="Times New Roman" w:hAnsi="Times New Roman" w:eastAsia="仿宋_GB2312" w:cs="Times New Roman"/>
          <w:sz w:val="32"/>
          <w:szCs w:val="32"/>
          <w:highlight w:val="none"/>
        </w:rPr>
        <w:t>万元，</w:t>
      </w:r>
      <w:r>
        <w:rPr>
          <w:rFonts w:ascii="Times New Roman" w:hAnsi="Times New Roman" w:eastAsia="仿宋_GB2312" w:cs="Times New Roman"/>
          <w:color w:val="auto"/>
          <w:sz w:val="32"/>
          <w:szCs w:val="32"/>
          <w:highlight w:val="none"/>
        </w:rPr>
        <w:t>占授予中小企业合同金额的</w:t>
      </w:r>
      <w:r>
        <w:rPr>
          <w:rFonts w:hint="eastAsia" w:ascii="Times New Roman" w:hAnsi="Times New Roman" w:eastAsia="仿宋_GB2312" w:cs="Times New Roman"/>
          <w:color w:val="auto"/>
          <w:sz w:val="32"/>
          <w:szCs w:val="32"/>
          <w:highlight w:val="none"/>
          <w:lang w:val="en-US" w:eastAsia="zh-CN"/>
        </w:rPr>
        <w:t>84.6</w:t>
      </w:r>
      <w:r>
        <w:rPr>
          <w:rFonts w:ascii="Times New Roman" w:hAnsi="Times New Roman" w:eastAsia="仿宋_GB2312" w:cs="Times New Roman"/>
          <w:color w:val="auto"/>
          <w:sz w:val="32"/>
          <w:szCs w:val="32"/>
          <w:highlight w:val="none"/>
        </w:rPr>
        <w:t>%。货物采购授予中小企业合同金额占货物支出金额的</w:t>
      </w:r>
      <w:r>
        <w:rPr>
          <w:rFonts w:hint="eastAsia" w:ascii="Times New Roman" w:hAnsi="Times New Roman" w:eastAsia="仿宋_GB2312" w:cs="Times New Roman"/>
          <w:color w:val="auto"/>
          <w:sz w:val="32"/>
          <w:szCs w:val="32"/>
          <w:highlight w:val="none"/>
          <w:lang w:val="en-US" w:eastAsia="zh-CN"/>
        </w:rPr>
        <w:t>53.42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工程采购授予中小企业合同金额占工程支出金额的百分比无法计算，原因是政府采购工程支出金额为0万元</w:t>
      </w:r>
      <w:r>
        <w:rPr>
          <w:rFonts w:ascii="Times New Roman" w:hAnsi="Times New Roman" w:eastAsia="仿宋_GB2312" w:cs="Times New Roman"/>
          <w:color w:val="auto"/>
          <w:sz w:val="32"/>
          <w:szCs w:val="32"/>
          <w:highlight w:val="none"/>
        </w:rPr>
        <w:t>，服务采购授予中小企业合同金额占服务支出金额的</w:t>
      </w:r>
      <w:r>
        <w:rPr>
          <w:rFonts w:hint="eastAsia" w:ascii="Times New Roman" w:hAnsi="Times New Roman" w:eastAsia="仿宋_GB2312" w:cs="Times New Roman"/>
          <w:color w:val="auto"/>
          <w:sz w:val="32"/>
          <w:szCs w:val="32"/>
          <w:highlight w:val="none"/>
          <w:lang w:val="en-US" w:eastAsia="zh-CN"/>
        </w:rPr>
        <w:t>76.02</w:t>
      </w:r>
      <w:r>
        <w:rPr>
          <w:rFonts w:ascii="Times New Roman" w:hAnsi="Times New Roman" w:eastAsia="仿宋_GB2312" w:cs="Times New Roman"/>
          <w:color w:val="auto"/>
          <w:sz w:val="32"/>
          <w:szCs w:val="32"/>
          <w:highlight w:val="none"/>
        </w:rPr>
        <w:t>%。</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业务用车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535.07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535.07</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2398.16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1985.24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82.78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8.3</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良好</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帮助创新主体缩短专利申请审查周期、提高专利申请质量，形成并培育高价值专利，守好知识产权全链条保护“第一关”，实现对先进制造和新材料产业的协调联动保护，推动知识产权与我省优势产业结合，助力产业发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加强专利预审制度建设和预审人员能力提升，严格把控专利快速预审案件的质量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提升创新主体的专利快速预审服务的知晓度，浓厚尊重知识、崇尚创新、诚信守法、公平竞争的知识产权文化理念</w:t>
      </w: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rPr>
        <w:t>为行政/司法部门、电商平台、企业组织、社会公众等，组织提供知识产权侵权判定意见书、维权援助意见书、专家咨询意见书及各类知识产权分析报告等</w:t>
      </w:r>
      <w:r>
        <w:rPr>
          <w:rFonts w:hint="eastAsia" w:ascii="Times New Roman" w:hAnsi="Times New Roman" w:eastAsia="仿宋_GB2312" w:cs="Times New Roman"/>
          <w:sz w:val="32"/>
          <w:szCs w:val="32"/>
          <w:lang w:val="en-US" w:eastAsia="zh-CN"/>
        </w:rPr>
        <w:t>120余</w:t>
      </w:r>
      <w:r>
        <w:rPr>
          <w:rFonts w:hint="eastAsia" w:ascii="Times New Roman" w:hAnsi="Times New Roman" w:eastAsia="仿宋_GB2312" w:cs="Times New Roman"/>
          <w:sz w:val="32"/>
          <w:szCs w:val="32"/>
        </w:rPr>
        <w:t>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四是提供其他知识产权公益服务，开展了维权援助专项活动、开展公益培训、面向社会组织提供知识产权纠纷仲裁调解等服务</w:t>
      </w:r>
      <w:r>
        <w:rPr>
          <w:rFonts w:hint="eastAsia" w:ascii="Times New Roman" w:hAnsi="Times New Roman" w:eastAsia="仿宋_GB2312" w:cs="Times New Roman"/>
          <w:sz w:val="32"/>
          <w:szCs w:val="32"/>
          <w:lang w:val="en-US" w:eastAsia="zh-CN"/>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通过开展2024年整体支出绩效评价工作，我</w:t>
      </w:r>
      <w:r>
        <w:rPr>
          <w:rFonts w:hint="eastAsia" w:ascii="Times New Roman" w:hAnsi="Times New Roman" w:eastAsia="仿宋_GB2312" w:cs="Times New Roman"/>
          <w:color w:val="auto"/>
          <w:sz w:val="32"/>
          <w:szCs w:val="32"/>
          <w:lang w:eastAsia="zh-CN"/>
        </w:rPr>
        <w:t>单位</w:t>
      </w:r>
      <w:r>
        <w:rPr>
          <w:rFonts w:hint="eastAsia" w:ascii="Times New Roman" w:hAnsi="Times New Roman" w:eastAsia="仿宋_GB2312" w:cs="Times New Roman"/>
          <w:color w:val="auto"/>
          <w:sz w:val="32"/>
          <w:szCs w:val="32"/>
        </w:rPr>
        <w:t>更好地推进</w:t>
      </w:r>
      <w:r>
        <w:rPr>
          <w:rFonts w:hint="eastAsia" w:ascii="Times New Roman" w:hAnsi="Times New Roman" w:eastAsia="仿宋_GB2312" w:cs="Times New Roman"/>
          <w:color w:val="auto"/>
          <w:sz w:val="32"/>
          <w:szCs w:val="32"/>
          <w:lang w:eastAsia="zh-CN"/>
        </w:rPr>
        <w:t>知识产权相关</w:t>
      </w:r>
      <w:r>
        <w:rPr>
          <w:rFonts w:hint="eastAsia" w:ascii="Times New Roman" w:hAnsi="Times New Roman" w:eastAsia="仿宋_GB2312" w:cs="Times New Roman"/>
          <w:color w:val="auto"/>
          <w:sz w:val="32"/>
          <w:szCs w:val="32"/>
        </w:rPr>
        <w:t>工作，高效使用预算资金。预算安排上，强化结果导向，优先保障和优化评价优良项目的预算，对评价结果一般的项目从严从紧安排，对低效无效支出原则上不予安排或大幅压减。支出结构上，大力调整优化，将评价反映出的资金沉淀和低效领域压减的经费，集中投向</w:t>
      </w:r>
      <w:r>
        <w:rPr>
          <w:rFonts w:hint="eastAsia" w:ascii="Times New Roman" w:hAnsi="Times New Roman" w:eastAsia="仿宋_GB2312" w:cs="Times New Roman"/>
          <w:color w:val="auto"/>
          <w:sz w:val="32"/>
          <w:szCs w:val="32"/>
          <w:lang w:eastAsia="zh-CN"/>
        </w:rPr>
        <w:t>重点领域</w:t>
      </w:r>
      <w:r>
        <w:rPr>
          <w:rFonts w:hint="eastAsia" w:ascii="Times New Roman" w:hAnsi="Times New Roman" w:eastAsia="仿宋_GB2312" w:cs="Times New Roman"/>
          <w:color w:val="auto"/>
          <w:sz w:val="32"/>
          <w:szCs w:val="32"/>
        </w:rPr>
        <w:t>。资金管理上，将评价结果作为改进管理的重要依据，针对评价暴露出的薄弱环节，完善项目资金分配、使用、监管全流程机制，切实提升资金使用效益和执行效率。制度建设上，健全绩效评价结果与预算安排和政策调整的实质性挂钩机制，完善内部绩效管理制度，强化绩效责任约束，推动形成“评管结合、以评促优”的长效管理机制。</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spacing w:line="360" w:lineRule="auto"/>
        <w:jc w:val="both"/>
        <w:rPr>
          <w:rFonts w:ascii="Times New Roman" w:hAnsi="Times New Roman" w:eastAsia="方正小标宋_GBK" w:cs="Times New Roman"/>
          <w:sz w:val="52"/>
          <w:szCs w:val="52"/>
        </w:rPr>
      </w:pPr>
    </w:p>
    <w:p>
      <w:pPr>
        <w:pStyle w:val="12"/>
        <w:spacing w:line="360" w:lineRule="auto"/>
        <w:jc w:val="both"/>
        <w:rPr>
          <w:rFonts w:ascii="Times New Roman" w:hAnsi="Times New Roman" w:eastAsia="方正小标宋_GBK" w:cs="Times New Roman"/>
          <w:sz w:val="52"/>
          <w:szCs w:val="52"/>
        </w:rPr>
      </w:pPr>
    </w:p>
    <w:p>
      <w:pPr>
        <w:pStyle w:val="12"/>
        <w:spacing w:line="360" w:lineRule="auto"/>
        <w:jc w:val="both"/>
        <w:rPr>
          <w:rFonts w:ascii="Times New Roman" w:hAnsi="Times New Roman" w:eastAsia="方正小标宋_GBK" w:cs="Times New Roman"/>
          <w:sz w:val="52"/>
          <w:szCs w:val="52"/>
        </w:rPr>
      </w:pPr>
    </w:p>
    <w:p>
      <w:pPr>
        <w:pStyle w:val="12"/>
        <w:spacing w:line="360" w:lineRule="auto"/>
        <w:jc w:val="both"/>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cs="Times New Roman"/>
          <w:color w:val="000000"/>
          <w:kern w:val="0"/>
          <w:sz w:val="32"/>
          <w:szCs w:val="32"/>
        </w:rPr>
      </w:pPr>
      <w:r>
        <w:rPr>
          <w:rFonts w:ascii="Times New Roman" w:hAnsi="Times New Roman" w:eastAsia="方正小标宋_GBK" w:cs="Times New Roman"/>
          <w:sz w:val="52"/>
          <w:szCs w:val="52"/>
        </w:rPr>
        <w:t>第四部分    名词解释</w:t>
      </w:r>
    </w:p>
    <w:p>
      <w:pPr>
        <w:pStyle w:val="12"/>
        <w:spacing w:line="600" w:lineRule="exact"/>
        <w:ind w:firstLine="640" w:firstLineChars="200"/>
        <w:jc w:val="both"/>
        <w:rPr>
          <w:rFonts w:hint="eastAsia" w:ascii="Times New Roman" w:hAnsi="Times New Roman" w:eastAsia="仿宋_GB2312" w:cs="Times New Roman"/>
          <w:color w:val="000000"/>
          <w:kern w:val="0"/>
          <w:sz w:val="32"/>
          <w:szCs w:val="32"/>
        </w:rPr>
      </w:pPr>
    </w:p>
    <w:p>
      <w:pPr>
        <w:pStyle w:val="12"/>
        <w:spacing w:line="600" w:lineRule="exact"/>
        <w:ind w:firstLine="640" w:firstLineChars="200"/>
        <w:jc w:val="both"/>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rPr>
        <w:t>一、财政预算拨款收入</w:t>
      </w:r>
      <w:r>
        <w:rPr>
          <w:rFonts w:hint="eastAsia" w:ascii="Times New Roman" w:hAnsi="Times New Roman" w:eastAsia="仿宋_GB2312" w:cs="Times New Roman"/>
          <w:color w:val="000000"/>
          <w:kern w:val="0"/>
          <w:sz w:val="32"/>
          <w:szCs w:val="32"/>
          <w:lang w:eastAsia="zh-CN"/>
        </w:rPr>
        <w:t>：指</w:t>
      </w:r>
      <w:r>
        <w:rPr>
          <w:rFonts w:hint="eastAsia" w:ascii="Times New Roman" w:hAnsi="Times New Roman" w:eastAsia="仿宋_GB2312" w:cs="Times New Roman"/>
          <w:color w:val="000000"/>
          <w:kern w:val="0"/>
          <w:sz w:val="32"/>
          <w:szCs w:val="32"/>
        </w:rPr>
        <w:t>财政部门核拨给行政单位及预算单位的财政预算资金</w:t>
      </w:r>
      <w:r>
        <w:rPr>
          <w:rFonts w:hint="eastAsia" w:ascii="Times New Roman" w:hAnsi="Times New Roman" w:eastAsia="仿宋_GB2312" w:cs="Times New Roman"/>
          <w:color w:val="000000"/>
          <w:kern w:val="0"/>
          <w:sz w:val="32"/>
          <w:szCs w:val="32"/>
          <w:lang w:eastAsia="zh-CN"/>
        </w:rPr>
        <w:t>。</w:t>
      </w:r>
    </w:p>
    <w:p>
      <w:pPr>
        <w:pStyle w:val="12"/>
        <w:spacing w:line="600" w:lineRule="exact"/>
        <w:ind w:firstLine="640" w:firstLineChars="200"/>
        <w:jc w:val="both"/>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二、</w:t>
      </w:r>
      <w:r>
        <w:rPr>
          <w:rFonts w:hint="eastAsia" w:ascii="Times New Roman" w:hAnsi="Times New Roman" w:eastAsia="仿宋_GB2312" w:cs="Times New Roman"/>
          <w:color w:val="000000"/>
          <w:kern w:val="0"/>
          <w:sz w:val="32"/>
          <w:szCs w:val="32"/>
        </w:rPr>
        <w:t>上级补助收入：指从主管部门和上级单位取得的非财政补助收入。</w:t>
      </w:r>
    </w:p>
    <w:p>
      <w:pPr>
        <w:pStyle w:val="12"/>
        <w:spacing w:line="600" w:lineRule="exact"/>
        <w:ind w:firstLine="640" w:firstLineChars="200"/>
        <w:jc w:val="both"/>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三、事业收入：指事业单位开展专业业务活动及其辅助活动取得的收入。</w:t>
      </w:r>
    </w:p>
    <w:p>
      <w:pPr>
        <w:pStyle w:val="12"/>
        <w:spacing w:line="600" w:lineRule="exact"/>
        <w:ind w:firstLine="640" w:firstLineChars="200"/>
        <w:jc w:val="both"/>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四、年初结转和结余：指以前年度尚未完成、结转到本年仍按原规定用途继续使用的资金，或项目已完成等产生的结余资金。</w:t>
      </w:r>
    </w:p>
    <w:p>
      <w:pPr>
        <w:pStyle w:val="12"/>
        <w:spacing w:line="600" w:lineRule="exact"/>
        <w:ind w:firstLine="640" w:firstLineChars="200"/>
        <w:jc w:val="both"/>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五、</w:t>
      </w:r>
      <w:r>
        <w:rPr>
          <w:rFonts w:hint="eastAsia" w:ascii="Times New Roman" w:hAnsi="Times New Roman" w:eastAsia="仿宋_GB2312" w:cs="Times New Roman"/>
          <w:color w:val="000000"/>
          <w:kern w:val="0"/>
          <w:sz w:val="32"/>
          <w:szCs w:val="32"/>
        </w:rPr>
        <w:t>基本支出：指</w:t>
      </w:r>
      <w:r>
        <w:rPr>
          <w:rFonts w:hint="eastAsia" w:ascii="Times New Roman" w:hAnsi="Times New Roman" w:eastAsia="仿宋_GB2312" w:cs="Times New Roman"/>
          <w:color w:val="000000"/>
          <w:kern w:val="0"/>
          <w:sz w:val="32"/>
          <w:szCs w:val="32"/>
          <w:lang w:eastAsia="zh-CN"/>
        </w:rPr>
        <w:t>单位</w:t>
      </w:r>
      <w:r>
        <w:rPr>
          <w:rFonts w:hint="eastAsia" w:ascii="Times New Roman" w:hAnsi="Times New Roman" w:eastAsia="仿宋_GB2312" w:cs="Times New Roman"/>
          <w:color w:val="000000"/>
          <w:kern w:val="0"/>
          <w:sz w:val="32"/>
          <w:szCs w:val="32"/>
        </w:rPr>
        <w:t>为保障机构正常运转、完成日常工作任务而发生的各项支出，包括人员支出和公用支出。  </w:t>
      </w:r>
    </w:p>
    <w:p>
      <w:pPr>
        <w:pStyle w:val="12"/>
        <w:spacing w:line="600" w:lineRule="exact"/>
        <w:ind w:firstLine="640" w:firstLineChars="200"/>
        <w:jc w:val="both"/>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六</w:t>
      </w:r>
      <w:r>
        <w:rPr>
          <w:rFonts w:hint="eastAsia" w:ascii="Times New Roman" w:hAnsi="Times New Roman" w:eastAsia="仿宋_GB2312" w:cs="Times New Roman"/>
          <w:color w:val="000000"/>
          <w:kern w:val="0"/>
          <w:sz w:val="32"/>
          <w:szCs w:val="32"/>
        </w:rPr>
        <w:t>、项目支出：指在基本支出以外为完成相关行政任务和事业发展目标所发生的各项支出。</w:t>
      </w:r>
    </w:p>
    <w:p>
      <w:pPr>
        <w:pStyle w:val="12"/>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color w:val="000000"/>
          <w:kern w:val="0"/>
          <w:sz w:val="32"/>
          <w:szCs w:val="32"/>
          <w:lang w:eastAsia="zh-CN"/>
        </w:rPr>
        <w:t>七</w:t>
      </w:r>
      <w:r>
        <w:rPr>
          <w:rFonts w:hint="eastAsia" w:ascii="Times New Roman" w:hAnsi="Times New Roman" w:eastAsia="仿宋_GB2312" w:cs="Times New Roman"/>
          <w:color w:val="000000"/>
          <w:kern w:val="0"/>
          <w:sz w:val="32"/>
          <w:szCs w:val="32"/>
        </w:rPr>
        <w:t>、“三公”经费：指通过财政拨款资金安排的因公出国（境）费、公务用车购置及运行费和公务接待费支出。其中：因公出国（境）费指单位工作人员公务出国（境）的往返机票费、住宿费、伙食费、培训费等支出；公务用车购置及运行费指单位购置公务用车支出及公务用车使用过程中发生的租用费、燃料费、维修费、过路过桥费、保险费等支出；公务接待费指单位按规定开支的各类公务接待（含外宾接待）支出。</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color w:val="000000"/>
          <w:kern w:val="0"/>
          <w:sz w:val="32"/>
          <w:szCs w:val="32"/>
          <w:lang w:eastAsia="zh-CN"/>
        </w:rPr>
        <w:t>八、一般公共</w:t>
      </w:r>
      <w:r>
        <w:rPr>
          <w:rFonts w:hint="eastAsia" w:ascii="仿宋_GB2312" w:hAnsi="仿宋_GB2312" w:eastAsia="仿宋_GB2312" w:cs="仿宋_GB2312"/>
          <w:sz w:val="32"/>
          <w:szCs w:val="32"/>
        </w:rPr>
        <w:t>服务（类）知识产权事务（款）知识产权战略和规划（项）</w:t>
      </w:r>
      <w:r>
        <w:rPr>
          <w:rFonts w:hint="eastAsia" w:ascii="仿宋_GB2312" w:hAnsi="仿宋_GB2312" w:eastAsia="仿宋_GB2312" w:cs="仿宋_GB2312"/>
          <w:sz w:val="32"/>
          <w:szCs w:val="32"/>
          <w:lang w:eastAsia="zh-CN"/>
        </w:rPr>
        <w:t>：反映知识产权战略和规划的制定、实施、评估和统计监测等方面的支出。</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九、一般公共服务支出（类）市场监督管理事务（款）事业运行（项）：反映事业单位的基本支出，不包括行政单位（包括实行公务员管理的事业单位）后勤服务中心、医务室等附属事业单位。</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十、教育支出（类)进修及培训（款）培训支出（项）：反映各部门安排的用于培训的支出。教育部门的师资培训，党校、行政学院等专业干部教育机构的支出，以及退役士兵、转业士官的培训支出，不在科目反映。</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十一、社会保障和就业支出（类）行政事业单位养老支出（款）机关事业单位基本养老保险缴费支出（项）：反映机关事业单位实施养老保险制度由单位缴纳的基本养老保险费支出。</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十二、住房保障支出（类）住房改革支出（款）住房公积金（项）：反映行政事业单位按人力资源和社会保障部、财政部规定的基本工资和津贴补贴以及规定比例为职工缴纳的住房公积金。</w:t>
      </w: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p>
    <w:p>
      <w:pPr>
        <w:pStyle w:val="1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p>
    <w:p>
      <w:pPr>
        <w:pStyle w:val="12"/>
        <w:spacing w:line="360" w:lineRule="auto"/>
        <w:jc w:val="center"/>
        <w:rPr>
          <w:rFonts w:ascii="Times New Roman" w:hAnsi="Times New Roman" w:eastAsia="方正小标宋_GBK" w:cs="Times New Roman"/>
          <w:sz w:val="52"/>
          <w:szCs w:val="5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2024年度单位整体支出绩效自评报告。</w:t>
      </w:r>
    </w:p>
    <w:p>
      <w:pPr>
        <w:pStyle w:val="12"/>
        <w:spacing w:line="600" w:lineRule="exact"/>
        <w:ind w:firstLine="640" w:firstLineChars="200"/>
        <w:rPr>
          <w:rFonts w:ascii="Times New Roman" w:hAnsi="Times New Roman" w:eastAsia="仿宋_GB2312" w:cs="Times New Roman"/>
          <w:sz w:val="32"/>
          <w:szCs w:val="32"/>
        </w:rPr>
      </w:pPr>
    </w:p>
    <w:p>
      <w:pPr>
        <w:jc w:val="left"/>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pStyle w:val="3"/>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pStyle w:val="3"/>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pStyle w:val="3"/>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pStyle w:val="2"/>
        <w:rPr>
          <w:rFonts w:ascii="Times New Roman" w:hAnsi="Times New Roman" w:cs="Times New Roman"/>
          <w:color w:val="000000"/>
          <w:kern w:val="0"/>
          <w:sz w:val="32"/>
          <w:szCs w:val="32"/>
        </w:rPr>
      </w:pPr>
    </w:p>
    <w:p>
      <w:pPr>
        <w:pStyle w:val="3"/>
        <w:rPr>
          <w:rFonts w:ascii="Times New Roman" w:hAnsi="Times New Roman" w:cs="Times New Roman"/>
          <w:color w:val="000000"/>
          <w:kern w:val="0"/>
          <w:sz w:val="32"/>
          <w:szCs w:val="32"/>
        </w:rPr>
      </w:pPr>
    </w:p>
    <w:p>
      <w:pPr>
        <w:rPr>
          <w:rFonts w:ascii="Times New Roman" w:hAnsi="Times New Roman" w:cs="Times New Roman"/>
          <w:color w:val="000000"/>
          <w:kern w:val="0"/>
          <w:sz w:val="32"/>
          <w:szCs w:val="32"/>
        </w:rPr>
      </w:pPr>
    </w:p>
    <w:p>
      <w:pPr>
        <w:widowControl/>
        <w:kinsoku w:val="0"/>
        <w:autoSpaceDE/>
        <w:autoSpaceDN/>
        <w:adjustRightInd w:val="0"/>
        <w:snapToGrid w:val="0"/>
        <w:spacing w:line="625" w:lineRule="exact"/>
        <w:ind w:firstLine="0" w:firstLineChars="0"/>
        <w:jc w:val="both"/>
        <w:textAlignment w:val="baseline"/>
        <w:rPr>
          <w:rFonts w:hint="eastAsia" w:ascii="Times New Roman" w:hAnsi="Times New Roman" w:eastAsia="方正小标宋_GBK" w:cs="Times New Roman"/>
          <w:snapToGrid w:val="0"/>
          <w:color w:val="auto"/>
          <w:kern w:val="0"/>
          <w:sz w:val="44"/>
          <w:szCs w:val="44"/>
          <w:lang w:eastAsia="zh-CN"/>
        </w:rPr>
      </w:pPr>
    </w:p>
    <w:p>
      <w:pPr>
        <w:widowControl/>
        <w:kinsoku w:val="0"/>
        <w:autoSpaceDE/>
        <w:autoSpaceDN/>
        <w:adjustRightInd w:val="0"/>
        <w:snapToGrid w:val="0"/>
        <w:spacing w:line="625" w:lineRule="exact"/>
        <w:ind w:firstLine="0" w:firstLineChars="0"/>
        <w:jc w:val="center"/>
        <w:textAlignment w:val="baseline"/>
        <w:rPr>
          <w:rFonts w:ascii="Times New Roman" w:hAnsi="Times New Roman" w:eastAsia="方正小标宋_GBK" w:cs="Times New Roman"/>
          <w:snapToGrid w:val="0"/>
          <w:color w:val="auto"/>
          <w:kern w:val="0"/>
          <w:sz w:val="44"/>
          <w:szCs w:val="44"/>
        </w:rPr>
      </w:pPr>
      <w:r>
        <w:rPr>
          <w:rFonts w:hint="eastAsia" w:ascii="Times New Roman" w:hAnsi="Times New Roman" w:eastAsia="方正小标宋_GBK" w:cs="Times New Roman"/>
          <w:snapToGrid w:val="0"/>
          <w:color w:val="auto"/>
          <w:kern w:val="0"/>
          <w:sz w:val="44"/>
          <w:szCs w:val="44"/>
          <w:lang w:eastAsia="zh-CN"/>
        </w:rPr>
        <w:t>2024</w:t>
      </w:r>
      <w:r>
        <w:rPr>
          <w:rFonts w:ascii="Times New Roman" w:hAnsi="Times New Roman" w:eastAsia="方正小标宋_GBK" w:cs="Times New Roman"/>
          <w:snapToGrid w:val="0"/>
          <w:color w:val="auto"/>
          <w:kern w:val="0"/>
          <w:sz w:val="44"/>
          <w:szCs w:val="44"/>
        </w:rPr>
        <w:t>年度</w:t>
      </w:r>
      <w:r>
        <w:rPr>
          <w:rFonts w:hint="eastAsia" w:ascii="Times New Roman" w:hAnsi="Times New Roman" w:eastAsia="方正小标宋_GBK" w:cs="Times New Roman"/>
          <w:snapToGrid w:val="0"/>
          <w:color w:val="auto"/>
          <w:kern w:val="0"/>
          <w:sz w:val="44"/>
          <w:szCs w:val="44"/>
          <w:lang w:eastAsia="zh-CN"/>
        </w:rPr>
        <w:t>湖南省知识产权中心单位</w:t>
      </w:r>
      <w:r>
        <w:rPr>
          <w:rFonts w:ascii="Times New Roman" w:hAnsi="Times New Roman" w:eastAsia="方正小标宋_GBK" w:cs="Times New Roman"/>
          <w:snapToGrid w:val="0"/>
          <w:color w:val="auto"/>
          <w:kern w:val="0"/>
          <w:sz w:val="44"/>
          <w:szCs w:val="44"/>
        </w:rPr>
        <w:t>整体支出绩效自评报告</w:t>
      </w:r>
    </w:p>
    <w:p>
      <w:pPr>
        <w:keepNext w:val="0"/>
        <w:keepLines w:val="0"/>
        <w:pageBreakBefore w:val="0"/>
        <w:wordWrap/>
        <w:overflowPunct/>
        <w:autoSpaceDE/>
        <w:autoSpaceDN/>
        <w:bidi w:val="0"/>
        <w:spacing w:line="625" w:lineRule="exact"/>
        <w:ind w:firstLine="0" w:firstLineChars="0"/>
        <w:jc w:val="both"/>
        <w:rPr>
          <w:rFonts w:hint="eastAsia" w:ascii="Times New Roman" w:hAnsi="Times New Roman" w:eastAsia="仿宋_GB2312" w:cs="Times New Roman"/>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0"/>
        <w:rPr>
          <w:rFonts w:hint="eastAsia" w:ascii="Times New Roman" w:hAnsi="Times New Roman" w:eastAsia="黑体" w:cs="Times New Roman"/>
          <w:snapToGrid w:val="0"/>
          <w:color w:val="000000"/>
          <w:kern w:val="44"/>
          <w:sz w:val="32"/>
          <w:szCs w:val="21"/>
          <w:lang w:val="en-US" w:eastAsia="zh-CN" w:bidi="ar-SA"/>
        </w:rPr>
      </w:pPr>
      <w:r>
        <w:rPr>
          <w:rFonts w:hint="eastAsia" w:ascii="Times New Roman" w:hAnsi="Times New Roman" w:eastAsia="黑体" w:cs="Times New Roman"/>
          <w:snapToGrid w:val="0"/>
          <w:color w:val="000000"/>
          <w:kern w:val="44"/>
          <w:sz w:val="32"/>
          <w:szCs w:val="21"/>
          <w:lang w:val="en-US" w:eastAsia="zh-CN" w:bidi="ar-SA"/>
        </w:rPr>
        <w:t>单位基本情况</w:t>
      </w:r>
    </w:p>
    <w:p>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firstLine="640" w:firstLineChars="200"/>
        <w:jc w:val="both"/>
        <w:textAlignment w:val="auto"/>
        <w:rPr>
          <w:rFonts w:hint="eastAsia" w:ascii="楷体" w:hAnsi="楷体" w:eastAsia="楷体" w:cs="楷体"/>
          <w:b/>
          <w:bCs/>
          <w:snapToGrid/>
          <w:kern w:val="2"/>
          <w:sz w:val="32"/>
          <w:szCs w:val="32"/>
          <w:lang w:eastAsia="zh-CN"/>
        </w:rPr>
      </w:pPr>
      <w:r>
        <w:rPr>
          <w:rFonts w:hint="eastAsia" w:ascii="楷体" w:hAnsi="楷体" w:eastAsia="楷体" w:cs="楷体"/>
          <w:b/>
          <w:bCs/>
          <w:snapToGrid/>
          <w:kern w:val="2"/>
          <w:sz w:val="32"/>
          <w:szCs w:val="32"/>
          <w:lang w:eastAsia="zh-CN"/>
        </w:rPr>
        <w:t>职能职责</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湖南省知识产权保护中心（以下简称中心）为湖南省市场监督管理局管理的公益一类事业单位，正处级，主要职责是：</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val="en-US" w:eastAsia="zh-CN"/>
        </w:rPr>
        <w:t>1.</w:t>
      </w:r>
      <w:r>
        <w:rPr>
          <w:rFonts w:hint="eastAsia" w:ascii="Times New Roman" w:hAnsi="Times New Roman" w:eastAsia="仿宋_GB2312" w:cs="Times New Roman"/>
          <w:snapToGrid/>
          <w:kern w:val="2"/>
          <w:sz w:val="32"/>
          <w:szCs w:val="32"/>
        </w:rPr>
        <w:t>承担全省先进制造和新材料产业等技术领域专利申请快速审查、快速确权、快速维权工作</w:t>
      </w:r>
      <w:r>
        <w:rPr>
          <w:rFonts w:hint="eastAsia" w:ascii="Times New Roman" w:hAnsi="Times New Roman" w:eastAsia="仿宋_GB2312" w:cs="Times New Roman"/>
          <w:snapToGrid/>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val="en-US" w:eastAsia="zh-CN"/>
        </w:rPr>
        <w:t>2.</w:t>
      </w:r>
      <w:r>
        <w:rPr>
          <w:rFonts w:hint="eastAsia" w:ascii="Times New Roman" w:hAnsi="Times New Roman" w:eastAsia="仿宋_GB2312" w:cs="Times New Roman"/>
          <w:snapToGrid/>
          <w:kern w:val="2"/>
          <w:sz w:val="32"/>
          <w:szCs w:val="32"/>
        </w:rPr>
        <w:t>承担全省知识产权公共服务体系技术指导支持工作；提供知识产权快速协同保护技术支持；开展专利导航，知识产权转化运营、维权援助、鉴定评估等公益性工作。</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val="en-US" w:eastAsia="zh-CN"/>
        </w:rPr>
        <w:t>3.</w:t>
      </w:r>
      <w:r>
        <w:rPr>
          <w:rFonts w:hint="eastAsia" w:ascii="Times New Roman" w:hAnsi="Times New Roman" w:eastAsia="仿宋_GB2312" w:cs="Times New Roman"/>
          <w:snapToGrid/>
          <w:kern w:val="2"/>
          <w:sz w:val="32"/>
          <w:szCs w:val="32"/>
        </w:rPr>
        <w:t>协助省市场监督管理局开展知识产权保护、促进、运用工作，为相关工作提供技术支撑。</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val="en-US" w:eastAsia="zh-CN"/>
        </w:rPr>
        <w:t>4.</w:t>
      </w:r>
      <w:r>
        <w:rPr>
          <w:rFonts w:hint="eastAsia" w:ascii="Times New Roman" w:hAnsi="Times New Roman" w:eastAsia="仿宋_GB2312" w:cs="Times New Roman"/>
          <w:snapToGrid/>
          <w:kern w:val="2"/>
          <w:sz w:val="32"/>
          <w:szCs w:val="32"/>
        </w:rPr>
        <w:t>完成国家知识产权局和省市场监督管理局交办的其他任务。</w:t>
      </w:r>
    </w:p>
    <w:p>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楷体" w:hAnsi="楷体" w:eastAsia="楷体" w:cs="楷体"/>
          <w:b/>
          <w:bCs/>
          <w:snapToGrid/>
          <w:kern w:val="2"/>
          <w:sz w:val="32"/>
          <w:szCs w:val="32"/>
          <w:lang w:val="en-US" w:eastAsia="zh-CN"/>
        </w:rPr>
      </w:pPr>
      <w:r>
        <w:rPr>
          <w:rFonts w:hint="eastAsia" w:ascii="楷体" w:hAnsi="楷体" w:eastAsia="楷体" w:cs="楷体"/>
          <w:b/>
          <w:bCs/>
          <w:snapToGrid/>
          <w:kern w:val="2"/>
          <w:sz w:val="32"/>
          <w:szCs w:val="32"/>
          <w:lang w:val="en-US" w:eastAsia="zh-CN"/>
        </w:rPr>
        <w:t>机构设置</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Times New Roman"/>
          <w:snapToGrid/>
          <w:kern w:val="2"/>
          <w:sz w:val="32"/>
          <w:szCs w:val="32"/>
        </w:rPr>
      </w:pPr>
      <w:r>
        <w:rPr>
          <w:rFonts w:hint="eastAsia" w:ascii="Times New Roman" w:hAnsi="Times New Roman" w:eastAsia="仿宋_GB2312" w:cs="Times New Roman"/>
          <w:snapToGrid/>
          <w:kern w:val="2"/>
          <w:sz w:val="32"/>
          <w:szCs w:val="32"/>
          <w:lang w:val="en-US" w:eastAsia="zh-CN"/>
        </w:rPr>
        <w:t>中心内设机构6个，综合部、维权援助部、预警分析部、公共服务部、预审一部、预审二部</w:t>
      </w:r>
      <w:r>
        <w:rPr>
          <w:rFonts w:hint="eastAsia" w:ascii="Times New Roman" w:hAnsi="Times New Roman" w:eastAsia="仿宋_GB2312" w:cs="Times New Roman"/>
          <w:snapToGrid/>
          <w:kern w:val="2"/>
          <w:sz w:val="32"/>
          <w:szCs w:val="32"/>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楷体" w:hAnsi="楷体" w:eastAsia="楷体" w:cs="楷体"/>
          <w:b/>
          <w:bCs/>
          <w:snapToGrid/>
          <w:kern w:val="2"/>
          <w:sz w:val="32"/>
          <w:szCs w:val="32"/>
          <w:lang w:val="en-US" w:eastAsia="zh-CN"/>
        </w:rPr>
      </w:pPr>
      <w:r>
        <w:rPr>
          <w:rFonts w:hint="eastAsia" w:ascii="楷体" w:hAnsi="楷体" w:eastAsia="楷体" w:cs="楷体"/>
          <w:b/>
          <w:bCs/>
          <w:snapToGrid/>
          <w:kern w:val="2"/>
          <w:sz w:val="32"/>
          <w:szCs w:val="32"/>
          <w:lang w:val="en-US" w:eastAsia="zh-CN"/>
        </w:rPr>
        <w:t>人员情况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中心核定编制60人，截至 2024 年末，实有在职人员 54人，退休人员 1人。</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outlineLvl w:val="0"/>
        <w:rPr>
          <w:rFonts w:hint="eastAsia" w:ascii="Times New Roman" w:hAnsi="Times New Roman" w:eastAsia="黑体" w:cs="Times New Roman"/>
          <w:snapToGrid w:val="0"/>
          <w:color w:val="000000"/>
          <w:kern w:val="44"/>
          <w:sz w:val="32"/>
          <w:szCs w:val="21"/>
          <w:lang w:val="en-US" w:eastAsia="zh-CN" w:bidi="ar-SA"/>
        </w:rPr>
      </w:pPr>
      <w:r>
        <w:rPr>
          <w:rFonts w:hint="eastAsia" w:ascii="Times New Roman" w:hAnsi="Times New Roman" w:eastAsia="黑体" w:cs="Times New Roman"/>
          <w:snapToGrid w:val="0"/>
          <w:color w:val="000000"/>
          <w:kern w:val="44"/>
          <w:sz w:val="32"/>
          <w:szCs w:val="21"/>
          <w:lang w:val="en-US" w:eastAsia="zh-CN" w:bidi="ar-SA"/>
        </w:rPr>
        <w:t>一般公共预算支出情况</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firstLine="640" w:firstLineChars="200"/>
        <w:jc w:val="both"/>
        <w:textAlignment w:val="auto"/>
        <w:outlineLvl w:val="1"/>
        <w:rPr>
          <w:rFonts w:hint="eastAsia" w:ascii="Times New Roman" w:hAnsi="Times New Roman" w:eastAsia="仿宋_GB2312" w:cs="Times New Roman"/>
          <w:b w:val="0"/>
          <w:snapToGrid/>
          <w:kern w:val="2"/>
          <w:sz w:val="32"/>
          <w:szCs w:val="32"/>
          <w:lang w:val="en-US" w:eastAsia="zh-CN" w:bidi="ar-SA"/>
        </w:rPr>
      </w:pPr>
      <w:r>
        <w:rPr>
          <w:rFonts w:hint="eastAsia" w:ascii="Times New Roman" w:hAnsi="Times New Roman" w:eastAsia="仿宋_GB2312" w:cs="Times New Roman"/>
          <w:b w:val="0"/>
          <w:snapToGrid/>
          <w:kern w:val="2"/>
          <w:sz w:val="32"/>
          <w:szCs w:val="32"/>
          <w:lang w:val="en-US" w:eastAsia="zh-CN" w:bidi="ar-SA"/>
        </w:rPr>
        <w:t>中心2024年一般公共预算财政拨款收入 1679.69 万元，其中基本支出 1175.23万元，项目支出504.46万元；一般公共预算财政拨款上年结转结余为718.47万元，其中基本支出0万元，项目支出718.47万元。2024年支出1985.25万元，其中基本支出1172.29万元，项目支出812.96万元。2024年年末结转结余资金412.91万元，其中基本支出结转结余2.94万元</w:t>
      </w:r>
      <w:r>
        <w:rPr>
          <w:rFonts w:hint="eastAsia" w:ascii="Times New Roman" w:hAnsi="Times New Roman" w:eastAsia="楷体" w:cs="Times New Roman"/>
          <w:b/>
          <w:kern w:val="2"/>
          <w:sz w:val="32"/>
          <w:szCs w:val="32"/>
          <w:lang w:val="en-US" w:eastAsia="zh-CN" w:bidi="ar-SA"/>
        </w:rPr>
        <w:t>，</w:t>
      </w:r>
      <w:r>
        <w:rPr>
          <w:rFonts w:hint="eastAsia" w:ascii="Times New Roman" w:hAnsi="Times New Roman" w:eastAsia="仿宋_GB2312" w:cs="Times New Roman"/>
          <w:b w:val="0"/>
          <w:snapToGrid/>
          <w:kern w:val="2"/>
          <w:sz w:val="32"/>
          <w:szCs w:val="32"/>
          <w:lang w:val="en-US" w:eastAsia="zh-CN" w:bidi="ar-SA"/>
        </w:rPr>
        <w:t>项目支出结转结余409.97万元。</w:t>
      </w:r>
    </w:p>
    <w:p>
      <w:pPr>
        <w:keepNext w:val="0"/>
        <w:keepLines w:val="0"/>
        <w:pageBreakBefore w:val="0"/>
        <w:widowControl w:val="0"/>
        <w:numPr>
          <w:ilvl w:val="0"/>
          <w:numId w:val="6"/>
        </w:numPr>
        <w:kinsoku/>
        <w:wordWrap/>
        <w:overflowPunct/>
        <w:topLinePunct w:val="0"/>
        <w:autoSpaceDE/>
        <w:autoSpaceDN/>
        <w:bidi w:val="0"/>
        <w:adjustRightInd/>
        <w:snapToGrid/>
        <w:spacing w:beforeLines="0" w:beforeAutospacing="0" w:afterLines="0" w:afterAutospacing="0" w:line="600" w:lineRule="exact"/>
        <w:ind w:firstLine="640" w:firstLineChars="200"/>
        <w:jc w:val="both"/>
        <w:textAlignment w:val="auto"/>
        <w:outlineLvl w:val="1"/>
        <w:rPr>
          <w:rFonts w:hint="eastAsia" w:ascii="Times New Roman" w:hAnsi="Times New Roman" w:eastAsia="楷体" w:cs="Times New Roman"/>
          <w:b/>
          <w:kern w:val="2"/>
          <w:sz w:val="32"/>
          <w:szCs w:val="22"/>
          <w:lang w:val="en-US" w:eastAsia="zh-CN" w:bidi="ar-SA"/>
        </w:rPr>
      </w:pPr>
      <w:r>
        <w:rPr>
          <w:rFonts w:hint="eastAsia" w:ascii="Times New Roman" w:hAnsi="Times New Roman" w:eastAsia="楷体" w:cs="Times New Roman"/>
          <w:b/>
          <w:kern w:val="2"/>
          <w:sz w:val="32"/>
          <w:szCs w:val="22"/>
          <w:lang w:val="en-US" w:eastAsia="zh-CN" w:bidi="ar-SA"/>
        </w:rPr>
        <w:t>基本支出情况</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基本支出系保障中心正常运转、完成日常工作任务而发生的各项支出，包括在职人员基本工资、津贴补贴等人员经费以及办公费、印刷费、水电费、办公设备购置等日常公用经费。2024 年基本支出收入总额</w:t>
      </w:r>
      <w:r>
        <w:rPr>
          <w:rFonts w:hint="eastAsia" w:ascii="Times New Roman" w:hAnsi="Times New Roman" w:eastAsia="仿宋_GB2312" w:cs="Times New Roman"/>
          <w:b w:val="0"/>
          <w:snapToGrid/>
          <w:kern w:val="2"/>
          <w:sz w:val="32"/>
          <w:szCs w:val="32"/>
          <w:lang w:val="en-US" w:eastAsia="zh-CN" w:bidi="ar-SA"/>
        </w:rPr>
        <w:t>1175.23</w:t>
      </w:r>
      <w:r>
        <w:rPr>
          <w:rFonts w:hint="eastAsia" w:ascii="Times New Roman" w:hAnsi="Times New Roman" w:eastAsia="仿宋_GB2312" w:cs="Times New Roman"/>
          <w:kern w:val="2"/>
          <w:sz w:val="32"/>
          <w:szCs w:val="32"/>
          <w:lang w:val="en-US" w:eastAsia="zh-CN" w:bidi="ar-SA"/>
        </w:rPr>
        <w:t>万元，实际支出1172.29万元。其中：工资福利支出1022.04万元，占比87.19%；商品和服务支出147.64万元，占比12.59%；对个人和家庭的补助2.61万元，占比0.22%。</w:t>
      </w:r>
    </w:p>
    <w:p>
      <w:pPr>
        <w:keepNext w:val="0"/>
        <w:keepLines w:val="0"/>
        <w:pageBreakBefore w:val="0"/>
        <w:widowControl w:val="0"/>
        <w:numPr>
          <w:ilvl w:val="0"/>
          <w:numId w:val="6"/>
        </w:numPr>
        <w:kinsoku/>
        <w:wordWrap/>
        <w:overflowPunct/>
        <w:topLinePunct w:val="0"/>
        <w:autoSpaceDE/>
        <w:autoSpaceDN/>
        <w:bidi w:val="0"/>
        <w:adjustRightInd/>
        <w:snapToGrid/>
        <w:spacing w:beforeLines="0" w:beforeAutospacing="0" w:afterLines="0" w:afterAutospacing="0" w:line="600" w:lineRule="exact"/>
        <w:ind w:left="0" w:leftChars="0" w:firstLine="640" w:firstLineChars="200"/>
        <w:jc w:val="both"/>
        <w:textAlignment w:val="auto"/>
        <w:outlineLvl w:val="1"/>
        <w:rPr>
          <w:rFonts w:hint="eastAsia" w:ascii="Times New Roman" w:hAnsi="Times New Roman" w:eastAsia="楷体" w:cs="Times New Roman"/>
          <w:b/>
          <w:kern w:val="2"/>
          <w:sz w:val="32"/>
          <w:szCs w:val="22"/>
          <w:lang w:val="en-US" w:eastAsia="zh-CN" w:bidi="ar-SA"/>
        </w:rPr>
      </w:pPr>
      <w:r>
        <w:rPr>
          <w:rFonts w:hint="eastAsia" w:ascii="Times New Roman" w:hAnsi="Times New Roman" w:eastAsia="楷体" w:cs="Times New Roman"/>
          <w:b/>
          <w:kern w:val="2"/>
          <w:sz w:val="32"/>
          <w:szCs w:val="22"/>
          <w:lang w:val="en-US" w:eastAsia="zh-CN" w:bidi="ar-SA"/>
        </w:rPr>
        <w:t>项目支出情况</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2024年项目收入1222.93万元（含上年结转结余），实际支出金额812.96万元。其中：商品和服务支683.24万元，占比84.04%；资本性支出129.72万元，占比 15.96%。</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从项目支出类别来看，主要包括业务工作经费、省级专项资金、其他事业发展类资金。主要使用情况如下：</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2024年中心业务工作经费收入49.0万，支出33.3万元，系知识产权大院物业费和商业秘密保护示范创建项目经费。</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中心省级专项资金收入总计687.85万元，本年收入163.0万元、上年结转结余资金524.85万元，其中：标准化项目3万元、知识产权战略推进项目160.0万元；国家级知识产权中心建设(2023结转)506.78、知识产权战略推进专项项目评审及验收(2023结转)11.92万元，商业秘密技术支撑项目(2023结转)6.15万元。全年省级专项资金支出350.53万元，主要支出方向为国家级知识产权中心建设、知识产权战略专项评审与验收工作、国家级中心提质增效、企业商业秘密保护管理规范等相关工作。</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中心其他事业发展类资金收入总计486.08，本年收入292.46万元、上年结转结余资金193.62万元，其中：快速协同保护项目113.0万元、专利快速预审项目179.46万元；省知识产权中心工作经费(2023结转)44.12万元、专利转化服务平台支撑项目资金(2023结转)149.50万元。全年其他事业发展类资金支出429.13万元，主要支出方向为知识产权协同保护及快速预审、全省专利转化等工作。</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outlineLvl w:val="0"/>
        <w:rPr>
          <w:rFonts w:hint="eastAsia" w:ascii="Times New Roman" w:hAnsi="Times New Roman" w:eastAsia="黑体" w:cs="Times New Roman"/>
          <w:snapToGrid w:val="0"/>
          <w:color w:val="000000"/>
          <w:kern w:val="44"/>
          <w:sz w:val="32"/>
          <w:szCs w:val="21"/>
          <w:lang w:val="en-US" w:eastAsia="zh-CN" w:bidi="ar-SA"/>
        </w:rPr>
      </w:pPr>
      <w:r>
        <w:rPr>
          <w:rFonts w:hint="eastAsia" w:ascii="Times New Roman" w:hAnsi="Times New Roman" w:eastAsia="黑体" w:cs="Times New Roman"/>
          <w:snapToGrid w:val="0"/>
          <w:color w:val="000000"/>
          <w:kern w:val="44"/>
          <w:sz w:val="32"/>
          <w:szCs w:val="21"/>
          <w:lang w:val="en-US" w:eastAsia="zh-CN" w:bidi="ar-SA"/>
        </w:rPr>
        <w:t>政府性基金预算支出情况</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本单位无政府性基金预算支出情况。</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outlineLvl w:val="0"/>
        <w:rPr>
          <w:rFonts w:hint="eastAsia" w:ascii="Times New Roman" w:hAnsi="Times New Roman" w:eastAsia="黑体" w:cs="Times New Roman"/>
          <w:snapToGrid w:val="0"/>
          <w:color w:val="000000"/>
          <w:kern w:val="44"/>
          <w:sz w:val="32"/>
          <w:szCs w:val="21"/>
          <w:lang w:val="en-US" w:eastAsia="zh-CN" w:bidi="ar-SA"/>
        </w:rPr>
      </w:pPr>
      <w:r>
        <w:rPr>
          <w:rFonts w:hint="eastAsia" w:ascii="Times New Roman" w:hAnsi="Times New Roman" w:eastAsia="黑体" w:cs="Times New Roman"/>
          <w:snapToGrid w:val="0"/>
          <w:color w:val="000000"/>
          <w:kern w:val="44"/>
          <w:sz w:val="32"/>
          <w:szCs w:val="21"/>
          <w:lang w:val="en-US" w:eastAsia="zh-CN" w:bidi="ar-SA"/>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alibri" w:hAnsi="Calibri" w:eastAsia="仿宋_GB2312" w:cs="Times New Roman"/>
          <w:kern w:val="2"/>
          <w:sz w:val="32"/>
          <w:szCs w:val="2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本单位无国有资本经营预算支出情况。</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outlineLvl w:val="0"/>
        <w:rPr>
          <w:rFonts w:hint="eastAsia" w:ascii="Times New Roman" w:hAnsi="Times New Roman" w:eastAsia="黑体" w:cs="Times New Roman"/>
          <w:snapToGrid w:val="0"/>
          <w:color w:val="000000"/>
          <w:kern w:val="44"/>
          <w:sz w:val="32"/>
          <w:szCs w:val="21"/>
          <w:lang w:val="en-US" w:eastAsia="zh-CN" w:bidi="ar-SA"/>
        </w:rPr>
      </w:pPr>
      <w:r>
        <w:rPr>
          <w:rFonts w:hint="eastAsia" w:ascii="Times New Roman" w:hAnsi="Times New Roman" w:eastAsia="黑体" w:cs="Times New Roman"/>
          <w:snapToGrid w:val="0"/>
          <w:color w:val="000000"/>
          <w:kern w:val="44"/>
          <w:sz w:val="32"/>
          <w:szCs w:val="21"/>
          <w:lang w:val="en-US" w:eastAsia="zh-CN" w:bidi="ar-SA"/>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alibri" w:hAnsi="Calibri" w:eastAsia="仿宋_GB2312" w:cs="Times New Roman"/>
          <w:kern w:val="2"/>
          <w:sz w:val="32"/>
          <w:szCs w:val="2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本单位无社会保险基金预算支出情况。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0"/>
        <w:rPr>
          <w:rFonts w:hint="eastAsia" w:ascii="Times New Roman" w:hAnsi="Times New Roman" w:eastAsia="黑体" w:cs="Times New Roman"/>
          <w:snapToGrid w:val="0"/>
          <w:color w:val="000000"/>
          <w:kern w:val="44"/>
          <w:sz w:val="32"/>
          <w:szCs w:val="21"/>
          <w:lang w:val="en-US" w:eastAsia="zh-CN" w:bidi="ar-SA"/>
        </w:rPr>
      </w:pPr>
      <w:r>
        <w:rPr>
          <w:rFonts w:hint="eastAsia" w:ascii="Times New Roman" w:hAnsi="Times New Roman" w:eastAsia="黑体" w:cs="Times New Roman"/>
          <w:snapToGrid w:val="0"/>
          <w:color w:val="000000"/>
          <w:kern w:val="44"/>
          <w:sz w:val="32"/>
          <w:szCs w:val="21"/>
          <w:lang w:val="en-US" w:eastAsia="zh-CN" w:bidi="ar-SA"/>
        </w:rPr>
        <w:t>六、单位整体支出绩效情况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零基预算”下</w:t>
      </w:r>
      <w:r>
        <w:rPr>
          <w:rFonts w:hint="eastAsia" w:ascii="楷体" w:hAnsi="楷体" w:eastAsia="楷体" w:cs="楷体"/>
          <w:b/>
          <w:bCs/>
          <w:sz w:val="32"/>
          <w:szCs w:val="32"/>
        </w:rPr>
        <w:t>绩效目标完成情况</w:t>
      </w:r>
      <w:r>
        <w:rPr>
          <w:rFonts w:hint="eastAsia" w:ascii="楷体" w:hAnsi="楷体" w:eastAsia="楷体" w:cs="楷体"/>
          <w:b/>
          <w:bCs/>
          <w:sz w:val="32"/>
          <w:szCs w:val="32"/>
          <w:lang w:eastAsia="zh-CN"/>
        </w:rPr>
        <w:t>、</w:t>
      </w:r>
      <w:r>
        <w:rPr>
          <w:rFonts w:hint="eastAsia" w:ascii="楷体" w:hAnsi="楷体" w:eastAsia="楷体" w:cs="楷体"/>
          <w:b/>
          <w:bCs/>
          <w:sz w:val="32"/>
          <w:szCs w:val="32"/>
        </w:rPr>
        <w:t>实现产出和取得效益的情况。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零基预算的改革要求，中心打破现行预算编制“基数”观念和支出固化僵化格局，对所有预算项目重新进行全面、深度的分析，并结合单位实际和下年度重点工作，按照轻重缓急的原则，合理安排预算支出，以提高财政资源配置效率和资金使用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心2024年预算支出绩效的主要目标是如下：为展会入驻、行政/司法保护、企业维权需求等，提供咨询服务和技术支撑服务10天；为行政/司法部门、电商平台、企业组织、社会公众等，组织提供知识产权侵权判定意见书、维权援助意见书、专家咨询意见书及各类知识产权分析报告等100份；面向重大项目、重点领域、重点创新主体、海外纠纷等，开展维权援助专项活动3个；对全省知识产权行政执法裁决人员、园区企业及社会公众等，开展公益培训3场；面向社会组织提供知识产权纠纷仲裁调解服务，仲裁调解知识产权纠纷案件54件；预审服务申请接收量≥2000件；赴企业开展现场服务活动人次≥20人次；预审员参加能力提升交流培训≥30人次；培训创新主体和代理机构人数≥200人。上述绩效目标全部完成，并取得良好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（二）全链条资金体系下，中心业务开展情况。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中心2024年项目预算收入1222.93</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含上年结转结余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，实际支出</w:t>
      </w:r>
      <w:r>
        <w:rPr>
          <w:rFonts w:hint="eastAsia" w:ascii="Times New Roman" w:hAnsi="Times New Roman" w:eastAsia="仿宋_GB2312" w:cs="Times New Roman"/>
          <w:sz w:val="32"/>
          <w:szCs w:val="32"/>
          <w:lang w:val="en-US" w:eastAsia="zh-CN"/>
        </w:rPr>
        <w:t>812.96</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项目经费支出旨在高质量开展专利快速预审服，一是积极推进快速预审、二是探索预审提质增效方法、三是提供精准指导服务。高效率推进知识产权协同保护，一是开展重点专项维权、二是完善协同保护机制、三是稳步推进知识产权海外维权。高水平开展知识产权公共服务，一是开展“百企优培”活动、二是积极推进公共服务体系建设、三是高效促进专利转化运用。高标准打造国家级省保护中心，一是坚持党建引领，筑牢战斗堡垒、二是狠抓意识形态，筑牢安全底线、三是完善人才保障，激发队伍活力。同时高价值推进专利导航预警分析和高质量推进知识产权专利转化等工作，并取得了良好效果。今后中心将立足“公益服务+技术支撑”职能职责，实现专利快速预审、维权、转化运用等知识产权公共服务不断向纵深推进。</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业财联动，初显成效。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中心2024年开展项目11个，其中：业务工作项目2个、省级专项5个、其他发展类项目4个。中心秉持新一年度的预算从零开始的新思路，整合项目、优化资源配置，反复商讨、测算，力争从点上开花走向面上成景。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项目聚焦中心履职效能，保障了各类业务高效有序的完成，同时也提高了单位的基础运行能力。此外，中心高度重视制度建设，对外印发《备案主体相关申请条件的通知》等制度，内部制定了《因私出国（境）规定》等管理制度，更新了《湖南省知识产权保护中心专家管理费用管理办法》（暂行）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类项目的开展有利于帮助创新主体缩短专利申请审查周期、提高专利申请质量，形成并培育高价值专利，守好知识产权全链条保护“第一关”，实现对先进制造和新材料产业的协调联动保护，推动知识产权与我省优势产业结合，助力产业发展。有利于提升创新主体的专利快速预审服务的知晓度，浓厚尊重知识、崇尚创新、诚信守法、公平竞争的知识产权文化理念。有利于提高权利人自主创新能力和知识产权创造、保护、运用水平。</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资金效能点面开花，推动知识产权高质量发展。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高质量开展专利快速预审服务。截至12月底，共完成14批1777家企事业单位、465家代理机构备案，受理预审案件2912件，合格2411件，授权1359件。预审合格案件中最快获得授权的发明专利时间审查周期为23个工作日，实用新型7个工作日，外观设计4个工作日。二是探索预审提质增效方法。对外印发《备案主体相关申请条件的通知》等制度，内部形成“互检+质检”等制度，赴国知局、审协湖北中心、其他省市保护中心汇报交流，平均审查速度由1周1件提升至1天1件。领导班子成员分别带队前往岳阳等10余个市州企业及国防科大等7个高校走访调研，在株洲等10地召开预审座谈会。举办了2次专利预审业务研修班，2次代理机构座谈会，6期知识产权技术交流会，21次知识产权课堂等活动，进一步推动快速预审服务落地见效。三是提供精准指导服务。在省局保护处的带领下，联合代办中心走访长沙理工大学、中南林业科技大学等高校、科研院所及其院士团队，并根据走访调研需求提供针对性服务。为铁建重工16件案件开展前置批量审查，针对中车时代新材、株洲硬质合金专利申请难点问题提供点对点服务，助力清源华建4件核心技术产品快速授权，提前实现投产且预计年产值可达1000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高效率推进知识产权协同保护。一是开展重点专项维权。协同湘西州局、泸溪县委县政府，精准支撑湖南众鑫新材料科技股份有限公司应对攀钢集团提起的氮化钒生产方式侵权诉讼，中心出具专利侵权判定意见书，多次给予抗辩支持，2024年3月，最高法裁定撤销成都中院认定侵权的一审判决，裁定众鑫公司生产工艺不构成侵权，为众鑫公司挽回直接经济损失560余万元，关联挽损止损超亿元。积极推动《深入专精特新企业开展维权帮扶专项行动》，为中小企业健康发展保驾护航，已为60余家企业提供咨询指导服务。二是完善协同保护机制。与开福区、岳麓区法院，省公安厅，省知识产权协会等单位建立合作机制，办理案件67件。为中南大学、地市州局等单位出具知识产权侵权判定意见书、维权援助意见书、专家咨询意见书及各类知识产权分析报告份数118份。为第25届长沙智能制造装备博览会等提供展会维权服务6次。为淘宝等电商平台出具侵权判定咨询意见书603份。与长株潭三市律师协会签订知识产权保护合作协议，协同推进知识产权保护维权社会共治机制创新。协助省人社厅专家服务中心为省高层次人才创新创业大赛项目开展知识产权评审，出具51份意见书，帮助提升大赛评审质量，有效规避知识产权纠纷风险。三是稳步推进知识产权海外维权。6月24日，获批设立海外知识产权纠纷应对指导中心地方分中心。成功举办1期海外知识产权保护应对培训班。累计为湖南中烟、三一重工、山河智能等省内企业出具13份知识产权海外风险告知函，为“茶颜悦色”“芙蓉王”“和成天下”等省内著名商标海外疑似被抢注发布风险预警。面向全省征集海外商标监测预警需求，目前已经为60件商标开展定期监测。开展衡阳市“一县一企”海外知识产权保护维权专项行动，已为南岳电控等9家企业提供上门服务，出具海外知识产权体检报告6份。与省局保护处建立协助海外维权机制，为肆玖科技应对美国337调查提供技术支撑。推进开展海外专家库建设、海外知识产权纠纷典型案例库及非洲海外知识产权保护指南编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高水平开展知识产权公共服务。一是开展“百企优培”活动。根据《关于开展2024年湖南省“一起益企”中小微企业服务行动的通知》等文件精神，中心集中优势资源，面向有创新能力、实际需求强烈的专精特新企业优先提供4个方面15项服务，助推市场主体高质量发展。共收到124家企业的服务申请，经调研后确定45家企业入选第一批服务名单，开展“一对一”服务。为初源新材料等企业提供专利微导航、维权援助等服务，助力专利布局，应对涉案侵权风险，为企业挽损止损数千万元；根据大举科技等企业需求推送专利信息近10万条，帮助企业提高研发效率，降低研发成本。二是积极推进公共服务体系建设。举办知识产权综合服务能力提升培训班，知识产权“大篷车”望城站等3场活动，中心全年累计培训2000余人次，进一步提升了公共服务人员能力水平。畅通综合服务分中心信息沟通渠道，发布综合服务体系简报10份，完成省、市州、园区统计报表126份。根据省局、市州及省科技厅等单位来函需求，出具统计报表185份。为有需求的市州保护中心、公共服务分中心提供技术支持，与邵阳、株洲保护中心建立业务指导关系。完成国知局对地方公共服务工作站、公共服务平台、专题数据库、信息利用成果等信息的摸底调查。补充征集30名知识产权保护专家，举办专家培训及座谈会。协助省局完成战略专项项目评审、知识产权课程进党校等工作。三是高效促进专利转化运用。对全省重点专项、重要团队专利产出情况与中心预审分类号匹配情况进行摸底调查，出具《关于省内重大科技专项、十大技术攻坚项目以及省内院士及院士团队等重点创新主体专利统计分析》。根据湖南工学院、郴州职业技术学院、湘西州局和常德经开区的申请，完成专利转化分析报告4份。开展专利转化运用“市州行”湘西、衡阳专场，与20家单位签订专利转化运用协议，质押融资项目签约金额达9000万元。协助省局开展高校和科研机构存量专利盘活工作，完成6494条对高校专利的星级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4.高价值推进专利导航预警分析。针对邵虹和怀化兴怀相继被跨国竞争对手信访投诉涉嫌知识产权侵权，开展国内玻璃溢流下拉法领域专利预警分析，报告作为省商务厅邵虹玻璃知识产权情况专报附件提交省政府，相关建议被省政府报告采纳分别呈送沈晓明书记和毛伟明省长，并获得省委书记、省长批示。协助省委组织部完成2024年湖南省芙蓉计划高层次人才引进专利审核，对105名申报团队或个人的251件专利进行审核。开展3场专利导航指南国家标准推广培训，出版发行湖南轨道交通装备产业和硬质合金产业专利导航报告，助推知识产权信息传播利用。完成三一专汽冷藏车、唐智科技轴承轴故障诊断导航分析，联合株洲市场监管局、608所、中南大学知识产权中心和华夏泰和知识产权公司开展中小航空发动机专利导航，助力专精特新中小企业发展。</w:t>
      </w:r>
    </w:p>
    <w:p>
      <w:pPr>
        <w:keepNext w:val="0"/>
        <w:keepLines w:val="0"/>
        <w:pageBreakBefore w:val="0"/>
        <w:widowControl w:val="0"/>
        <w:tabs>
          <w:tab w:val="left" w:pos="5338"/>
        </w:tabs>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0"/>
        <w:rPr>
          <w:rFonts w:hint="eastAsia" w:ascii="Times New Roman" w:hAnsi="Times New Roman" w:eastAsia="黑体" w:cs="Times New Roman"/>
          <w:snapToGrid w:val="0"/>
          <w:color w:val="000000"/>
          <w:kern w:val="44"/>
          <w:sz w:val="32"/>
          <w:szCs w:val="21"/>
          <w:highlight w:val="none"/>
          <w:lang w:val="en-US" w:eastAsia="zh-CN" w:bidi="ar-SA"/>
        </w:rPr>
      </w:pPr>
      <w:r>
        <w:rPr>
          <w:rFonts w:hint="eastAsia" w:ascii="Times New Roman" w:hAnsi="Times New Roman" w:eastAsia="黑体" w:cs="Times New Roman"/>
          <w:snapToGrid w:val="0"/>
          <w:color w:val="000000"/>
          <w:kern w:val="44"/>
          <w:sz w:val="32"/>
          <w:szCs w:val="21"/>
          <w:highlight w:val="none"/>
          <w:lang w:val="en-US" w:eastAsia="zh-CN" w:bidi="ar-SA"/>
        </w:rPr>
        <w:t>七、存在的问题及原因分析</w:t>
      </w:r>
      <w:r>
        <w:rPr>
          <w:rFonts w:hint="eastAsia" w:ascii="Times New Roman" w:hAnsi="Times New Roman" w:eastAsia="黑体" w:cs="Times New Roman"/>
          <w:snapToGrid w:val="0"/>
          <w:color w:val="000000"/>
          <w:kern w:val="44"/>
          <w:sz w:val="32"/>
          <w:szCs w:val="21"/>
          <w:highlight w:val="none"/>
          <w:lang w:val="en-US" w:eastAsia="zh-CN" w:bidi="ar-SA"/>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通过本次绩效自评，</w:t>
      </w:r>
      <w:r>
        <w:rPr>
          <w:rFonts w:hint="eastAsia" w:ascii="Times New Roman" w:hAnsi="Times New Roman" w:eastAsia="仿宋_GB2312" w:cs="Times New Roman"/>
          <w:sz w:val="32"/>
          <w:szCs w:val="32"/>
          <w:lang w:val="en-US" w:eastAsia="zh-CN"/>
        </w:rPr>
        <w:t>我中心</w:t>
      </w:r>
      <w:r>
        <w:rPr>
          <w:rFonts w:hint="eastAsia" w:ascii="Times New Roman" w:hAnsi="Times New Roman" w:eastAsia="仿宋_GB2312" w:cs="Times New Roman"/>
          <w:sz w:val="32"/>
          <w:szCs w:val="32"/>
        </w:rPr>
        <w:t xml:space="preserve">从预算和预算绩效管理，部门履职效能，资金分配、使用和管理，资产和财务管理，政府采购等方面发现还存在以下几方面不足： </w:t>
      </w:r>
    </w:p>
    <w:p>
      <w:pPr>
        <w:keepNext w:val="0"/>
        <w:keepLines w:val="0"/>
        <w:pageBreakBefore w:val="0"/>
        <w:widowControl w:val="0"/>
        <w:numPr>
          <w:ilvl w:val="0"/>
          <w:numId w:val="7"/>
        </w:numPr>
        <w:kinsoku/>
        <w:wordWrap/>
        <w:overflowPunct/>
        <w:topLinePunct w:val="0"/>
        <w:autoSpaceDE/>
        <w:autoSpaceDN/>
        <w:bidi w:val="0"/>
        <w:spacing w:line="600" w:lineRule="exact"/>
        <w:ind w:firstLine="640"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预算和预算绩效管理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存在的主要问题。</w:t>
      </w:r>
      <w:r>
        <w:rPr>
          <w:rFonts w:hint="eastAsia" w:ascii="仿宋_GB2312" w:hAnsi="仿宋_GB2312" w:eastAsia="仿宋_GB2312" w:cs="仿宋_GB2312"/>
          <w:sz w:val="32"/>
          <w:szCs w:val="32"/>
        </w:rPr>
        <w:t>一是业务部门和财务部门配合度</w:t>
      </w:r>
      <w:r>
        <w:rPr>
          <w:rFonts w:hint="eastAsia" w:ascii="仿宋_GB2312" w:hAnsi="仿宋_GB2312" w:eastAsia="仿宋_GB2312" w:cs="仿宋_GB2312"/>
          <w:sz w:val="32"/>
          <w:szCs w:val="32"/>
          <w:lang w:eastAsia="zh-CN"/>
        </w:rPr>
        <w:t>不够，</w:t>
      </w:r>
      <w:r>
        <w:rPr>
          <w:rFonts w:hint="eastAsia" w:ascii="仿宋_GB2312" w:hAnsi="仿宋_GB2312" w:eastAsia="仿宋_GB2312" w:cs="仿宋_GB2312"/>
          <w:sz w:val="32"/>
          <w:szCs w:val="32"/>
        </w:rPr>
        <w:t>绩效管理意识</w:t>
      </w:r>
      <w:r>
        <w:rPr>
          <w:rFonts w:hint="eastAsia" w:ascii="仿宋_GB2312" w:hAnsi="仿宋_GB2312" w:eastAsia="仿宋_GB2312" w:cs="仿宋_GB2312"/>
          <w:sz w:val="32"/>
          <w:szCs w:val="32"/>
          <w:lang w:val="en-US" w:eastAsia="zh-CN"/>
        </w:rPr>
        <w:t>稍显</w:t>
      </w:r>
      <w:r>
        <w:rPr>
          <w:rFonts w:hint="eastAsia" w:ascii="仿宋_GB2312" w:hAnsi="仿宋_GB2312" w:eastAsia="仿宋_GB2312" w:cs="仿宋_GB2312"/>
          <w:sz w:val="32"/>
          <w:szCs w:val="32"/>
        </w:rPr>
        <w:t>薄弱</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绩效指标设置欠合理，年末绩效完成情况与年初申报绩效目标</w:t>
      </w:r>
      <w:r>
        <w:rPr>
          <w:rFonts w:hint="eastAsia" w:ascii="仿宋_GB2312" w:hAnsi="仿宋_GB2312" w:eastAsia="仿宋_GB2312" w:cs="仿宋_GB2312"/>
          <w:sz w:val="32"/>
          <w:szCs w:val="32"/>
          <w:lang w:val="en-US" w:eastAsia="zh-CN"/>
        </w:rPr>
        <w:t>有一定的偏差。</w:t>
      </w:r>
      <w:r>
        <w:rPr>
          <w:rFonts w:hint="eastAsia" w:ascii="仿宋_GB2312" w:hAnsi="仿宋_GB2312" w:eastAsia="仿宋_GB2312" w:cs="仿宋_GB2312"/>
          <w:sz w:val="32"/>
          <w:szCs w:val="32"/>
        </w:rPr>
        <w:t>三是个别项目指标未能如期完成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如信息化采购项目未完成立项等相关工作</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主要原因，一是实际工作中</w:t>
      </w:r>
      <w:r>
        <w:rPr>
          <w:rFonts w:hint="eastAsia" w:ascii="仿宋_GB2312" w:hAnsi="仿宋_GB2312" w:eastAsia="仿宋_GB2312" w:cs="仿宋_GB2312"/>
          <w:sz w:val="32"/>
          <w:szCs w:val="32"/>
        </w:rPr>
        <w:t>项目实施部门与财务部门</w:t>
      </w:r>
      <w:r>
        <w:rPr>
          <w:rFonts w:hint="eastAsia" w:ascii="仿宋_GB2312" w:hAnsi="仿宋_GB2312" w:eastAsia="仿宋_GB2312" w:cs="仿宋_GB2312"/>
          <w:sz w:val="32"/>
          <w:szCs w:val="32"/>
          <w:lang w:eastAsia="zh-CN"/>
        </w:rPr>
        <w:t>缺乏紧密的沟通，</w:t>
      </w:r>
      <w:r>
        <w:rPr>
          <w:rFonts w:hint="eastAsia" w:ascii="仿宋_GB2312" w:hAnsi="仿宋_GB2312" w:eastAsia="仿宋_GB2312" w:cs="仿宋_GB2312"/>
          <w:sz w:val="32"/>
          <w:szCs w:val="32"/>
        </w:rPr>
        <w:t>项目实施部门绩效管理意识有待加强</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对绩效目标的理解有偏差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未能</w:t>
      </w:r>
      <w:r>
        <w:rPr>
          <w:rFonts w:hint="eastAsia" w:ascii="仿宋_GB2312" w:hAnsi="仿宋_GB2312" w:eastAsia="仿宋_GB2312" w:cs="仿宋_GB2312"/>
          <w:sz w:val="32"/>
          <w:szCs w:val="32"/>
          <w:lang w:eastAsia="zh-CN"/>
        </w:rPr>
        <w:t>完全</w:t>
      </w:r>
      <w:r>
        <w:rPr>
          <w:rFonts w:hint="eastAsia" w:ascii="仿宋_GB2312" w:hAnsi="仿宋_GB2312" w:eastAsia="仿宋_GB2312" w:cs="仿宋_GB2312"/>
          <w:sz w:val="32"/>
          <w:szCs w:val="32"/>
        </w:rPr>
        <w:t>结合职能</w:t>
      </w: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rPr>
        <w:t>和工作性质设置切实可行的绩效目标。</w:t>
      </w:r>
      <w:r>
        <w:rPr>
          <w:rFonts w:hint="eastAsia" w:ascii="仿宋_GB2312" w:hAnsi="仿宋_GB2312" w:eastAsia="仿宋_GB2312" w:cs="仿宋_GB2312"/>
          <w:sz w:val="32"/>
          <w:szCs w:val="32"/>
          <w:lang w:eastAsia="zh-CN"/>
        </w:rPr>
        <w:t>三是因为客观原因导致个别绩效目标未完成，如国家级知识产权保护中心建设专项中的信息化采购由省局统一采购，但截至</w:t>
      </w:r>
      <w:bookmarkStart w:id="1" w:name="_GoBack"/>
      <w:bookmarkEnd w:id="1"/>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2024年年底未完成项目立项工作。</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履职效能方面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一是知识产权领域涉及</w:t>
      </w:r>
      <w:r>
        <w:rPr>
          <w:rFonts w:hint="eastAsia" w:ascii="Times New Roman" w:hAnsi="Times New Roman" w:eastAsia="仿宋_GB2312" w:cs="Times New Roman"/>
          <w:sz w:val="32"/>
          <w:szCs w:val="32"/>
        </w:rPr>
        <w:t>面广，</w:t>
      </w:r>
      <w:r>
        <w:rPr>
          <w:rFonts w:hint="eastAsia" w:ascii="Times New Roman" w:hAnsi="Times New Roman" w:eastAsia="仿宋_GB2312" w:cs="Times New Roman"/>
          <w:sz w:val="32"/>
          <w:szCs w:val="32"/>
          <w:lang w:val="en-US" w:eastAsia="zh-CN"/>
        </w:rPr>
        <w:t>专业要求高</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中心新进人员较多，所以导致相关专业知识、技能及处理</w:t>
      </w:r>
      <w:r>
        <w:rPr>
          <w:rFonts w:hint="eastAsia" w:ascii="Times New Roman" w:hAnsi="Times New Roman" w:eastAsia="仿宋_GB2312" w:cs="Times New Roman"/>
          <w:sz w:val="32"/>
          <w:szCs w:val="32"/>
        </w:rPr>
        <w:t>突发情况</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能力</w:t>
      </w:r>
      <w:r>
        <w:rPr>
          <w:rFonts w:hint="eastAsia" w:ascii="Times New Roman" w:hAnsi="Times New Roman" w:eastAsia="仿宋_GB2312" w:cs="Times New Roman"/>
          <w:sz w:val="32"/>
          <w:szCs w:val="32"/>
          <w:lang w:val="en-US" w:eastAsia="zh-CN"/>
        </w:rPr>
        <w:t>有待加强。二是在国家局的整体考核中靠后，主要是国家级湖南省保护中心初步运行，各项工作处于起步阶段，导致上半年的业务量不足，影响全年的考核。</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资金分配方面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一是年初</w:t>
      </w:r>
      <w:r>
        <w:rPr>
          <w:rFonts w:hint="eastAsia" w:ascii="Times New Roman" w:hAnsi="Times New Roman" w:eastAsia="仿宋_GB2312" w:cs="Times New Roman"/>
          <w:sz w:val="32"/>
          <w:szCs w:val="32"/>
          <w:lang w:val="en-US" w:eastAsia="zh-CN"/>
        </w:rPr>
        <w:t>编制时相关工作处于计划阶段，加之国家级保护中心初步运行，相关业务工作无法精确预计和实施，故年初</w:t>
      </w:r>
      <w:r>
        <w:rPr>
          <w:rFonts w:hint="eastAsia" w:ascii="Times New Roman" w:hAnsi="Times New Roman" w:eastAsia="仿宋_GB2312" w:cs="Times New Roman"/>
          <w:sz w:val="32"/>
          <w:szCs w:val="32"/>
        </w:rPr>
        <w:t>预算资金安排</w:t>
      </w:r>
      <w:r>
        <w:rPr>
          <w:rFonts w:hint="eastAsia" w:ascii="Times New Roman" w:hAnsi="Times New Roman" w:eastAsia="仿宋_GB2312" w:cs="Times New Roman"/>
          <w:sz w:val="32"/>
          <w:szCs w:val="32"/>
          <w:lang w:val="en-US" w:eastAsia="zh-CN"/>
        </w:rPr>
        <w:t>时</w:t>
      </w:r>
      <w:r>
        <w:rPr>
          <w:rFonts w:hint="eastAsia" w:ascii="Times New Roman" w:hAnsi="Times New Roman" w:eastAsia="仿宋_GB2312" w:cs="Times New Roman"/>
          <w:sz w:val="32"/>
          <w:szCs w:val="32"/>
        </w:rPr>
        <w:t>不</w:t>
      </w:r>
      <w:r>
        <w:rPr>
          <w:rFonts w:hint="eastAsia" w:ascii="Times New Roman" w:hAnsi="Times New Roman" w:eastAsia="仿宋_GB2312" w:cs="Times New Roman"/>
          <w:sz w:val="32"/>
          <w:szCs w:val="32"/>
          <w:lang w:val="en-US" w:eastAsia="zh-CN"/>
        </w:rPr>
        <w:t>够</w:t>
      </w:r>
      <w:r>
        <w:rPr>
          <w:rFonts w:hint="eastAsia" w:ascii="Times New Roman" w:hAnsi="Times New Roman" w:eastAsia="仿宋_GB2312" w:cs="Times New Roman"/>
          <w:sz w:val="32"/>
          <w:szCs w:val="32"/>
        </w:rPr>
        <w:t>准确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资金分配编制不太规范，没有经过详细的数据调研和分析，预测的数据不科学，导致资金分配存在较多或不足等问题。</w:t>
      </w:r>
      <w:r>
        <w:rPr>
          <w:rFonts w:hint="eastAsia" w:ascii="Times New Roman" w:hAnsi="Times New Roman" w:eastAsia="仿宋_GB2312" w:cs="Times New Roman"/>
          <w:sz w:val="32"/>
          <w:szCs w:val="32"/>
          <w:lang w:val="en-US" w:eastAsia="zh-CN"/>
        </w:rPr>
        <w:t>三是项目归口业务部门对绩效评价结果应用的意识不强，没有将上年度资金使用效率与下年度资金的安排进行挂钩。</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资金使用管理方面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一是中心2024年整体及</w:t>
      </w: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eastAsia="zh-CN"/>
        </w:rPr>
        <w:t>执行率较低，未达财政</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要求</w:t>
      </w:r>
      <w:r>
        <w:rPr>
          <w:rFonts w:hint="eastAsia" w:ascii="Times New Roman" w:hAnsi="Times New Roman" w:eastAsia="仿宋_GB2312" w:cs="Times New Roman"/>
          <w:sz w:val="32"/>
          <w:szCs w:val="32"/>
        </w:rPr>
        <w:t>，其主要</w:t>
      </w:r>
      <w:r>
        <w:rPr>
          <w:rFonts w:hint="eastAsia" w:ascii="Times New Roman" w:hAnsi="Times New Roman" w:eastAsia="仿宋_GB2312" w:cs="Times New Roman"/>
          <w:sz w:val="32"/>
          <w:szCs w:val="32"/>
          <w:lang w:val="en-US" w:eastAsia="zh-CN"/>
        </w:rPr>
        <w:t>原因如下：</w:t>
      </w:r>
      <w:r>
        <w:rPr>
          <w:rFonts w:hint="eastAsia" w:ascii="Times New Roman" w:hAnsi="Times New Roman" w:eastAsia="仿宋_GB2312" w:cs="Times New Roman"/>
          <w:sz w:val="32"/>
          <w:szCs w:val="32"/>
          <w:lang w:eastAsia="zh-CN"/>
        </w:rPr>
        <w:t>国家级知识产权保护中心建设项目已完成，但</w:t>
      </w:r>
      <w:r>
        <w:rPr>
          <w:rFonts w:hint="eastAsia" w:ascii="Times New Roman" w:hAnsi="Times New Roman" w:eastAsia="仿宋_GB2312" w:cs="Times New Roman"/>
          <w:sz w:val="32"/>
          <w:szCs w:val="32"/>
          <w:lang w:val="en-US" w:eastAsia="zh-CN"/>
        </w:rPr>
        <w:t>经费尚有结余；国家知识产权保护中心建设专项中的信息化采购项目由省局统筹，暂时还未立项，导致相关经费无法开支，影响预算执行；知识产权战略专项资金年中下达</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且</w:t>
      </w:r>
      <w:r>
        <w:rPr>
          <w:rFonts w:hint="eastAsia" w:ascii="Times New Roman" w:hAnsi="Times New Roman" w:eastAsia="仿宋_GB2312" w:cs="Times New Roman"/>
          <w:sz w:val="32"/>
          <w:szCs w:val="32"/>
          <w:lang w:eastAsia="zh-CN"/>
        </w:rPr>
        <w:t>使用周期</w:t>
      </w:r>
      <w:r>
        <w:rPr>
          <w:rFonts w:hint="eastAsia" w:ascii="Times New Roman" w:hAnsi="Times New Roman" w:eastAsia="仿宋_GB2312" w:cs="Times New Roman"/>
          <w:sz w:val="32"/>
          <w:szCs w:val="32"/>
          <w:lang w:val="en-US" w:eastAsia="zh-CN"/>
        </w:rPr>
        <w:t>跨年度，故本年预算执行率较低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二是项目资金使用过于固化，主要是项目资金使用部门对“零基预算”理解不够透彻，未完全打破固化思维壁垒，今后应根据工作职能及考核指标全方位、多维度的发挥预算资金的最优效力。</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资产和财务管理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资产精细化管理程度有待加强，资产信息不够完善，个别信息出现遗漏甚至错误，主要是前期进行资产信息登记时出现纰漏。二是资产管理和实际使用存在脱节问题，资产台账登记的使用地点、使用人等信息和实际使用情况有所偏差，主要是后期使用发生变动时未及时更新资产信息。</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政府采购方面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存在项目流程繁琐且时限较长问题，如信息项目首先需省党政信息化领导小组前置审查，其次省发改委立项和概算评审，最后省财政评审等；整个流程时间较长且存在不确定因素较大，所以由省局统一采购的信息化项目，推进较慢，预计2025年立项，2026年完成采购、建设流程。二是存在采购人员专业性不强，培训不及时，对采购政策不够了解，验收程序执行不到位等情况。</w:t>
      </w:r>
    </w:p>
    <w:p>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0"/>
        <w:rPr>
          <w:rFonts w:hint="eastAsia" w:ascii="Times New Roman" w:hAnsi="Times New Roman" w:eastAsia="黑体" w:cs="Times New Roman"/>
          <w:snapToGrid w:val="0"/>
          <w:color w:val="000000"/>
          <w:kern w:val="44"/>
          <w:sz w:val="32"/>
          <w:szCs w:val="21"/>
          <w:lang w:val="en-US" w:eastAsia="zh-CN" w:bidi="ar-SA"/>
        </w:rPr>
      </w:pPr>
      <w:r>
        <w:rPr>
          <w:rFonts w:hint="eastAsia" w:ascii="Times New Roman" w:hAnsi="Times New Roman" w:eastAsia="黑体" w:cs="Times New Roman"/>
          <w:snapToGrid w:val="0"/>
          <w:color w:val="000000"/>
          <w:kern w:val="44"/>
          <w:sz w:val="32"/>
          <w:szCs w:val="21"/>
          <w:lang w:val="en-US" w:eastAsia="zh-CN" w:bidi="ar-SA"/>
        </w:rPr>
        <w:t>下一步改进措施</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加强绩效管理，提高资金效益。</w:t>
      </w:r>
      <w:r>
        <w:rPr>
          <w:rFonts w:hint="eastAsia" w:ascii="Times New Roman" w:hAnsi="Times New Roman" w:eastAsia="仿宋_GB2312" w:cs="Times New Roman"/>
          <w:sz w:val="32"/>
          <w:szCs w:val="32"/>
          <w:lang w:val="en-US" w:eastAsia="zh-CN"/>
        </w:rPr>
        <w:t>一是逐步建成“全方位、全过程、全覆盖”的预算绩效管理体系，实现预算和绩效管理一体化。二是压实部门内部绩效管理主体责任，加大预算绩效管理培训力度，强化对预算绩效管理的认识，提高绩效</w:t>
      </w:r>
      <w:r>
        <w:rPr>
          <w:rFonts w:hint="eastAsia" w:ascii="仿宋_GB2312" w:hAnsi="仿宋_GB2312" w:eastAsia="仿宋_GB2312" w:cs="仿宋_GB2312"/>
          <w:sz w:val="32"/>
          <w:szCs w:val="32"/>
          <w:lang w:val="en-US" w:eastAsia="zh-CN"/>
        </w:rPr>
        <w:t>管理水平。三是</w:t>
      </w:r>
      <w:r>
        <w:rPr>
          <w:rFonts w:hint="eastAsia" w:ascii="仿宋_GB2312" w:hAnsi="仿宋_GB2312" w:eastAsia="仿宋_GB2312" w:cs="仿宋_GB2312"/>
          <w:i w:val="0"/>
          <w:iCs w:val="0"/>
          <w:caps w:val="0"/>
          <w:color w:val="000000"/>
          <w:spacing w:val="0"/>
          <w:sz w:val="32"/>
          <w:szCs w:val="32"/>
          <w:shd w:val="clear" w:fill="FFFFFF"/>
        </w:rPr>
        <w:t>严格按照“先基本支出后项目支出”的原则，足额编制基本支出预算，</w:t>
      </w:r>
      <w:r>
        <w:rPr>
          <w:rFonts w:hint="eastAsia" w:ascii="仿宋_GB2312" w:hAnsi="仿宋_GB2312" w:eastAsia="仿宋_GB2312" w:cs="仿宋_GB2312"/>
          <w:i w:val="0"/>
          <w:iCs w:val="0"/>
          <w:caps w:val="0"/>
          <w:color w:val="000000"/>
          <w:spacing w:val="0"/>
          <w:sz w:val="32"/>
          <w:szCs w:val="32"/>
          <w:shd w:val="clear" w:fill="FFFFFF"/>
          <w:lang w:val="en-US" w:eastAsia="zh-CN"/>
        </w:rPr>
        <w:t>同时</w:t>
      </w:r>
      <w:r>
        <w:rPr>
          <w:rFonts w:hint="eastAsia" w:ascii="仿宋_GB2312" w:hAnsi="仿宋_GB2312" w:eastAsia="仿宋_GB2312" w:cs="仿宋_GB2312"/>
          <w:i w:val="0"/>
          <w:iCs w:val="0"/>
          <w:caps w:val="0"/>
          <w:color w:val="000000"/>
          <w:spacing w:val="0"/>
          <w:sz w:val="32"/>
          <w:szCs w:val="32"/>
          <w:shd w:val="clear" w:fill="FFFFFF"/>
        </w:rPr>
        <w:t>根据</w:t>
      </w:r>
      <w:r>
        <w:rPr>
          <w:rFonts w:hint="eastAsia" w:ascii="仿宋_GB2312" w:hAnsi="仿宋_GB2312" w:eastAsia="仿宋_GB2312" w:cs="仿宋_GB2312"/>
          <w:i w:val="0"/>
          <w:iCs w:val="0"/>
          <w:caps w:val="0"/>
          <w:color w:val="000000"/>
          <w:spacing w:val="0"/>
          <w:sz w:val="32"/>
          <w:szCs w:val="32"/>
          <w:shd w:val="clear" w:fill="FFFFFF"/>
          <w:lang w:val="en-US" w:eastAsia="zh-CN"/>
        </w:rPr>
        <w:t>职能职责和重点工作安排</w:t>
      </w:r>
      <w:r>
        <w:rPr>
          <w:rFonts w:hint="eastAsia" w:ascii="仿宋_GB2312" w:hAnsi="仿宋_GB2312" w:eastAsia="仿宋_GB2312" w:cs="仿宋_GB2312"/>
          <w:i w:val="0"/>
          <w:iCs w:val="0"/>
          <w:caps w:val="0"/>
          <w:color w:val="000000"/>
          <w:spacing w:val="0"/>
          <w:sz w:val="32"/>
          <w:szCs w:val="32"/>
          <w:shd w:val="clear" w:fill="FFFFFF"/>
        </w:rPr>
        <w:t>，按照轻重缓急合理安排支出预算，优先保障刚性支出和重点支出，并细化到每个执行节点，以保证支出预算的准确性。</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9"/>
        </w:numPr>
        <w:kinsoku/>
        <w:wordWrap/>
        <w:overflowPunct/>
        <w:topLinePunct w:val="0"/>
        <w:autoSpaceDE/>
        <w:autoSpaceDN/>
        <w:bidi w:val="0"/>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加强能力建设，提升履职效能。</w:t>
      </w:r>
      <w:r>
        <w:rPr>
          <w:rFonts w:hint="eastAsia" w:ascii="Times New Roman" w:hAnsi="Times New Roman" w:eastAsia="仿宋_GB2312" w:cs="Times New Roman"/>
          <w:sz w:val="32"/>
          <w:szCs w:val="32"/>
          <w:lang w:val="en-US" w:eastAsia="zh-CN"/>
        </w:rPr>
        <w:t xml:space="preserve">一是加强中心全体人员能力建设，特别是要经常组织业务人员培训和交流学习，与时俱进拓宽业务人员的知识面，致力培养一批高素质的知识产权从业人员。二是提高业务工具使用效力，知识产权专业度高、涉及面广，工作时需要专业的数据库、检索工具等才能高效的提升履职效能，所以从业人员要不断地更新业务知识，敏感的捕捉各类辅助工具以发挥其效能。 </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加强资金分配过程管理，优化预算编制。</w:t>
      </w:r>
      <w:r>
        <w:rPr>
          <w:rFonts w:hint="eastAsia" w:ascii="Times New Roman" w:hAnsi="Times New Roman" w:eastAsia="仿宋_GB2312" w:cs="Times New Roman"/>
          <w:sz w:val="32"/>
          <w:szCs w:val="32"/>
          <w:lang w:val="en-US" w:eastAsia="zh-CN"/>
        </w:rPr>
        <w:t xml:space="preserve">一是改变预算资金安排方式与思维，落实零基预算精神，不得固化资金的使用方向和金额，要与职能职责和下年度工作安排紧密结合，并测算出具体支出需求。二是强化资金管理。按照轻重缓急和项目成熟度做好排序，集中财力，突出重点，优先保障基本支出和重点工作。三是避免资金沉淀，充分发挥资金效益，加快预算执行，前期准备不充分、年内不需要使用资金的，一律不列入项目库，不安排预算。四是建立项目调整退出机制，对于入库的项目实行滚动管理、动态调整，工作进展缓慢，难以实施的项目要退出项目库，将资金投入到条件成熟的项目上。 </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规范财务管理，保障资金安全</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sz w:val="32"/>
          <w:szCs w:val="32"/>
          <w:lang w:val="en-US" w:eastAsia="zh-CN"/>
        </w:rPr>
        <w:t xml:space="preserve">一是全方位实时监控资金使用进度，中心内部应及时通报使用情况以便进行调整。二是建立各业务部门与财务部门长效联动机制，加强沟通协调，推动项目实施进度，提高预算执行率。三是加强财务人员财政政策和业务培训，优化财会人员的知识结构，提高财会人员的整体专业技能，全面提升财务管理水平。 </w:t>
      </w:r>
    </w:p>
    <w:p>
      <w:pPr>
        <w:keepNext w:val="0"/>
        <w:keepLines w:val="0"/>
        <w:pageBreakBefore w:val="0"/>
        <w:widowControl w:val="0"/>
        <w:kinsoku/>
        <w:wordWrap/>
        <w:overflowPunct/>
        <w:topLinePunct w:val="0"/>
        <w:autoSpaceDE/>
        <w:autoSpaceDN/>
        <w:bidi w:val="0"/>
        <w:adjustRightInd w:val="0"/>
        <w:snapToGrid w:val="0"/>
        <w:spacing w:beforeLines="0" w:after="0" w:afterLines="0" w:line="600" w:lineRule="exact"/>
        <w:ind w:left="0" w:leftChars="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lang w:val="en-US" w:eastAsia="zh-CN" w:bidi="ar-SA"/>
        </w:rPr>
        <w:t>（五）加强资产管理，确保资产安全。</w:t>
      </w:r>
      <w:r>
        <w:rPr>
          <w:rFonts w:hint="eastAsia" w:ascii="Times New Roman" w:hAnsi="Times New Roman" w:eastAsia="仿宋_GB2312" w:cs="Times New Roman"/>
          <w:b/>
          <w:bCs/>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强化资产精细化管理，做好资产的日常管理，做到一卡一物，落实到部门和个人。要定时定期的进行资产清查，摸清家底，提高资产使用效率。</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楷体" w:hAnsi="楷体" w:eastAsia="楷体" w:cs="楷体"/>
          <w:b/>
          <w:bCs/>
          <w:kern w:val="2"/>
          <w:sz w:val="32"/>
          <w:szCs w:val="32"/>
          <w:lang w:val="en-US" w:eastAsia="zh-CN" w:bidi="ar-SA"/>
        </w:rPr>
        <w:t>（六）强化政府采购。</w:t>
      </w:r>
      <w:r>
        <w:rPr>
          <w:rFonts w:hint="eastAsia" w:ascii="Times New Roman" w:hAnsi="Times New Roman" w:eastAsia="仿宋_GB2312" w:cs="Times New Roman"/>
          <w:kern w:val="2"/>
          <w:sz w:val="32"/>
          <w:szCs w:val="32"/>
          <w:lang w:val="en-US" w:eastAsia="zh-CN" w:bidi="ar-SA"/>
        </w:rPr>
        <w:t>一是强化政府采购预算约束力，根据省采购目录和财政部门预算管理要求，编制政府采购计划，将采购项目全部纳入部门预算管理；采购前，做好采购政策咨询，充分沟通采购需求；采购中，合理选择采购方式，确保采购流程合理合规，做好采购项目信息的公示公开工作；采购后，抓好采购项目的监管工作，严把质量关、力求实效。二是积极开展采购人员的培训，及时充盈采购人员业务知识，并强化政府采购管理知识的运用。三是提前做好采购时间规划，预计项目开展时间，合理安排资金，项目与资金能统一到位。</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0"/>
        <w:rPr>
          <w:rFonts w:hint="eastAsia" w:ascii="Times New Roman" w:hAnsi="Times New Roman" w:eastAsia="黑体" w:cs="Times New Roman"/>
          <w:snapToGrid w:val="0"/>
          <w:color w:val="000000"/>
          <w:kern w:val="44"/>
          <w:sz w:val="32"/>
          <w:szCs w:val="21"/>
          <w:lang w:val="en-US" w:eastAsia="zh-CN" w:bidi="ar-SA"/>
        </w:rPr>
      </w:pPr>
      <w:r>
        <w:rPr>
          <w:rFonts w:hint="eastAsia" w:ascii="Times New Roman" w:hAnsi="Times New Roman" w:eastAsia="黑体" w:cs="Times New Roman"/>
          <w:snapToGrid w:val="0"/>
          <w:color w:val="000000"/>
          <w:kern w:val="44"/>
          <w:sz w:val="32"/>
          <w:szCs w:val="21"/>
          <w:lang w:val="en-US" w:eastAsia="zh-CN" w:bidi="ar-SA"/>
        </w:rPr>
        <w:t>九、单位整体支出绩效自评结果拟应用和公开情况</w:t>
      </w:r>
    </w:p>
    <w:p>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pPr>
      <w:r>
        <w:rPr>
          <w:rFonts w:hint="eastAsia" w:ascii="Times New Roman" w:hAnsi="Times New Roman" w:eastAsia="仿宋_GB2312" w:cs="Times New Roman"/>
          <w:kern w:val="2"/>
          <w:sz w:val="32"/>
          <w:szCs w:val="32"/>
          <w:lang w:val="en-US" w:eastAsia="zh-CN" w:bidi="ar-SA"/>
        </w:rPr>
        <w:t>本次单位整体支出绩效自评结果彰显了中心上年度工作成果的同时也暴露了部分问题和隐患，这些成绩和问题将作为来年工作和预算安排的重要依据，为提升资金使用效益、项目实施效率，规避问题和风险作出了有效指引。单位整体支出绩效自评报告及省级市场监管专项资金自评报告均按照要求在规定时间内在省市场监督管理局官网上进行公开。</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88"/>
    <w:family w:val="roman"/>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4703"/>
    <w:multiLevelType w:val="singleLevel"/>
    <w:tmpl w:val="90364703"/>
    <w:lvl w:ilvl="0" w:tentative="0">
      <w:start w:val="8"/>
      <w:numFmt w:val="chineseCounting"/>
      <w:suff w:val="nothing"/>
      <w:lvlText w:val="%1、"/>
      <w:lvlJc w:val="left"/>
      <w:rPr>
        <w:rFonts w:hint="eastAsia"/>
      </w:rPr>
    </w:lvl>
  </w:abstractNum>
  <w:abstractNum w:abstractNumId="1">
    <w:nsid w:val="C546E488"/>
    <w:multiLevelType w:val="singleLevel"/>
    <w:tmpl w:val="C546E488"/>
    <w:lvl w:ilvl="0" w:tentative="0">
      <w:start w:val="1"/>
      <w:numFmt w:val="chineseCounting"/>
      <w:suff w:val="nothing"/>
      <w:lvlText w:val="（%1）"/>
      <w:lvlJc w:val="left"/>
      <w:rPr>
        <w:rFonts w:hint="eastAsia"/>
      </w:rPr>
    </w:lvl>
  </w:abstractNum>
  <w:abstractNum w:abstractNumId="2">
    <w:nsid w:val="E5E097D7"/>
    <w:multiLevelType w:val="singleLevel"/>
    <w:tmpl w:val="E5E097D7"/>
    <w:lvl w:ilvl="0" w:tentative="0">
      <w:start w:val="1"/>
      <w:numFmt w:val="chineseCounting"/>
      <w:suff w:val="nothing"/>
      <w:lvlText w:val="（%1）"/>
      <w:lvlJc w:val="left"/>
      <w:rPr>
        <w:rFonts w:hint="eastAsia"/>
      </w:rPr>
    </w:lvl>
  </w:abstractNum>
  <w:abstractNum w:abstractNumId="3">
    <w:nsid w:val="EEE6BB0E"/>
    <w:multiLevelType w:val="singleLevel"/>
    <w:tmpl w:val="EEE6BB0E"/>
    <w:lvl w:ilvl="0" w:tentative="0">
      <w:start w:val="1"/>
      <w:numFmt w:val="chineseCounting"/>
      <w:suff w:val="nothing"/>
      <w:lvlText w:val="%1、"/>
      <w:lvlJc w:val="left"/>
      <w:rPr>
        <w:rFonts w:hint="eastAsia"/>
      </w:rPr>
    </w:lvl>
  </w:abstractNum>
  <w:abstractNum w:abstractNumId="4">
    <w:nsid w:val="FEAA65C7"/>
    <w:multiLevelType w:val="singleLevel"/>
    <w:tmpl w:val="FEAA65C7"/>
    <w:lvl w:ilvl="0" w:tentative="0">
      <w:start w:val="9"/>
      <w:numFmt w:val="decimal"/>
      <w:suff w:val="nothing"/>
      <w:lvlText w:val="%1、"/>
      <w:lvlJc w:val="left"/>
    </w:lvl>
  </w:abstractNum>
  <w:abstractNum w:abstractNumId="5">
    <w:nsid w:val="15A2429B"/>
    <w:multiLevelType w:val="singleLevel"/>
    <w:tmpl w:val="15A2429B"/>
    <w:lvl w:ilvl="0" w:tentative="0">
      <w:start w:val="3"/>
      <w:numFmt w:val="decimal"/>
      <w:suff w:val="nothing"/>
      <w:lvlText w:val="%1、"/>
      <w:lvlJc w:val="left"/>
    </w:lvl>
  </w:abstractNum>
  <w:abstractNum w:abstractNumId="6">
    <w:nsid w:val="25ED6539"/>
    <w:multiLevelType w:val="singleLevel"/>
    <w:tmpl w:val="25ED6539"/>
    <w:lvl w:ilvl="0" w:tentative="0">
      <w:start w:val="1"/>
      <w:numFmt w:val="chineseCounting"/>
      <w:suff w:val="nothing"/>
      <w:lvlText w:val="（%1）"/>
      <w:lvlJc w:val="left"/>
      <w:rPr>
        <w:rFonts w:hint="eastAsia" w:ascii="楷体" w:hAnsi="楷体" w:eastAsia="楷体" w:cs="楷体"/>
      </w:rPr>
    </w:lvl>
  </w:abstractNum>
  <w:abstractNum w:abstractNumId="7">
    <w:nsid w:val="57F9E032"/>
    <w:multiLevelType w:val="singleLevel"/>
    <w:tmpl w:val="57F9E032"/>
    <w:lvl w:ilvl="0" w:tentative="0">
      <w:start w:val="1"/>
      <w:numFmt w:val="chineseCounting"/>
      <w:suff w:val="nothing"/>
      <w:lvlText w:val="（%1）"/>
      <w:lvlJc w:val="left"/>
      <w:rPr>
        <w:rFonts w:hint="eastAsia"/>
      </w:rPr>
    </w:lvl>
  </w:abstractNum>
  <w:abstractNum w:abstractNumId="8">
    <w:nsid w:val="600AC516"/>
    <w:multiLevelType w:val="singleLevel"/>
    <w:tmpl w:val="600AC516"/>
    <w:lvl w:ilvl="0" w:tentative="0">
      <w:start w:val="1"/>
      <w:numFmt w:val="chineseCounting"/>
      <w:suff w:val="nothing"/>
      <w:lvlText w:val="%1、"/>
      <w:lvlJc w:val="left"/>
      <w:rPr>
        <w:rFonts w:hint="eastAsia"/>
      </w:rPr>
    </w:lvl>
  </w:abstractNum>
  <w:num w:numId="1">
    <w:abstractNumId w:val="3"/>
  </w:num>
  <w:num w:numId="2">
    <w:abstractNumId w:val="5"/>
  </w:num>
  <w:num w:numId="3">
    <w:abstractNumId w:val="4"/>
  </w:num>
  <w:num w:numId="4">
    <w:abstractNumId w:val="8"/>
  </w:num>
  <w:num w:numId="5">
    <w:abstractNumId w:val="1"/>
  </w:num>
  <w:num w:numId="6">
    <w:abstractNumId w:val="2"/>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21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NGNkZDgxZjYyYzkyOTZmYTJhY2Q4MjUwMWFkNTk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3CFE59A"/>
    <w:rsid w:val="34DF85B0"/>
    <w:rsid w:val="3B8F36BC"/>
    <w:rsid w:val="3FBF5974"/>
    <w:rsid w:val="491FF225"/>
    <w:rsid w:val="4CFF9CBB"/>
    <w:rsid w:val="4EBFF936"/>
    <w:rsid w:val="4FF69791"/>
    <w:rsid w:val="4FFD214C"/>
    <w:rsid w:val="5777D4F5"/>
    <w:rsid w:val="59DD8326"/>
    <w:rsid w:val="5DEF592A"/>
    <w:rsid w:val="5DEFEC62"/>
    <w:rsid w:val="5FC6BB1E"/>
    <w:rsid w:val="5FF720F1"/>
    <w:rsid w:val="64BB86FC"/>
    <w:rsid w:val="67FF5C0B"/>
    <w:rsid w:val="6EFC0924"/>
    <w:rsid w:val="6F7DF524"/>
    <w:rsid w:val="6FB74722"/>
    <w:rsid w:val="6FDDB640"/>
    <w:rsid w:val="6FEF0BCD"/>
    <w:rsid w:val="6FEF8B7E"/>
    <w:rsid w:val="6FFF77AB"/>
    <w:rsid w:val="71A6591B"/>
    <w:rsid w:val="737D59BA"/>
    <w:rsid w:val="73FCFCAD"/>
    <w:rsid w:val="77C37683"/>
    <w:rsid w:val="79D19834"/>
    <w:rsid w:val="79FF515B"/>
    <w:rsid w:val="7AFDF7C1"/>
    <w:rsid w:val="7CEBAD2E"/>
    <w:rsid w:val="7E9E1962"/>
    <w:rsid w:val="7E9F11B4"/>
    <w:rsid w:val="7F1E12B6"/>
    <w:rsid w:val="7F37EC1E"/>
    <w:rsid w:val="7F7DCD9D"/>
    <w:rsid w:val="7F970A6F"/>
    <w:rsid w:val="7FBB20D5"/>
    <w:rsid w:val="7FC1FFF3"/>
    <w:rsid w:val="7FC69637"/>
    <w:rsid w:val="7FD35044"/>
    <w:rsid w:val="7FDF8620"/>
    <w:rsid w:val="7FE8C8F7"/>
    <w:rsid w:val="7FFB242F"/>
    <w:rsid w:val="7FFDB408"/>
    <w:rsid w:val="7FFE4EEB"/>
    <w:rsid w:val="95FB2B98"/>
    <w:rsid w:val="9A639BC2"/>
    <w:rsid w:val="9FF7D786"/>
    <w:rsid w:val="ABBFB23D"/>
    <w:rsid w:val="BFD6E0AF"/>
    <w:rsid w:val="BFFE3EA0"/>
    <w:rsid w:val="C3B4DA5A"/>
    <w:rsid w:val="CBFF70E0"/>
    <w:rsid w:val="CDFF04EE"/>
    <w:rsid w:val="CFF50B82"/>
    <w:rsid w:val="CFFFAD89"/>
    <w:rsid w:val="D6F96C6A"/>
    <w:rsid w:val="D9DE60DB"/>
    <w:rsid w:val="DFEEAFC0"/>
    <w:rsid w:val="DFF499AA"/>
    <w:rsid w:val="DFFE359E"/>
    <w:rsid w:val="DFFE4FFD"/>
    <w:rsid w:val="E2FF5B1F"/>
    <w:rsid w:val="EEABED75"/>
    <w:rsid w:val="EEFF63CC"/>
    <w:rsid w:val="F56FDF51"/>
    <w:rsid w:val="F5F0A266"/>
    <w:rsid w:val="F6B69F17"/>
    <w:rsid w:val="F77F1D61"/>
    <w:rsid w:val="F7FED3A9"/>
    <w:rsid w:val="F8C9DB26"/>
    <w:rsid w:val="F97E8EAE"/>
    <w:rsid w:val="FB36E1A6"/>
    <w:rsid w:val="FB3BE134"/>
    <w:rsid w:val="FCFF4275"/>
    <w:rsid w:val="FD7FEEEA"/>
    <w:rsid w:val="FDFFB577"/>
    <w:rsid w:val="FEEA50FE"/>
    <w:rsid w:val="FF6BA35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1463</Words>
  <Characters>8342</Characters>
  <Lines>69</Lines>
  <Paragraphs>19</Paragraphs>
  <TotalTime>2</TotalTime>
  <ScaleCrop>false</ScaleCrop>
  <LinksUpToDate>false</LinksUpToDate>
  <CharactersWithSpaces>9786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2025-08-26T02:17:00Z</dcterms:created>
  <dc:creator>李航 null</dc:creator>
  <cp:lastModifiedBy>kylin</cp:lastModifiedBy>
  <cp:lastPrinted>2024-08-16T10:20:00Z</cp:lastPrinted>
  <dcterms:modified xsi:type="dcterms:W3CDTF">2025-09-28T09:37:49Z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C4AA407485F257D67B36A568594199D4_43</vt:lpwstr>
  </property>
</Properties>
</file>