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hAnsi="黑体"/>
          <w:sz w:val="36"/>
          <w:szCs w:val="36"/>
        </w:rPr>
      </w:pPr>
      <w:r>
        <w:rPr>
          <w:rFonts w:hint="eastAsia" w:hAnsi="黑体"/>
          <w:sz w:val="36"/>
          <w:szCs w:val="36"/>
        </w:rPr>
        <w:t>附件1</w:t>
      </w:r>
    </w:p>
    <w:p>
      <w:pPr>
        <w:pStyle w:val="16"/>
        <w:jc w:val="center"/>
        <w:rPr>
          <w:rFonts w:ascii="Times New Roman" w:hAnsi="Times New Roman" w:cs="Times New Roman"/>
          <w:sz w:val="56"/>
          <w:szCs w:val="56"/>
        </w:rPr>
      </w:pPr>
    </w:p>
    <w:p>
      <w:pPr>
        <w:pStyle w:val="16"/>
        <w:jc w:val="center"/>
        <w:rPr>
          <w:rFonts w:ascii="Times New Roman" w:hAnsi="Times New Roman" w:cs="Times New Roman"/>
          <w:sz w:val="84"/>
          <w:szCs w:val="84"/>
        </w:rPr>
      </w:pPr>
    </w:p>
    <w:p>
      <w:pPr>
        <w:pStyle w:val="16"/>
        <w:jc w:val="center"/>
        <w:rPr>
          <w:rFonts w:ascii="Times New Roman" w:hAnsi="Times New Roman" w:cs="Times New Roman"/>
          <w:sz w:val="84"/>
          <w:szCs w:val="84"/>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湖南省消费者权益保护服务中心单位</w:t>
      </w:r>
      <w:r>
        <w:rPr>
          <w:rFonts w:ascii="Times New Roman" w:hAnsi="Times New Roman" w:eastAsia="方正小标宋简体" w:cs="Times New Roman"/>
          <w:sz w:val="72"/>
          <w:szCs w:val="72"/>
        </w:rPr>
        <w:t>决算</w:t>
      </w:r>
    </w:p>
    <w:p>
      <w:pPr>
        <w:pStyle w:val="16"/>
        <w:jc w:val="center"/>
        <w:rPr>
          <w:rFonts w:ascii="Times New Roman" w:hAnsi="Times New Roman" w:eastAsia="方正小标宋_GBK" w:cs="Times New Roman"/>
          <w:sz w:val="56"/>
          <w:szCs w:val="56"/>
        </w:rPr>
      </w:pPr>
    </w:p>
    <w:p>
      <w:pPr>
        <w:pStyle w:val="16"/>
        <w:jc w:val="center"/>
        <w:rPr>
          <w:rFonts w:ascii="Times New Roman" w:hAnsi="Times New Roman" w:cs="Times New Roman"/>
          <w:sz w:val="56"/>
          <w:szCs w:val="56"/>
        </w:rPr>
      </w:pPr>
    </w:p>
    <w:p>
      <w:pPr>
        <w:pStyle w:val="16"/>
        <w:rPr>
          <w:rFonts w:ascii="Times New Roman" w:hAnsi="Times New Roman" w:cs="Times New Roman"/>
          <w:sz w:val="56"/>
          <w:szCs w:val="56"/>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6"/>
        <w:spacing w:line="600" w:lineRule="exact"/>
        <w:jc w:val="both"/>
        <w:rPr>
          <w:rFonts w:ascii="Times New Roman" w:hAnsi="Times New Roman" w:cs="Times New Roman"/>
          <w:b/>
          <w:sz w:val="36"/>
          <w:szCs w:val="28"/>
        </w:rPr>
      </w:pPr>
    </w:p>
    <w:p>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6"/>
        <w:spacing w:line="600" w:lineRule="exact"/>
        <w:jc w:val="center"/>
        <w:rPr>
          <w:rFonts w:ascii="Times New Roman" w:hAnsi="Times New Roman" w:cs="Times New Roman"/>
          <w:b/>
          <w:sz w:val="36"/>
          <w:szCs w:val="28"/>
        </w:rPr>
      </w:pPr>
    </w:p>
    <w:p>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湖南省消费者权益保护服务中心</w:t>
      </w:r>
      <w:r>
        <w:rPr>
          <w:rFonts w:ascii="Times New Roman" w:hAnsi="Times New Roman" w:cs="Times New Roman"/>
          <w:bCs/>
          <w:sz w:val="32"/>
          <w:szCs w:val="32"/>
        </w:rPr>
        <w:t>概况</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职责</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eastAsia="zh-CN"/>
        </w:rPr>
        <w:t>单位</w:t>
      </w:r>
      <w:r>
        <w:rPr>
          <w:rFonts w:ascii="Times New Roman" w:hAnsi="Times New Roman" w:cs="Times New Roman"/>
          <w:bCs/>
          <w:sz w:val="32"/>
          <w:szCs w:val="32"/>
        </w:rPr>
        <w:t>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eastAsia="zh-CN"/>
        </w:rPr>
        <w:t>单位</w:t>
      </w:r>
      <w:r>
        <w:rPr>
          <w:rFonts w:ascii="Times New Roman" w:hAnsi="Times New Roman" w:cs="Times New Roman"/>
          <w:bCs/>
          <w:sz w:val="32"/>
          <w:szCs w:val="32"/>
        </w:rPr>
        <w:t>决算情况说明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6"/>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0"/>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湖南省消费者权益保护服务中心</w:t>
      </w:r>
      <w:r>
        <w:rPr>
          <w:rFonts w:ascii="Times New Roman" w:hAnsi="Times New Roman" w:eastAsia="方正小标宋_GBK" w:cs="Times New Roman"/>
          <w:sz w:val="52"/>
          <w:szCs w:val="52"/>
        </w:rPr>
        <w:t>概况</w:t>
      </w:r>
    </w:p>
    <w:p>
      <w:pPr>
        <w:pStyle w:val="6"/>
        <w:ind w:left="0" w:leftChars="0" w:firstLine="0" w:firstLineChars="0"/>
        <w:rPr>
          <w:rFonts w:ascii="Times New Roman" w:hAnsi="Times New Roman" w:cs="Times New Roman"/>
        </w:rPr>
      </w:pPr>
    </w:p>
    <w:p>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职责</w:t>
      </w:r>
    </w:p>
    <w:p>
      <w:pPr>
        <w:pStyle w:val="22"/>
        <w:spacing w:line="600" w:lineRule="exact"/>
        <w:ind w:firstLine="640"/>
        <w:outlineLvl w:val="1"/>
        <w:rPr>
          <w:rFonts w:hint="eastAsia" w:ascii="Times New Roman" w:hAnsi="Times New Roman" w:eastAsia="仿宋_GB2312"/>
          <w:sz w:val="32"/>
          <w:szCs w:val="32"/>
        </w:rPr>
      </w:pPr>
      <w:r>
        <w:rPr>
          <w:rFonts w:hint="eastAsia" w:ascii="Times New Roman" w:hAnsi="Times New Roman" w:eastAsia="仿宋_GB2312"/>
          <w:sz w:val="32"/>
          <w:szCs w:val="32"/>
        </w:rPr>
        <w:t>湖南省消费者权益保护服务中心，为湖南省市场监督管理局</w:t>
      </w:r>
      <w:r>
        <w:rPr>
          <w:rFonts w:hint="eastAsia" w:ascii="Times New Roman" w:hAnsi="Times New Roman" w:eastAsia="仿宋_GB2312"/>
          <w:sz w:val="32"/>
          <w:szCs w:val="32"/>
          <w:lang w:eastAsia="zh-CN"/>
        </w:rPr>
        <w:t>直属</w:t>
      </w:r>
      <w:r>
        <w:rPr>
          <w:rFonts w:hint="eastAsia" w:ascii="Times New Roman" w:hAnsi="Times New Roman" w:eastAsia="仿宋_GB2312"/>
          <w:sz w:val="32"/>
          <w:szCs w:val="32"/>
        </w:rPr>
        <w:t>公益一类事业单位，机构规格相当于正处级。</w:t>
      </w:r>
    </w:p>
    <w:p>
      <w:pPr>
        <w:pStyle w:val="22"/>
        <w:spacing w:line="600" w:lineRule="exact"/>
        <w:ind w:firstLine="643"/>
        <w:outlineLvl w:val="1"/>
        <w:rPr>
          <w:rFonts w:hint="eastAsia" w:ascii="Times New Roman" w:hAnsi="Times New Roman" w:eastAsia="仿宋_GB2312"/>
          <w:b/>
          <w:sz w:val="32"/>
          <w:szCs w:val="32"/>
        </w:rPr>
      </w:pPr>
      <w:r>
        <w:rPr>
          <w:rFonts w:hint="eastAsia" w:ascii="Times New Roman" w:hAnsi="Times New Roman" w:eastAsia="仿宋_GB2312"/>
          <w:b/>
          <w:sz w:val="32"/>
          <w:szCs w:val="32"/>
        </w:rPr>
        <w:t>（一）主要职责：</w:t>
      </w:r>
    </w:p>
    <w:p>
      <w:pPr>
        <w:pStyle w:val="22"/>
        <w:widowControl w:val="0"/>
        <w:kinsoku/>
        <w:autoSpaceDE/>
        <w:autoSpaceDN/>
        <w:adjustRightInd/>
        <w:spacing w:line="600" w:lineRule="exact"/>
        <w:ind w:firstLine="640"/>
        <w:textAlignment w:val="auto"/>
        <w:outlineLvl w:val="1"/>
        <w:rPr>
          <w:rFonts w:hint="eastAsia" w:ascii="Times New Roman" w:hAnsi="Times New Roman" w:eastAsia="仿宋_GB2312"/>
          <w:sz w:val="32"/>
          <w:szCs w:val="32"/>
        </w:rPr>
      </w:pPr>
      <w:r>
        <w:rPr>
          <w:rFonts w:hint="eastAsia" w:ascii="Times New Roman" w:hAnsi="Times New Roman" w:eastAsia="仿宋_GB2312"/>
          <w:sz w:val="32"/>
          <w:szCs w:val="32"/>
        </w:rPr>
        <w:t>1.为机关提供支持保障的职能</w:t>
      </w:r>
    </w:p>
    <w:p>
      <w:pPr>
        <w:pStyle w:val="22"/>
        <w:widowControl w:val="0"/>
        <w:kinsoku/>
        <w:autoSpaceDE/>
        <w:autoSpaceDN/>
        <w:adjustRightInd/>
        <w:spacing w:line="600" w:lineRule="exact"/>
        <w:ind w:firstLine="640"/>
        <w:textAlignment w:val="auto"/>
        <w:outlineLvl w:val="1"/>
        <w:rPr>
          <w:rFonts w:hint="eastAsia" w:ascii="Times New Roman" w:hAnsi="Times New Roman" w:eastAsia="华文仿宋"/>
          <w:sz w:val="32"/>
          <w:szCs w:val="32"/>
        </w:rPr>
      </w:pPr>
      <w:r>
        <w:rPr>
          <w:rFonts w:hint="eastAsia" w:ascii="Times New Roman" w:hAnsi="Times New Roman" w:eastAsia="华文仿宋"/>
          <w:sz w:val="32"/>
          <w:szCs w:val="32"/>
        </w:rPr>
        <w:t>（1）承担湖南省消费者权益保护委员会日常工作职责。</w:t>
      </w:r>
    </w:p>
    <w:p>
      <w:pPr>
        <w:pStyle w:val="22"/>
        <w:widowControl w:val="0"/>
        <w:kinsoku/>
        <w:autoSpaceDE/>
        <w:autoSpaceDN/>
        <w:adjustRightInd/>
        <w:spacing w:line="600" w:lineRule="exact"/>
        <w:ind w:firstLine="640"/>
        <w:textAlignment w:val="auto"/>
        <w:outlineLvl w:val="1"/>
        <w:rPr>
          <w:rFonts w:hint="eastAsia" w:ascii="Times New Roman" w:hAnsi="Times New Roman" w:eastAsia="华文仿宋"/>
          <w:sz w:val="32"/>
          <w:szCs w:val="32"/>
          <w:lang w:eastAsia="zh-CN"/>
        </w:rPr>
      </w:pPr>
      <w:r>
        <w:rPr>
          <w:rFonts w:hint="eastAsia" w:ascii="Times New Roman" w:hAnsi="Times New Roman" w:eastAsia="华文仿宋"/>
          <w:sz w:val="32"/>
          <w:szCs w:val="32"/>
        </w:rPr>
        <w:t>（2）协助开展消费者权益保护工作</w:t>
      </w:r>
      <w:r>
        <w:rPr>
          <w:rFonts w:hint="eastAsia" w:ascii="Times New Roman" w:hAnsi="Times New Roman" w:eastAsia="华文仿宋"/>
          <w:sz w:val="32"/>
          <w:szCs w:val="32"/>
          <w:lang w:eastAsia="zh-CN"/>
        </w:rPr>
        <w:t>。</w:t>
      </w:r>
    </w:p>
    <w:p>
      <w:pPr>
        <w:pStyle w:val="22"/>
        <w:widowControl w:val="0"/>
        <w:kinsoku/>
        <w:autoSpaceDE/>
        <w:autoSpaceDN/>
        <w:adjustRightInd/>
        <w:spacing w:line="600" w:lineRule="exact"/>
        <w:ind w:firstLine="640"/>
        <w:textAlignment w:val="auto"/>
        <w:outlineLvl w:val="1"/>
        <w:rPr>
          <w:rFonts w:hint="eastAsia" w:ascii="Times New Roman" w:hAnsi="Times New Roman" w:eastAsia="华文仿宋"/>
          <w:sz w:val="32"/>
          <w:szCs w:val="32"/>
        </w:rPr>
      </w:pPr>
      <w:r>
        <w:rPr>
          <w:rFonts w:hint="eastAsia" w:ascii="Times New Roman" w:hAnsi="Times New Roman" w:eastAsia="华文仿宋"/>
          <w:sz w:val="32"/>
          <w:szCs w:val="32"/>
        </w:rPr>
        <w:t>（3）对省以下消费者权益保护组织进行业务指导。</w:t>
      </w:r>
    </w:p>
    <w:p>
      <w:pPr>
        <w:pStyle w:val="22"/>
        <w:widowControl w:val="0"/>
        <w:kinsoku/>
        <w:autoSpaceDE/>
        <w:autoSpaceDN/>
        <w:adjustRightInd/>
        <w:spacing w:line="600" w:lineRule="exact"/>
        <w:ind w:firstLine="640"/>
        <w:textAlignment w:val="auto"/>
        <w:outlineLvl w:val="1"/>
        <w:rPr>
          <w:rFonts w:hint="eastAsia" w:ascii="Times New Roman" w:hAnsi="Times New Roman" w:eastAsia="华文仿宋"/>
          <w:sz w:val="32"/>
          <w:szCs w:val="32"/>
        </w:rPr>
      </w:pPr>
      <w:r>
        <w:rPr>
          <w:rFonts w:hint="eastAsia" w:ascii="Times New Roman" w:hAnsi="Times New Roman" w:eastAsia="华文仿宋"/>
          <w:sz w:val="32"/>
          <w:szCs w:val="32"/>
        </w:rPr>
        <w:t>2.面向社会提供的公益服务的职能</w:t>
      </w:r>
    </w:p>
    <w:p>
      <w:pPr>
        <w:pStyle w:val="22"/>
        <w:widowControl w:val="0"/>
        <w:kinsoku/>
        <w:autoSpaceDE/>
        <w:autoSpaceDN/>
        <w:adjustRightInd/>
        <w:spacing w:line="600" w:lineRule="exact"/>
        <w:ind w:firstLine="640"/>
        <w:textAlignment w:val="auto"/>
        <w:outlineLvl w:val="1"/>
        <w:rPr>
          <w:rFonts w:hint="eastAsia" w:ascii="Times New Roman" w:hAnsi="Times New Roman" w:eastAsia="华文仿宋"/>
          <w:sz w:val="32"/>
          <w:szCs w:val="32"/>
        </w:rPr>
      </w:pPr>
      <w:r>
        <w:rPr>
          <w:rFonts w:hint="eastAsia" w:ascii="Times New Roman" w:hAnsi="Times New Roman" w:eastAsia="华文仿宋"/>
          <w:sz w:val="32"/>
          <w:szCs w:val="32"/>
        </w:rPr>
        <w:t>承担消费者权益咨询、投诉、调查、调解、援助服务等相关公益性职能。</w:t>
      </w:r>
    </w:p>
    <w:p>
      <w:pPr>
        <w:pStyle w:val="22"/>
        <w:widowControl w:val="0"/>
        <w:kinsoku/>
        <w:autoSpaceDE/>
        <w:autoSpaceDN/>
        <w:adjustRightInd/>
        <w:spacing w:line="600" w:lineRule="exact"/>
        <w:ind w:firstLine="640"/>
        <w:textAlignment w:val="auto"/>
        <w:outlineLvl w:val="1"/>
        <w:rPr>
          <w:rFonts w:hint="eastAsia" w:ascii="黑体" w:hAnsi="黑体" w:eastAsia="黑体" w:cs="黑体"/>
          <w:b w:val="0"/>
          <w:bCs/>
          <w:kern w:val="0"/>
          <w:sz w:val="32"/>
          <w:szCs w:val="32"/>
        </w:rPr>
      </w:pPr>
      <w:r>
        <w:rPr>
          <w:rFonts w:hint="eastAsia" w:ascii="Times New Roman" w:hAnsi="Times New Roman" w:eastAsia="华文仿宋"/>
          <w:sz w:val="32"/>
          <w:szCs w:val="32"/>
        </w:rPr>
        <w:t>3.完成省市场监督管理局交办的其他任务。</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仿宋_GB2312" w:hAnsi="仿宋" w:eastAsia="仿宋_GB2312"/>
          <w:sz w:val="32"/>
          <w:szCs w:val="32"/>
        </w:rPr>
        <w:t>单位人员较少，按岗位设置，没有设立内设机构</w:t>
      </w:r>
      <w:r>
        <w:rPr>
          <w:rFonts w:hint="eastAsia" w:ascii="仿宋_GB2312" w:hAnsi="仿宋" w:eastAsia="仿宋_GB2312"/>
          <w:sz w:val="32"/>
          <w:szCs w:val="32"/>
          <w:lang w:eastAsia="zh-CN"/>
        </w:rPr>
        <w:t>。</w:t>
      </w:r>
    </w:p>
    <w:p>
      <w:pPr>
        <w:pStyle w:val="22"/>
        <w:widowControl w:val="0"/>
        <w:kinsoku/>
        <w:autoSpaceDE/>
        <w:autoSpaceDN/>
        <w:adjustRightInd/>
        <w:spacing w:line="600" w:lineRule="exact"/>
        <w:ind w:firstLine="640"/>
        <w:textAlignment w:val="auto"/>
        <w:outlineLvl w:val="1"/>
        <w:rPr>
          <w:rFonts w:hint="eastAsia" w:ascii="Times New Roman" w:hAnsi="Times New Roman" w:eastAsia="华文仿宋"/>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华文仿宋"/>
          <w:sz w:val="32"/>
          <w:szCs w:val="32"/>
          <w:lang w:eastAsia="zh-CN"/>
        </w:rPr>
        <w:t>湖南省消费者权益保护服务中心</w:t>
      </w:r>
      <w:r>
        <w:rPr>
          <w:rFonts w:hint="eastAsia" w:ascii="Times New Roman" w:hAnsi="Times New Roman" w:eastAsia="华文仿宋"/>
          <w:sz w:val="32"/>
          <w:szCs w:val="32"/>
        </w:rPr>
        <w:t>202</w:t>
      </w:r>
      <w:r>
        <w:rPr>
          <w:rFonts w:hint="eastAsia" w:ascii="Times New Roman" w:hAnsi="Times New Roman" w:eastAsia="华文仿宋"/>
          <w:sz w:val="32"/>
          <w:szCs w:val="32"/>
          <w:lang w:val="en-US" w:eastAsia="zh-CN"/>
        </w:rPr>
        <w:t>4</w:t>
      </w:r>
      <w:r>
        <w:rPr>
          <w:rFonts w:hint="eastAsia" w:ascii="Times New Roman" w:hAnsi="Times New Roman" w:eastAsia="华文仿宋"/>
          <w:sz w:val="32"/>
          <w:szCs w:val="32"/>
        </w:rPr>
        <w:t>年</w:t>
      </w:r>
      <w:r>
        <w:rPr>
          <w:rFonts w:hint="eastAsia" w:ascii="Times New Roman" w:hAnsi="Times New Roman" w:eastAsia="华文仿宋"/>
          <w:sz w:val="32"/>
          <w:szCs w:val="32"/>
          <w:lang w:eastAsia="zh-CN"/>
        </w:rPr>
        <w:t>单位</w:t>
      </w:r>
      <w:r>
        <w:rPr>
          <w:rFonts w:hint="eastAsia" w:ascii="Times New Roman" w:hAnsi="Times New Roman" w:eastAsia="华文仿宋"/>
          <w:sz w:val="32"/>
          <w:szCs w:val="32"/>
        </w:rPr>
        <w:t>决算汇总公开单位构成包括：</w:t>
      </w:r>
      <w:r>
        <w:rPr>
          <w:rFonts w:hint="eastAsia" w:ascii="Times New Roman" w:hAnsi="Times New Roman" w:eastAsia="华文仿宋"/>
          <w:sz w:val="32"/>
          <w:szCs w:val="32"/>
          <w:lang w:eastAsia="zh-CN"/>
        </w:rPr>
        <w:t>湖南省消费者权益保护服务中心</w:t>
      </w:r>
      <w:r>
        <w:rPr>
          <w:rFonts w:hint="eastAsia" w:ascii="Times New Roman" w:hAnsi="Times New Roman" w:eastAsia="华文仿宋"/>
          <w:sz w:val="32"/>
          <w:szCs w:val="32"/>
        </w:rPr>
        <w:t>单位本级</w:t>
      </w:r>
      <w:r>
        <w:rPr>
          <w:rFonts w:hint="eastAsia" w:ascii="Times New Roman" w:hAnsi="Times New Roman" w:eastAsia="华文仿宋"/>
          <w:sz w:val="32"/>
          <w:szCs w:val="32"/>
          <w:lang w:eastAsia="zh-CN"/>
        </w:rPr>
        <w:t>。</w:t>
      </w:r>
    </w:p>
    <w:p>
      <w:pPr>
        <w:jc w:val="both"/>
        <w:rPr>
          <w:rFonts w:ascii="Times New Roman" w:hAnsi="Times New Roman" w:eastAsia="黑体" w:cs="Times New Roman"/>
          <w:sz w:val="28"/>
          <w:szCs w:val="28"/>
        </w:rPr>
      </w:pPr>
    </w:p>
    <w:p>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第二部分    </w:t>
      </w:r>
      <w:r>
        <w:rPr>
          <w:rFonts w:hint="eastAsia" w:ascii="Times New Roman" w:hAnsi="Times New Roman" w:eastAsia="方正小标宋_GBK" w:cs="Times New Roman"/>
          <w:sz w:val="52"/>
          <w:szCs w:val="52"/>
          <w:lang w:eastAsia="zh-CN"/>
        </w:rPr>
        <w:t>单位</w:t>
      </w:r>
      <w:r>
        <w:rPr>
          <w:rFonts w:ascii="Times New Roman" w:hAnsi="Times New Roman" w:eastAsia="方正小标宋_GBK" w:cs="Times New Roman"/>
          <w:sz w:val="52"/>
          <w:szCs w:val="52"/>
        </w:rPr>
        <w:t>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单位：湖南省消费者权益保护服务中心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535.40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456.91</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31.09</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17.80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pPr>
          </w:p>
          <w:p>
            <w:pPr>
              <w:pStyle w:val="6"/>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27.50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二十四、债务还本支出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二十五、债务付息支出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二十六、抗疫特别国债安排的支出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535.40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533.30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6.59</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539.89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539.89</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0"/>
          <w:szCs w:val="20"/>
          <w:lang w:val="en-US" w:eastAsia="zh-CN"/>
        </w:rPr>
        <w:t>单位：湖南省消费者权益保护服务中心</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单位：万元</w:t>
      </w:r>
    </w:p>
    <w:tbl>
      <w:tblPr>
        <w:tblStyle w:val="11"/>
        <w:tblW w:w="15248" w:type="dxa"/>
        <w:jc w:val="center"/>
        <w:tblLayout w:type="fixed"/>
        <w:tblCellMar>
          <w:top w:w="0" w:type="dxa"/>
          <w:left w:w="0" w:type="dxa"/>
          <w:bottom w:w="0" w:type="dxa"/>
          <w:right w:w="0" w:type="dxa"/>
        </w:tblCellMar>
      </w:tblPr>
      <w:tblGrid>
        <w:gridCol w:w="1897"/>
        <w:gridCol w:w="3921"/>
        <w:gridCol w:w="1108"/>
        <w:gridCol w:w="1360"/>
        <w:gridCol w:w="1360"/>
        <w:gridCol w:w="1360"/>
        <w:gridCol w:w="1360"/>
        <w:gridCol w:w="1360"/>
        <w:gridCol w:w="1522"/>
      </w:tblGrid>
      <w:tr>
        <w:tblPrEx>
          <w:tblCellMar>
            <w:top w:w="0" w:type="dxa"/>
            <w:left w:w="0" w:type="dxa"/>
            <w:bottom w:w="0" w:type="dxa"/>
            <w:right w:w="0" w:type="dxa"/>
          </w:tblCellMar>
        </w:tblPrEx>
        <w:trPr>
          <w:trHeight w:val="538" w:hRule="atLeast"/>
          <w:jc w:val="center"/>
        </w:trPr>
        <w:tc>
          <w:tcPr>
            <w:tcW w:w="581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1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5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82" w:hRule="exact"/>
          <w:jc w:val="center"/>
        </w:trPr>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92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10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89" w:hRule="atLeast"/>
          <w:jc w:val="center"/>
        </w:trPr>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921"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0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00" w:hRule="atLeast"/>
          <w:jc w:val="center"/>
        </w:trPr>
        <w:tc>
          <w:tcPr>
            <w:tcW w:w="58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1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5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300" w:hRule="atLeast"/>
          <w:jc w:val="center"/>
        </w:trPr>
        <w:tc>
          <w:tcPr>
            <w:tcW w:w="58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535.40</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535.40</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r>
              <w:rPr>
                <w:rFonts w:hint="eastAsia" w:ascii="宋体" w:hAnsi="宋体" w:eastAsia="宋体" w:cs="宋体"/>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5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一般公共服务支出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458.95</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458.95</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20138</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市场监督管理事务</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458.95</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458.95</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2013850</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事业运行</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352.11</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352.11</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2013899</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其他市场监督管理事务</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106.84</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106.84</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社会保障和就业支出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31.15</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31.15</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行政事业单位养老支出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29.47</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29.47</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2080502</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事业单位离退休</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0.97</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0.97</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机关事业单位基本养老保险缴费支出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28.50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28.50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20899</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其他社会保障和就业支出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1.68</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1.68</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2089999</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其他社会保障和就业支出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1.68</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1.68</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卫生健康支出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17.80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17.80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行政事业单位医疗</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17.80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17.80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2101102</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事业单位医疗</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17.80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17.80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住房保障支出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27.50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27.50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住房改革支出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27.50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27.50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r>
      <w:tr>
        <w:tblPrEx>
          <w:tblCellMar>
            <w:top w:w="0" w:type="dxa"/>
            <w:left w:w="0" w:type="dxa"/>
            <w:bottom w:w="0" w:type="dxa"/>
            <w:right w:w="0" w:type="dxa"/>
          </w:tblCellMar>
        </w:tblPrEx>
        <w:trPr>
          <w:trHeight w:val="300" w:hRule="atLeast"/>
          <w:jc w:val="center"/>
        </w:trPr>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392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住房公积金</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27.50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27.50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rPr>
            </w:pPr>
            <w:r>
              <w:rPr>
                <w:rFonts w:hint="eastAsia" w:ascii="宋体" w:hAnsi="宋体" w:eastAsia="宋体" w:cs="宋体"/>
                <w:lang w:val="en-US" w:eastAsia="zh-CN"/>
              </w:rPr>
              <w:t>0.00</w:t>
            </w:r>
          </w:p>
        </w:tc>
      </w:tr>
    </w:tbl>
    <w:p>
      <w:pPr>
        <w:spacing w:before="120"/>
        <w:rPr>
          <w:rFonts w:ascii="Times New Roman" w:hAnsi="Times New Roman" w:eastAsia="黑体" w:cs="Times New Roman"/>
          <w:color w:val="000000"/>
          <w:kern w:val="0"/>
          <w:sz w:val="32"/>
          <w:szCs w:val="32"/>
        </w:rPr>
      </w:pPr>
      <w:r>
        <w:rPr>
          <w:rFonts w:ascii="Times New Roman" w:hAnsi="Times New Roman" w:eastAsia="仿宋_GB2312" w:cs="Times New Roman"/>
        </w:rPr>
        <w:t>注：本表反映部门本年度取得的各项收入情况。</w:t>
      </w: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单位：湖南省消费者权益保护服务中心</w:t>
      </w:r>
      <w:r>
        <w:rPr>
          <w:rFonts w:ascii="Times New Roman" w:hAnsi="Times New Roman" w:eastAsia="仿宋_GB2312" w:cs="Times New Roman"/>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8" w:type="pct"/>
        <w:jc w:val="center"/>
        <w:tblLayout w:type="fixed"/>
        <w:tblCellMar>
          <w:top w:w="0" w:type="dxa"/>
          <w:left w:w="108" w:type="dxa"/>
          <w:bottom w:w="0" w:type="dxa"/>
          <w:right w:w="108" w:type="dxa"/>
        </w:tblCellMar>
      </w:tblPr>
      <w:tblGrid>
        <w:gridCol w:w="2159"/>
        <w:gridCol w:w="3995"/>
        <w:gridCol w:w="1575"/>
        <w:gridCol w:w="1575"/>
        <w:gridCol w:w="1575"/>
        <w:gridCol w:w="1575"/>
        <w:gridCol w:w="1575"/>
        <w:gridCol w:w="1579"/>
      </w:tblGrid>
      <w:tr>
        <w:tblPrEx>
          <w:tblCellMar>
            <w:top w:w="0" w:type="dxa"/>
            <w:left w:w="108" w:type="dxa"/>
            <w:bottom w:w="0" w:type="dxa"/>
            <w:right w:w="108" w:type="dxa"/>
          </w:tblCellMar>
        </w:tblPrEx>
        <w:trPr>
          <w:trHeight w:val="595" w:hRule="atLeast"/>
          <w:jc w:val="center"/>
        </w:trPr>
        <w:tc>
          <w:tcPr>
            <w:tcW w:w="197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w:t>
            </w:r>
          </w:p>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合计</w:t>
            </w:r>
          </w:p>
        </w:tc>
        <w:tc>
          <w:tcPr>
            <w:tcW w:w="5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w:t>
            </w:r>
          </w:p>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支出</w:t>
            </w:r>
          </w:p>
        </w:tc>
        <w:tc>
          <w:tcPr>
            <w:tcW w:w="5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69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6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7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97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04"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04"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04"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04"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04"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0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300" w:hRule="atLeast"/>
          <w:jc w:val="center"/>
        </w:trPr>
        <w:tc>
          <w:tcPr>
            <w:tcW w:w="197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533.30</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431.15</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102.15</w:t>
            </w:r>
          </w:p>
        </w:tc>
        <w:tc>
          <w:tcPr>
            <w:tcW w:w="504"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4"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456.91</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354.76</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102.15</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20138</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市场监督管理事务</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456.91</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354.76</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102.15</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2013850</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354.76</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354.76</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2013899</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102.15</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102.15</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31.09</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31.09</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29.42</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29.42</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2080502</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事业单位离退休</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0.92</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0.92</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28.50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28.50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20899</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1.67</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1.67</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1.67</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1.67</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17.80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17.80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17.80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17.80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17.80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17.80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27.50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27.50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27.50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27.50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27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27.50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27.50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单位：湖南省消费者权益保护服务中心</w:t>
      </w:r>
      <w:r>
        <w:rPr>
          <w:rFonts w:ascii="Times New Roman" w:hAnsi="Times New Roman" w:eastAsia="仿宋_GB2312" w:cs="Times New Roman"/>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15614" w:type="dxa"/>
        <w:jc w:val="center"/>
        <w:tblLayout w:type="fixed"/>
        <w:tblCellMar>
          <w:top w:w="0" w:type="dxa"/>
          <w:left w:w="108" w:type="dxa"/>
          <w:bottom w:w="0" w:type="dxa"/>
          <w:right w:w="108" w:type="dxa"/>
        </w:tblCellMar>
      </w:tblPr>
      <w:tblGrid>
        <w:gridCol w:w="3516"/>
        <w:gridCol w:w="737"/>
        <w:gridCol w:w="896"/>
        <w:gridCol w:w="3341"/>
        <w:gridCol w:w="777"/>
        <w:gridCol w:w="996"/>
        <w:gridCol w:w="1783"/>
        <w:gridCol w:w="1783"/>
        <w:gridCol w:w="1785"/>
      </w:tblGrid>
      <w:tr>
        <w:tblPrEx>
          <w:tblCellMar>
            <w:top w:w="0" w:type="dxa"/>
            <w:left w:w="108" w:type="dxa"/>
            <w:bottom w:w="0" w:type="dxa"/>
            <w:right w:w="108" w:type="dxa"/>
          </w:tblCellMar>
        </w:tblPrEx>
        <w:trPr>
          <w:trHeight w:val="402" w:hRule="atLeast"/>
          <w:jc w:val="center"/>
        </w:trPr>
        <w:tc>
          <w:tcPr>
            <w:tcW w:w="514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10465"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行次</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3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行次</w:t>
            </w:r>
          </w:p>
        </w:tc>
        <w:tc>
          <w:tcPr>
            <w:tcW w:w="9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3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535.40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一、一般公共服务支出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w:t>
            </w:r>
          </w:p>
        </w:tc>
        <w:tc>
          <w:tcPr>
            <w:tcW w:w="9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456.91</w:t>
            </w:r>
          </w:p>
        </w:tc>
        <w:tc>
          <w:tcPr>
            <w:tcW w:w="17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456.91</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二、外交支出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34</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三、国防支出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88"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四、公共安全支出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36</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五、教育支出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六、科学技术支出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39</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w:t>
            </w:r>
          </w:p>
        </w:tc>
        <w:tc>
          <w:tcPr>
            <w:tcW w:w="9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31.09</w:t>
            </w:r>
          </w:p>
        </w:tc>
        <w:tc>
          <w:tcPr>
            <w:tcW w:w="17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31.09</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41</w:t>
            </w:r>
          </w:p>
        </w:tc>
        <w:tc>
          <w:tcPr>
            <w:tcW w:w="9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17.80</w:t>
            </w:r>
          </w:p>
        </w:tc>
        <w:tc>
          <w:tcPr>
            <w:tcW w:w="17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17.80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十一、城乡社区支出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十三、交通运输支出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十四、资源勘探工业信息等支出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十五、商业服务业等支出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十六、金融支出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十七、援助其他地区支出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十八、自然资源海洋气象等支出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w:t>
            </w:r>
          </w:p>
        </w:tc>
        <w:tc>
          <w:tcPr>
            <w:tcW w:w="9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27.50</w:t>
            </w:r>
          </w:p>
        </w:tc>
        <w:tc>
          <w:tcPr>
            <w:tcW w:w="17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27.50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二十、粮油物资储备支出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二十一、国有资本经营预算支出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w:t>
            </w:r>
            <w:r>
              <w:rPr>
                <w:rFonts w:hint="eastAsia" w:ascii="Times New Roman" w:hAnsi="Times New Roman" w:eastAsia="仿宋_GB2312" w:cs="Times New Roman"/>
                <w:spacing w:val="-11"/>
                <w:kern w:val="0"/>
                <w:sz w:val="22"/>
                <w:lang w:val="en-US" w:eastAsia="zh-CN"/>
              </w:rPr>
              <w:t>十二、灾害防治及应急管理支出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二十三、其他支出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二十四、债务还本支出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二十五、债务付息支出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57</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w:t>
            </w:r>
            <w:r>
              <w:rPr>
                <w:rFonts w:hint="eastAsia" w:ascii="Times New Roman" w:hAnsi="Times New Roman" w:eastAsia="仿宋_GB2312" w:cs="Times New Roman"/>
                <w:spacing w:val="-11"/>
                <w:kern w:val="0"/>
                <w:sz w:val="22"/>
                <w:lang w:val="en-US" w:eastAsia="zh-CN"/>
              </w:rPr>
              <w:t>十六、抗疫特别国债安排的支出</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8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535.40</w:t>
            </w:r>
          </w:p>
        </w:tc>
        <w:tc>
          <w:tcPr>
            <w:tcW w:w="33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59</w:t>
            </w:r>
          </w:p>
        </w:tc>
        <w:tc>
          <w:tcPr>
            <w:tcW w:w="9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533.30</w:t>
            </w:r>
          </w:p>
        </w:tc>
        <w:tc>
          <w:tcPr>
            <w:tcW w:w="17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533.30</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8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4.49</w:t>
            </w:r>
          </w:p>
        </w:tc>
        <w:tc>
          <w:tcPr>
            <w:tcW w:w="33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60</w:t>
            </w:r>
          </w:p>
        </w:tc>
        <w:tc>
          <w:tcPr>
            <w:tcW w:w="9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6.59</w:t>
            </w:r>
          </w:p>
        </w:tc>
        <w:tc>
          <w:tcPr>
            <w:tcW w:w="17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6.59</w:t>
            </w: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8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4.49</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7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62</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7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8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3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63</w:t>
            </w:r>
          </w:p>
        </w:tc>
        <w:tc>
          <w:tcPr>
            <w:tcW w:w="9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7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7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737"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8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539.89</w:t>
            </w:r>
          </w:p>
        </w:tc>
        <w:tc>
          <w:tcPr>
            <w:tcW w:w="334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7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w:t>
            </w:r>
          </w:p>
        </w:tc>
        <w:tc>
          <w:tcPr>
            <w:tcW w:w="9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539.89</w:t>
            </w:r>
          </w:p>
        </w:tc>
        <w:tc>
          <w:tcPr>
            <w:tcW w:w="178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539.89</w:t>
            </w:r>
          </w:p>
        </w:tc>
        <w:tc>
          <w:tcPr>
            <w:tcW w:w="17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8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pStyle w:val="10"/>
        <w:rPr>
          <w:rFonts w:ascii="Times New Roman" w:hAnsi="Times New Roman" w:eastAsia="方正小标宋_GBK" w:cs="Times New Roman"/>
          <w:kern w:val="0"/>
          <w:sz w:val="36"/>
          <w:szCs w:val="36"/>
        </w:rPr>
      </w:pPr>
    </w:p>
    <w:p>
      <w:pPr>
        <w:pStyle w:val="6"/>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10"/>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单位</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lang w:eastAsia="zh-CN"/>
        </w:rPr>
        <w:t>湖南省消费者权益保护服务中心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1"/>
        <w:tblW w:w="14219" w:type="dxa"/>
        <w:jc w:val="center"/>
        <w:tblLayout w:type="autofit"/>
        <w:tblCellMar>
          <w:top w:w="0" w:type="dxa"/>
          <w:left w:w="108" w:type="dxa"/>
          <w:bottom w:w="0" w:type="dxa"/>
          <w:right w:w="108" w:type="dxa"/>
        </w:tblCellMar>
      </w:tblPr>
      <w:tblGrid>
        <w:gridCol w:w="1200"/>
        <w:gridCol w:w="3784"/>
        <w:gridCol w:w="2743"/>
        <w:gridCol w:w="3492"/>
        <w:gridCol w:w="3000"/>
      </w:tblGrid>
      <w:tr>
        <w:tblPrEx>
          <w:tblCellMar>
            <w:top w:w="0" w:type="dxa"/>
            <w:left w:w="108" w:type="dxa"/>
            <w:bottom w:w="0" w:type="dxa"/>
            <w:right w:w="108" w:type="dxa"/>
          </w:tblCellMar>
        </w:tblPrEx>
        <w:trPr>
          <w:trHeight w:val="453" w:hRule="atLeast"/>
          <w:jc w:val="center"/>
        </w:trPr>
        <w:tc>
          <w:tcPr>
            <w:tcW w:w="498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35"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4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8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4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8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4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98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98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533.30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431.15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102.15</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201</w:t>
            </w:r>
          </w:p>
        </w:tc>
        <w:tc>
          <w:tcPr>
            <w:tcW w:w="3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一般公共服务支出</w:t>
            </w:r>
          </w:p>
        </w:tc>
        <w:tc>
          <w:tcPr>
            <w:tcW w:w="2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456.91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354.76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102.15</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20138</w:t>
            </w:r>
          </w:p>
        </w:tc>
        <w:tc>
          <w:tcPr>
            <w:tcW w:w="3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市场监督管理事务</w:t>
            </w:r>
          </w:p>
        </w:tc>
        <w:tc>
          <w:tcPr>
            <w:tcW w:w="2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456.91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354.76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102.15</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2013850</w:t>
            </w:r>
          </w:p>
        </w:tc>
        <w:tc>
          <w:tcPr>
            <w:tcW w:w="3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事业运行</w:t>
            </w:r>
          </w:p>
        </w:tc>
        <w:tc>
          <w:tcPr>
            <w:tcW w:w="2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354.76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354.76</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2013899</w:t>
            </w:r>
          </w:p>
        </w:tc>
        <w:tc>
          <w:tcPr>
            <w:tcW w:w="3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其他市场监督管理事务</w:t>
            </w:r>
          </w:p>
        </w:tc>
        <w:tc>
          <w:tcPr>
            <w:tcW w:w="2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102.15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102.15</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208</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社会保障和就业支出</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31.09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20805</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行政事业单位养老支出</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29.42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29.42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2080502</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事业单位离退休</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2080505</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机关事业单位基本养老保险缴费支出</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20899</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其他社会保障和就业支出</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2089999</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其他社会保障和就业支出</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210</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卫生健康支出</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21011</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行政事业单位医疗</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2101102</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事业单位医疗</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221</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住房保障支出</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22102</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住房改革支出</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2210201</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住房公积金</w:t>
            </w:r>
          </w:p>
        </w:tc>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pPr>
        <w:widowControl/>
        <w:tabs>
          <w:tab w:val="left" w:pos="1209"/>
          <w:tab w:val="right" w:pos="15518"/>
        </w:tabs>
        <w:spacing w:line="240" w:lineRule="exact"/>
        <w:jc w:val="left"/>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eastAsia="zh-CN"/>
        </w:rPr>
        <w:tab/>
      </w:r>
      <w:r>
        <w:rPr>
          <w:rFonts w:hint="eastAsia" w:ascii="Times New Roman" w:hAnsi="Times New Roman" w:eastAsia="仿宋_GB2312" w:cs="Times New Roman"/>
          <w:color w:val="000000"/>
          <w:kern w:val="0"/>
          <w:szCs w:val="21"/>
          <w:lang w:eastAsia="zh-CN"/>
        </w:rPr>
        <w:t>单位</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lang w:eastAsia="zh-CN"/>
        </w:rPr>
        <w:t>湖南省消费者权益保护服务中心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311.83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118.40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73.43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8.09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11.48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143.36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0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w:t>
            </w:r>
            <w:r>
              <w:rPr>
                <w:rFonts w:ascii="Times New Roman" w:hAnsi="Times New Roman" w:eastAsia="仿宋_GB2312" w:cs="Times New Roman"/>
                <w:color w:val="000000"/>
                <w:spacing w:val="-23"/>
                <w:kern w:val="0"/>
                <w:sz w:val="21"/>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28.50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17.80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8.13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27.50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8.49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81.61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w:t>
            </w:r>
            <w:r>
              <w:rPr>
                <w:rFonts w:ascii="Times New Roman" w:hAnsi="Times New Roman" w:eastAsia="仿宋_GB2312" w:cs="Times New Roman"/>
                <w:color w:val="000000"/>
                <w:spacing w:val="-11"/>
                <w:kern w:val="0"/>
                <w:sz w:val="21"/>
                <w:szCs w:val="20"/>
              </w:rPr>
              <w:t>他商品和服务</w:t>
            </w:r>
            <w:r>
              <w:rPr>
                <w:rFonts w:hint="eastAsia" w:ascii="Times New Roman" w:hAnsi="Times New Roman" w:eastAsia="仿宋_GB2312" w:cs="Times New Roman"/>
                <w:color w:val="000000"/>
                <w:spacing w:val="-11"/>
                <w:kern w:val="0"/>
                <w:sz w:val="21"/>
                <w:szCs w:val="20"/>
                <w:lang w:eastAsia="zh-CN"/>
              </w:rPr>
              <w:t>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312"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312.75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118.40</w:t>
            </w:r>
          </w:p>
        </w:tc>
      </w:tr>
    </w:tbl>
    <w:p>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eastAsia="zh-CN"/>
        </w:rPr>
        <w:t xml:space="preserve"> </w:t>
      </w:r>
      <w:r>
        <w:rPr>
          <w:rFonts w:hint="eastAsia" w:ascii="Times New Roman" w:hAnsi="Times New Roman" w:eastAsia="仿宋_GB2312" w:cs="Times New Roman"/>
          <w:color w:val="000000"/>
          <w:kern w:val="0"/>
          <w:szCs w:val="24"/>
          <w:lang w:val="en-US" w:eastAsia="zh-CN"/>
        </w:rPr>
        <w:t xml:space="preserve">  </w:t>
      </w: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pStyle w:val="10"/>
        <w:rPr>
          <w:rFonts w:ascii="Times New Roman" w:hAnsi="Times New Roman" w:eastAsia="仿宋_GB2312" w:cs="Times New Roman"/>
          <w:color w:val="000000"/>
          <w:kern w:val="0"/>
          <w:sz w:val="32"/>
          <w:szCs w:val="32"/>
        </w:rPr>
      </w:pPr>
    </w:p>
    <w:p>
      <w:pPr>
        <w:pStyle w:val="6"/>
        <w:rPr>
          <w:rFonts w:ascii="Times New Roman" w:hAnsi="Times New Roman" w:eastAsia="仿宋_GB2312" w:cs="Times New Roman"/>
          <w:color w:val="000000"/>
          <w:kern w:val="0"/>
          <w:sz w:val="32"/>
          <w:szCs w:val="32"/>
        </w:rPr>
      </w:pPr>
    </w:p>
    <w:p>
      <w:pPr>
        <w:rPr>
          <w:rFonts w:ascii="Times New Roman" w:hAnsi="Times New Roman" w:eastAsia="仿宋_GB2312" w:cs="Times New Roman"/>
          <w:color w:val="000000"/>
          <w:kern w:val="0"/>
          <w:sz w:val="32"/>
          <w:szCs w:val="32"/>
        </w:rPr>
      </w:pPr>
    </w:p>
    <w:p>
      <w:pPr>
        <w:pStyle w:val="10"/>
        <w:rPr>
          <w:rFonts w:ascii="Times New Roman" w:hAnsi="Times New Roman" w:eastAsia="仿宋_GB2312" w:cs="Times New Roman"/>
          <w:color w:val="000000"/>
          <w:kern w:val="0"/>
          <w:sz w:val="32"/>
          <w:szCs w:val="32"/>
        </w:rPr>
      </w:pPr>
    </w:p>
    <w:p>
      <w:pPr>
        <w:pStyle w:val="6"/>
        <w:rPr>
          <w:rFonts w:ascii="Times New Roman" w:hAnsi="Times New Roman" w:eastAsia="仿宋_GB2312" w:cs="Times New Roman"/>
          <w:color w:val="000000"/>
          <w:kern w:val="0"/>
          <w:sz w:val="32"/>
          <w:szCs w:val="32"/>
        </w:rPr>
      </w:pPr>
    </w:p>
    <w:p>
      <w:pPr>
        <w:rPr>
          <w:rFonts w:ascii="Times New Roman" w:hAnsi="Times New Roman" w:eastAsia="仿宋_GB2312" w:cs="Times New Roman"/>
          <w:color w:val="000000"/>
          <w:kern w:val="0"/>
          <w:sz w:val="32"/>
          <w:szCs w:val="32"/>
        </w:rPr>
      </w:pPr>
    </w:p>
    <w:p>
      <w:pPr>
        <w:pStyle w:val="10"/>
        <w:rPr>
          <w:rFonts w:ascii="Times New Roman" w:hAnsi="Times New Roman" w:eastAsia="仿宋_GB2312" w:cs="Times New Roman"/>
          <w:color w:val="000000"/>
          <w:kern w:val="0"/>
          <w:sz w:val="32"/>
          <w:szCs w:val="32"/>
        </w:rPr>
      </w:pPr>
    </w:p>
    <w:p>
      <w:pPr>
        <w:pStyle w:val="6"/>
        <w:rPr>
          <w:rFonts w:ascii="Times New Roman" w:hAnsi="Times New Roman" w:eastAsia="仿宋_GB2312" w:cs="Times New Roman"/>
          <w:color w:val="000000"/>
          <w:kern w:val="0"/>
          <w:sz w:val="32"/>
          <w:szCs w:val="32"/>
        </w:rPr>
      </w:pPr>
    </w:p>
    <w:p>
      <w:pPr>
        <w:rPr>
          <w:rFonts w:ascii="Times New Roman" w:hAnsi="Times New Roman" w:eastAsia="仿宋_GB2312" w:cs="Times New Roman"/>
          <w:color w:val="000000"/>
          <w:kern w:val="0"/>
          <w:sz w:val="32"/>
          <w:szCs w:val="32"/>
        </w:rPr>
      </w:pPr>
    </w:p>
    <w:p>
      <w:pPr>
        <w:pStyle w:val="10"/>
        <w:rPr>
          <w:rFonts w:ascii="Times New Roman" w:hAnsi="Times New Roman" w:eastAsia="仿宋_GB2312" w:cs="Times New Roman"/>
          <w:color w:val="000000"/>
          <w:kern w:val="0"/>
          <w:sz w:val="32"/>
          <w:szCs w:val="32"/>
        </w:rPr>
      </w:pPr>
    </w:p>
    <w:p>
      <w:pPr>
        <w:pStyle w:val="6"/>
        <w:rPr>
          <w:rFonts w:ascii="Times New Roman" w:hAnsi="Times New Roman" w:eastAsia="仿宋_GB2312" w:cs="Times New Roman"/>
          <w:color w:val="000000"/>
          <w:kern w:val="0"/>
          <w:sz w:val="32"/>
          <w:szCs w:val="32"/>
        </w:rPr>
      </w:pPr>
    </w:p>
    <w:p>
      <w:pPr>
        <w:rPr>
          <w:rFonts w:ascii="Times New Roman" w:hAnsi="Times New Roman" w:eastAsia="仿宋_GB2312" w:cs="Times New Roman"/>
          <w:color w:val="000000"/>
          <w:kern w:val="0"/>
          <w:sz w:val="32"/>
          <w:szCs w:val="32"/>
        </w:rPr>
      </w:pPr>
    </w:p>
    <w:p>
      <w:pPr>
        <w:pStyle w:val="10"/>
        <w:rPr>
          <w:rFonts w:ascii="Times New Roman" w:hAnsi="Times New Roman" w:eastAsia="仿宋_GB2312" w:cs="Times New Roman"/>
          <w:color w:val="000000"/>
          <w:kern w:val="0"/>
          <w:sz w:val="32"/>
          <w:szCs w:val="32"/>
        </w:rPr>
      </w:pPr>
    </w:p>
    <w:p>
      <w:pPr>
        <w:pStyle w:val="6"/>
        <w:rPr>
          <w:rFonts w:ascii="Times New Roman" w:hAnsi="Times New Roman" w:eastAsia="仿宋_GB2312" w:cs="Times New Roman"/>
          <w:color w:val="000000"/>
          <w:kern w:val="0"/>
          <w:sz w:val="32"/>
          <w:szCs w:val="32"/>
        </w:rPr>
      </w:pPr>
    </w:p>
    <w:p/>
    <w:p>
      <w:pPr>
        <w:pStyle w:val="10"/>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Cs w:val="21"/>
          <w:lang w:eastAsia="zh-CN"/>
        </w:rPr>
        <w:t>单位</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lang w:eastAsia="zh-CN"/>
        </w:rPr>
        <w:t>湖南省消费者权益保护服务中心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9"/>
                <w:rFonts w:hint="default" w:ascii="Times New Roman" w:hAnsi="Times New Roman" w:eastAsia="仿宋_GB2312" w:cs="Times New Roman"/>
                <w:b/>
                <w:bCs/>
              </w:rPr>
              <w:t xml:space="preserve">   </w:t>
            </w:r>
            <w:r>
              <w:rPr>
                <w:rStyle w:val="20"/>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Cs w:val="21"/>
          <w:lang w:eastAsia="zh-CN"/>
        </w:rPr>
        <w:t>单位</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lang w:eastAsia="zh-CN"/>
        </w:rPr>
        <w:t>湖南省消费者权益保护服务中心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4999" w:type="pct"/>
        <w:tblInd w:w="0" w:type="dxa"/>
        <w:tblLayout w:type="autofit"/>
        <w:tblCellMar>
          <w:top w:w="0" w:type="dxa"/>
          <w:left w:w="108" w:type="dxa"/>
          <w:bottom w:w="0" w:type="dxa"/>
          <w:right w:w="108" w:type="dxa"/>
        </w:tblCellMar>
      </w:tblPr>
      <w:tblGrid>
        <w:gridCol w:w="3397"/>
        <w:gridCol w:w="3401"/>
        <w:gridCol w:w="2011"/>
        <w:gridCol w:w="3401"/>
        <w:gridCol w:w="3401"/>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1"/>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10"/>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firstLine="1050" w:firstLineChars="500"/>
        <w:jc w:val="both"/>
        <w:textAlignment w:val="center"/>
        <w:rPr>
          <w:rFonts w:ascii="Times New Roman" w:hAnsi="Times New Roman" w:eastAsia="楷体_GB2312" w:cs="Times New Roman"/>
          <w:color w:val="000000"/>
          <w:sz w:val="20"/>
          <w:szCs w:val="20"/>
        </w:rPr>
      </w:pPr>
      <w:r>
        <w:rPr>
          <w:rFonts w:hint="eastAsia" w:ascii="Times New Roman" w:hAnsi="Times New Roman" w:eastAsia="仿宋_GB2312" w:cs="Times New Roman"/>
          <w:color w:val="000000"/>
          <w:kern w:val="0"/>
          <w:szCs w:val="21"/>
          <w:lang w:eastAsia="zh-CN"/>
        </w:rPr>
        <w:t>单位</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lang w:eastAsia="zh-CN"/>
        </w:rPr>
        <w:t>湖南省消费者权益保护服务中心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11"/>
        <w:tblW w:w="5114" w:type="pct"/>
        <w:jc w:val="center"/>
        <w:tblLayout w:type="autofit"/>
        <w:tblCellMar>
          <w:top w:w="0" w:type="dxa"/>
          <w:left w:w="108" w:type="dxa"/>
          <w:bottom w:w="0" w:type="dxa"/>
          <w:right w:w="108" w:type="dxa"/>
        </w:tblCellMar>
      </w:tblPr>
      <w:tblGrid>
        <w:gridCol w:w="1025"/>
        <w:gridCol w:w="1348"/>
        <w:gridCol w:w="1191"/>
        <w:gridCol w:w="1303"/>
        <w:gridCol w:w="1565"/>
        <w:gridCol w:w="1514"/>
        <w:gridCol w:w="1153"/>
        <w:gridCol w:w="1281"/>
        <w:gridCol w:w="1281"/>
        <w:gridCol w:w="1281"/>
        <w:gridCol w:w="1492"/>
        <w:gridCol w:w="1536"/>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0.41</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720" w:right="720" w:bottom="720" w:left="720" w:header="851" w:footer="992" w:gutter="0"/>
          <w:cols w:space="425" w:num="1"/>
          <w:docGrid w:type="lines" w:linePitch="312" w:charSpace="0"/>
        </w:sectPr>
      </w:pPr>
      <w:r>
        <w:br w:type="page"/>
      </w: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w:t>
      </w:r>
      <w:r>
        <w:rPr>
          <w:rFonts w:hint="eastAsia" w:ascii="Times New Roman" w:hAnsi="Times New Roman" w:eastAsia="方正小标宋_GBK" w:cs="Times New Roman"/>
          <w:sz w:val="52"/>
          <w:szCs w:val="52"/>
          <w:lang w:eastAsia="zh-CN"/>
        </w:rPr>
        <w:t>单位</w:t>
      </w:r>
      <w:r>
        <w:rPr>
          <w:rFonts w:ascii="Times New Roman" w:hAnsi="Times New Roman" w:eastAsia="方正小标宋_GBK" w:cs="Times New Roman"/>
          <w:sz w:val="52"/>
          <w:szCs w:val="52"/>
        </w:rPr>
        <w:t>决算情况说明</w:t>
      </w:r>
    </w:p>
    <w:p>
      <w:pPr>
        <w:widowControl/>
        <w:jc w:val="left"/>
        <w:rPr>
          <w:rFonts w:ascii="Times New Roman" w:hAnsi="Times New Roman" w:cs="Times New Roman"/>
          <w:sz w:val="32"/>
          <w:szCs w:val="32"/>
        </w:rPr>
      </w:pPr>
      <w:r>
        <w:br w:type="page"/>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539.89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33.15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2024年度有1人退休；2024年度年中追加中消协40年座谈及消费维权成果展活动经费78万元。</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535.40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535.40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533.30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431.15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80.85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102.15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19.15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535.40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28.66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5.66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2024年度有1人退休；2024年度年中追加中消协40年座谈及消费维权成果展活动经费78万元。</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6"/>
        <w:overflowPunct w:val="0"/>
        <w:autoSpaceDE/>
        <w:autoSpaceDN/>
        <w:spacing w:line="600" w:lineRule="exact"/>
        <w:ind w:firstLine="642"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533.30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36.15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7.27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2024年度有1人退休；2024年度年中追加中消协40年座谈及消费维权成果展活动经费78万元。</w:t>
      </w:r>
    </w:p>
    <w:p>
      <w:pPr>
        <w:pStyle w:val="16"/>
        <w:overflowPunct w:val="0"/>
        <w:autoSpaceDE/>
        <w:autoSpaceDN/>
        <w:spacing w:line="600" w:lineRule="exact"/>
        <w:ind w:firstLine="642"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533.30</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456.91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w:t>
      </w:r>
      <w:r>
        <w:rPr>
          <w:rFonts w:hint="eastAsia" w:ascii="Times New Roman" w:hAnsi="Times New Roman" w:eastAsia="仿宋_GB2312" w:cs="Times New Roman"/>
          <w:sz w:val="32"/>
          <w:szCs w:val="32"/>
          <w:lang w:val="en-US" w:eastAsia="zh-CN"/>
        </w:rPr>
        <w:t>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支出31.09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5.83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17.80万元，占3.34%；住房保障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支出27.50万元，占5.16%。</w:t>
      </w:r>
    </w:p>
    <w:p>
      <w:pPr>
        <w:pStyle w:val="16"/>
        <w:overflowPunct w:val="0"/>
        <w:autoSpaceDE/>
        <w:autoSpaceDN/>
        <w:spacing w:line="600" w:lineRule="exact"/>
        <w:ind w:firstLine="642"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469.89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533.30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113.49</w:t>
      </w:r>
      <w:r>
        <w:rPr>
          <w:rFonts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市场监督管理事务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事业运行</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244.60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354.76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用于保障事业运行经费增多</w:t>
      </w:r>
      <w:r>
        <w:rPr>
          <w:rFonts w:hint="eastAsia"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eastAsia="zh-CN"/>
        </w:rPr>
        <w:t>市场监督管理事务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其他市场监督管理事务</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148.84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102.15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70.65</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按照财政要求调整部分功能科目。</w:t>
      </w:r>
    </w:p>
    <w:p>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社会保障和就业支出（类）行政事业单位养老支出（款）事业单位离退休（项）。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0.97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94.84</w:t>
      </w:r>
      <w:r>
        <w:rPr>
          <w:rFonts w:ascii="Times New Roman" w:hAnsi="Times New Roman" w:eastAsia="仿宋_GB2312" w:cs="Times New Roman"/>
          <w:sz w:val="32"/>
          <w:szCs w:val="32"/>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sz w:val="32"/>
          <w:szCs w:val="32"/>
          <w:highlight w:val="none"/>
          <w:lang w:eastAsia="zh-CN"/>
        </w:rPr>
        <w:t>预算中某些项目没有实际发生</w:t>
      </w:r>
      <w:r>
        <w:rPr>
          <w:rFonts w:hint="eastAsia" w:ascii="Times New Roman" w:hAnsi="Times New Roman" w:eastAsia="仿宋_GB2312"/>
          <w:sz w:val="32"/>
          <w:szCs w:val="32"/>
          <w:highlight w:val="none"/>
        </w:rPr>
        <w:t>。</w:t>
      </w:r>
    </w:p>
    <w:p>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社会保障和就业支出（类）行政事业单位养老支出（款）机关事业单位基本养老保险缴费支出（项）。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28.50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28.50</w:t>
      </w:r>
      <w:r>
        <w:rPr>
          <w:rFonts w:ascii="Times New Roman" w:hAnsi="Times New Roman" w:eastAsia="仿宋_GB2312" w:cs="Times New Roman"/>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决算数等于年初预算数的主要原因是收支基本持平。</w:t>
      </w:r>
    </w:p>
    <w:p>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社会保障和就业支出（类）其他社会保障和就业支出（款）其他社会保障和就业支出（项）。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1.67</w:t>
      </w:r>
      <w:r>
        <w:rPr>
          <w:rFonts w:ascii="Times New Roman" w:hAnsi="Times New Roman" w:eastAsia="仿宋_GB2312" w:cs="Times New Roman"/>
          <w:sz w:val="32"/>
          <w:szCs w:val="32"/>
        </w:rPr>
        <w:t>万元，完成年初预算的</w:t>
      </w:r>
      <w:r>
        <w:rPr>
          <w:rFonts w:hint="eastAsia" w:ascii="Times New Roman" w:hAnsi="Times New Roman" w:eastAsia="仿宋_GB2312"/>
          <w:sz w:val="32"/>
          <w:szCs w:val="32"/>
          <w:lang w:val="en-US" w:eastAsia="zh-CN"/>
        </w:rPr>
        <w:t>99.40</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决算数等于年初预算数的主要原因是收支基本持平。</w:t>
      </w:r>
    </w:p>
    <w:p>
      <w:pPr>
        <w:pStyle w:val="16"/>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卫生健康支出（类）行政事业单位医疗（款）事业单位医疗（项）。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17.80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17.80</w:t>
      </w:r>
      <w:r>
        <w:rPr>
          <w:rFonts w:ascii="Times New Roman" w:hAnsi="Times New Roman" w:eastAsia="仿宋_GB2312" w:cs="Times New Roman"/>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决算数等于年初预算数的主要原因是收支基本持平。</w:t>
      </w:r>
    </w:p>
    <w:p>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住房保障支出（类）住房改革支出（款）住房公积金（项）。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27.50</w:t>
      </w:r>
      <w:r>
        <w:rPr>
          <w:rFonts w:ascii="Times New Roman" w:hAnsi="Times New Roman" w:eastAsia="仿宋_GB2312" w:cs="Times New Roman"/>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决算数等于年初预算数的主要原因是收支基本持平。</w:t>
      </w:r>
    </w:p>
    <w:p>
      <w:pPr>
        <w:pStyle w:val="16"/>
        <w:numPr>
          <w:ilvl w:val="0"/>
          <w:numId w:val="0"/>
        </w:numPr>
        <w:overflowPunct w:val="0"/>
        <w:autoSpaceDE/>
        <w:autoSpaceDN/>
        <w:spacing w:line="600" w:lineRule="exact"/>
        <w:jc w:val="both"/>
        <w:rPr>
          <w:rFonts w:hint="eastAsia" w:ascii="Times New Roman" w:hAnsi="Times New Roman" w:eastAsia="仿宋_GB2312" w:cs="Times New Roman"/>
          <w:sz w:val="32"/>
          <w:szCs w:val="32"/>
          <w:lang w:val="en-US" w:eastAsia="zh-CN"/>
        </w:rPr>
      </w:pPr>
    </w:p>
    <w:p>
      <w:pPr>
        <w:pStyle w:val="16"/>
        <w:numPr>
          <w:ilvl w:val="0"/>
          <w:numId w:val="0"/>
        </w:numPr>
        <w:overflowPunct w:val="0"/>
        <w:autoSpaceDE/>
        <w:autoSpaceDN/>
        <w:spacing w:line="600" w:lineRule="exact"/>
        <w:jc w:val="both"/>
        <w:rPr>
          <w:rFonts w:hint="eastAsia" w:ascii="Times New Roman" w:hAnsi="Times New Roman" w:eastAsia="仿宋_GB2312" w:cs="Times New Roman"/>
          <w:sz w:val="32"/>
          <w:szCs w:val="32"/>
          <w:lang w:val="en-US" w:eastAsia="zh-CN"/>
        </w:rPr>
      </w:pP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431.15</w:t>
      </w:r>
      <w:r>
        <w:rPr>
          <w:rFonts w:ascii="Times New Roman" w:hAnsi="Times New Roman" w:eastAsia="仿宋_GB2312" w:cs="Times New Roman"/>
          <w:sz w:val="32"/>
          <w:szCs w:val="32"/>
        </w:rPr>
        <w:t>万元，其中：</w:t>
      </w:r>
    </w:p>
    <w:p>
      <w:pPr>
        <w:pStyle w:val="16"/>
        <w:keepNext w:val="0"/>
        <w:keepLines w:val="0"/>
        <w:pageBreakBefore w:val="0"/>
        <w:widowControl w:val="0"/>
        <w:kinsoku/>
        <w:wordWrap/>
        <w:overflowPunct/>
        <w:topLinePunct w:val="0"/>
        <w:bidi w:val="0"/>
        <w:snapToGrid/>
        <w:spacing w:line="600" w:lineRule="exact"/>
        <w:ind w:firstLine="642"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312.75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72.54</w:t>
      </w:r>
      <w:r>
        <w:rPr>
          <w:rFonts w:ascii="Times New Roman" w:hAnsi="Times New Roman" w:eastAsia="仿宋_GB2312" w:cs="Times New Roman"/>
          <w:sz w:val="32"/>
          <w:szCs w:val="32"/>
        </w:rPr>
        <w:t>%,</w:t>
      </w:r>
      <w:r>
        <w:rPr>
          <w:rFonts w:hint="eastAsia" w:ascii="Times New Roman" w:hAnsi="Times New Roman" w:eastAsia="仿宋_GB2312"/>
          <w:sz w:val="32"/>
          <w:szCs w:val="32"/>
          <w:highlight w:val="none"/>
        </w:rPr>
        <w:t>基本工资、津贴补贴、伙食补助费</w:t>
      </w:r>
      <w:r>
        <w:rPr>
          <w:rFonts w:hint="eastAsia" w:ascii="Times New Roman" w:hAnsi="Times New Roman" w:eastAsia="仿宋_GB2312"/>
          <w:sz w:val="32"/>
          <w:szCs w:val="32"/>
          <w:highlight w:val="none"/>
          <w:lang w:eastAsia="zh-CN"/>
        </w:rPr>
        <w:t>、绩效工资、机关事业单位基本养老保险缴费、职工基本医疗保险缴费、</w:t>
      </w:r>
      <w:r>
        <w:rPr>
          <w:rFonts w:hint="eastAsia" w:ascii="Times New Roman" w:hAnsi="Times New Roman" w:eastAsia="仿宋_GB2312"/>
          <w:sz w:val="32"/>
          <w:szCs w:val="32"/>
          <w:highlight w:val="none"/>
          <w:lang w:val="en-US" w:eastAsia="zh-CN"/>
        </w:rPr>
        <w:t>住房公积金、对个人和家庭的补助、退休费</w:t>
      </w:r>
      <w:r>
        <w:rPr>
          <w:rFonts w:hint="eastAsia" w:ascii="Times New Roman" w:hAnsi="Times New Roman" w:eastAsia="仿宋_GB2312"/>
          <w:sz w:val="32"/>
          <w:szCs w:val="32"/>
          <w:highlight w:val="none"/>
          <w:lang w:eastAsia="zh-CN"/>
        </w:rPr>
        <w:t>。</w:t>
      </w:r>
    </w:p>
    <w:p>
      <w:pPr>
        <w:pStyle w:val="16"/>
        <w:overflowPunct w:val="0"/>
        <w:autoSpaceDE/>
        <w:autoSpaceDN/>
        <w:spacing w:line="600" w:lineRule="exact"/>
        <w:ind w:firstLine="642"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118.40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27.46</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邮电费、差旅费、公务接待费、劳务费、委托业务费、工会经费、其他交通费用。</w:t>
      </w:r>
    </w:p>
    <w:p>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6"/>
        <w:overflowPunct w:val="0"/>
        <w:autoSpaceDE/>
        <w:autoSpaceDN/>
        <w:spacing w:line="600" w:lineRule="exact"/>
        <w:ind w:firstLine="642"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0.41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认真贯彻落实中央八项规定精神和厉行节约要求，</w:t>
      </w:r>
      <w:r>
        <w:rPr>
          <w:rFonts w:hint="eastAsia" w:ascii="Times New Roman" w:hAnsi="Times New Roman" w:eastAsia="仿宋_GB2312"/>
          <w:sz w:val="32"/>
          <w:szCs w:val="32"/>
          <w:lang w:eastAsia="zh-CN"/>
        </w:rPr>
        <w:t>落实过紧日子要求，</w:t>
      </w:r>
      <w:r>
        <w:rPr>
          <w:rFonts w:hint="eastAsia" w:ascii="Times New Roman" w:hAnsi="Times New Roman" w:eastAsia="仿宋_GB2312"/>
          <w:sz w:val="32"/>
          <w:szCs w:val="32"/>
          <w:lang w:val="en-US" w:eastAsia="zh-CN"/>
        </w:rPr>
        <w:t>从严控制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三公</w:t>
      </w:r>
      <w:r>
        <w:rPr>
          <w:rFonts w:hint="eastAsia" w:ascii="Times New Roman" w:hAnsi="Times New Roman" w:eastAsia="仿宋_GB2312"/>
          <w:sz w:val="32"/>
          <w:szCs w:val="32"/>
          <w:lang w:eastAsia="zh-CN"/>
        </w:rPr>
        <w:t>”经费开支。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中消协40年座谈及消费维权成果展活动以及其他省市单位工作研讨与交流</w:t>
      </w:r>
      <w:r>
        <w:rPr>
          <w:rFonts w:ascii="Times New Roman" w:hAnsi="Times New Roman" w:eastAsia="仿宋_GB2312" w:cs="Times New Roman"/>
          <w:sz w:val="32"/>
          <w:szCs w:val="32"/>
        </w:rPr>
        <w:t>。</w:t>
      </w:r>
    </w:p>
    <w:p>
      <w:pPr>
        <w:pStyle w:val="16"/>
        <w:overflowPunct w:val="0"/>
        <w:autoSpaceDE/>
        <w:autoSpaceDN/>
        <w:spacing w:line="600" w:lineRule="exact"/>
        <w:ind w:firstLine="642"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上年度、本年度均无此项预算和支出。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楷体_GB2312" w:cs="Times New Roman"/>
          <w:b/>
          <w:bCs/>
          <w:i/>
          <w:color w:val="auto"/>
          <w:sz w:val="32"/>
          <w:szCs w:val="32"/>
          <w:lang w:eastAsia="zh-CN"/>
        </w:rPr>
        <w:t>。</w:t>
      </w:r>
    </w:p>
    <w:p>
      <w:pPr>
        <w:pStyle w:val="16"/>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上年度、本年度均无此项预算和支出。</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上年度、本年度均无此项预算和支出。</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上年度、本年度均无此项预算和支出。</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主截</w:t>
      </w:r>
      <w:r>
        <w:rPr>
          <w:rFonts w:hint="eastAsia" w:ascii="Times New Roman" w:hAnsi="Times New Roman" w:eastAsia="仿宋_GB2312" w:cs="Times New Roman"/>
          <w:sz w:val="32"/>
          <w:szCs w:val="32"/>
          <w:lang w:eastAsia="zh-CN"/>
        </w:rPr>
        <w:t>至</w:t>
      </w:r>
      <w:bookmarkStart w:id="3" w:name="_GoBack"/>
      <w:bookmarkEnd w:id="3"/>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0.41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认真贯彻落实中央八项规定精神和厉行节约要求，</w:t>
      </w:r>
      <w:r>
        <w:rPr>
          <w:rFonts w:hint="eastAsia" w:ascii="Times New Roman" w:hAnsi="Times New Roman" w:eastAsia="仿宋_GB2312"/>
          <w:sz w:val="32"/>
          <w:szCs w:val="32"/>
          <w:lang w:eastAsia="zh-CN"/>
        </w:rPr>
        <w:t>落实过紧日子要求，</w:t>
      </w:r>
      <w:r>
        <w:rPr>
          <w:rFonts w:hint="eastAsia" w:ascii="Times New Roman" w:hAnsi="Times New Roman" w:eastAsia="仿宋_GB2312"/>
          <w:sz w:val="32"/>
          <w:szCs w:val="32"/>
          <w:lang w:val="en-US" w:eastAsia="zh-CN"/>
        </w:rPr>
        <w:t>从严控制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三公</w:t>
      </w:r>
      <w:r>
        <w:rPr>
          <w:rFonts w:hint="eastAsia" w:ascii="Times New Roman" w:hAnsi="Times New Roman" w:eastAsia="仿宋_GB2312"/>
          <w:sz w:val="32"/>
          <w:szCs w:val="32"/>
          <w:lang w:eastAsia="zh-CN"/>
        </w:rPr>
        <w:t>”经费开支。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中消协40年座谈及消费维权成果展活动以及其他省市单位工作研讨与交流</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人次。</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本单位无政府性基金收支</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上年度、本年度均无此项预算和支出。本</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无机关运行经费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本单位不参照公务员法管理。</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2.38</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湖南省市场监管系统干部综合能力提升</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当前国际形势与我国周边安全环境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创新思维与创新管理；网络消费模式与网监创新；如何做好事业单位改革的后半篇文章；爱国主义教育和廉洁文化教育。</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color w:val="auto"/>
          <w:sz w:val="32"/>
          <w:szCs w:val="32"/>
        </w:rPr>
        <w:t>%。</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2"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176.4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176.4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37.54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w:t>
      </w:r>
    </w:p>
    <w:p>
      <w:pPr>
        <w:overflowPunct w:val="0"/>
        <w:spacing w:line="600" w:lineRule="exact"/>
        <w:ind w:firstLine="642"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539.89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执行数</w:t>
      </w:r>
      <w:r>
        <w:rPr>
          <w:rFonts w:hint="eastAsia" w:ascii="Times New Roman" w:hAnsi="Times New Roman" w:eastAsia="仿宋_GB2312" w:cs="Times New Roman"/>
          <w:sz w:val="32"/>
          <w:szCs w:val="32"/>
          <w:lang w:val="en-US" w:eastAsia="zh-CN"/>
        </w:rPr>
        <w:t>533.30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98.78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圆满完成</w:t>
      </w:r>
      <w:r>
        <w:rPr>
          <w:rFonts w:hint="eastAsia" w:ascii="Times New Roman" w:hAnsi="Times New Roman" w:eastAsia="仿宋_GB2312" w:cs="Times New Roman"/>
          <w:sz w:val="32"/>
          <w:szCs w:val="32"/>
        </w:rPr>
        <w:t>2024年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3·15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国际消费者权益日系列活动；</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加强《中华人民共和国消费者权益保护法》及年主题宣传，助力放心消费环境创建</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lang w:val="en-US" w:eastAsia="zh-CN"/>
        </w:rPr>
        <w:t>维持省消保中心日常基本运转。</w:t>
      </w:r>
      <w:r>
        <w:rPr>
          <w:rFonts w:ascii="Times New Roman" w:hAnsi="Times New Roman" w:eastAsia="仿宋_GB2312" w:cs="Times New Roman"/>
          <w:sz w:val="32"/>
          <w:szCs w:val="32"/>
        </w:rPr>
        <w:t>发现的主要问题及原因：一是</w:t>
      </w:r>
      <w:r>
        <w:rPr>
          <w:rFonts w:hint="default" w:ascii="Times New Roman" w:hAnsi="Times New Roman" w:eastAsia="方正仿宋_GBK" w:cs="Times New Roman"/>
          <w:sz w:val="30"/>
          <w:szCs w:val="30"/>
        </w:rPr>
        <w:t>资产处置及时性方面做的还不够完善</w:t>
      </w:r>
      <w:r>
        <w:rPr>
          <w:rFonts w:ascii="Times New Roman" w:hAnsi="Times New Roman" w:eastAsia="仿宋_GB2312" w:cs="Times New Roman"/>
          <w:sz w:val="32"/>
          <w:szCs w:val="32"/>
        </w:rPr>
        <w:t>；二是</w:t>
      </w:r>
      <w:r>
        <w:rPr>
          <w:rFonts w:hint="eastAsia" w:ascii="Times New Roman" w:hAnsi="Times New Roman" w:eastAsia="方正仿宋_GBK" w:cs="Times New Roman"/>
          <w:sz w:val="30"/>
          <w:szCs w:val="30"/>
          <w:lang w:eastAsia="zh-CN"/>
        </w:rPr>
        <w:t>资产老化严重，多超过使用年限，没有及时更新</w:t>
      </w:r>
      <w:r>
        <w:rPr>
          <w:rFonts w:ascii="Times New Roman" w:hAnsi="Times New Roman" w:eastAsia="仿宋_GB2312" w:cs="Times New Roman"/>
          <w:sz w:val="32"/>
          <w:szCs w:val="32"/>
        </w:rPr>
        <w:t>。下一步改进措施：一是</w:t>
      </w:r>
      <w:r>
        <w:rPr>
          <w:rFonts w:hint="eastAsia" w:ascii="Times New Roman" w:hAnsi="Times New Roman" w:eastAsia="方正仿宋_GBK" w:cs="Times New Roman"/>
          <w:b w:val="0"/>
          <w:bCs/>
          <w:sz w:val="30"/>
          <w:szCs w:val="30"/>
          <w:lang w:eastAsia="zh-CN"/>
        </w:rPr>
        <w:t>定期开展盘点，确保账实相符，</w:t>
      </w:r>
      <w:r>
        <w:rPr>
          <w:rFonts w:hint="eastAsia" w:ascii="Times New Roman" w:hAnsi="Times New Roman" w:eastAsia="方正仿宋_GBK" w:cs="Times New Roman"/>
          <w:sz w:val="30"/>
          <w:szCs w:val="30"/>
          <w:lang w:eastAsia="zh-CN"/>
        </w:rPr>
        <w:t>对中心陈旧、达到处置报废条件的资产进行及时处置</w:t>
      </w:r>
      <w:r>
        <w:rPr>
          <w:rFonts w:ascii="Times New Roman" w:hAnsi="Times New Roman" w:eastAsia="仿宋_GB2312" w:cs="Times New Roman"/>
          <w:sz w:val="32"/>
          <w:szCs w:val="32"/>
        </w:rPr>
        <w:t>；二是</w:t>
      </w:r>
      <w:r>
        <w:rPr>
          <w:rFonts w:hint="eastAsia" w:ascii="Times New Roman" w:hAnsi="Times New Roman" w:eastAsia="方正仿宋_GBK" w:cs="Times New Roman"/>
          <w:sz w:val="30"/>
          <w:szCs w:val="30"/>
          <w:lang w:eastAsia="zh-CN"/>
        </w:rPr>
        <w:t>为提高工作效率，</w:t>
      </w:r>
      <w:r>
        <w:rPr>
          <w:rFonts w:hint="eastAsia" w:ascii="Times New Roman" w:hAnsi="Times New Roman" w:eastAsia="方正仿宋_GBK" w:cs="Times New Roman"/>
          <w:b w:val="0"/>
          <w:bCs/>
          <w:sz w:val="30"/>
          <w:szCs w:val="30"/>
          <w:lang w:eastAsia="zh-CN"/>
        </w:rPr>
        <w:t>拟在</w:t>
      </w:r>
      <w:r>
        <w:rPr>
          <w:rFonts w:hint="eastAsia" w:ascii="Times New Roman" w:hAnsi="Times New Roman" w:eastAsia="方正仿宋_GBK" w:cs="Times New Roman"/>
          <w:b w:val="0"/>
          <w:bCs/>
          <w:sz w:val="30"/>
          <w:szCs w:val="30"/>
          <w:lang w:val="en-US" w:eastAsia="zh-CN"/>
        </w:rPr>
        <w:t>2025年购置公务用车一辆，保障</w:t>
      </w:r>
      <w:r>
        <w:rPr>
          <w:rFonts w:hint="eastAsia" w:ascii="Times New Roman" w:hAnsi="Times New Roman" w:eastAsia="方正仿宋_GBK" w:cs="Times New Roman"/>
          <w:sz w:val="30"/>
          <w:szCs w:val="30"/>
          <w:lang w:eastAsia="zh-CN"/>
        </w:rPr>
        <w:t>中心工作运转</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val="0"/>
        <w:spacing w:before="0" w:after="0" w:line="600" w:lineRule="exact"/>
        <w:ind w:firstLine="642" w:firstLineChars="200"/>
        <w:jc w:val="left"/>
        <w:textAlignment w:val="auto"/>
        <w:rPr>
          <w:rFonts w:hint="eastAsia"/>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方正仿宋_GBK" w:cs="Times New Roman"/>
          <w:sz w:val="30"/>
          <w:szCs w:val="30"/>
          <w:lang w:eastAsia="zh-CN"/>
        </w:rPr>
        <w:t>202</w:t>
      </w:r>
      <w:r>
        <w:rPr>
          <w:rFonts w:hint="eastAsia" w:eastAsia="方正仿宋_GBK" w:cs="Times New Roman"/>
          <w:sz w:val="30"/>
          <w:szCs w:val="30"/>
          <w:lang w:val="en-US" w:eastAsia="zh-CN"/>
        </w:rPr>
        <w:t>4</w:t>
      </w:r>
      <w:r>
        <w:rPr>
          <w:rFonts w:hint="eastAsia" w:ascii="Times New Roman" w:hAnsi="Times New Roman" w:eastAsia="方正仿宋_GBK" w:cs="Times New Roman"/>
          <w:sz w:val="30"/>
          <w:szCs w:val="30"/>
          <w:lang w:eastAsia="zh-CN"/>
        </w:rPr>
        <w:t>年中心严格按照年初预算批复认真组织实施，严格执行财政相关管理规定，确保了单位正常运行，完成了202</w:t>
      </w:r>
      <w:r>
        <w:rPr>
          <w:rFonts w:hint="eastAsia" w:eastAsia="方正仿宋_GBK" w:cs="Times New Roman"/>
          <w:sz w:val="30"/>
          <w:szCs w:val="30"/>
          <w:lang w:val="en-US" w:eastAsia="zh-CN"/>
        </w:rPr>
        <w:t>4</w:t>
      </w:r>
      <w:r>
        <w:rPr>
          <w:rFonts w:hint="eastAsia" w:ascii="Times New Roman" w:hAnsi="Times New Roman" w:eastAsia="方正仿宋_GBK" w:cs="Times New Roman"/>
          <w:sz w:val="30"/>
          <w:szCs w:val="30"/>
          <w:lang w:eastAsia="zh-CN"/>
        </w:rPr>
        <w:t>年单位预算编制和决算汇总工作，</w:t>
      </w:r>
      <w:r>
        <w:rPr>
          <w:rFonts w:ascii="Times New Roman" w:hAnsi="Times New Roman" w:eastAsia="仿宋_GB2312" w:cs="Times New Roman"/>
          <w:color w:val="auto"/>
          <w:sz w:val="32"/>
          <w:szCs w:val="32"/>
        </w:rPr>
        <w:t>对本</w:t>
      </w:r>
      <w:r>
        <w:rPr>
          <w:rFonts w:hint="eastAsia" w:ascii="Times New Roman" w:hAnsi="Times New Roman" w:eastAsia="仿宋_GB2312" w:cs="Times New Roman"/>
          <w:color w:val="auto"/>
          <w:sz w:val="32"/>
          <w:szCs w:val="32"/>
          <w:lang w:eastAsia="zh-CN"/>
        </w:rPr>
        <w:t>单位</w:t>
      </w:r>
      <w:r>
        <w:rPr>
          <w:rFonts w:ascii="Times New Roman" w:hAnsi="Times New Roman" w:eastAsia="仿宋_GB2312" w:cs="Times New Roman"/>
          <w:color w:val="auto"/>
          <w:sz w:val="32"/>
          <w:szCs w:val="32"/>
        </w:rPr>
        <w:t>2025年度预算安排</w:t>
      </w:r>
      <w:r>
        <w:rPr>
          <w:rFonts w:hint="eastAsia" w:ascii="Times New Roman" w:hAnsi="Times New Roman" w:eastAsia="仿宋_GB2312" w:cs="Times New Roman"/>
          <w:color w:val="auto"/>
          <w:sz w:val="32"/>
          <w:szCs w:val="32"/>
          <w:lang w:eastAsia="zh-CN"/>
        </w:rPr>
        <w:t>有了更加清晰的目标和更加准确的测算。</w:t>
      </w: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735" w:leftChars="35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一、财政拨款收入：指中央财政当年拨付的资金。</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二、其他收入：指除“财政拨款收入”、“事业收入”、“经营收入”等以外的收入。主要是按规定动用的售房收入、存款利息收入等。</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桥过路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ascii="Times New Roman" w:hAnsi="Times New Roman" w:cs="Times New Roman"/>
          <w:sz w:val="72"/>
          <w:szCs w:val="72"/>
        </w:rPr>
      </w:pPr>
      <w:r>
        <w:rPr>
          <w:rFonts w:hint="eastAsia" w:ascii="仿宋_GB2312" w:hAnsi="仿宋_GB2312" w:eastAsia="仿宋_GB2312" w:cs="仿宋_GB2312"/>
          <w:color w:val="auto"/>
          <w:kern w:val="2"/>
          <w:sz w:val="32"/>
          <w:szCs w:val="32"/>
          <w:lang w:val="en-US" w:eastAsia="zh-CN" w:bidi="ar-SA"/>
        </w:rPr>
        <w:t>六、机关运行经费：为保障行政单位（含参照公务员法管理的事业单位）运行用于购买货物和服务的各项资金，包括办公费、印刷费、邮电费、差旅费、会议费、福利费、日常维修费、专用材料费、一般设备购置费、水电费、取暖费、公务用车运行维护费以及其他费用。</w:t>
      </w: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pStyle w:val="16"/>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整体支出绩效自评报告</w:t>
      </w:r>
    </w:p>
    <w:p>
      <w:pPr>
        <w:rPr>
          <w:rFonts w:ascii="Times New Roman" w:hAnsi="Times New Roman" w:cs="Times New Roman"/>
          <w:sz w:val="72"/>
          <w:szCs w:val="7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方正小标宋_GBK" w:cs="Times New Roman"/>
          <w:color w:val="auto"/>
          <w:sz w:val="52"/>
          <w:szCs w:val="52"/>
          <w:lang w:eastAsia="zh-CN"/>
        </w:rPr>
      </w:pPr>
      <w:r>
        <w:rPr>
          <w:rFonts w:hint="eastAsia" w:eastAsia="方正小标宋_GBK" w:cs="Times New Roman"/>
          <w:color w:val="auto"/>
          <w:sz w:val="52"/>
          <w:szCs w:val="52"/>
          <w:lang w:eastAsia="zh-CN"/>
        </w:rPr>
        <w:t>2024</w:t>
      </w:r>
      <w:r>
        <w:rPr>
          <w:rFonts w:ascii="Times New Roman" w:hAnsi="Times New Roman" w:eastAsia="方正小标宋_GBK" w:cs="Times New Roman"/>
          <w:color w:val="auto"/>
          <w:sz w:val="52"/>
          <w:szCs w:val="52"/>
        </w:rPr>
        <w:t>年度</w:t>
      </w:r>
      <w:r>
        <w:rPr>
          <w:rFonts w:hint="eastAsia" w:eastAsia="方正小标宋_GBK" w:cs="Times New Roman"/>
          <w:color w:val="auto"/>
          <w:sz w:val="52"/>
          <w:szCs w:val="52"/>
          <w:lang w:eastAsia="zh-CN"/>
        </w:rPr>
        <w:t>湖南省消费者权益保护服务</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方正小标宋_GBK" w:cs="Times New Roman"/>
          <w:color w:val="auto"/>
          <w:sz w:val="52"/>
          <w:szCs w:val="52"/>
        </w:rPr>
      </w:pPr>
      <w:r>
        <w:rPr>
          <w:rFonts w:hint="eastAsia" w:eastAsia="方正小标宋_GBK" w:cs="Times New Roman"/>
          <w:color w:val="auto"/>
          <w:sz w:val="52"/>
          <w:szCs w:val="52"/>
          <w:lang w:eastAsia="zh-CN"/>
        </w:rPr>
        <w:t>中心</w:t>
      </w:r>
      <w:r>
        <w:rPr>
          <w:rFonts w:ascii="Times New Roman" w:hAnsi="Times New Roman" w:eastAsia="方正小标宋_GBK" w:cs="Times New Roman"/>
          <w:color w:val="auto"/>
          <w:sz w:val="52"/>
          <w:szCs w:val="52"/>
        </w:rPr>
        <w:t>整体支出绩效自评报告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方正小标宋_GBK" w:cs="Times New Roman"/>
          <w:b/>
          <w:color w:val="auto"/>
          <w:sz w:val="52"/>
          <w:szCs w:val="5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楷体_GB2312"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楷体_GB2312"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eastAsia="方正仿宋_GBK" w:cs="Times New Roman"/>
          <w:color w:val="auto"/>
          <w:sz w:val="32"/>
          <w:szCs w:val="32"/>
          <w:u w:val="single"/>
        </w:rPr>
      </w:pPr>
      <w:r>
        <w:rPr>
          <w:rFonts w:ascii="Times New Roman" w:hAnsi="Times New Roman" w:eastAsia="方正仿宋_GBK" w:cs="Times New Roman"/>
          <w:color w:val="auto"/>
          <w:sz w:val="32"/>
          <w:szCs w:val="32"/>
        </w:rPr>
        <w:t>部门（单位）名称：</w:t>
      </w:r>
      <w:r>
        <w:rPr>
          <w:rFonts w:hint="eastAsia" w:ascii="Times New Roman" w:hAnsi="Times New Roman" w:eastAsia="方正仿宋_GBK" w:cs="Times New Roman"/>
          <w:color w:val="auto"/>
          <w:sz w:val="32"/>
          <w:szCs w:val="32"/>
          <w:u w:val="single"/>
          <w:lang w:val="en-US" w:eastAsia="zh-CN"/>
        </w:rPr>
        <w:t xml:space="preserve"> </w:t>
      </w:r>
      <w:r>
        <w:rPr>
          <w:rFonts w:hint="eastAsia" w:ascii="Times New Roman" w:hAnsi="Times New Roman" w:eastAsia="方正仿宋_GBK" w:cs="Times New Roman"/>
          <w:color w:val="auto"/>
          <w:sz w:val="32"/>
          <w:szCs w:val="32"/>
          <w:u w:val="single"/>
          <w:lang w:eastAsia="zh-CN"/>
        </w:rPr>
        <w:t>湖南省消费者权益保护服务中心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2025</w:t>
      </w:r>
      <w:r>
        <w:rPr>
          <w:rFonts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26</w:t>
      </w:r>
      <w:r>
        <w:rPr>
          <w:rFonts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color w:val="auto"/>
          <w:sz w:val="32"/>
          <w:szCs w:val="32"/>
        </w:rPr>
      </w:pPr>
      <w:r>
        <w:rPr>
          <w:rFonts w:ascii="Times New Roman" w:hAnsi="Times New Roman" w:eastAsia="方正仿宋_GBK" w:cs="Times New Roman"/>
          <w:color w:val="auto"/>
          <w:sz w:val="32"/>
          <w:szCs w:val="32"/>
        </w:rPr>
        <w:t>（此页为封面）</w:t>
      </w:r>
    </w:p>
    <w:p>
      <w:pPr>
        <w:keepNext w:val="0"/>
        <w:keepLines w:val="0"/>
        <w:pageBreakBefore w:val="0"/>
        <w:wordWrap/>
        <w:overflowPunct/>
        <w:autoSpaceDE/>
        <w:autoSpaceDN/>
        <w:bidi w:val="0"/>
        <w:spacing w:line="625" w:lineRule="exact"/>
        <w:ind w:firstLine="0" w:firstLineChars="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br w:type="page"/>
      </w:r>
    </w:p>
    <w:p>
      <w:pPr>
        <w:widowControl/>
        <w:kinsoku w:val="0"/>
        <w:autoSpaceDE/>
        <w:autoSpaceDN/>
        <w:adjustRightInd w:val="0"/>
        <w:snapToGrid w:val="0"/>
        <w:spacing w:line="625" w:lineRule="exact"/>
        <w:ind w:firstLine="0" w:firstLineChars="0"/>
        <w:jc w:val="center"/>
        <w:textAlignment w:val="baseline"/>
        <w:rPr>
          <w:rFonts w:hint="eastAsia" w:ascii="Times New Roman" w:hAnsi="Times New Roman" w:eastAsia="方正小标宋_GBK" w:cs="Times New Roman"/>
          <w:sz w:val="44"/>
          <w:szCs w:val="44"/>
        </w:rPr>
      </w:pPr>
      <w:r>
        <w:rPr>
          <w:rFonts w:hint="eastAsia" w:eastAsia="方正小标宋_GBK" w:cs="Times New Roman"/>
          <w:snapToGrid w:val="0"/>
          <w:color w:val="auto"/>
          <w:kern w:val="0"/>
          <w:sz w:val="44"/>
          <w:szCs w:val="44"/>
          <w:lang w:eastAsia="zh-CN"/>
        </w:rPr>
        <w:t>2024</w:t>
      </w:r>
      <w:r>
        <w:rPr>
          <w:rFonts w:ascii="Times New Roman" w:hAnsi="Times New Roman" w:eastAsia="方正小标宋_GBK" w:cs="Times New Roman"/>
          <w:snapToGrid w:val="0"/>
          <w:color w:val="auto"/>
          <w:kern w:val="0"/>
          <w:sz w:val="44"/>
          <w:szCs w:val="44"/>
        </w:rPr>
        <w:t>年度</w:t>
      </w:r>
      <w:r>
        <w:rPr>
          <w:rFonts w:hint="eastAsia" w:ascii="Times New Roman" w:hAnsi="Times New Roman" w:eastAsia="方正小标宋_GBK" w:cs="Times New Roman"/>
          <w:sz w:val="44"/>
          <w:szCs w:val="44"/>
        </w:rPr>
        <w:t>湖南省消费者权益保护服务中心</w:t>
      </w:r>
    </w:p>
    <w:p>
      <w:pPr>
        <w:widowControl/>
        <w:kinsoku w:val="0"/>
        <w:autoSpaceDE/>
        <w:autoSpaceDN/>
        <w:adjustRightInd w:val="0"/>
        <w:snapToGrid w:val="0"/>
        <w:spacing w:line="625" w:lineRule="exact"/>
        <w:ind w:firstLine="0" w:firstLineChars="0"/>
        <w:jc w:val="center"/>
        <w:textAlignment w:val="baseline"/>
        <w:rPr>
          <w:rFonts w:ascii="Times New Roman" w:hAnsi="Times New Roman" w:eastAsia="方正小标宋_GBK" w:cs="Times New Roman"/>
          <w:snapToGrid w:val="0"/>
          <w:color w:val="auto"/>
          <w:kern w:val="0"/>
          <w:sz w:val="44"/>
          <w:szCs w:val="44"/>
        </w:rPr>
      </w:pPr>
      <w:r>
        <w:rPr>
          <w:rFonts w:ascii="Times New Roman" w:hAnsi="Times New Roman" w:eastAsia="方正小标宋_GBK" w:cs="Times New Roman"/>
          <w:snapToGrid w:val="0"/>
          <w:color w:val="auto"/>
          <w:kern w:val="0"/>
          <w:sz w:val="44"/>
          <w:szCs w:val="44"/>
        </w:rPr>
        <w:t>整体支出绩效自评报告</w:t>
      </w:r>
    </w:p>
    <w:p>
      <w:pPr>
        <w:keepNext w:val="0"/>
        <w:keepLines w:val="0"/>
        <w:pageBreakBefore w:val="0"/>
        <w:wordWrap/>
        <w:overflowPunct/>
        <w:autoSpaceDE/>
        <w:autoSpaceDN/>
        <w:bidi w:val="0"/>
        <w:spacing w:line="625" w:lineRule="exact"/>
        <w:ind w:firstLine="0" w:firstLineChars="0"/>
        <w:jc w:val="both"/>
        <w:rPr>
          <w:rFonts w:hint="eastAsia" w:ascii="Times New Roman" w:hAnsi="Times New Roman" w:eastAsia="仿宋_GB2312" w:cs="Times New Roman"/>
          <w:color w:val="auto"/>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napToGrid w:val="0"/>
          <w:color w:val="000000"/>
          <w:kern w:val="44"/>
          <w:sz w:val="32"/>
          <w:szCs w:val="32"/>
          <w:lang w:val="en-US" w:eastAsia="zh-CN" w:bidi="ar-SA"/>
        </w:rPr>
      </w:pPr>
      <w:r>
        <w:rPr>
          <w:rFonts w:hint="eastAsia" w:cs="Times New Roman"/>
          <w:snapToGrid w:val="0"/>
          <w:color w:val="000000"/>
          <w:kern w:val="44"/>
          <w:sz w:val="32"/>
          <w:szCs w:val="32"/>
          <w:lang w:val="en-US" w:eastAsia="zh-CN" w:bidi="ar-SA"/>
        </w:rPr>
        <w:t>一、</w:t>
      </w:r>
      <w:r>
        <w:rPr>
          <w:rFonts w:hint="eastAsia" w:ascii="Times New Roman" w:hAnsi="Times New Roman" w:eastAsia="黑体" w:cs="Times New Roman"/>
          <w:snapToGrid w:val="0"/>
          <w:color w:val="000000"/>
          <w:kern w:val="44"/>
          <w:sz w:val="32"/>
          <w:szCs w:val="32"/>
          <w:lang w:val="en-US" w:eastAsia="zh-CN" w:bidi="ar-SA"/>
        </w:rPr>
        <w:t>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湖南省消费者权益保护服务中心（以下简称“中心”），为湖南省市场监督管理局管理的公益一类事业单位，机构规格相当于正处级。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（一）主要职责：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1.为机关提供支持保障的职能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（1）承担湖南省消费者权益保护委员会日常工作职责。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（2）协助开展消费者权益保护工作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（3）对省以下消费者权益保护组织进行业务指导。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2.面向社会提供的公益服务的职能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承担消费者权益咨询、投诉、调查、调解、援助服务等相关公益性职能。</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完成省市场监督管理局交办的其他任务。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（二）人员情况：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本单位目前共计12名在编人员,劳务派遣人员1名。</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rPr>
      </w:pP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napToGrid w:val="0"/>
          <w:color w:val="000000"/>
          <w:kern w:val="44"/>
          <w:sz w:val="32"/>
          <w:szCs w:val="32"/>
          <w:lang w:val="en-US" w:eastAsia="zh-CN" w:bidi="ar-SA"/>
        </w:rPr>
      </w:pPr>
      <w:r>
        <w:rPr>
          <w:rFonts w:hint="eastAsia" w:ascii="Times New Roman" w:hAnsi="Times New Roman" w:eastAsia="黑体" w:cs="Times New Roman"/>
          <w:snapToGrid w:val="0"/>
          <w:color w:val="000000"/>
          <w:kern w:val="44"/>
          <w:sz w:val="32"/>
          <w:szCs w:val="32"/>
          <w:lang w:val="en-US" w:eastAsia="zh-CN" w:bidi="ar-SA"/>
        </w:rPr>
        <w:t>二、一般公共预算支出情况</w:t>
      </w:r>
    </w:p>
    <w:p>
      <w:pPr>
        <w:pStyle w:val="3"/>
        <w:bidi w:val="0"/>
        <w:rPr>
          <w:rFonts w:hint="eastAsia"/>
        </w:rPr>
      </w:pPr>
      <w:r>
        <w:rPr>
          <w:rFonts w:hint="eastAsia"/>
        </w:rPr>
        <w:t>（一）基本支出情况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基本支出350.56万元，占总支出的64.93%。其中市场监督管理事务274.18万元，社会保障和就业支出31.08万元，卫生健康支出17.80万元，住房保障支出27.50万元。</w:t>
      </w:r>
    </w:p>
    <w:p>
      <w:pPr>
        <w:pStyle w:val="3"/>
        <w:numPr>
          <w:ilvl w:val="0"/>
          <w:numId w:val="3"/>
        </w:numPr>
        <w:bidi w:val="0"/>
        <w:rPr>
          <w:rFonts w:hint="eastAsia"/>
        </w:rPr>
      </w:pPr>
      <w:r>
        <w:rPr>
          <w:rFonts w:hint="eastAsia"/>
        </w:rPr>
        <w:t>项目支出情况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项目支出189.33万元，占总支出的35.07%。其中其他事业发展资金106.84万元，省级专项资金82.49万元。</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napToGrid w:val="0"/>
          <w:color w:val="000000"/>
          <w:kern w:val="44"/>
          <w:sz w:val="32"/>
          <w:szCs w:val="32"/>
          <w:lang w:val="en-US" w:eastAsia="zh-CN" w:bidi="ar-SA"/>
        </w:rPr>
      </w:pPr>
      <w:r>
        <w:rPr>
          <w:rFonts w:hint="eastAsia" w:ascii="Times New Roman" w:hAnsi="Times New Roman" w:eastAsia="黑体" w:cs="Times New Roman"/>
          <w:snapToGrid w:val="0"/>
          <w:color w:val="000000"/>
          <w:kern w:val="44"/>
          <w:sz w:val="32"/>
          <w:szCs w:val="32"/>
          <w:lang w:val="en-US" w:eastAsia="zh-CN" w:bidi="ar-SA"/>
        </w:rPr>
        <w:t>三、政府性基金预算支出情况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无</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napToGrid w:val="0"/>
          <w:color w:val="000000"/>
          <w:kern w:val="44"/>
          <w:sz w:val="32"/>
          <w:szCs w:val="32"/>
          <w:lang w:val="en-US" w:eastAsia="zh-CN" w:bidi="ar-SA"/>
        </w:rPr>
      </w:pPr>
      <w:r>
        <w:rPr>
          <w:rFonts w:hint="eastAsia" w:cs="Times New Roman"/>
          <w:snapToGrid w:val="0"/>
          <w:color w:val="000000"/>
          <w:kern w:val="44"/>
          <w:sz w:val="32"/>
          <w:szCs w:val="32"/>
          <w:lang w:val="en-US" w:eastAsia="zh-CN" w:bidi="ar-SA"/>
        </w:rPr>
        <w:t>四、</w:t>
      </w:r>
      <w:r>
        <w:rPr>
          <w:rFonts w:hint="eastAsia" w:ascii="Times New Roman" w:hAnsi="Times New Roman" w:eastAsia="黑体" w:cs="Times New Roman"/>
          <w:snapToGrid w:val="0"/>
          <w:color w:val="000000"/>
          <w:kern w:val="44"/>
          <w:sz w:val="32"/>
          <w:szCs w:val="32"/>
          <w:lang w:val="en-US" w:eastAsia="zh-CN" w:bidi="ar-SA"/>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napToGrid w:val="0"/>
          <w:color w:val="auto"/>
          <w:kern w:val="44"/>
          <w:sz w:val="32"/>
          <w:szCs w:val="32"/>
          <w:lang w:val="en-US" w:eastAsia="zh-CN" w:bidi="ar-SA"/>
        </w:rPr>
      </w:pPr>
      <w:r>
        <w:rPr>
          <w:rFonts w:hint="eastAsia" w:ascii="Times New Roman" w:hAnsi="Times New Roman" w:eastAsia="方正仿宋_GBK" w:cs="方正仿宋_GBK"/>
          <w:snapToGrid w:val="0"/>
          <w:color w:val="auto"/>
          <w:kern w:val="44"/>
          <w:sz w:val="32"/>
          <w:szCs w:val="32"/>
          <w:lang w:val="en-US" w:eastAsia="zh-CN" w:bidi="ar-SA"/>
        </w:rPr>
        <w:t>无</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napToGrid w:val="0"/>
          <w:color w:val="000000"/>
          <w:kern w:val="44"/>
          <w:sz w:val="32"/>
          <w:szCs w:val="32"/>
          <w:lang w:val="en-US" w:eastAsia="zh-CN" w:bidi="ar-SA"/>
        </w:rPr>
      </w:pPr>
      <w:r>
        <w:rPr>
          <w:rFonts w:hint="eastAsia" w:ascii="Times New Roman" w:hAnsi="Times New Roman" w:eastAsia="黑体" w:cs="Times New Roman"/>
          <w:snapToGrid w:val="0"/>
          <w:color w:val="000000"/>
          <w:kern w:val="44"/>
          <w:sz w:val="32"/>
          <w:szCs w:val="32"/>
          <w:lang w:val="en-US" w:eastAsia="zh-CN" w:bidi="ar-SA"/>
        </w:rPr>
        <w:t>五、社会保险基金预算支出情况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无</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napToGrid w:val="0"/>
          <w:color w:val="000000"/>
          <w:kern w:val="44"/>
          <w:sz w:val="32"/>
          <w:szCs w:val="32"/>
          <w:lang w:val="en-US" w:eastAsia="zh-CN" w:bidi="ar-SA"/>
        </w:rPr>
      </w:pPr>
      <w:r>
        <w:rPr>
          <w:rFonts w:hint="eastAsia" w:ascii="Times New Roman" w:hAnsi="Times New Roman" w:eastAsia="黑体" w:cs="Times New Roman"/>
          <w:snapToGrid w:val="0"/>
          <w:color w:val="000000"/>
          <w:kern w:val="44"/>
          <w:sz w:val="32"/>
          <w:szCs w:val="32"/>
          <w:lang w:val="en-US" w:eastAsia="zh-CN" w:bidi="ar-SA"/>
        </w:rPr>
        <w:t>六、单位整体支出绩效情况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2024年，省消保中心在省局党组的坚强领导下，开拓创新，求真务实，紧扣“激发消费活力”年主题，积极主动作为，依法履职尽责，切实保护消费者合法权益，取得了一定成效。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中心各项指标均达到指标值，202</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lang w:eastAsia="zh-CN"/>
        </w:rPr>
        <w:t>年完成单位整体绩效目标。在</w:t>
      </w:r>
      <w:r>
        <w:rPr>
          <w:rFonts w:hint="eastAsia" w:ascii="Times New Roman" w:hAnsi="Times New Roman" w:eastAsia="方正仿宋_GBK" w:cs="方正仿宋_GBK"/>
          <w:color w:val="auto"/>
          <w:sz w:val="32"/>
          <w:szCs w:val="32"/>
          <w:lang w:val="en-US" w:eastAsia="zh-CN"/>
        </w:rPr>
        <w:t>按时按质，控制经济成本的情况下，</w:t>
      </w:r>
      <w:r>
        <w:rPr>
          <w:rFonts w:hint="eastAsia" w:ascii="Times New Roman" w:hAnsi="Times New Roman" w:eastAsia="方正仿宋_GBK" w:cs="方正仿宋_GBK"/>
          <w:color w:val="auto"/>
          <w:sz w:val="32"/>
          <w:szCs w:val="32"/>
          <w:lang w:eastAsia="zh-CN"/>
        </w:rPr>
        <w:t>圆满完成20</w:t>
      </w:r>
      <w:r>
        <w:rPr>
          <w:rFonts w:hint="eastAsia" w:ascii="Times New Roman" w:hAnsi="Times New Roman" w:eastAsia="方正仿宋_GBK" w:cs="方正仿宋_GBK"/>
          <w:color w:val="auto"/>
          <w:sz w:val="32"/>
          <w:szCs w:val="32"/>
          <w:lang w:val="en-US" w:eastAsia="zh-CN"/>
        </w:rPr>
        <w:t>24</w:t>
      </w:r>
      <w:r>
        <w:rPr>
          <w:rFonts w:hint="eastAsia" w:ascii="Times New Roman" w:hAnsi="Times New Roman" w:eastAsia="方正仿宋_GBK" w:cs="方正仿宋_GBK"/>
          <w:color w:val="auto"/>
          <w:sz w:val="32"/>
          <w:szCs w:val="32"/>
          <w:lang w:eastAsia="zh-CN"/>
        </w:rPr>
        <w:t>年</w:t>
      </w:r>
      <w:r>
        <w:rPr>
          <w:rFonts w:hint="eastAsia"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CN"/>
        </w:rPr>
        <w:t>3·15</w:t>
      </w:r>
      <w:r>
        <w:rPr>
          <w:rFonts w:hint="eastAsia"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CN"/>
        </w:rPr>
        <w:t>国际消费者权益日系列活动；</w:t>
      </w:r>
      <w:r>
        <w:rPr>
          <w:rFonts w:hint="eastAsia" w:ascii="Times New Roman" w:hAnsi="Times New Roman" w:eastAsia="方正仿宋_GBK" w:cs="方正仿宋_GBK"/>
          <w:color w:val="auto"/>
          <w:sz w:val="32"/>
          <w:szCs w:val="32"/>
          <w:lang w:val="en-US" w:eastAsia="zh-CN"/>
        </w:rPr>
        <w:t>完成</w:t>
      </w:r>
      <w:r>
        <w:rPr>
          <w:rFonts w:hint="eastAsia" w:ascii="Times New Roman" w:hAnsi="Times New Roman" w:eastAsia="方正仿宋_GBK" w:cs="方正仿宋_GBK"/>
          <w:color w:val="auto"/>
          <w:sz w:val="32"/>
          <w:szCs w:val="32"/>
          <w:lang w:eastAsia="zh-CN"/>
        </w:rPr>
        <w:t>与</w:t>
      </w:r>
      <w:r>
        <w:rPr>
          <w:rFonts w:hint="eastAsia" w:ascii="Times New Roman" w:hAnsi="Times New Roman" w:eastAsia="方正仿宋_GBK" w:cs="方正仿宋_GBK"/>
          <w:color w:val="auto"/>
          <w:sz w:val="32"/>
          <w:szCs w:val="32"/>
          <w:lang w:val="en-US" w:eastAsia="zh-CN"/>
        </w:rPr>
        <w:t>2家媒体开展</w:t>
      </w:r>
      <w:r>
        <w:rPr>
          <w:rFonts w:hint="eastAsia"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CN"/>
        </w:rPr>
        <w:t>3·15</w:t>
      </w:r>
      <w:r>
        <w:rPr>
          <w:rFonts w:hint="eastAsia" w:ascii="Times New Roman" w:hAnsi="Times New Roman" w:eastAsia="方正仿宋_GBK" w:cs="方正仿宋_GBK"/>
          <w:color w:val="auto"/>
          <w:sz w:val="32"/>
          <w:szCs w:val="32"/>
          <w:lang w:eastAsia="zh-CN"/>
        </w:rPr>
        <w:br w:type="textWrapping"/>
      </w:r>
      <w:r>
        <w:rPr>
          <w:rFonts w:hint="eastAsia"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CN"/>
        </w:rPr>
        <w:t>国际消费者权益日系列活动</w:t>
      </w:r>
      <w:r>
        <w:rPr>
          <w:rFonts w:hint="eastAsia" w:ascii="Times New Roman" w:hAnsi="Times New Roman" w:eastAsia="方正仿宋_GBK" w:cs="方正仿宋_GBK"/>
          <w:color w:val="auto"/>
          <w:sz w:val="32"/>
          <w:szCs w:val="32"/>
          <w:lang w:val="en-US" w:eastAsia="zh-CN"/>
        </w:rPr>
        <w:t>合作；完成承办中消协40年座谈及消费维权成果展活动次数1次；完成购买办公用品一批。</w:t>
      </w:r>
    </w:p>
    <w:p>
      <w:pPr>
        <w:keepNext w:val="0"/>
        <w:keepLines w:val="0"/>
        <w:pageBreakBefore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方正仿宋_GBK" w:cs="Times New Roman"/>
          <w:color w:val="000000"/>
          <w:sz w:val="32"/>
          <w:szCs w:val="32"/>
          <w:lang w:val="zh-CN"/>
        </w:rPr>
      </w:pPr>
      <w:r>
        <w:rPr>
          <w:rFonts w:hint="eastAsia" w:ascii="黑体" w:hAnsi="黑体" w:eastAsia="黑体" w:cs="Times New Roman"/>
          <w:color w:val="000000"/>
          <w:sz w:val="32"/>
          <w:szCs w:val="32"/>
          <w:lang w:val="zh-CN"/>
        </w:rPr>
        <w:t>（一）</w:t>
      </w:r>
      <w:r>
        <w:rPr>
          <w:rFonts w:hint="eastAsia" w:ascii="黑体" w:hAnsi="黑体" w:eastAsia="黑体" w:cs="Times New Roman"/>
          <w:bCs/>
          <w:sz w:val="32"/>
          <w:szCs w:val="32"/>
          <w:lang w:val="en-US" w:eastAsia="zh-CN"/>
        </w:rPr>
        <w:t>2024</w:t>
      </w:r>
      <w:r>
        <w:rPr>
          <w:rFonts w:ascii="黑体" w:hAnsi="黑体" w:eastAsia="黑体" w:cs="Times New Roman"/>
          <w:bCs/>
          <w:sz w:val="32"/>
          <w:szCs w:val="32"/>
        </w:rPr>
        <w:t>年工作亮点</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1.</w:t>
      </w:r>
      <w:r>
        <w:rPr>
          <w:rFonts w:ascii="Times New Roman" w:hAnsi="Times New Roman" w:eastAsia="楷体_GB2312" w:cs="Times New Roman"/>
          <w:sz w:val="32"/>
          <w:szCs w:val="32"/>
        </w:rPr>
        <w:t>党纪学习教育开展入脑入心</w:t>
      </w:r>
      <w:r>
        <w:rPr>
          <w:rFonts w:hint="eastAsia" w:ascii="Times New Roman" w:hAnsi="Times New Roman" w:eastAsia="楷体_GB2312" w:cs="Times New Roman"/>
          <w:sz w:val="32"/>
          <w:szCs w:val="32"/>
        </w:rPr>
        <w:t>。</w:t>
      </w:r>
      <w:r>
        <w:rPr>
          <w:rFonts w:ascii="Times New Roman" w:hAnsi="Times New Roman" w:eastAsia="方正仿宋_GBK" w:cs="Times New Roman"/>
          <w:sz w:val="32"/>
          <w:szCs w:val="32"/>
        </w:rPr>
        <w:t>坚持以习近平新时代中国特色社会主义思想为指导，依托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一月一课一片一实践</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主题党日活动，以学习《条例》为主题，做到党员、干部全覆盖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进一步强化纪律意识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始终做到忠诚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干净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担当。</w:t>
      </w:r>
      <w:r>
        <w:rPr>
          <w:rFonts w:ascii="Times New Roman" w:hAnsi="Times New Roman" w:eastAsia="方正仿宋_GBK" w:cs="Times New Roman"/>
          <w:b/>
          <w:bCs/>
          <w:sz w:val="32"/>
          <w:szCs w:val="32"/>
        </w:rPr>
        <w:t>一是</w:t>
      </w:r>
      <w:r>
        <w:rPr>
          <w:rFonts w:ascii="Times New Roman" w:hAnsi="Times New Roman" w:eastAsia="方正仿宋_GBK" w:cs="Times New Roman"/>
          <w:sz w:val="32"/>
          <w:szCs w:val="32"/>
        </w:rPr>
        <w:t>通过原原本本学、专题读书班学、个人自主学习和组织集中学习相结合的方式，推动《条例》入脑入心</w:t>
      </w:r>
      <w:r>
        <w:rPr>
          <w:rFonts w:hint="eastAsia" w:ascii="Times New Roman" w:hAnsi="Times New Roman" w:eastAsia="方正仿宋_GBK" w:cs="Times New Roman"/>
          <w:sz w:val="32"/>
          <w:szCs w:val="32"/>
        </w:rPr>
        <w:t>。</w:t>
      </w:r>
      <w:r>
        <w:rPr>
          <w:rFonts w:ascii="Times New Roman" w:hAnsi="Times New Roman" w:eastAsia="方正仿宋_GBK" w:cs="Times New Roman"/>
          <w:b/>
          <w:bCs/>
          <w:sz w:val="32"/>
          <w:szCs w:val="32"/>
        </w:rPr>
        <w:t>二是</w:t>
      </w:r>
      <w:r>
        <w:rPr>
          <w:rFonts w:ascii="Times New Roman" w:hAnsi="Times New Roman" w:eastAsia="方正仿宋_GBK" w:cs="Times New Roman"/>
          <w:sz w:val="32"/>
          <w:szCs w:val="32"/>
        </w:rPr>
        <w:t>通过开展警示教育、书记讲纪律党课、加强廉政风险防控等方式，让党员干部受警醒、明底线、知敬畏</w:t>
      </w:r>
      <w:r>
        <w:rPr>
          <w:rFonts w:hint="eastAsia" w:ascii="Times New Roman" w:hAnsi="Times New Roman" w:eastAsia="方正仿宋_GBK" w:cs="Times New Roman"/>
          <w:sz w:val="32"/>
          <w:szCs w:val="32"/>
        </w:rPr>
        <w:t>。</w:t>
      </w:r>
      <w:r>
        <w:rPr>
          <w:rFonts w:ascii="Times New Roman" w:hAnsi="Times New Roman" w:eastAsia="方正仿宋_GBK" w:cs="Times New Roman"/>
          <w:b/>
          <w:bCs/>
          <w:sz w:val="32"/>
          <w:szCs w:val="32"/>
        </w:rPr>
        <w:t>三是</w:t>
      </w:r>
      <w:r>
        <w:rPr>
          <w:rFonts w:ascii="Times New Roman" w:hAnsi="Times New Roman" w:eastAsia="方正仿宋_GBK" w:cs="Times New Roman"/>
          <w:sz w:val="32"/>
          <w:szCs w:val="32"/>
        </w:rPr>
        <w:t>把开展党纪学习教育同落实党中央重大决策部署和省委工作要求、推进市场监管重点工作、加强中心行风建设、开展群众身边不正之风和腐败问题集中整治结合起来，以党纪学习教育成效促进消费维权工作高质量发展。</w:t>
      </w:r>
    </w:p>
    <w:p>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楷体_GB2312" w:cs="Times New Roman"/>
          <w:sz w:val="32"/>
          <w:szCs w:val="32"/>
          <w:lang w:val="en-US" w:eastAsia="zh-CN"/>
        </w:rPr>
        <w:t>2. “</w:t>
      </w:r>
      <w:r>
        <w:rPr>
          <w:rFonts w:ascii="Times New Roman" w:hAnsi="Times New Roman" w:eastAsia="楷体_GB2312" w:cs="Times New Roman"/>
          <w:sz w:val="32"/>
          <w:szCs w:val="32"/>
        </w:rPr>
        <w:t>3·15</w:t>
      </w:r>
      <w:r>
        <w:rPr>
          <w:rFonts w:hint="eastAsia" w:ascii="Times New Roman" w:hAnsi="Times New Roman" w:eastAsia="楷体_GB2312" w:cs="Times New Roman"/>
          <w:sz w:val="32"/>
          <w:szCs w:val="32"/>
          <w:lang w:eastAsia="zh-CN"/>
        </w:rPr>
        <w:t>”</w:t>
      </w:r>
      <w:r>
        <w:rPr>
          <w:rFonts w:ascii="Times New Roman" w:hAnsi="Times New Roman" w:eastAsia="楷体_GB2312" w:cs="Times New Roman"/>
          <w:sz w:val="32"/>
          <w:szCs w:val="32"/>
        </w:rPr>
        <w:t>国际消费者权益日系列活动</w:t>
      </w:r>
      <w:r>
        <w:rPr>
          <w:rFonts w:hint="eastAsia" w:ascii="Times New Roman" w:hAnsi="Times New Roman" w:eastAsia="楷体_GB2312" w:cs="Times New Roman"/>
          <w:sz w:val="32"/>
          <w:szCs w:val="32"/>
        </w:rPr>
        <w:t>开展得力有效。</w:t>
      </w:r>
      <w:r>
        <w:rPr>
          <w:rFonts w:ascii="Times New Roman" w:hAnsi="Times New Roman" w:eastAsia="方正仿宋_GBK" w:cs="Times New Roman"/>
          <w:sz w:val="32"/>
          <w:szCs w:val="32"/>
        </w:rPr>
        <w:t>围绕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创优消费环境</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激发消费活力</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活动主题，牵头组织开展</w:t>
      </w:r>
      <w:r>
        <w:rPr>
          <w:rFonts w:hint="eastAsia" w:ascii="Times New Roman" w:hAnsi="Times New Roman" w:eastAsia="方正仿宋_GBK" w:cs="Times New Roman"/>
          <w:sz w:val="32"/>
          <w:szCs w:val="32"/>
          <w:lang w:eastAsia="zh-CN"/>
        </w:rPr>
        <w:t>“</w:t>
      </w:r>
      <w:r>
        <w:rPr>
          <w:rFonts w:ascii="仿宋" w:hAnsi="仿宋" w:eastAsia="仿宋" w:cs="Times New Roman"/>
          <w:sz w:val="32"/>
          <w:szCs w:val="32"/>
        </w:rPr>
        <w:t>3·15</w:t>
      </w:r>
      <w:r>
        <w:rPr>
          <w:rFonts w:hint="default" w:ascii="仿宋" w:hAnsi="仿宋" w:eastAsia="仿宋" w:cs="Times New Roman"/>
          <w:sz w:val="32"/>
          <w:szCs w:val="32"/>
          <w:lang w:val="en-US" w:eastAsia="zh-CN"/>
        </w:rPr>
        <w:t>”</w:t>
      </w:r>
      <w:r>
        <w:rPr>
          <w:rFonts w:ascii="仿宋" w:hAnsi="仿宋" w:eastAsia="仿宋" w:cs="Times New Roman"/>
          <w:sz w:val="32"/>
          <w:szCs w:val="32"/>
        </w:rPr>
        <w:t>国际消费者权益日系列</w:t>
      </w:r>
      <w:r>
        <w:rPr>
          <w:rFonts w:ascii="Times New Roman" w:hAnsi="Times New Roman" w:eastAsia="方正仿宋_GBK" w:cs="Times New Roman"/>
          <w:sz w:val="32"/>
          <w:szCs w:val="32"/>
        </w:rPr>
        <w:t>活动</w:t>
      </w:r>
      <w:r>
        <w:rPr>
          <w:rFonts w:hint="eastAsia" w:ascii="Times New Roman" w:hAnsi="Times New Roman" w:eastAsia="方正仿宋_GBK" w:cs="Times New Roman"/>
          <w:sz w:val="32"/>
          <w:szCs w:val="32"/>
        </w:rPr>
        <w:t>成效显著</w:t>
      </w:r>
      <w:r>
        <w:rPr>
          <w:rFonts w:ascii="Times New Roman" w:hAnsi="Times New Roman" w:eastAsia="方正仿宋_GBK" w:cs="Times New Roman"/>
          <w:sz w:val="32"/>
          <w:szCs w:val="32"/>
        </w:rPr>
        <w:t>。</w:t>
      </w:r>
      <w:r>
        <w:rPr>
          <w:rFonts w:ascii="Times New Roman" w:hAnsi="Times New Roman" w:eastAsia="方正仿宋_GBK" w:cs="Times New Roman"/>
          <w:b/>
          <w:bCs/>
          <w:sz w:val="32"/>
          <w:szCs w:val="32"/>
        </w:rPr>
        <w:t>一是</w:t>
      </w:r>
      <w:r>
        <w:rPr>
          <w:rFonts w:hint="eastAsia" w:ascii="Times New Roman" w:hAnsi="Times New Roman" w:eastAsia="方正仿宋_GBK" w:cs="Times New Roman"/>
          <w:bCs/>
          <w:sz w:val="32"/>
          <w:szCs w:val="32"/>
        </w:rPr>
        <w:t>以</w:t>
      </w:r>
      <w:r>
        <w:rPr>
          <w:rFonts w:ascii="Times New Roman" w:hAnsi="Times New Roman" w:eastAsia="方正仿宋_GBK" w:cs="Times New Roman"/>
          <w:sz w:val="32"/>
          <w:szCs w:val="32"/>
        </w:rPr>
        <w:t>省局、省消保委</w:t>
      </w:r>
      <w:r>
        <w:rPr>
          <w:rFonts w:hint="eastAsia" w:ascii="Times New Roman" w:hAnsi="Times New Roman" w:eastAsia="方正仿宋_GBK" w:cs="Times New Roman"/>
          <w:sz w:val="32"/>
          <w:szCs w:val="32"/>
        </w:rPr>
        <w:t>名义联合</w:t>
      </w:r>
      <w:r>
        <w:rPr>
          <w:rFonts w:ascii="Times New Roman" w:hAnsi="Times New Roman" w:eastAsia="方正仿宋_GBK" w:cs="Times New Roman"/>
          <w:sz w:val="32"/>
          <w:szCs w:val="32"/>
        </w:rPr>
        <w:t>举办纪念消费者权益保护法施行30周年暨2024年湖南省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3·15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国际消费者权益日大会。省人大常委会党组副书记、副主任，省消保委主任张剑飞</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省政府副省长蒋涤非出席并讲话。省政府副秘书长陈旌，省局党组书记、局长，省消保委常务副主任钱俊君，省政协人资环委副主任、省消保委副主任向曙光等领导出席大会。据统计，</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3·15</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大会在线观看人次636.89万人次。</w:t>
      </w:r>
      <w:r>
        <w:rPr>
          <w:rFonts w:ascii="Times New Roman" w:hAnsi="Times New Roman" w:eastAsia="方正仿宋_GBK" w:cs="Times New Roman"/>
          <w:b/>
          <w:bCs/>
          <w:sz w:val="32"/>
          <w:szCs w:val="32"/>
        </w:rPr>
        <w:t>二是</w:t>
      </w:r>
      <w:r>
        <w:rPr>
          <w:rFonts w:ascii="Times New Roman" w:hAnsi="Times New Roman" w:eastAsia="方正仿宋_GBK" w:cs="Times New Roman"/>
          <w:sz w:val="32"/>
          <w:szCs w:val="32"/>
        </w:rPr>
        <w:t>紧扣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激发消费活力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年主题，开展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激发消费活力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年主题宣传月活动。</w:t>
      </w:r>
      <w:r>
        <w:rPr>
          <w:rFonts w:hint="eastAsia" w:ascii="Times New Roman" w:hAnsi="Times New Roman" w:eastAsia="方正仿宋_GBK" w:cs="Times New Roman"/>
          <w:sz w:val="32"/>
          <w:szCs w:val="32"/>
        </w:rPr>
        <w:t>通过拍摄年主题宣传片、设计制作海报、湘消宝表情包、编印</w:t>
      </w:r>
      <w:r>
        <w:rPr>
          <w:rFonts w:ascii="Times New Roman" w:hAnsi="Times New Roman" w:eastAsia="方正仿宋_GBK" w:cs="Times New Roman"/>
          <w:sz w:val="32"/>
          <w:szCs w:val="32"/>
        </w:rPr>
        <w:t>消费教育读本</w:t>
      </w:r>
      <w:r>
        <w:rPr>
          <w:rFonts w:hint="eastAsia" w:ascii="Times New Roman" w:hAnsi="Times New Roman" w:eastAsia="方正仿宋_GBK" w:cs="Times New Roman"/>
          <w:sz w:val="32"/>
          <w:szCs w:val="32"/>
        </w:rPr>
        <w:t>等多种方式，</w:t>
      </w:r>
      <w:r>
        <w:rPr>
          <w:rFonts w:ascii="Times New Roman" w:hAnsi="Times New Roman" w:eastAsia="方正仿宋_GBK" w:cs="Times New Roman"/>
          <w:sz w:val="32"/>
          <w:szCs w:val="32"/>
        </w:rPr>
        <w:t>借助报、网、端、广播</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电视、网站、APP、微信公众号、抖音等媒体矩阵广泛宣传</w:t>
      </w:r>
      <w:r>
        <w:rPr>
          <w:rFonts w:hint="eastAsia" w:ascii="Times New Roman" w:hAnsi="Times New Roman" w:eastAsia="方正仿宋_GBK" w:cs="Times New Roman"/>
          <w:sz w:val="32"/>
          <w:szCs w:val="32"/>
        </w:rPr>
        <w:t>年主题，让年主题深入人心</w:t>
      </w:r>
      <w:r>
        <w:rPr>
          <w:rFonts w:ascii="Times New Roman" w:hAnsi="Times New Roman" w:eastAsia="方正仿宋_GBK" w:cs="Times New Roman"/>
          <w:sz w:val="32"/>
          <w:szCs w:val="32"/>
        </w:rPr>
        <w:t>。</w:t>
      </w:r>
      <w:r>
        <w:rPr>
          <w:rFonts w:ascii="Times New Roman" w:hAnsi="Times New Roman" w:eastAsia="方正仿宋_GBK" w:cs="Times New Roman"/>
          <w:b/>
          <w:bCs/>
          <w:sz w:val="32"/>
          <w:szCs w:val="32"/>
        </w:rPr>
        <w:t>三是</w:t>
      </w:r>
      <w:r>
        <w:rPr>
          <w:rFonts w:ascii="Times New Roman" w:hAnsi="Times New Roman" w:eastAsia="方正仿宋_GBK" w:cs="Times New Roman"/>
          <w:sz w:val="32"/>
          <w:szCs w:val="32"/>
        </w:rPr>
        <w:t>开展宣传选树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消费维权年度人物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消费维权好新闻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评选</w:t>
      </w:r>
      <w:r>
        <w:rPr>
          <w:rFonts w:hint="eastAsia" w:ascii="Times New Roman" w:hAnsi="Times New Roman" w:eastAsia="方正仿宋_GBK" w:cs="Times New Roman"/>
          <w:sz w:val="32"/>
          <w:szCs w:val="32"/>
        </w:rPr>
        <w:t>活动</w:t>
      </w:r>
      <w:r>
        <w:rPr>
          <w:rFonts w:ascii="Times New Roman" w:hAnsi="Times New Roman" w:eastAsia="方正仿宋_GBK" w:cs="Times New Roman"/>
          <w:sz w:val="32"/>
          <w:szCs w:val="32"/>
        </w:rPr>
        <w:t>，推进消费维权社会共治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激发新闻舆论维权作用，</w:t>
      </w:r>
      <w:r>
        <w:rPr>
          <w:rFonts w:hint="eastAsia" w:ascii="Times New Roman" w:hAnsi="Times New Roman" w:eastAsia="方正仿宋_GBK" w:cs="Times New Roman"/>
          <w:sz w:val="32"/>
          <w:szCs w:val="32"/>
        </w:rPr>
        <w:t>共同</w:t>
      </w:r>
      <w:r>
        <w:rPr>
          <w:rFonts w:ascii="Times New Roman" w:hAnsi="Times New Roman" w:eastAsia="方正仿宋_GBK" w:cs="Times New Roman"/>
          <w:sz w:val="32"/>
          <w:szCs w:val="32"/>
        </w:rPr>
        <w:t>营造放心消费环境。</w:t>
      </w:r>
      <w:r>
        <w:rPr>
          <w:rFonts w:ascii="Times New Roman" w:hAnsi="Times New Roman" w:eastAsia="方正仿宋_GBK" w:cs="Times New Roman"/>
          <w:b/>
          <w:bCs/>
          <w:sz w:val="32"/>
          <w:szCs w:val="32"/>
        </w:rPr>
        <w:t>四是</w:t>
      </w:r>
      <w:r>
        <w:rPr>
          <w:rFonts w:hint="eastAsia" w:ascii="Times New Roman" w:hAnsi="Times New Roman" w:eastAsia="方正仿宋_GBK" w:cs="Times New Roman"/>
          <w:sz w:val="32"/>
          <w:szCs w:val="32"/>
        </w:rPr>
        <w:t>举办</w:t>
      </w:r>
      <w:r>
        <w:rPr>
          <w:rFonts w:ascii="Times New Roman" w:hAnsi="Times New Roman" w:eastAsia="方正仿宋_GBK" w:cs="Times New Roman"/>
          <w:sz w:val="32"/>
          <w:szCs w:val="32"/>
        </w:rPr>
        <w:t>湖南省2024年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激发消费活力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消费维权年主题研讨活动暨《消法实施条例》宣贯会。进一步凝聚社会各方力量，切实保护消费者合法权益。活动现场开展</w:t>
      </w:r>
      <w:r>
        <w:rPr>
          <w:rFonts w:hint="eastAsia" w:ascii="Times New Roman" w:hAnsi="Times New Roman" w:eastAsia="方正仿宋_GBK" w:cs="Times New Roman"/>
          <w:sz w:val="32"/>
          <w:szCs w:val="32"/>
        </w:rPr>
        <w:t>了</w:t>
      </w:r>
      <w:r>
        <w:rPr>
          <w:rFonts w:ascii="Times New Roman" w:hAnsi="Times New Roman" w:eastAsia="方正仿宋_GBK" w:cs="Times New Roman"/>
          <w:sz w:val="32"/>
          <w:szCs w:val="32"/>
        </w:rPr>
        <w:t>专家主题演讲、现场研讨、解读新出台的《消费者权益保护法实施条例》</w:t>
      </w:r>
      <w:r>
        <w:rPr>
          <w:rFonts w:hint="eastAsia" w:ascii="Times New Roman" w:hAnsi="Times New Roman" w:eastAsia="方正仿宋_GBK" w:cs="Times New Roman"/>
          <w:sz w:val="32"/>
          <w:szCs w:val="32"/>
        </w:rPr>
        <w:t>等活动</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收到良好社会反响。</w:t>
      </w:r>
      <w:r>
        <w:rPr>
          <w:rFonts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楷体" w:cs="Times New Roman"/>
          <w:bCs/>
          <w:color w:val="000000"/>
          <w:sz w:val="32"/>
          <w:szCs w:val="32"/>
          <w:lang w:val="en-US" w:eastAsia="zh-CN"/>
        </w:rPr>
        <w:t>3.</w:t>
      </w:r>
      <w:r>
        <w:rPr>
          <w:rFonts w:ascii="Times New Roman" w:hAnsi="Times New Roman" w:eastAsia="楷体" w:cs="Times New Roman"/>
          <w:bCs/>
          <w:color w:val="000000"/>
          <w:sz w:val="32"/>
          <w:szCs w:val="32"/>
        </w:rPr>
        <w:t>“激发消费活力 我们在行动”社会公益活动有声有色</w:t>
      </w:r>
      <w:r>
        <w:rPr>
          <w:rFonts w:hint="eastAsia" w:ascii="Times New Roman" w:hAnsi="Times New Roman" w:eastAsia="楷体" w:cs="Times New Roman"/>
          <w:bCs/>
          <w:color w:val="000000"/>
          <w:sz w:val="32"/>
          <w:szCs w:val="32"/>
        </w:rPr>
        <w:t>。</w:t>
      </w:r>
      <w:r>
        <w:rPr>
          <w:rFonts w:ascii="Times New Roman" w:hAnsi="Times New Roman" w:eastAsia="方正仿宋_GBK" w:cs="Times New Roman"/>
          <w:sz w:val="32"/>
          <w:szCs w:val="32"/>
        </w:rPr>
        <w:t>制定并下发</w:t>
      </w:r>
      <w:r>
        <w:rPr>
          <w:rFonts w:hint="eastAsia" w:ascii="Times New Roman" w:hAnsi="Times New Roman" w:eastAsia="方正仿宋_GBK" w:cs="Times New Roman"/>
          <w:sz w:val="32"/>
          <w:szCs w:val="32"/>
        </w:rPr>
        <w:t>《湖南省消保委“</w:t>
      </w:r>
      <w:r>
        <w:rPr>
          <w:rFonts w:ascii="Times New Roman" w:hAnsi="Times New Roman" w:eastAsia="方正仿宋_GBK" w:cs="Times New Roman"/>
          <w:sz w:val="32"/>
          <w:szCs w:val="32"/>
        </w:rPr>
        <w:t>激发消费活力 我们在行动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社会公益活动方案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发动社会力量，共同参与“激发消费活动 我们在行动”系列活动，助力经济社会高质量发展。省消保委组织</w:t>
      </w:r>
      <w:r>
        <w:rPr>
          <w:rFonts w:ascii="Times New Roman" w:hAnsi="Times New Roman" w:eastAsia="方正仿宋_GBK" w:cs="Times New Roman"/>
          <w:sz w:val="32"/>
          <w:szCs w:val="32"/>
        </w:rPr>
        <w:t>开展</w:t>
      </w:r>
      <w:r>
        <w:rPr>
          <w:rFonts w:hint="eastAsia" w:ascii="Times New Roman" w:hAnsi="Times New Roman" w:eastAsia="方正仿宋_GBK" w:cs="Times New Roman"/>
          <w:sz w:val="32"/>
          <w:szCs w:val="32"/>
        </w:rPr>
        <w:t>了“</w:t>
      </w:r>
      <w:r>
        <w:rPr>
          <w:rFonts w:ascii="Times New Roman" w:hAnsi="Times New Roman" w:eastAsia="方正仿宋_GBK" w:cs="Times New Roman"/>
          <w:sz w:val="32"/>
          <w:szCs w:val="32"/>
        </w:rPr>
        <w:t>激发消费活力 我们在行动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行业座谈会，指导</w:t>
      </w:r>
      <w:r>
        <w:rPr>
          <w:rFonts w:hint="eastAsia" w:ascii="Times New Roman" w:hAnsi="Times New Roman" w:eastAsia="方正仿宋_GBK" w:cs="Times New Roman"/>
          <w:sz w:val="32"/>
          <w:szCs w:val="32"/>
        </w:rPr>
        <w:t>与消费生活密切相关的六家</w:t>
      </w:r>
      <w:r>
        <w:rPr>
          <w:rFonts w:ascii="Times New Roman" w:hAnsi="Times New Roman" w:eastAsia="方正仿宋_GBK" w:cs="Times New Roman"/>
          <w:sz w:val="32"/>
          <w:szCs w:val="32"/>
        </w:rPr>
        <w:t>行业协会</w:t>
      </w:r>
      <w:r>
        <w:rPr>
          <w:rFonts w:hint="eastAsia" w:ascii="Times New Roman" w:hAnsi="Times New Roman" w:eastAsia="方正仿宋_GBK" w:cs="Times New Roman"/>
          <w:sz w:val="32"/>
          <w:szCs w:val="32"/>
        </w:rPr>
        <w:t>联合</w:t>
      </w:r>
      <w:r>
        <w:rPr>
          <w:rFonts w:ascii="Times New Roman" w:hAnsi="Times New Roman" w:eastAsia="方正仿宋_GBK" w:cs="Times New Roman"/>
          <w:sz w:val="32"/>
          <w:szCs w:val="32"/>
        </w:rPr>
        <w:t>开展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3·15</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国际消费者权益日</w:t>
      </w:r>
      <w:r>
        <w:rPr>
          <w:rFonts w:hint="eastAsia" w:ascii="Times New Roman" w:hAnsi="Times New Roman" w:eastAsia="方正仿宋_GBK" w:cs="Times New Roman"/>
          <w:sz w:val="32"/>
          <w:szCs w:val="32"/>
        </w:rPr>
        <w:t>大型</w:t>
      </w:r>
      <w:r>
        <w:rPr>
          <w:rFonts w:ascii="Times New Roman" w:hAnsi="Times New Roman" w:eastAsia="方正仿宋_GBK" w:cs="Times New Roman"/>
          <w:sz w:val="32"/>
          <w:szCs w:val="32"/>
        </w:rPr>
        <w:t>宣传咨询活动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指导常德组织志愿者代表开展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激发消费活力 我们在行动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消费维权进农村宣传活动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指导岳阳举行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激发消费活力 我们在行动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社会公益活动启动仪式暨《消费者权益保护法实施条例》宣贯会；指导永州宁远携手宁远爱尔眼科医院、宁远莲花小学，联合举办主题为“激发消费活力 我们在行动”的系列公益活动</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指导</w:t>
      </w:r>
      <w:r>
        <w:rPr>
          <w:rFonts w:hint="default" w:ascii="Times New Roman" w:hAnsi="Times New Roman" w:eastAsia="仿宋_GB2312" w:cs="Times New Roman"/>
          <w:sz w:val="32"/>
          <w:szCs w:val="32"/>
        </w:rPr>
        <w:t>湘西自治州</w:t>
      </w:r>
      <w:r>
        <w:rPr>
          <w:rFonts w:hint="eastAsia" w:ascii="Times New Roman" w:hAnsi="Times New Roman" w:eastAsia="仿宋_GB2312" w:cs="Times New Roman"/>
          <w:sz w:val="32"/>
          <w:szCs w:val="32"/>
          <w:lang w:eastAsia="zh-CN"/>
        </w:rPr>
        <w:t>举行</w:t>
      </w:r>
      <w:r>
        <w:rPr>
          <w:rFonts w:hint="default" w:ascii="Times New Roman" w:hAnsi="Times New Roman" w:eastAsia="仿宋_GB2312" w:cs="Times New Roman"/>
          <w:sz w:val="32"/>
          <w:szCs w:val="32"/>
        </w:rPr>
        <w:t>“激发消费活力 我们在行动”社会公益活动启动仪式暨《消法实施条例》宣贯会</w:t>
      </w:r>
      <w:r>
        <w:rPr>
          <w:rFonts w:hint="eastAsia" w:ascii="Times New Roman" w:hAnsi="Times New Roman" w:eastAsia="仿宋_GB2312" w:cs="Times New Roman"/>
          <w:sz w:val="32"/>
          <w:szCs w:val="32"/>
          <w:lang w:eastAsia="zh-CN"/>
        </w:rPr>
        <w:t>。</w:t>
      </w:r>
      <w:r>
        <w:rPr>
          <w:rFonts w:ascii="Times New Roman" w:hAnsi="Times New Roman" w:eastAsia="方正仿宋_GBK" w:cs="Times New Roman"/>
          <w:sz w:val="32"/>
          <w:szCs w:val="32"/>
        </w:rPr>
        <w:t>指导衡阳开展“激发消费活力 服务旅发大会”消费体验座谈会。</w:t>
      </w:r>
      <w:r>
        <w:rPr>
          <w:rFonts w:ascii="Times New Roman" w:hAnsi="Times New Roman" w:eastAsia="方正仿宋_GBK" w:cs="Times New Roman"/>
          <w:sz w:val="32"/>
          <w:szCs w:val="32"/>
          <w:lang w:val="zh-CN"/>
        </w:rPr>
        <w:t>以南岳区旅游行业诚信“红黑榜”制度为载体，</w:t>
      </w:r>
      <w:r>
        <w:rPr>
          <w:rFonts w:hint="eastAsia" w:ascii="Times New Roman" w:hAnsi="Times New Roman" w:eastAsia="方正仿宋_GBK" w:cs="Times New Roman"/>
          <w:sz w:val="32"/>
          <w:szCs w:val="32"/>
          <w:lang w:val="zh-CN"/>
        </w:rPr>
        <w:t>推动</w:t>
      </w:r>
      <w:r>
        <w:rPr>
          <w:rFonts w:ascii="Times New Roman" w:hAnsi="Times New Roman" w:eastAsia="方正仿宋_GBK" w:cs="Times New Roman"/>
          <w:sz w:val="32"/>
          <w:szCs w:val="32"/>
          <w:lang w:val="zh-CN"/>
        </w:rPr>
        <w:t>出台旅游“红黑榜”、旅游商品七天无理由退货和先行赔付制度，建立旅游投诉快处快办机制，创新性地将诚信建设与旅游市场监管相结合，推动全域旅游建设</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激发消费活力。</w:t>
      </w:r>
      <w:r>
        <w:rPr>
          <w:rFonts w:hint="eastAsia" w:ascii="Times New Roman" w:hAnsi="Times New Roman" w:eastAsia="方正仿宋_GBK" w:cs="Times New Roman"/>
          <w:sz w:val="32"/>
          <w:szCs w:val="32"/>
          <w:lang w:val="zh-CN"/>
        </w:rPr>
        <w:t>组织全省开展“3·15金秋购物节”公益活动，惠及近35万消费者，取得经济效果3500多万。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w:t>
      </w:r>
      <w:r>
        <w:rPr>
          <w:rFonts w:ascii="Times New Roman" w:hAnsi="Times New Roman" w:eastAsia="楷体_GB2312" w:cs="Times New Roman"/>
          <w:sz w:val="32"/>
          <w:szCs w:val="32"/>
        </w:rPr>
        <w:t>3·15</w:t>
      </w:r>
      <w:r>
        <w:rPr>
          <w:rFonts w:hint="eastAsia" w:ascii="Times New Roman" w:hAnsi="Times New Roman" w:eastAsia="楷体" w:cs="Times New Roman"/>
          <w:bCs/>
          <w:color w:val="000000"/>
          <w:sz w:val="32"/>
          <w:szCs w:val="32"/>
          <w:lang w:val="en-US" w:eastAsia="zh-CN"/>
        </w:rPr>
        <w:t>消费者权益保护暨中国消费者协会40年座谈会</w:t>
      </w:r>
      <w:r>
        <w:rPr>
          <w:rFonts w:ascii="Times New Roman" w:hAnsi="Times New Roman" w:eastAsia="方正仿宋_GBK" w:cs="Times New Roman"/>
          <w:sz w:val="32"/>
          <w:szCs w:val="32"/>
          <w:lang w:val="zh-CN"/>
        </w:rPr>
        <w:t>”</w:t>
      </w:r>
      <w:r>
        <w:rPr>
          <w:rFonts w:hint="eastAsia" w:ascii="Times New Roman" w:hAnsi="Times New Roman" w:eastAsia="楷体" w:cs="Times New Roman"/>
          <w:bCs/>
          <w:color w:val="000000"/>
          <w:sz w:val="32"/>
          <w:szCs w:val="32"/>
          <w:lang w:val="en-US" w:eastAsia="zh-CN"/>
        </w:rPr>
        <w:t>及</w:t>
      </w:r>
      <w:r>
        <w:rPr>
          <w:rFonts w:ascii="Times New Roman" w:hAnsi="Times New Roman" w:eastAsia="方正仿宋_GBK" w:cs="Times New Roman"/>
          <w:sz w:val="32"/>
          <w:szCs w:val="32"/>
        </w:rPr>
        <w:t>“</w:t>
      </w:r>
      <w:r>
        <w:rPr>
          <w:rFonts w:hint="eastAsia" w:ascii="Times New Roman" w:hAnsi="Times New Roman" w:eastAsia="楷体" w:cs="Times New Roman"/>
          <w:bCs/>
          <w:color w:val="000000"/>
          <w:sz w:val="32"/>
          <w:szCs w:val="32"/>
          <w:lang w:val="en-US" w:eastAsia="zh-CN"/>
        </w:rPr>
        <w:t>中消协40年消费维权成果展</w:t>
      </w:r>
      <w:r>
        <w:rPr>
          <w:rFonts w:ascii="Times New Roman" w:hAnsi="Times New Roman" w:eastAsia="方正仿宋_GBK" w:cs="Times New Roman"/>
          <w:sz w:val="32"/>
          <w:szCs w:val="32"/>
          <w:lang w:val="zh-CN"/>
        </w:rPr>
        <w:t>”</w:t>
      </w:r>
      <w:r>
        <w:rPr>
          <w:rFonts w:hint="eastAsia" w:ascii="Times New Roman" w:hAnsi="Times New Roman" w:eastAsia="楷体" w:cs="Times New Roman"/>
          <w:bCs/>
          <w:color w:val="000000"/>
          <w:sz w:val="32"/>
          <w:szCs w:val="32"/>
          <w:lang w:val="en-US" w:eastAsia="zh-CN"/>
        </w:rPr>
        <w:t>活动举办圆满成功。</w:t>
      </w:r>
      <w:r>
        <w:rPr>
          <w:rFonts w:hint="eastAsia" w:ascii="Times New Roman" w:hAnsi="Times New Roman" w:eastAsia="方正仿宋_GBK" w:cs="Times New Roman"/>
          <w:sz w:val="32"/>
          <w:szCs w:val="32"/>
          <w:lang w:val="zh-CN"/>
        </w:rPr>
        <w:t>市场监管总局党组书记、局长，中消协会长罗文出席会议并讲话。湖南省人民政府副省长王俊寿，国际消费者联会主席马里穆图·纳达森在会上致辞。最高人民检察院副检察长张雪樵、商务部副部长盛秋平、中华全国总工会书记处书记邹震出席会议。中消协常务副会长甘霖主持会议。会议深入学习贯彻党的二十届三中全会精神，充分展示40年来我国消费者权益保护工作成就，对进一步开创新时代消费者权益保护事业新局面提出明确要求。会上，中消协举办了40年消费维权工作成果展，发布了《中国消费者权益保护40年》和《中消协40年消费维权40事》。行政部门、地方消协、行业企业、专家律师、新闻媒体和消费者等代表进行交流发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Times New Roman"/>
          <w:b w:val="0"/>
          <w:bCs w:val="0"/>
          <w:color w:val="000000"/>
          <w:kern w:val="2"/>
          <w:sz w:val="32"/>
          <w:szCs w:val="32"/>
          <w:lang w:val="zh-CN" w:eastAsia="zh-CN" w:bidi="ar-SA"/>
        </w:rPr>
      </w:pPr>
      <w:r>
        <w:rPr>
          <w:rFonts w:hint="eastAsia" w:eastAsia="楷体" w:cs="Times New Roman"/>
          <w:b w:val="0"/>
          <w:bCs/>
          <w:color w:val="000000"/>
          <w:kern w:val="2"/>
          <w:sz w:val="32"/>
          <w:szCs w:val="32"/>
          <w:lang w:val="en-US" w:eastAsia="zh-CN" w:bidi="ar-SA"/>
        </w:rPr>
        <w:t>5.</w:t>
      </w:r>
      <w:r>
        <w:rPr>
          <w:rFonts w:hint="eastAsia" w:ascii="Times New Roman" w:hAnsi="Times New Roman" w:eastAsia="楷体" w:cs="Times New Roman"/>
          <w:b w:val="0"/>
          <w:bCs/>
          <w:color w:val="000000"/>
          <w:kern w:val="2"/>
          <w:sz w:val="32"/>
          <w:szCs w:val="32"/>
          <w:lang w:val="en-US" w:eastAsia="zh-CN" w:bidi="ar-SA"/>
        </w:rPr>
        <w:t>长江中游三省消费者组织签订消费维权合作协议顺利签署。</w:t>
      </w:r>
      <w:r>
        <w:rPr>
          <w:rFonts w:hint="default" w:ascii="Times New Roman" w:hAnsi="Times New Roman" w:eastAsia="方正仿宋_GBK" w:cs="Times New Roman"/>
          <w:b w:val="0"/>
          <w:bCs w:val="0"/>
          <w:color w:val="000000"/>
          <w:kern w:val="2"/>
          <w:sz w:val="32"/>
          <w:szCs w:val="32"/>
          <w:lang w:val="en-US" w:eastAsia="zh-CN" w:bidi="ar-SA"/>
        </w:rPr>
        <w:t>11月2</w:t>
      </w:r>
      <w:r>
        <w:rPr>
          <w:rFonts w:hint="eastAsia" w:ascii="Times New Roman" w:hAnsi="Times New Roman" w:eastAsia="方正仿宋_GBK" w:cs="Times New Roman"/>
          <w:b w:val="0"/>
          <w:bCs w:val="0"/>
          <w:color w:val="000000"/>
          <w:kern w:val="2"/>
          <w:sz w:val="32"/>
          <w:szCs w:val="32"/>
          <w:lang w:val="en-US" w:eastAsia="zh-CN" w:bidi="ar-SA"/>
        </w:rPr>
        <w:t>2</w:t>
      </w:r>
      <w:r>
        <w:rPr>
          <w:rFonts w:hint="default" w:ascii="Times New Roman" w:hAnsi="Times New Roman" w:eastAsia="方正仿宋_GBK" w:cs="Times New Roman"/>
          <w:b w:val="0"/>
          <w:bCs w:val="0"/>
          <w:color w:val="000000"/>
          <w:kern w:val="2"/>
          <w:sz w:val="32"/>
          <w:szCs w:val="32"/>
          <w:lang w:val="en-US" w:eastAsia="zh-CN" w:bidi="ar-SA"/>
        </w:rPr>
        <w:t>日，湘鄂赣三省消费者权益保护委员会签订消费维权合作协议</w:t>
      </w:r>
      <w:r>
        <w:rPr>
          <w:rFonts w:hint="eastAsia" w:ascii="Times New Roman" w:hAnsi="Times New Roman" w:eastAsia="方正仿宋_GBK" w:cs="Times New Roman"/>
          <w:b w:val="0"/>
          <w:bCs w:val="0"/>
          <w:color w:val="000000"/>
          <w:kern w:val="2"/>
          <w:sz w:val="32"/>
          <w:szCs w:val="32"/>
          <w:lang w:val="en-US" w:eastAsia="zh-CN" w:bidi="ar-SA"/>
        </w:rPr>
        <w:t>，是</w:t>
      </w:r>
      <w:r>
        <w:rPr>
          <w:rFonts w:hint="default" w:ascii="Times New Roman" w:hAnsi="Times New Roman" w:eastAsia="方正仿宋_GBK" w:cs="Times New Roman"/>
          <w:b w:val="0"/>
          <w:bCs w:val="0"/>
          <w:color w:val="000000"/>
          <w:kern w:val="2"/>
          <w:sz w:val="32"/>
          <w:szCs w:val="32"/>
          <w:lang w:val="en-US" w:eastAsia="zh-CN" w:bidi="ar-SA"/>
        </w:rPr>
        <w:t>深入贯彻习近平总书记关于推动长江经济带发展和中部地区崛起的重要论述精神</w:t>
      </w:r>
      <w:r>
        <w:rPr>
          <w:rFonts w:hint="eastAsia" w:ascii="Times New Roman" w:hAnsi="Times New Roman" w:eastAsia="方正仿宋_GBK" w:cs="Times New Roman"/>
          <w:b w:val="0"/>
          <w:bCs w:val="0"/>
          <w:color w:val="000000"/>
          <w:kern w:val="2"/>
          <w:sz w:val="32"/>
          <w:szCs w:val="32"/>
          <w:lang w:val="en-US" w:eastAsia="zh-CN" w:bidi="ar-SA"/>
        </w:rPr>
        <w:t>的一项具体举措</w:t>
      </w:r>
      <w:r>
        <w:rPr>
          <w:rFonts w:hint="default" w:ascii="Times New Roman" w:hAnsi="Times New Roman" w:eastAsia="方正仿宋_GBK" w:cs="Times New Roman"/>
          <w:b w:val="0"/>
          <w:bCs w:val="0"/>
          <w:color w:val="000000"/>
          <w:kern w:val="2"/>
          <w:sz w:val="32"/>
          <w:szCs w:val="32"/>
          <w:lang w:val="en-US" w:eastAsia="zh-CN" w:bidi="ar-SA"/>
        </w:rPr>
        <w:t>，</w:t>
      </w:r>
      <w:r>
        <w:rPr>
          <w:rFonts w:hint="eastAsia" w:ascii="Times New Roman" w:hAnsi="Times New Roman" w:eastAsia="方正仿宋_GBK" w:cs="Times New Roman"/>
          <w:b w:val="0"/>
          <w:bCs w:val="0"/>
          <w:color w:val="000000"/>
          <w:kern w:val="2"/>
          <w:sz w:val="32"/>
          <w:szCs w:val="32"/>
          <w:lang w:val="en-US" w:eastAsia="zh-CN" w:bidi="ar-SA"/>
        </w:rPr>
        <w:t>更好</w:t>
      </w:r>
      <w:r>
        <w:rPr>
          <w:rFonts w:hint="default" w:ascii="Times New Roman" w:hAnsi="Times New Roman" w:eastAsia="方正仿宋_GBK" w:cs="Times New Roman"/>
          <w:b w:val="0"/>
          <w:bCs w:val="0"/>
          <w:color w:val="000000"/>
          <w:kern w:val="2"/>
          <w:sz w:val="32"/>
          <w:szCs w:val="32"/>
          <w:lang w:val="en-US" w:eastAsia="zh-CN" w:bidi="ar-SA"/>
        </w:rPr>
        <w:t>协同推进长江中游江西、湖北、湖南三省消费者权益保护区域合作，营造安全、放心的消费环境，更好地服务经济高质量发展</w:t>
      </w:r>
      <w:r>
        <w:rPr>
          <w:rFonts w:hint="eastAsia" w:ascii="Times New Roman" w:hAnsi="Times New Roman" w:eastAsia="方正仿宋_GBK" w:cs="Times New Roman"/>
          <w:b w:val="0"/>
          <w:bCs w:val="0"/>
          <w:color w:val="00000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（二）</w:t>
      </w:r>
      <w:r>
        <w:rPr>
          <w:rFonts w:ascii="Times New Roman" w:hAnsi="Times New Roman" w:eastAsia="黑体" w:cs="Times New Roman"/>
          <w:sz w:val="32"/>
          <w:szCs w:val="32"/>
        </w:rPr>
        <w:t>《2024年全省市场监管工作要点》任务分工落实情况</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Times New Roman"/>
          <w:kern w:val="2"/>
          <w:sz w:val="32"/>
          <w:szCs w:val="32"/>
          <w:lang w:val="zh-CN" w:eastAsia="zh-CN" w:bidi="ar-SA"/>
        </w:rPr>
      </w:pPr>
      <w:r>
        <w:rPr>
          <w:rFonts w:ascii="Times New Roman" w:hAnsi="Times New Roman" w:eastAsia="楷体" w:cs="Times New Roman"/>
          <w:sz w:val="32"/>
          <w:szCs w:val="32"/>
        </w:rPr>
        <w:t>做好</w:t>
      </w:r>
      <w:r>
        <w:rPr>
          <w:rFonts w:ascii="Times New Roman" w:hAnsi="Times New Roman" w:eastAsia="方正楷体_GBK" w:cs="Times New Roman"/>
          <w:color w:val="000000"/>
          <w:kern w:val="0"/>
          <w:sz w:val="32"/>
          <w:szCs w:val="32"/>
          <w:lang w:bidi="ar"/>
        </w:rPr>
        <w:t>消费者权益保护</w:t>
      </w:r>
      <w:r>
        <w:rPr>
          <w:rFonts w:ascii="Times New Roman" w:hAnsi="Times New Roman" w:eastAsia="楷体" w:cs="Times New Roman"/>
          <w:sz w:val="32"/>
          <w:szCs w:val="32"/>
        </w:rPr>
        <w:t>工作，创优消费环境。</w:t>
      </w:r>
      <w:r>
        <w:rPr>
          <w:rFonts w:ascii="Times New Roman" w:hAnsi="Times New Roman" w:eastAsia="方正仿宋_GBK" w:cs="Times New Roman"/>
          <w:b/>
          <w:bCs/>
          <w:sz w:val="32"/>
          <w:szCs w:val="32"/>
        </w:rPr>
        <w:t>一是</w:t>
      </w:r>
      <w:r>
        <w:rPr>
          <w:rFonts w:ascii="Times New Roman" w:hAnsi="Times New Roman" w:eastAsia="方正仿宋_GBK" w:cs="Times New Roman"/>
          <w:color w:val="000000"/>
          <w:sz w:val="32"/>
          <w:szCs w:val="32"/>
        </w:rPr>
        <w:t>以宣传《消费者权益保护法》和《湖南省消费者权益保护条例》（以下简称“一法一条例”）为重点，开展集中普法，定期发布消费维权报告、典型案例、消费投诉热点，持续推进“一法一条例”五进（进商场、社区、景区、学校、家庭）宣传，采取拍摄“激发消费活力”年主题宣传片、制作年主题系列海报、举行法律知识讲座、以案说法等人民群众喜闻乐见的形式开展宣传，在全社会营造学法、知法、守法、用法的良好氛围，让消费者敢消费、愿消费。</w:t>
      </w:r>
      <w:r>
        <w:rPr>
          <w:rFonts w:ascii="Times New Roman" w:hAnsi="Times New Roman" w:eastAsia="方正仿宋_GBK" w:cs="Times New Roman"/>
          <w:b/>
          <w:bCs/>
          <w:color w:val="000000"/>
          <w:sz w:val="32"/>
          <w:szCs w:val="32"/>
        </w:rPr>
        <w:t>二是</w:t>
      </w:r>
      <w:r>
        <w:rPr>
          <w:rFonts w:ascii="Times New Roman" w:hAnsi="Times New Roman" w:eastAsia="方正仿宋_GBK" w:cs="Times New Roman"/>
          <w:color w:val="000000"/>
          <w:sz w:val="32"/>
          <w:szCs w:val="32"/>
        </w:rPr>
        <w:t>围绕</w:t>
      </w:r>
      <w:r>
        <w:rPr>
          <w:rFonts w:ascii="Times New Roman" w:hAnsi="Times New Roman" w:eastAsia="方正仿宋_GBK" w:cs="Times New Roman"/>
          <w:color w:val="000000"/>
          <w:sz w:val="32"/>
          <w:szCs w:val="32"/>
          <w:lang w:val="zh-CN"/>
        </w:rPr>
        <w:t>《消</w:t>
      </w:r>
      <w:r>
        <w:rPr>
          <w:rFonts w:ascii="Times New Roman" w:hAnsi="Times New Roman" w:eastAsia="方正仿宋_GBK" w:cs="Times New Roman"/>
          <w:color w:val="000000"/>
          <w:kern w:val="0"/>
          <w:sz w:val="32"/>
          <w:szCs w:val="32"/>
          <w:lang w:val="zh-CN"/>
        </w:rPr>
        <w:t>费者权益保护法》实施</w:t>
      </w:r>
      <w:r>
        <w:rPr>
          <w:rFonts w:ascii="Times New Roman" w:hAnsi="Times New Roman" w:eastAsia="方正仿宋_GBK" w:cs="Times New Roman"/>
          <w:color w:val="000000"/>
          <w:sz w:val="32"/>
          <w:szCs w:val="32"/>
          <w:lang w:val="zh-CN"/>
        </w:rPr>
        <w:t>30周年，结合</w:t>
      </w:r>
      <w:r>
        <w:rPr>
          <w:rFonts w:ascii="Times New Roman" w:hAnsi="Times New Roman" w:eastAsia="方正仿宋_GBK" w:cs="Times New Roman"/>
          <w:color w:val="000000"/>
          <w:sz w:val="32"/>
          <w:szCs w:val="32"/>
        </w:rPr>
        <w:t>《中华人民共和国消费者权益保护法实施条例》出台的契机，以</w:t>
      </w:r>
      <w:r>
        <w:rPr>
          <w:rFonts w:ascii="Times New Roman" w:hAnsi="Times New Roman" w:eastAsia="方正仿宋_GBK" w:cs="Times New Roman"/>
          <w:sz w:val="32"/>
          <w:szCs w:val="32"/>
        </w:rPr>
        <w:t>宣贯会等多种形式开展消费教育活动</w:t>
      </w:r>
      <w:r>
        <w:rPr>
          <w:rFonts w:hint="eastAsia" w:ascii="Times New Roman" w:hAnsi="Times New Roman" w:eastAsia="方正仿宋_GBK" w:cs="Times New Roman"/>
          <w:sz w:val="32"/>
          <w:szCs w:val="32"/>
          <w:lang w:eastAsia="zh-CN"/>
        </w:rPr>
        <w:t>，</w:t>
      </w:r>
      <w:r>
        <w:rPr>
          <w:rFonts w:hint="default" w:ascii="Times New Roman" w:hAnsi="Times New Roman" w:eastAsia="仿宋_GB2312" w:cs="Times New Roman"/>
          <w:sz w:val="32"/>
          <w:szCs w:val="32"/>
        </w:rPr>
        <w:t>在盐津铺子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贝壳找房</w:t>
      </w:r>
      <w:r>
        <w:rPr>
          <w:rFonts w:hint="eastAsia" w:ascii="Times New Roman" w:hAnsi="Times New Roman" w:eastAsia="仿宋_GB2312" w:cs="Times New Roman"/>
          <w:sz w:val="32"/>
          <w:szCs w:val="32"/>
          <w:lang w:eastAsia="zh-CN"/>
        </w:rPr>
        <w:t>等企业</w:t>
      </w:r>
      <w:r>
        <w:rPr>
          <w:rFonts w:hint="eastAsia" w:ascii="Times New Roman" w:hAnsi="Times New Roman" w:eastAsia="方正仿宋_GBK" w:cs="Times New Roman"/>
          <w:sz w:val="32"/>
          <w:szCs w:val="32"/>
          <w:lang w:eastAsia="zh-CN"/>
        </w:rPr>
        <w:t>举行</w:t>
      </w:r>
      <w:r>
        <w:rPr>
          <w:rFonts w:hint="default" w:ascii="Times New Roman" w:hAnsi="Times New Roman" w:eastAsia="仿宋_GB2312" w:cs="Times New Roman"/>
          <w:sz w:val="32"/>
          <w:szCs w:val="32"/>
        </w:rPr>
        <w:t>消费维权“一法</w:t>
      </w:r>
      <w:r>
        <w:rPr>
          <w:rFonts w:hint="eastAsia" w:ascii="Times New Roman" w:hAnsi="Times New Roman" w:eastAsia="仿宋_GB2312" w:cs="Times New Roman"/>
          <w:sz w:val="32"/>
          <w:szCs w:val="32"/>
          <w:lang w:eastAsia="zh-CN"/>
        </w:rPr>
        <w:t>两</w:t>
      </w:r>
      <w:r>
        <w:rPr>
          <w:rFonts w:hint="default" w:ascii="Times New Roman" w:hAnsi="Times New Roman" w:eastAsia="仿宋_GB2312" w:cs="Times New Roman"/>
          <w:sz w:val="32"/>
          <w:szCs w:val="32"/>
        </w:rPr>
        <w:t>条例”进企业宣传活动。</w:t>
      </w:r>
      <w:r>
        <w:rPr>
          <w:rFonts w:hint="default" w:ascii="Times New Roman" w:hAnsi="Times New Roman" w:eastAsia="方正仿宋_GBK" w:cs="Times New Roman"/>
          <w:sz w:val="32"/>
          <w:szCs w:val="32"/>
          <w:lang w:val="en-US" w:eastAsia="zh-CN"/>
        </w:rPr>
        <w:t>在常德市召开贯彻落实消费者权益保护法及其实施条例推进新时代消保委组织现代化建设现场会</w:t>
      </w:r>
      <w:r>
        <w:rPr>
          <w:rFonts w:hint="eastAsia" w:ascii="Times New Roman" w:hAnsi="Times New Roman" w:eastAsia="方正仿宋_GBK" w:cs="Times New Roman"/>
          <w:sz w:val="32"/>
          <w:szCs w:val="32"/>
          <w:lang w:val="en-US" w:eastAsia="zh-CN"/>
        </w:rPr>
        <w:t>，在全省组织开展</w:t>
      </w:r>
      <w:r>
        <w:rPr>
          <w:rFonts w:hint="eastAsia" w:ascii="Times New Roman" w:hAnsi="Times New Roman" w:eastAsia="方正仿宋_GBK"/>
          <w:sz w:val="32"/>
          <w:szCs w:val="32"/>
        </w:rPr>
        <w:t>《消费者权益保护法》实施三十周年消费维权知识抢答赛活动</w:t>
      </w:r>
      <w:r>
        <w:rPr>
          <w:rFonts w:hint="eastAsia" w:ascii="Times New Roman" w:hAnsi="Times New Roman" w:eastAsia="方正仿宋_GBK"/>
          <w:sz w:val="32"/>
          <w:szCs w:val="32"/>
          <w:lang w:eastAsia="zh-CN"/>
        </w:rPr>
        <w:t>。</w:t>
      </w:r>
      <w:r>
        <w:rPr>
          <w:rFonts w:ascii="Times New Roman" w:hAnsi="Times New Roman" w:eastAsia="方正仿宋_GBK" w:cs="Times New Roman"/>
          <w:b/>
          <w:bCs/>
          <w:color w:val="000000"/>
          <w:sz w:val="32"/>
          <w:szCs w:val="32"/>
        </w:rPr>
        <w:t>三是</w:t>
      </w:r>
      <w:r>
        <w:rPr>
          <w:rFonts w:ascii="Times New Roman" w:hAnsi="Times New Roman" w:eastAsia="方正仿宋_GBK" w:cs="Times New Roman"/>
          <w:color w:val="000000"/>
          <w:sz w:val="32"/>
          <w:szCs w:val="32"/>
        </w:rPr>
        <w:t>围绕2024年“提振消费信心”消费维权年主题，针对消费领域的重点、热点、难点问题，开展3·15系列宣传、教育活动。</w:t>
      </w:r>
      <w:r>
        <w:rPr>
          <w:rFonts w:hint="eastAsia" w:ascii="Times New Roman" w:hAnsi="Times New Roman" w:eastAsia="方正仿宋_GBK" w:cs="Times New Roman"/>
          <w:color w:val="000000"/>
          <w:sz w:val="32"/>
          <w:szCs w:val="32"/>
          <w:lang w:val="en-US" w:eastAsia="zh-CN"/>
        </w:rPr>
        <w:t>2024</w:t>
      </w:r>
      <w:r>
        <w:rPr>
          <w:rFonts w:ascii="Times New Roman" w:hAnsi="Times New Roman" w:eastAsia="方正仿宋_GBK" w:cs="Times New Roman"/>
          <w:color w:val="000000"/>
          <w:sz w:val="32"/>
          <w:szCs w:val="32"/>
          <w:lang w:val="zh-CN"/>
        </w:rPr>
        <w:t>年，围绕</w:t>
      </w:r>
      <w:r>
        <w:rPr>
          <w:rFonts w:ascii="Times New Roman" w:hAnsi="Times New Roman" w:eastAsia="方正仿宋_GBK" w:cs="Times New Roman"/>
          <w:color w:val="000000"/>
          <w:sz w:val="32"/>
          <w:szCs w:val="32"/>
        </w:rPr>
        <w:t>消费领域的热点难点问题及时发布</w:t>
      </w:r>
      <w:r>
        <w:rPr>
          <w:rFonts w:ascii="Times New Roman" w:hAnsi="Times New Roman" w:eastAsia="方正仿宋_GBK" w:cs="Times New Roman"/>
          <w:color w:val="000000"/>
          <w:sz w:val="32"/>
          <w:szCs w:val="32"/>
          <w:lang w:val="zh-CN"/>
        </w:rPr>
        <w:t>“文明健康消费</w:t>
      </w:r>
      <w:r>
        <w:rPr>
          <w:rFonts w:ascii="Times New Roman" w:hAnsi="Times New Roman" w:eastAsia="方正仿宋_GBK" w:cs="Times New Roman"/>
          <w:color w:val="000000"/>
          <w:sz w:val="32"/>
          <w:szCs w:val="32"/>
        </w:rPr>
        <w:t xml:space="preserve"> 欢度新春佳节</w:t>
      </w:r>
      <w:r>
        <w:rPr>
          <w:rFonts w:ascii="Times New Roman" w:hAnsi="Times New Roman" w:eastAsia="方正仿宋_GBK" w:cs="Times New Roman"/>
          <w:color w:val="000000"/>
          <w:sz w:val="32"/>
          <w:szCs w:val="32"/>
          <w:lang w:val="zh-CN"/>
        </w:rPr>
        <w:t>”、“科学合理养护 放心安心用车”、“家电以旧换新，您准备好了吗</w:t>
      </w:r>
      <w:r>
        <w:rPr>
          <w:rFonts w:hint="eastAsia" w:ascii="Times New Roman" w:hAnsi="Times New Roman" w:eastAsia="方正仿宋_GBK" w:cs="Times New Roman"/>
          <w:color w:val="000000"/>
          <w:sz w:val="32"/>
          <w:szCs w:val="32"/>
          <w:lang w:val="zh-CN"/>
        </w:rPr>
        <w:t>？</w:t>
      </w:r>
      <w:r>
        <w:rPr>
          <w:rFonts w:ascii="Times New Roman" w:hAnsi="Times New Roman" w:eastAsia="方正仿宋_GBK" w:cs="Times New Roman"/>
          <w:color w:val="000000"/>
          <w:sz w:val="32"/>
          <w:szCs w:val="32"/>
          <w:lang w:val="zh-CN"/>
        </w:rPr>
        <w:t>”</w:t>
      </w:r>
      <w:r>
        <w:rPr>
          <w:rFonts w:hint="eastAsia" w:ascii="Times New Roman" w:hAnsi="Times New Roman" w:eastAsia="方正仿宋_GBK" w:cs="Times New Roman"/>
          <w:color w:val="000000"/>
          <w:sz w:val="32"/>
          <w:szCs w:val="32"/>
          <w:lang w:val="zh-CN" w:eastAsia="zh-CN"/>
        </w:rPr>
        <w:t>、</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zh-CN"/>
        </w:rPr>
        <w:t>家电以旧换新 享受补贴红利”</w:t>
      </w:r>
      <w:r>
        <w:rPr>
          <w:rFonts w:ascii="Times New Roman" w:hAnsi="Times New Roman" w:eastAsia="方正仿宋_GBK" w:cs="Times New Roman"/>
          <w:color w:val="000000"/>
          <w:sz w:val="32"/>
          <w:szCs w:val="32"/>
        </w:rPr>
        <w:t>等</w:t>
      </w:r>
      <w:r>
        <w:rPr>
          <w:rFonts w:hint="eastAsia" w:ascii="Times New Roman" w:hAnsi="Times New Roman" w:eastAsia="方正仿宋_GBK" w:cs="Times New Roman"/>
          <w:color w:val="000000"/>
          <w:sz w:val="32"/>
          <w:szCs w:val="32"/>
          <w:lang w:val="en-US" w:eastAsia="zh-CN"/>
        </w:rPr>
        <w:t>10</w:t>
      </w:r>
      <w:r>
        <w:rPr>
          <w:rFonts w:ascii="Times New Roman" w:hAnsi="Times New Roman" w:eastAsia="方正仿宋_GBK" w:cs="Times New Roman"/>
          <w:color w:val="000000"/>
          <w:sz w:val="32"/>
          <w:szCs w:val="32"/>
        </w:rPr>
        <w:t>期消费警示提示。</w:t>
      </w:r>
      <w:r>
        <w:rPr>
          <w:rFonts w:ascii="Times New Roman" w:hAnsi="Times New Roman" w:eastAsia="方正仿宋_GBK" w:cs="Times New Roman"/>
          <w:color w:val="000000"/>
          <w:sz w:val="32"/>
          <w:szCs w:val="32"/>
          <w:lang w:val="zh-CN"/>
        </w:rPr>
        <w:t>依托省消保委</w:t>
      </w:r>
      <w:r>
        <w:rPr>
          <w:rFonts w:ascii="Times New Roman" w:hAnsi="Times New Roman" w:eastAsia="方正仿宋_GBK" w:cs="Times New Roman"/>
          <w:color w:val="000000"/>
          <w:sz w:val="32"/>
          <w:szCs w:val="32"/>
        </w:rPr>
        <w:t>律师团，与红网联合打造“周周 3·15 律师在线答疑”公益活动，及时为消费者答疑解惑。</w:t>
      </w:r>
      <w:r>
        <w:rPr>
          <w:rFonts w:hint="eastAsia" w:ascii="Times New Roman" w:hAnsi="Times New Roman" w:eastAsia="方正仿宋_GBK" w:cs="Times New Roman"/>
          <w:color w:val="000000"/>
          <w:sz w:val="32"/>
          <w:szCs w:val="32"/>
          <w:lang w:val="zh-CN"/>
        </w:rPr>
        <w:t>持续推进全国消协组织投诉与</w:t>
      </w:r>
      <w:r>
        <w:rPr>
          <w:rFonts w:ascii="Times New Roman" w:hAnsi="Times New Roman" w:eastAsia="方正仿宋_GBK" w:cs="Times New Roman"/>
          <w:color w:val="000000"/>
          <w:sz w:val="32"/>
          <w:szCs w:val="32"/>
          <w:lang w:val="zh-CN"/>
        </w:rPr>
        <w:t>咨询信息系统的优化升级，指导各市州运用全国消协智慧315平台，</w:t>
      </w:r>
      <w:r>
        <w:rPr>
          <w:rFonts w:hint="eastAsia" w:ascii="Times New Roman" w:hAnsi="Times New Roman" w:eastAsia="仿宋_GB2312"/>
          <w:sz w:val="32"/>
          <w:szCs w:val="32"/>
          <w:lang w:val="en-US" w:eastAsia="zh-CN"/>
        </w:rPr>
        <w:t>多次组织全省各市州参加全国消协</w:t>
      </w:r>
      <w:r>
        <w:rPr>
          <w:rFonts w:hint="eastAsia" w:ascii="Times New Roman" w:hAnsi="Times New Roman" w:eastAsia="方正仿宋_GBK" w:cs="Times New Roman"/>
          <w:color w:val="000000"/>
          <w:sz w:val="32"/>
          <w:szCs w:val="32"/>
          <w:lang w:val="en-US" w:eastAsia="zh-CN"/>
        </w:rPr>
        <w:t>智慧315平台培训，</w:t>
      </w:r>
      <w:r>
        <w:rPr>
          <w:rFonts w:ascii="Times New Roman" w:hAnsi="Times New Roman" w:eastAsia="方正仿宋_GBK" w:cs="Times New Roman"/>
          <w:color w:val="000000"/>
          <w:sz w:val="32"/>
          <w:szCs w:val="32"/>
          <w:lang w:val="zh-CN"/>
        </w:rPr>
        <w:t>就平台运行情况专题报告省局、中消协，提升投诉工作网络化、智能化、便利化水平。</w:t>
      </w:r>
      <w:r>
        <w:rPr>
          <w:rFonts w:hint="eastAsia" w:ascii="Times New Roman" w:hAnsi="Times New Roman" w:eastAsia="方正仿宋_GBK" w:cs="Times New Roman"/>
          <w:color w:val="000000"/>
          <w:sz w:val="32"/>
          <w:szCs w:val="32"/>
          <w:lang w:val="zh-CN"/>
        </w:rPr>
        <w:t>2024年，全省消保委组织共受理消费者投诉34920件，解决30708件，投诉解决率87.94%,为消费者挽回经济损失2341.69万元。其中，因经营者有欺诈行为得到加倍赔偿的投诉1420件，加倍赔偿金额17.37万元。</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ascii="Times New Roman" w:hAnsi="Times New Roman" w:eastAsia="方正仿宋_GBK" w:cs="Times New Roman"/>
          <w:color w:val="000000"/>
          <w:sz w:val="32"/>
          <w:szCs w:val="32"/>
          <w:lang w:val="zh-CN"/>
        </w:rPr>
      </w:pPr>
    </w:p>
    <w:p>
      <w:pPr>
        <w:pStyle w:val="2"/>
        <w:numPr>
          <w:ilvl w:val="0"/>
          <w:numId w:val="0"/>
        </w:numPr>
        <w:bidi w:val="0"/>
        <w:ind w:left="210" w:leftChars="0" w:firstLine="640" w:firstLineChars="0"/>
        <w:rPr>
          <w:rFonts w:hint="eastAsia"/>
          <w:sz w:val="32"/>
          <w:szCs w:val="32"/>
        </w:rPr>
      </w:pPr>
      <w:r>
        <w:rPr>
          <w:rFonts w:hint="eastAsia" w:cs="Times New Roman"/>
          <w:snapToGrid w:val="0"/>
          <w:color w:val="000000"/>
          <w:kern w:val="44"/>
          <w:sz w:val="32"/>
          <w:szCs w:val="32"/>
          <w:lang w:val="en-US" w:eastAsia="zh-CN" w:bidi="ar-SA"/>
        </w:rPr>
        <w:t>七</w:t>
      </w:r>
      <w:r>
        <w:rPr>
          <w:rFonts w:hint="eastAsia" w:ascii="Times New Roman" w:hAnsi="Times New Roman" w:eastAsia="黑体" w:cs="Times New Roman"/>
          <w:snapToGrid w:val="0"/>
          <w:color w:val="000000"/>
          <w:kern w:val="44"/>
          <w:sz w:val="32"/>
          <w:szCs w:val="32"/>
          <w:lang w:val="en-US" w:eastAsia="zh-CN" w:bidi="ar-SA"/>
        </w:rPr>
        <w:t>、</w:t>
      </w:r>
      <w:r>
        <w:rPr>
          <w:rFonts w:hint="eastAsia"/>
          <w:sz w:val="32"/>
          <w:szCs w:val="32"/>
        </w:rPr>
        <w:t>单位整体支出绩效自评结果拟应用和公开情况</w:t>
      </w:r>
    </w:p>
    <w:p>
      <w:pPr>
        <w:keepNext w:val="0"/>
        <w:keepLines w:val="0"/>
        <w:pageBreakBefore w:val="0"/>
        <w:widowControl/>
        <w:kinsoku/>
        <w:wordWrap/>
        <w:overflowPunct/>
        <w:topLinePunct w:val="0"/>
        <w:autoSpaceDE/>
        <w:autoSpaceDN/>
        <w:bidi w:val="0"/>
        <w:adjustRightInd/>
        <w:snapToGrid w:val="0"/>
        <w:spacing w:before="0" w:after="0" w:line="600" w:lineRule="exact"/>
        <w:ind w:firstLine="640" w:firstLineChars="200"/>
        <w:jc w:val="left"/>
        <w:textAlignment w:val="auto"/>
        <w:rPr>
          <w:rFonts w:hint="eastAsia"/>
          <w:sz w:val="32"/>
          <w:szCs w:val="32"/>
        </w:rPr>
      </w:pPr>
      <w:r>
        <w:rPr>
          <w:rFonts w:hint="eastAsia" w:ascii="Times New Roman" w:hAnsi="Times New Roman" w:eastAsia="方正仿宋_GBK" w:cs="Times New Roman"/>
          <w:sz w:val="32"/>
          <w:szCs w:val="32"/>
          <w:lang w:eastAsia="zh-CN"/>
        </w:rPr>
        <w:t>202</w:t>
      </w:r>
      <w:r>
        <w:rPr>
          <w:rFonts w:hint="eastAsia"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年中心严格按照年初预算批复认真组织实施,严格执行财政相关管理规定，确保了单位正常运行，完成了202</w:t>
      </w:r>
      <w:r>
        <w:rPr>
          <w:rFonts w:hint="eastAsia"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年部门预算编制和决算汇总工作，实现了单位整体支出绩效目标，全面完成绩效目标任务，绩效自评结果为优秀。按文件要求在指定网站上公开。</w:t>
      </w:r>
    </w:p>
    <w:p>
      <w:pPr>
        <w:pStyle w:val="2"/>
        <w:bidi w:val="0"/>
        <w:ind w:firstLine="640" w:firstLineChars="200"/>
        <w:rPr>
          <w:rFonts w:hint="eastAsia"/>
          <w:sz w:val="32"/>
          <w:szCs w:val="32"/>
        </w:rPr>
      </w:pPr>
      <w:r>
        <w:rPr>
          <w:rFonts w:hint="eastAsia"/>
          <w:sz w:val="32"/>
          <w:szCs w:val="32"/>
          <w:lang w:eastAsia="zh-CN"/>
        </w:rPr>
        <w:t>八</w:t>
      </w:r>
      <w:r>
        <w:rPr>
          <w:rFonts w:hint="eastAsia"/>
          <w:sz w:val="32"/>
          <w:szCs w:val="32"/>
        </w:rPr>
        <w:t>、其他需要说明的情况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cs="Times New Roman"/>
          <w:color w:val="auto"/>
          <w:sz w:val="32"/>
          <w:szCs w:val="32"/>
          <w:lang w:eastAsia="zh-CN"/>
        </w:rPr>
        <w:t>无</w:t>
      </w:r>
    </w:p>
    <w:p>
      <w:pPr>
        <w:pStyle w:val="10"/>
        <w:rPr>
          <w:rFonts w:hint="eastAsia"/>
          <w:sz w:val="32"/>
          <w:szCs w:val="32"/>
        </w:rPr>
      </w:pPr>
    </w:p>
    <w:p>
      <w:pPr>
        <w:keepNext w:val="0"/>
        <w:keepLines w:val="0"/>
        <w:pageBreakBefore w:val="0"/>
        <w:widowControl/>
        <w:kinsoku/>
        <w:wordWrap/>
        <w:overflowPunct/>
        <w:topLinePunct w:val="0"/>
        <w:autoSpaceDE/>
        <w:autoSpaceDN/>
        <w:bidi w:val="0"/>
        <w:adjustRightInd/>
        <w:snapToGrid w:val="0"/>
        <w:spacing w:before="0" w:after="0" w:line="60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附件：</w:t>
      </w:r>
    </w:p>
    <w:p>
      <w:pPr>
        <w:keepNext w:val="0"/>
        <w:keepLines w:val="0"/>
        <w:pageBreakBefore w:val="0"/>
        <w:widowControl/>
        <w:kinsoku/>
        <w:wordWrap/>
        <w:overflowPunct/>
        <w:topLinePunct w:val="0"/>
        <w:autoSpaceDE/>
        <w:autoSpaceDN/>
        <w:bidi w:val="0"/>
        <w:adjustRightInd/>
        <w:snapToGrid w:val="0"/>
        <w:spacing w:before="0" w:after="0" w:line="60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1．2024年度单位整体支出绩效评价基础数据表</w:t>
      </w:r>
    </w:p>
    <w:p>
      <w:pPr>
        <w:keepNext w:val="0"/>
        <w:keepLines w:val="0"/>
        <w:pageBreakBefore w:val="0"/>
        <w:widowControl/>
        <w:kinsoku/>
        <w:wordWrap/>
        <w:overflowPunct/>
        <w:topLinePunct w:val="0"/>
        <w:autoSpaceDE/>
        <w:autoSpaceDN/>
        <w:bidi w:val="0"/>
        <w:adjustRightInd/>
        <w:snapToGrid w:val="0"/>
        <w:spacing w:before="0" w:after="0" w:line="60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2．2024年度单位整体支出绩效自评表</w:t>
      </w:r>
    </w:p>
    <w:p>
      <w:pPr>
        <w:keepNext w:val="0"/>
        <w:keepLines w:val="0"/>
        <w:pageBreakBefore w:val="0"/>
        <w:widowControl/>
        <w:kinsoku/>
        <w:wordWrap/>
        <w:overflowPunct/>
        <w:topLinePunct w:val="0"/>
        <w:autoSpaceDE/>
        <w:autoSpaceDN/>
        <w:bidi w:val="0"/>
        <w:adjustRightInd/>
        <w:snapToGrid w:val="0"/>
        <w:spacing w:before="0" w:after="0" w:line="60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3．2024年度项目支出绩效自评表（业务工作经费）</w:t>
      </w:r>
    </w:p>
    <w:p>
      <w:pPr>
        <w:keepNext w:val="0"/>
        <w:keepLines w:val="0"/>
        <w:pageBreakBefore w:val="0"/>
        <w:widowControl/>
        <w:kinsoku/>
        <w:wordWrap/>
        <w:overflowPunct/>
        <w:topLinePunct w:val="0"/>
        <w:autoSpaceDE/>
        <w:autoSpaceDN/>
        <w:bidi w:val="0"/>
        <w:adjustRightInd/>
        <w:snapToGrid w:val="0"/>
        <w:spacing w:before="0" w:after="0" w:line="60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4．2024年度项目支出绩效自评表（运行维护专项）</w:t>
      </w:r>
    </w:p>
    <w:p>
      <w:pPr>
        <w:keepNext w:val="0"/>
        <w:keepLines w:val="0"/>
        <w:pageBreakBefore w:val="0"/>
        <w:widowControl/>
        <w:kinsoku/>
        <w:wordWrap/>
        <w:overflowPunct/>
        <w:topLinePunct w:val="0"/>
        <w:autoSpaceDE/>
        <w:autoSpaceDN/>
        <w:bidi w:val="0"/>
        <w:adjustRightInd/>
        <w:snapToGrid w:val="0"/>
        <w:spacing w:before="0" w:after="0" w:line="60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5．2024年度项目支出绩效自评表（其他事业发展类）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44"/>
          <w:szCs w:val="44"/>
        </w:rPr>
      </w:pPr>
      <w:r>
        <w:rPr>
          <w:rFonts w:hint="eastAsia" w:cs="Times New Roman"/>
          <w:color w:val="auto"/>
          <w:sz w:val="36"/>
          <w:szCs w:val="36"/>
          <w:lang w:eastAsia="zh-CN"/>
        </w:rPr>
        <w:t>2024</w:t>
      </w:r>
      <w:r>
        <w:rPr>
          <w:rFonts w:hint="eastAsia" w:ascii="Times New Roman" w:hAnsi="Times New Roman" w:eastAsia="仿宋_GB2312" w:cs="Times New Roman"/>
          <w:color w:val="auto"/>
          <w:sz w:val="36"/>
          <w:szCs w:val="36"/>
        </w:rPr>
        <w:t>年度单位整体支出绩效评价基础数据表</w:t>
      </w:r>
    </w:p>
    <w:tbl>
      <w:tblPr>
        <w:tblStyle w:val="11"/>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240"/>
        <w:gridCol w:w="1150"/>
        <w:gridCol w:w="822"/>
        <w:gridCol w:w="1092"/>
        <w:gridCol w:w="1075"/>
        <w:gridCol w:w="1046"/>
        <w:gridCol w:w="9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vMerge w:val="restart"/>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财政供养人员情况（人）</w:t>
            </w:r>
          </w:p>
        </w:tc>
        <w:tc>
          <w:tcPr>
            <w:tcW w:w="1972"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
                <w:bCs/>
                <w:color w:val="auto"/>
                <w:sz w:val="20"/>
                <w:szCs w:val="20"/>
              </w:rPr>
            </w:pPr>
            <w:r>
              <w:rPr>
                <w:rFonts w:hint="eastAsia" w:ascii="Times New Roman" w:hAnsi="Times New Roman" w:eastAsia="仿宋_GB2312" w:cs="Times New Roman"/>
                <w:b/>
                <w:bCs/>
                <w:color w:val="auto"/>
                <w:sz w:val="20"/>
                <w:szCs w:val="20"/>
              </w:rPr>
              <w:t>编制数</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
                <w:bCs/>
                <w:color w:val="auto"/>
                <w:sz w:val="20"/>
                <w:szCs w:val="20"/>
              </w:rPr>
            </w:pPr>
            <w:r>
              <w:rPr>
                <w:rFonts w:hint="eastAsia" w:ascii="Times New Roman" w:hAnsi="Times New Roman" w:cs="Times New Roman"/>
                <w:b/>
                <w:bCs/>
                <w:color w:val="auto"/>
                <w:sz w:val="20"/>
                <w:szCs w:val="20"/>
                <w:lang w:eastAsia="zh-CN"/>
              </w:rPr>
              <w:t>2024</w:t>
            </w:r>
            <w:r>
              <w:rPr>
                <w:rFonts w:hint="eastAsia" w:ascii="Times New Roman" w:hAnsi="Times New Roman" w:eastAsia="仿宋_GB2312" w:cs="Times New Roman"/>
                <w:b/>
                <w:bCs/>
                <w:color w:val="auto"/>
                <w:sz w:val="20"/>
                <w:szCs w:val="20"/>
              </w:rPr>
              <w:t>年实际在职人数</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
                <w:bCs/>
                <w:color w:val="auto"/>
                <w:sz w:val="20"/>
                <w:szCs w:val="20"/>
              </w:rPr>
            </w:pPr>
            <w:r>
              <w:rPr>
                <w:rFonts w:hint="eastAsia" w:ascii="Times New Roman" w:hAnsi="Times New Roman" w:eastAsia="仿宋_GB2312" w:cs="Times New Roman"/>
                <w:b/>
                <w:bCs/>
                <w:color w:val="auto"/>
                <w:sz w:val="20"/>
                <w:szCs w:val="20"/>
              </w:rPr>
              <w:t>控制率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vMerge w:val="continue"/>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p>
        </w:tc>
        <w:tc>
          <w:tcPr>
            <w:tcW w:w="1972"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12</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12</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经费控制情况（万元）</w:t>
            </w:r>
          </w:p>
        </w:tc>
        <w:tc>
          <w:tcPr>
            <w:tcW w:w="1972"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
                <w:bCs/>
                <w:color w:val="auto"/>
                <w:sz w:val="20"/>
                <w:szCs w:val="20"/>
              </w:rPr>
            </w:pPr>
            <w:r>
              <w:rPr>
                <w:rFonts w:hint="eastAsia" w:ascii="Times New Roman" w:hAnsi="Times New Roman" w:cs="Times New Roman"/>
                <w:b/>
                <w:bCs/>
                <w:color w:val="auto"/>
                <w:sz w:val="20"/>
                <w:szCs w:val="20"/>
                <w:lang w:eastAsia="zh-CN"/>
              </w:rPr>
              <w:t>202</w:t>
            </w:r>
            <w:r>
              <w:rPr>
                <w:rFonts w:hint="eastAsia" w:ascii="Times New Roman" w:hAnsi="Times New Roman" w:cs="Times New Roman"/>
                <w:b/>
                <w:bCs/>
                <w:color w:val="auto"/>
                <w:sz w:val="20"/>
                <w:szCs w:val="20"/>
                <w:lang w:val="en-US" w:eastAsia="zh-CN"/>
              </w:rPr>
              <w:t>3</w:t>
            </w:r>
            <w:r>
              <w:rPr>
                <w:rFonts w:hint="eastAsia" w:ascii="Times New Roman" w:hAnsi="Times New Roman" w:eastAsia="仿宋_GB2312" w:cs="Times New Roman"/>
                <w:b/>
                <w:bCs/>
                <w:color w:val="auto"/>
                <w:sz w:val="20"/>
                <w:szCs w:val="20"/>
              </w:rPr>
              <w:t>年决算数</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
                <w:bCs/>
                <w:color w:val="auto"/>
                <w:sz w:val="20"/>
                <w:szCs w:val="20"/>
              </w:rPr>
            </w:pPr>
            <w:r>
              <w:rPr>
                <w:rFonts w:hint="eastAsia" w:ascii="Times New Roman" w:hAnsi="Times New Roman" w:cs="Times New Roman"/>
                <w:b/>
                <w:bCs/>
                <w:color w:val="auto"/>
                <w:sz w:val="20"/>
                <w:szCs w:val="20"/>
                <w:lang w:eastAsia="zh-CN"/>
              </w:rPr>
              <w:t>2024</w:t>
            </w:r>
            <w:r>
              <w:rPr>
                <w:rFonts w:hint="eastAsia" w:ascii="Times New Roman" w:hAnsi="Times New Roman" w:eastAsia="仿宋_GB2312" w:cs="Times New Roman"/>
                <w:b/>
                <w:bCs/>
                <w:color w:val="auto"/>
                <w:sz w:val="20"/>
                <w:szCs w:val="20"/>
              </w:rPr>
              <w:t>年预算数</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
                <w:bCs/>
                <w:color w:val="auto"/>
                <w:sz w:val="20"/>
                <w:szCs w:val="20"/>
              </w:rPr>
            </w:pPr>
            <w:r>
              <w:rPr>
                <w:rFonts w:hint="eastAsia" w:ascii="Times New Roman" w:hAnsi="Times New Roman" w:eastAsia="仿宋_GB2312" w:cs="Times New Roman"/>
                <w:b/>
                <w:bCs/>
                <w:color w:val="auto"/>
                <w:sz w:val="20"/>
                <w:szCs w:val="20"/>
              </w:rPr>
              <w:t>202</w:t>
            </w:r>
            <w:r>
              <w:rPr>
                <w:rFonts w:hint="eastAsia" w:ascii="Times New Roman" w:hAnsi="Times New Roman" w:cs="Times New Roman"/>
                <w:b/>
                <w:bCs/>
                <w:color w:val="auto"/>
                <w:sz w:val="20"/>
                <w:szCs w:val="20"/>
                <w:lang w:val="en-US" w:eastAsia="zh-CN"/>
              </w:rPr>
              <w:t>4</w:t>
            </w:r>
            <w:r>
              <w:rPr>
                <w:rFonts w:hint="eastAsia" w:ascii="Times New Roman" w:hAnsi="Times New Roman" w:eastAsia="仿宋_GB2312" w:cs="Times New Roman"/>
                <w:b/>
                <w:bCs/>
                <w:color w:val="auto"/>
                <w:sz w:val="20"/>
                <w:szCs w:val="20"/>
              </w:rPr>
              <w:t>年决算数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三公经费</w:t>
            </w:r>
            <w:r>
              <w:rPr>
                <w:rFonts w:hint="eastAsia" w:ascii="Times New Roman" w:hAnsi="Times New Roman" w:cs="Times New Roman"/>
                <w:color w:val="auto"/>
                <w:sz w:val="20"/>
                <w:szCs w:val="20"/>
                <w:lang w:eastAsia="zh-CN"/>
              </w:rPr>
              <w:t>：</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0.00</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方正仿宋_GBK" w:cs="方正仿宋_GBK"/>
                <w:color w:val="auto"/>
                <w:sz w:val="20"/>
                <w:szCs w:val="20"/>
                <w:lang w:val="en-US" w:eastAsia="zh-CN"/>
              </w:rPr>
              <w:t>0.00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方正仿宋_GBK" w:cs="方正仿宋_GBK"/>
                <w:color w:val="auto"/>
                <w:sz w:val="20"/>
                <w:szCs w:val="20"/>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1、公务用车购置和维护经费</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0.00</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方正仿宋_GBK" w:cs="方正仿宋_GBK"/>
                <w:color w:val="auto"/>
                <w:sz w:val="20"/>
                <w:szCs w:val="20"/>
                <w:lang w:val="en-US" w:eastAsia="zh-CN"/>
              </w:rPr>
              <w:t>0.00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方正仿宋_GBK" w:cs="方正仿宋_GBK"/>
                <w:color w:val="auto"/>
                <w:sz w:val="20"/>
                <w:szCs w:val="20"/>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其中：公车购置</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0.00</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方正仿宋_GBK" w:cs="方正仿宋_GBK"/>
                <w:color w:val="auto"/>
                <w:sz w:val="20"/>
                <w:szCs w:val="20"/>
                <w:lang w:val="en-US" w:eastAsia="zh-CN"/>
              </w:rPr>
              <w:t>0.00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方正仿宋_GBK" w:cs="方正仿宋_GBK"/>
                <w:color w:val="auto"/>
                <w:sz w:val="20"/>
                <w:szCs w:val="20"/>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公车运行维护</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0.00</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方正仿宋_GBK" w:cs="方正仿宋_GBK"/>
                <w:color w:val="auto"/>
                <w:sz w:val="20"/>
                <w:szCs w:val="20"/>
                <w:lang w:val="en-US" w:eastAsia="zh-CN"/>
              </w:rPr>
              <w:t>0.00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方正仿宋_GBK" w:cs="方正仿宋_GBK"/>
                <w:color w:val="auto"/>
                <w:sz w:val="20"/>
                <w:szCs w:val="20"/>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2、出国经费</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0.00</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方正仿宋_GBK" w:cs="方正仿宋_GBK"/>
                <w:color w:val="auto"/>
                <w:sz w:val="20"/>
                <w:szCs w:val="20"/>
                <w:lang w:val="en-US" w:eastAsia="zh-CN"/>
              </w:rPr>
              <w:t>0.00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方正仿宋_GBK" w:cs="方正仿宋_GBK"/>
                <w:color w:val="auto"/>
                <w:sz w:val="20"/>
                <w:szCs w:val="20"/>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3、公务接待</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0.00</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0.5</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项目支出：</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165.10</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189.33</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183.90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1、业务工作经费</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方正仿宋_GBK" w:cs="方正仿宋_GBK"/>
                <w:color w:val="auto"/>
                <w:sz w:val="20"/>
                <w:szCs w:val="20"/>
                <w:lang w:val="en-US" w:eastAsia="zh-CN"/>
              </w:rPr>
              <w:t>0.00</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2、运行维护经费</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0.00</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3、省级专项资金（每个专项一行）</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134.57</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82.49</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81.76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3·15活动</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134.57</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cs="Times New Roman"/>
                <w:color w:val="auto"/>
                <w:sz w:val="20"/>
                <w:szCs w:val="20"/>
                <w:lang w:val="en-US" w:eastAsia="zh-CN"/>
              </w:rPr>
            </w:pPr>
            <w:r>
              <w:rPr>
                <w:rFonts w:hint="eastAsia" w:cs="Times New Roman"/>
                <w:color w:val="auto"/>
                <w:sz w:val="20"/>
                <w:szCs w:val="20"/>
                <w:lang w:val="en-US" w:eastAsia="zh-CN"/>
              </w:rPr>
              <w:t>中消协40年座谈及消费维权成果展活动</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val="en-US" w:eastAsia="zh-CN"/>
              </w:rPr>
              <w:t>/</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78.00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77.45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cs="Times New Roman"/>
                <w:color w:val="auto"/>
                <w:sz w:val="20"/>
                <w:szCs w:val="20"/>
                <w:lang w:val="en-US" w:eastAsia="zh-CN"/>
              </w:rPr>
            </w:pPr>
            <w:r>
              <w:rPr>
                <w:rFonts w:hint="eastAsia" w:cs="Times New Roman"/>
                <w:color w:val="auto"/>
                <w:sz w:val="20"/>
                <w:szCs w:val="20"/>
                <w:lang w:val="en-US" w:eastAsia="zh-CN"/>
              </w:rPr>
              <w:t>3·15活动(2023结转)</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val="en-US" w:eastAsia="zh-CN"/>
              </w:rPr>
              <w:t>/</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4.493</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4.31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cs="Times New Roman"/>
                <w:color w:val="auto"/>
                <w:sz w:val="20"/>
                <w:szCs w:val="20"/>
                <w:lang w:val="en-US" w:eastAsia="zh-CN"/>
              </w:rPr>
            </w:pPr>
            <w:r>
              <w:rPr>
                <w:rFonts w:hint="eastAsia" w:ascii="Times New Roman" w:hAnsi="Times New Roman" w:eastAsia="仿宋_GB2312" w:cs="Times New Roman"/>
                <w:sz w:val="20"/>
                <w:szCs w:val="20"/>
                <w:lang w:val="en-US" w:eastAsia="zh-CN"/>
              </w:rPr>
              <w:t>4、其他事业发展资金</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val="en-US" w:eastAsia="zh-CN"/>
              </w:rPr>
              <w:t>30.53</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106.84</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cs="Times New Roman"/>
                <w:color w:val="auto"/>
                <w:sz w:val="20"/>
                <w:szCs w:val="20"/>
                <w:lang w:val="en-US" w:eastAsia="zh-CN"/>
              </w:rPr>
            </w:pPr>
            <w:r>
              <w:rPr>
                <w:rFonts w:hint="eastAsia" w:ascii="Times New Roman" w:hAnsi="Times New Roman" w:eastAsia="仿宋_GB2312" w:cs="Times New Roman"/>
                <w:sz w:val="20"/>
                <w:szCs w:val="20"/>
                <w:lang w:eastAsia="zh-CN"/>
              </w:rPr>
              <w:t>绩效工资补助</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val="en-US" w:eastAsia="zh-CN"/>
              </w:rPr>
              <w:t>30.53</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315活动</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val="en-US" w:eastAsia="zh-CN"/>
              </w:rPr>
              <w:t>/</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98.4</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93.71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运行经费</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val="en-US" w:eastAsia="zh-CN"/>
              </w:rPr>
              <w:t>/</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8.44</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8.43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公用经费</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42.58</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36.78</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36.63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其中：办公经费</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1.96</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3.31</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3.31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水费、电费、差旅费</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r>
              <w:rPr>
                <w:rFonts w:hint="eastAsia" w:ascii="Times New Roman" w:hAnsi="Times New Roman" w:eastAsia="方正仿宋_GBK" w:cs="方正仿宋_GBK"/>
                <w:color w:val="auto"/>
                <w:sz w:val="20"/>
                <w:szCs w:val="20"/>
                <w:lang w:val="en-US" w:eastAsia="zh-CN"/>
              </w:rPr>
              <w:t>6.67</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4.00</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会议费、培训费</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政府采购金额</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default" w:ascii="Times New Roman" w:hAnsi="Times New Roman" w:eastAsia="方正仿宋_GBK" w:cs="方正仿宋_GBK"/>
                <w:color w:val="auto"/>
                <w:kern w:val="2"/>
                <w:sz w:val="20"/>
                <w:szCs w:val="20"/>
                <w:lang w:val="en-US" w:eastAsia="zh-CN" w:bidi="ar-SA"/>
              </w:rPr>
            </w:pP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部门基本支出预算调整 </w:t>
            </w:r>
          </w:p>
        </w:tc>
        <w:tc>
          <w:tcPr>
            <w:tcW w:w="197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jc w:val="center"/>
              <w:textAlignment w:val="baseline"/>
              <w:rPr>
                <w:rFonts w:hint="eastAsia" w:ascii="Times New Roman" w:hAnsi="Times New Roman" w:eastAsia="方正仿宋_GBK" w:cs="方正仿宋_GBK"/>
                <w:color w:val="auto"/>
                <w:kern w:val="2"/>
                <w:sz w:val="20"/>
                <w:szCs w:val="20"/>
                <w:lang w:val="en-US" w:eastAsia="zh-CN" w:bidi="ar-SA"/>
              </w:rPr>
            </w:pP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vMerge w:val="restart"/>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rPr>
              <w:t>楼堂馆所控制情况</w:t>
            </w:r>
          </w:p>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r>
              <w:rPr>
                <w:rFonts w:hint="eastAsia" w:ascii="Times New Roman" w:hAnsi="Times New Roman" w:cs="Times New Roman"/>
                <w:color w:val="auto"/>
                <w:sz w:val="20"/>
                <w:szCs w:val="20"/>
                <w:lang w:eastAsia="zh-CN"/>
              </w:rPr>
              <w:t>2024</w:t>
            </w:r>
            <w:r>
              <w:rPr>
                <w:rFonts w:hint="eastAsia" w:ascii="Times New Roman" w:hAnsi="Times New Roman" w:eastAsia="仿宋_GB2312" w:cs="Times New Roman"/>
                <w:color w:val="auto"/>
                <w:sz w:val="20"/>
                <w:szCs w:val="20"/>
              </w:rPr>
              <w:t>年完工项目）</w:t>
            </w:r>
          </w:p>
        </w:tc>
        <w:tc>
          <w:tcPr>
            <w:tcW w:w="115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Cs/>
                <w:color w:val="auto"/>
                <w:sz w:val="20"/>
                <w:szCs w:val="20"/>
                <w:lang w:eastAsia="zh-CN"/>
              </w:rPr>
            </w:pPr>
            <w:r>
              <w:rPr>
                <w:rFonts w:hint="eastAsia" w:ascii="Times New Roman" w:hAnsi="Times New Roman" w:eastAsia="仿宋_GB2312" w:cs="Times New Roman"/>
                <w:bCs/>
                <w:color w:val="auto"/>
                <w:sz w:val="20"/>
                <w:szCs w:val="20"/>
              </w:rPr>
              <w:t>批复规模</w:t>
            </w:r>
          </w:p>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w:t>
            </w:r>
          </w:p>
        </w:tc>
        <w:tc>
          <w:tcPr>
            <w:tcW w:w="822"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实际规模（㎡）</w:t>
            </w:r>
          </w:p>
        </w:tc>
        <w:tc>
          <w:tcPr>
            <w:tcW w:w="1092"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规模控制率</w:t>
            </w:r>
          </w:p>
        </w:tc>
        <w:tc>
          <w:tcPr>
            <w:tcW w:w="1075"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预算投资</w:t>
            </w:r>
          </w:p>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（万元）</w:t>
            </w:r>
          </w:p>
        </w:tc>
        <w:tc>
          <w:tcPr>
            <w:tcW w:w="1046"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实际投资（万元）</w:t>
            </w:r>
          </w:p>
        </w:tc>
        <w:tc>
          <w:tcPr>
            <w:tcW w:w="929"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投资概算控制率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vMerge w:val="continue"/>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eastAsia" w:ascii="Times New Roman" w:hAnsi="Times New Roman" w:eastAsia="仿宋_GB2312" w:cs="Times New Roman"/>
                <w:color w:val="auto"/>
                <w:sz w:val="20"/>
                <w:szCs w:val="20"/>
              </w:rPr>
            </w:pPr>
          </w:p>
        </w:tc>
        <w:tc>
          <w:tcPr>
            <w:tcW w:w="115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c>
          <w:tcPr>
            <w:tcW w:w="822"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c>
          <w:tcPr>
            <w:tcW w:w="1092"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c>
          <w:tcPr>
            <w:tcW w:w="1075"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c>
          <w:tcPr>
            <w:tcW w:w="1046"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c>
          <w:tcPr>
            <w:tcW w:w="929"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厉行节约保障措施</w:t>
            </w:r>
          </w:p>
        </w:tc>
        <w:tc>
          <w:tcPr>
            <w:tcW w:w="6114" w:type="dxa"/>
            <w:gridSpan w:val="6"/>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eastAsia" w:ascii="Times New Roman" w:hAnsi="Times New Roman" w:eastAsia="仿宋_GB2312" w:cs="Times New Roman"/>
                <w:color w:val="auto"/>
                <w:sz w:val="20"/>
                <w:szCs w:val="20"/>
              </w:rPr>
            </w:pPr>
          </w:p>
        </w:tc>
      </w:tr>
    </w:tbl>
    <w:p>
      <w:pPr>
        <w:keepNext w:val="0"/>
        <w:keepLines w:val="0"/>
        <w:pageBreakBefore w:val="0"/>
        <w:kinsoku/>
        <w:wordWrap/>
        <w:overflowPunct/>
        <w:topLinePunct/>
        <w:autoSpaceDE/>
        <w:autoSpaceDN/>
        <w:bidi w:val="0"/>
        <w:spacing w:line="400" w:lineRule="exact"/>
        <w:ind w:firstLine="0" w:firstLineChars="0"/>
        <w:jc w:val="both"/>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说明：“项目支出”需要填报基本支出以外的所有项目支出情况，“公用经费”填报基本支出中的一般商品和服务支出。</w:t>
      </w:r>
    </w:p>
    <w:p>
      <w:pPr>
        <w:keepNext w:val="0"/>
        <w:keepLines w:val="0"/>
        <w:pageBreakBefore w:val="0"/>
        <w:kinsoku/>
        <w:wordWrap/>
        <w:overflowPunct/>
        <w:topLinePunct/>
        <w:autoSpaceDE/>
        <w:autoSpaceDN/>
        <w:bidi w:val="0"/>
        <w:spacing w:line="400" w:lineRule="exact"/>
        <w:ind w:firstLine="0" w:firstLineChars="0"/>
        <w:jc w:val="both"/>
        <w:rPr>
          <w:rFonts w:hint="eastAsia" w:ascii="Times New Roman" w:hAnsi="Times New Roman" w:eastAsia="黑体" w:cs="Times New Roman"/>
          <w:color w:val="auto"/>
          <w:sz w:val="32"/>
          <w:szCs w:val="32"/>
          <w:lang w:val="en-US" w:eastAsia="zh-CN"/>
        </w:rPr>
      </w:pPr>
      <w:r>
        <w:rPr>
          <w:rFonts w:hint="eastAsia" w:ascii="Times New Roman" w:hAnsi="Times New Roman" w:eastAsia="仿宋_GB2312" w:cs="Times New Roman"/>
          <w:color w:val="auto"/>
          <w:sz w:val="24"/>
          <w:szCs w:val="24"/>
        </w:rPr>
        <w:t xml:space="preserve">填表人： </w:t>
      </w:r>
      <w:r>
        <w:rPr>
          <w:rFonts w:hint="eastAsia" w:cs="Times New Roman"/>
          <w:color w:val="auto"/>
          <w:sz w:val="24"/>
          <w:szCs w:val="24"/>
          <w:lang w:eastAsia="zh-CN"/>
        </w:rPr>
        <w:t>李伶媚</w:t>
      </w:r>
      <w:r>
        <w:rPr>
          <w:rFonts w:hint="eastAsia" w:ascii="Times New Roman" w:hAnsi="Times New Roman" w:eastAsia="仿宋_GB2312" w:cs="Times New Roman"/>
          <w:color w:val="auto"/>
          <w:sz w:val="24"/>
          <w:szCs w:val="24"/>
        </w:rPr>
        <w:t xml:space="preserve">       填报日期：</w:t>
      </w:r>
      <w:r>
        <w:rPr>
          <w:rFonts w:hint="eastAsia" w:cs="Times New Roman"/>
          <w:color w:val="auto"/>
          <w:sz w:val="24"/>
          <w:szCs w:val="24"/>
          <w:lang w:val="en-US" w:eastAsia="zh-CN"/>
        </w:rPr>
        <w:t>2025年3月28日</w:t>
      </w:r>
      <w:r>
        <w:rPr>
          <w:rFonts w:hint="eastAsia" w:ascii="Times New Roman" w:hAnsi="Times New Roman" w:eastAsia="仿宋_GB2312" w:cs="Times New Roman"/>
          <w:color w:val="auto"/>
          <w:sz w:val="24"/>
          <w:szCs w:val="24"/>
        </w:rPr>
        <w:t xml:space="preserve">          联系电话：</w:t>
      </w:r>
      <w:r>
        <w:rPr>
          <w:rFonts w:hint="eastAsia" w:cs="Times New Roman"/>
          <w:color w:val="auto"/>
          <w:sz w:val="24"/>
          <w:szCs w:val="24"/>
          <w:lang w:val="en-US" w:eastAsia="zh-CN"/>
        </w:rPr>
        <w:t>13873118990</w:t>
      </w:r>
      <w:r>
        <w:rPr>
          <w:rFonts w:hint="eastAsia" w:ascii="Times New Roman" w:hAnsi="Times New Roman" w:eastAsia="仿宋_GB2312" w:cs="Times New Roman"/>
          <w:color w:val="auto"/>
          <w:sz w:val="24"/>
          <w:szCs w:val="24"/>
        </w:rPr>
        <w:t xml:space="preserve">            单位负责人签字：</w:t>
      </w:r>
      <w:r>
        <w:rPr>
          <w:rFonts w:ascii="Times New Roman" w:hAnsi="Times New Roman" w:eastAsia="仿宋_GB2312" w:cs="Times New Roman"/>
          <w:color w:val="auto"/>
          <w:sz w:val="20"/>
          <w:szCs w:val="24"/>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6"/>
          <w:szCs w:val="36"/>
        </w:rPr>
      </w:pPr>
      <w:r>
        <w:rPr>
          <w:rFonts w:hint="eastAsia" w:cs="Times New Roman"/>
          <w:color w:val="auto"/>
          <w:sz w:val="36"/>
          <w:szCs w:val="36"/>
          <w:lang w:eastAsia="zh-CN"/>
        </w:rPr>
        <w:t>2024</w:t>
      </w:r>
      <w:r>
        <w:rPr>
          <w:rFonts w:hint="eastAsia" w:ascii="Times New Roman" w:hAnsi="Times New Roman" w:eastAsia="仿宋_GB2312" w:cs="Times New Roman"/>
          <w:color w:val="auto"/>
          <w:sz w:val="36"/>
          <w:szCs w:val="36"/>
        </w:rPr>
        <w:t>年度单位整体支出绩效自评表</w:t>
      </w:r>
    </w:p>
    <w:tbl>
      <w:tblPr>
        <w:tblStyle w:val="11"/>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02"/>
        <w:gridCol w:w="1003"/>
        <w:gridCol w:w="960"/>
        <w:gridCol w:w="1178"/>
        <w:gridCol w:w="1216"/>
        <w:gridCol w:w="1177"/>
        <w:gridCol w:w="667"/>
        <w:gridCol w:w="811"/>
        <w:gridCol w:w="13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2965" w:type="dxa"/>
            <w:gridSpan w:val="3"/>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省级预算部门、单位名称</w:t>
            </w:r>
          </w:p>
        </w:tc>
        <w:tc>
          <w:tcPr>
            <w:tcW w:w="6389" w:type="dxa"/>
            <w:gridSpan w:val="6"/>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eastAsia="zh-CN"/>
              </w:rPr>
            </w:pPr>
            <w:r>
              <w:rPr>
                <w:rFonts w:hint="eastAsia" w:cs="Times New Roman"/>
                <w:color w:val="auto"/>
                <w:sz w:val="20"/>
                <w:szCs w:val="20"/>
                <w:lang w:eastAsia="zh-CN"/>
              </w:rPr>
              <w:t>湖南省消费者权益保护服务中心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年度预</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rPr>
              <w:t>算申请</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（万元）</w:t>
            </w:r>
          </w:p>
        </w:tc>
        <w:tc>
          <w:tcPr>
            <w:tcW w:w="196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年初预算数</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全年预算数</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全年执行数</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分值</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执行率</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6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年度资金总额</w:t>
            </w: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539.89</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539.89</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533.29</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b/>
                <w:bCs/>
                <w:color w:val="auto"/>
                <w:sz w:val="20"/>
                <w:szCs w:val="20"/>
              </w:rPr>
              <w:t>10</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98.77%</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按收入性质分：</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按支出性质分：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rPr>
              <w:t>其中：一般公共预算：</w:t>
            </w:r>
            <w:r>
              <w:rPr>
                <w:rFonts w:hint="eastAsia" w:cs="Times New Roman"/>
                <w:color w:val="auto"/>
                <w:sz w:val="20"/>
                <w:szCs w:val="20"/>
                <w:lang w:val="en-US" w:eastAsia="zh-CN"/>
              </w:rPr>
              <w:t>539.89</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rPr>
              <w:t>其中：基本支出：</w:t>
            </w:r>
            <w:r>
              <w:rPr>
                <w:rFonts w:hint="eastAsia" w:cs="Times New Roman"/>
                <w:color w:val="auto"/>
                <w:sz w:val="20"/>
                <w:szCs w:val="20"/>
                <w:lang w:val="en-US" w:eastAsia="zh-CN"/>
              </w:rPr>
              <w:t>350.56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政府性基金拨款：</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rPr>
              <w:t>项目支出：</w:t>
            </w:r>
            <w:r>
              <w:rPr>
                <w:rFonts w:hint="eastAsia" w:cs="Times New Roman"/>
                <w:color w:val="auto"/>
                <w:sz w:val="20"/>
                <w:szCs w:val="20"/>
                <w:lang w:val="en-US" w:eastAsia="zh-CN"/>
              </w:rPr>
              <w:t>189.33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纳入专户管理的非税收入拨款：</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其他资金：</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年度总体目标</w:t>
            </w: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预期目标</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实际完成情况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1.2024年</w:t>
            </w:r>
            <w:r>
              <w:rPr>
                <w:rFonts w:hint="eastAsia" w:ascii="Times New Roman" w:hAnsi="Times New Roman" w:eastAsia="仿宋_GB2312" w:cs="Times New Roman"/>
                <w:color w:val="auto"/>
                <w:sz w:val="20"/>
                <w:szCs w:val="20"/>
                <w:lang w:eastAsia="zh-CN"/>
              </w:rPr>
              <w:t>“</w:t>
            </w:r>
            <w:r>
              <w:rPr>
                <w:rFonts w:hint="eastAsia" w:ascii="Times New Roman" w:hAnsi="Times New Roman" w:eastAsia="仿宋_GB2312" w:cs="Times New Roman"/>
                <w:color w:val="auto"/>
                <w:sz w:val="20"/>
                <w:szCs w:val="20"/>
              </w:rPr>
              <w:t>3·15</w:t>
            </w:r>
            <w:r>
              <w:rPr>
                <w:rFonts w:hint="eastAsia" w:ascii="Times New Roman" w:hAnsi="Times New Roman" w:eastAsia="仿宋_GB2312" w:cs="Times New Roman"/>
                <w:color w:val="auto"/>
                <w:sz w:val="20"/>
                <w:szCs w:val="20"/>
                <w:lang w:eastAsia="zh-CN"/>
              </w:rPr>
              <w:t>”</w:t>
            </w:r>
            <w:r>
              <w:rPr>
                <w:rFonts w:hint="eastAsia" w:ascii="Times New Roman" w:hAnsi="Times New Roman" w:eastAsia="仿宋_GB2312" w:cs="Times New Roman"/>
                <w:color w:val="auto"/>
                <w:sz w:val="20"/>
                <w:szCs w:val="20"/>
              </w:rPr>
              <w:t>国际消费者权益日系列活动；2.加强《中华人民共和国消费者权益保护法》及年主题宣传，助力放心消费环境创建；3.维持省消保中心日常基本运转。</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2" w:hRule="atLeast"/>
          <w:jc w:val="center"/>
        </w:trPr>
        <w:tc>
          <w:tcPr>
            <w:tcW w:w="1002"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绩</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效</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指</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标</w:t>
            </w:r>
          </w:p>
        </w:tc>
        <w:tc>
          <w:tcPr>
            <w:tcW w:w="10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一级指标</w:t>
            </w: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二级指标</w:t>
            </w: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三级指标</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年度指标值</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实际完成值</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分值</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16"/>
                <w:szCs w:val="16"/>
              </w:rPr>
              <w:t>自评得分</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偏差原因分析及改进措施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03"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产出指标</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r>
              <w:rPr>
                <w:rFonts w:hint="eastAsia" w:cs="Times New Roman"/>
                <w:color w:val="auto"/>
                <w:sz w:val="20"/>
                <w:szCs w:val="20"/>
                <w:lang w:val="en-US" w:eastAsia="zh-CN"/>
              </w:rPr>
              <w:t>8</w:t>
            </w:r>
            <w:r>
              <w:rPr>
                <w:rFonts w:hint="eastAsia" w:ascii="Times New Roman" w:hAnsi="Times New Roman" w:eastAsia="仿宋_GB2312" w:cs="Times New Roman"/>
                <w:color w:val="auto"/>
                <w:sz w:val="20"/>
                <w:szCs w:val="20"/>
              </w:rPr>
              <w:t>0分）</w:t>
            </w:r>
          </w:p>
        </w:tc>
        <w:tc>
          <w:tcPr>
            <w:tcW w:w="960"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数量指标</w:t>
            </w: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rPr>
              <w:t>开展202</w:t>
            </w:r>
            <w:r>
              <w:rPr>
                <w:rFonts w:hint="eastAsia" w:ascii="Times New Roman" w:hAnsi="Times New Roman" w:eastAsia="仿宋_GB2312" w:cs="Times New Roman"/>
                <w:color w:val="auto"/>
                <w:sz w:val="20"/>
                <w:szCs w:val="20"/>
                <w:lang w:val="en-US" w:eastAsia="zh-CN"/>
              </w:rPr>
              <w:t>4</w:t>
            </w:r>
            <w:r>
              <w:rPr>
                <w:rFonts w:hint="eastAsia" w:ascii="Times New Roman" w:hAnsi="Times New Roman" w:eastAsia="仿宋_GB2312" w:cs="Times New Roman"/>
                <w:color w:val="auto"/>
                <w:sz w:val="20"/>
                <w:szCs w:val="20"/>
              </w:rPr>
              <w:t>年</w:t>
            </w:r>
            <w:r>
              <w:rPr>
                <w:rFonts w:hint="default" w:ascii="Times New Roman" w:hAnsi="Times New Roman" w:eastAsia="仿宋_GB2312" w:cs="Times New Roman"/>
                <w:color w:val="auto"/>
                <w:sz w:val="20"/>
                <w:szCs w:val="20"/>
                <w:lang w:val="en"/>
              </w:rPr>
              <w:t>“</w:t>
            </w:r>
            <w:r>
              <w:rPr>
                <w:rFonts w:hint="eastAsia" w:ascii="Times New Roman" w:hAnsi="Times New Roman" w:eastAsia="仿宋_GB2312" w:cs="Times New Roman"/>
                <w:color w:val="auto"/>
                <w:sz w:val="20"/>
                <w:szCs w:val="20"/>
              </w:rPr>
              <w:t>3·15</w:t>
            </w:r>
            <w:r>
              <w:rPr>
                <w:rFonts w:hint="default" w:ascii="Times New Roman" w:hAnsi="Times New Roman" w:eastAsia="仿宋_GB2312" w:cs="Times New Roman"/>
                <w:color w:val="auto"/>
                <w:sz w:val="20"/>
                <w:szCs w:val="20"/>
                <w:lang w:val="en"/>
              </w:rPr>
              <w:t>”</w:t>
            </w:r>
            <w:r>
              <w:rPr>
                <w:rFonts w:hint="eastAsia" w:ascii="Times New Roman" w:hAnsi="Times New Roman" w:eastAsia="仿宋_GB2312" w:cs="Times New Roman"/>
                <w:color w:val="auto"/>
                <w:sz w:val="20"/>
                <w:szCs w:val="20"/>
              </w:rPr>
              <w:t>国际消费者权益日活动次数</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rPr>
              <w:t>　≥</w:t>
            </w:r>
            <w:r>
              <w:rPr>
                <w:rFonts w:hint="eastAsia" w:ascii="Times New Roman" w:hAnsi="Times New Roman" w:eastAsia="仿宋_GB2312" w:cs="Times New Roman"/>
                <w:color w:val="auto"/>
                <w:sz w:val="20"/>
                <w:szCs w:val="20"/>
                <w:lang w:val="en-US" w:eastAsia="zh-CN"/>
              </w:rPr>
              <w:t>1</w:t>
            </w:r>
            <w:r>
              <w:rPr>
                <w:rFonts w:hint="eastAsia" w:ascii="Times New Roman" w:hAnsi="Times New Roman" w:eastAsia="仿宋_GB2312" w:cs="Times New Roman"/>
                <w:color w:val="auto"/>
                <w:sz w:val="20"/>
                <w:szCs w:val="20"/>
              </w:rPr>
              <w:t>次</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1次</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cs="Times New Roman"/>
                <w:color w:val="auto"/>
                <w:sz w:val="20"/>
                <w:szCs w:val="20"/>
                <w:lang w:val="en-US" w:eastAsia="zh-CN"/>
              </w:rPr>
              <w:t>2</w:t>
            </w:r>
            <w:r>
              <w:rPr>
                <w:rFonts w:hint="eastAsia" w:ascii="Times New Roman" w:hAnsi="Times New Roman" w:eastAsia="仿宋_GB2312" w:cs="Times New Roman"/>
                <w:color w:val="auto"/>
                <w:sz w:val="20"/>
                <w:szCs w:val="20"/>
                <w:lang w:val="en-US" w:eastAsia="zh-CN"/>
              </w:rPr>
              <w:t>0</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cs="Times New Roman"/>
                <w:color w:val="auto"/>
                <w:sz w:val="20"/>
                <w:szCs w:val="20"/>
                <w:lang w:val="en-US" w:eastAsia="zh-CN"/>
              </w:rPr>
              <w:t>2</w:t>
            </w:r>
            <w:r>
              <w:rPr>
                <w:rFonts w:hint="eastAsia" w:ascii="Times New Roman" w:hAnsi="Times New Roman" w:eastAsia="仿宋_GB2312" w:cs="Times New Roman"/>
                <w:color w:val="auto"/>
                <w:sz w:val="20"/>
                <w:szCs w:val="20"/>
                <w:lang w:val="en-US" w:eastAsia="zh-CN"/>
              </w:rPr>
              <w:t>0</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60"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与媒体合作</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开展</w:t>
            </w:r>
            <w:r>
              <w:rPr>
                <w:rFonts w:hint="default" w:ascii="Times New Roman" w:hAnsi="Times New Roman" w:eastAsia="仿宋_GB2312" w:cs="Times New Roman"/>
                <w:color w:val="auto"/>
                <w:sz w:val="20"/>
                <w:szCs w:val="20"/>
                <w:lang w:val="en"/>
              </w:rPr>
              <w:t>“</w:t>
            </w:r>
            <w:r>
              <w:rPr>
                <w:rFonts w:hint="eastAsia" w:ascii="Times New Roman" w:hAnsi="Times New Roman" w:eastAsia="仿宋_GB2312" w:cs="Times New Roman"/>
                <w:color w:val="auto"/>
                <w:sz w:val="20"/>
                <w:szCs w:val="20"/>
              </w:rPr>
              <w:t>3·15</w:t>
            </w:r>
            <w:r>
              <w:rPr>
                <w:rFonts w:hint="default" w:ascii="Times New Roman" w:hAnsi="Times New Roman" w:eastAsia="仿宋_GB2312" w:cs="Times New Roman"/>
                <w:color w:val="auto"/>
                <w:sz w:val="20"/>
                <w:szCs w:val="20"/>
                <w:lang w:val="en"/>
              </w:rPr>
              <w:t>”</w:t>
            </w:r>
            <w:r>
              <w:rPr>
                <w:rFonts w:hint="eastAsia" w:ascii="Times New Roman" w:hAnsi="Times New Roman" w:eastAsia="仿宋_GB2312" w:cs="Times New Roman"/>
                <w:color w:val="auto"/>
                <w:sz w:val="20"/>
                <w:szCs w:val="20"/>
              </w:rPr>
              <w:t>权益活动</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rPr>
              <w:t>合作家数</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rPr>
              <w:t>≥</w:t>
            </w:r>
            <w:r>
              <w:rPr>
                <w:rFonts w:hint="eastAsia" w:ascii="Times New Roman" w:hAnsi="Times New Roman" w:eastAsia="仿宋_GB2312" w:cs="Times New Roman"/>
                <w:color w:val="auto"/>
                <w:sz w:val="20"/>
                <w:szCs w:val="20"/>
                <w:lang w:val="en-US" w:eastAsia="zh-CN"/>
              </w:rPr>
              <w:t>2家</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2家</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20</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20</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质量指标</w:t>
            </w: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完成2024年</w:t>
            </w:r>
            <w:r>
              <w:rPr>
                <w:rFonts w:hint="default" w:ascii="Times New Roman" w:hAnsi="Times New Roman" w:eastAsia="仿宋_GB2312" w:cs="Times New Roman"/>
                <w:color w:val="auto"/>
                <w:sz w:val="20"/>
                <w:szCs w:val="20"/>
                <w:lang w:val="en"/>
              </w:rPr>
              <w:t>“</w:t>
            </w:r>
            <w:r>
              <w:rPr>
                <w:rFonts w:hint="eastAsia" w:ascii="Times New Roman" w:hAnsi="Times New Roman" w:eastAsia="仿宋_GB2312" w:cs="Times New Roman"/>
                <w:color w:val="auto"/>
                <w:sz w:val="20"/>
                <w:szCs w:val="20"/>
              </w:rPr>
              <w:t>3·15</w:t>
            </w:r>
            <w:r>
              <w:rPr>
                <w:rFonts w:hint="default" w:ascii="Times New Roman" w:hAnsi="Times New Roman" w:eastAsia="仿宋_GB2312" w:cs="Times New Roman"/>
                <w:color w:val="auto"/>
                <w:sz w:val="20"/>
                <w:szCs w:val="20"/>
                <w:lang w:val="en"/>
              </w:rPr>
              <w:t>”</w:t>
            </w:r>
            <w:r>
              <w:rPr>
                <w:rFonts w:hint="eastAsia" w:ascii="Times New Roman" w:hAnsi="Times New Roman" w:eastAsia="仿宋_GB2312" w:cs="Times New Roman"/>
                <w:color w:val="auto"/>
                <w:sz w:val="20"/>
                <w:szCs w:val="20"/>
              </w:rPr>
              <w:t>国际消费者权益日活动</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100%</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100%</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20</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20</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时效指标</w:t>
            </w: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rPr>
              <w:t xml:space="preserve"> 完成2024年</w:t>
            </w:r>
            <w:r>
              <w:rPr>
                <w:rFonts w:hint="default" w:ascii="Times New Roman" w:hAnsi="Times New Roman" w:eastAsia="仿宋_GB2312" w:cs="Times New Roman"/>
                <w:color w:val="auto"/>
                <w:sz w:val="20"/>
                <w:szCs w:val="20"/>
                <w:lang w:val="en"/>
              </w:rPr>
              <w:t>“</w:t>
            </w:r>
            <w:r>
              <w:rPr>
                <w:rFonts w:hint="eastAsia" w:ascii="Times New Roman" w:hAnsi="Times New Roman" w:eastAsia="仿宋_GB2312" w:cs="Times New Roman"/>
                <w:color w:val="auto"/>
                <w:sz w:val="20"/>
                <w:szCs w:val="20"/>
              </w:rPr>
              <w:t>3·15</w:t>
            </w:r>
            <w:r>
              <w:rPr>
                <w:rFonts w:hint="default" w:ascii="Times New Roman" w:hAnsi="Times New Roman" w:eastAsia="仿宋_GB2312" w:cs="Times New Roman"/>
                <w:color w:val="auto"/>
                <w:sz w:val="20"/>
                <w:szCs w:val="20"/>
                <w:lang w:val="en"/>
              </w:rPr>
              <w:t>”</w:t>
            </w:r>
            <w:r>
              <w:rPr>
                <w:rFonts w:hint="eastAsia" w:ascii="Times New Roman" w:hAnsi="Times New Roman" w:eastAsia="仿宋_GB2312" w:cs="Times New Roman"/>
                <w:color w:val="auto"/>
                <w:sz w:val="20"/>
                <w:szCs w:val="20"/>
              </w:rPr>
              <w:t>国际消费者权益日</w:t>
            </w:r>
            <w:r>
              <w:rPr>
                <w:rFonts w:hint="eastAsia" w:cs="Times New Roman"/>
                <w:color w:val="auto"/>
                <w:sz w:val="20"/>
                <w:szCs w:val="20"/>
                <w:lang w:val="en-US" w:eastAsia="zh-CN"/>
              </w:rPr>
              <w:t>活动</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2024年12月31日前</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2024年3月15日完成</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10</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成本指标</w:t>
            </w: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开展2024年</w:t>
            </w:r>
            <w:r>
              <w:rPr>
                <w:rFonts w:hint="default" w:ascii="Times New Roman" w:hAnsi="Times New Roman" w:eastAsia="仿宋_GB2312" w:cs="Times New Roman"/>
                <w:color w:val="auto"/>
                <w:sz w:val="20"/>
                <w:szCs w:val="20"/>
                <w:lang w:val="en"/>
              </w:rPr>
              <w:t>“</w:t>
            </w:r>
            <w:r>
              <w:rPr>
                <w:rFonts w:hint="eastAsia" w:ascii="Times New Roman" w:hAnsi="Times New Roman" w:eastAsia="仿宋_GB2312" w:cs="Times New Roman"/>
                <w:color w:val="auto"/>
                <w:sz w:val="20"/>
                <w:szCs w:val="20"/>
              </w:rPr>
              <w:t>3·15</w:t>
            </w:r>
            <w:r>
              <w:rPr>
                <w:rFonts w:hint="default" w:ascii="Times New Roman" w:hAnsi="Times New Roman" w:eastAsia="仿宋_GB2312" w:cs="Times New Roman"/>
                <w:color w:val="auto"/>
                <w:sz w:val="20"/>
                <w:szCs w:val="20"/>
                <w:lang w:val="en"/>
              </w:rPr>
              <w:t>”</w:t>
            </w:r>
            <w:r>
              <w:rPr>
                <w:rFonts w:hint="eastAsia" w:ascii="Times New Roman" w:hAnsi="Times New Roman" w:eastAsia="仿宋_GB2312" w:cs="Times New Roman"/>
                <w:color w:val="auto"/>
                <w:sz w:val="20"/>
                <w:szCs w:val="20"/>
              </w:rPr>
              <w:t>国际消费者权益日活动</w:t>
            </w:r>
            <w:r>
              <w:rPr>
                <w:rFonts w:hint="eastAsia" w:ascii="Times New Roman" w:hAnsi="Times New Roman" w:eastAsia="仿宋_GB2312" w:cs="Times New Roman"/>
                <w:color w:val="auto"/>
                <w:sz w:val="20"/>
                <w:szCs w:val="20"/>
              </w:rPr>
              <w:tab/>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≦140.4万元</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93.71万元</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eastAsia="zh-CN"/>
              </w:rPr>
              <w:t>因</w:t>
            </w:r>
            <w:r>
              <w:rPr>
                <w:rFonts w:hint="eastAsia" w:ascii="Times New Roman" w:hAnsi="Times New Roman" w:eastAsia="仿宋_GB2312" w:cs="Times New Roman"/>
                <w:color w:val="auto"/>
                <w:sz w:val="20"/>
                <w:szCs w:val="20"/>
              </w:rPr>
              <w:t xml:space="preserve">财政压缩经费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7"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效益指标</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w:t>
            </w:r>
            <w:r>
              <w:rPr>
                <w:rFonts w:hint="eastAsia" w:ascii="Times New Roman" w:hAnsi="Times New Roman" w:eastAsia="仿宋_GB2312" w:cs="Times New Roman"/>
                <w:color w:val="auto"/>
                <w:sz w:val="20"/>
                <w:szCs w:val="20"/>
              </w:rPr>
              <w:t>0分）</w:t>
            </w: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社会效</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rPr>
              <w:t>益指标</w:t>
            </w: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rPr>
              <w:t>保护消费者合法权益，放心消费环境</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cs="Times New Roman"/>
                <w:color w:val="auto"/>
                <w:kern w:val="2"/>
                <w:sz w:val="20"/>
                <w:szCs w:val="20"/>
                <w:lang w:val="en-US" w:eastAsia="zh-CN" w:bidi="ar-SA"/>
              </w:rPr>
              <w:t>持续提升</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ascii="Times New Roman" w:hAnsi="Times New Roman" w:cs="Times New Roman"/>
                <w:color w:val="auto"/>
                <w:kern w:val="2"/>
                <w:sz w:val="20"/>
                <w:szCs w:val="20"/>
                <w:lang w:val="en-US" w:eastAsia="zh-CN" w:bidi="ar-SA"/>
              </w:rPr>
              <w:t>持续提升</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cs="Times New Roman"/>
                <w:color w:val="auto"/>
                <w:kern w:val="2"/>
                <w:sz w:val="20"/>
                <w:szCs w:val="20"/>
                <w:lang w:val="en-US" w:eastAsia="zh-CN" w:bidi="ar-SA"/>
              </w:rPr>
              <w:t>20</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kern w:val="2"/>
                <w:sz w:val="20"/>
                <w:szCs w:val="20"/>
                <w:lang w:val="en-US" w:eastAsia="zh-CN" w:bidi="ar-SA"/>
              </w:rPr>
            </w:pPr>
            <w:r>
              <w:rPr>
                <w:rFonts w:hint="eastAsia" w:ascii="Times New Roman" w:hAnsi="Times New Roman" w:cs="Times New Roman"/>
                <w:color w:val="auto"/>
                <w:kern w:val="2"/>
                <w:sz w:val="20"/>
                <w:szCs w:val="20"/>
                <w:lang w:val="en-US" w:eastAsia="zh-CN" w:bidi="ar-SA"/>
              </w:rPr>
              <w:t>20</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63" w:hRule="atLeast"/>
          <w:jc w:val="center"/>
        </w:trPr>
        <w:tc>
          <w:tcPr>
            <w:tcW w:w="6536" w:type="dxa"/>
            <w:gridSpan w:val="6"/>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总分</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100</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100</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bl>
    <w:p>
      <w:pPr>
        <w:pStyle w:val="23"/>
        <w:ind w:left="0" w:leftChars="0" w:firstLine="0" w:firstLineChars="0"/>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xml:space="preserve">填表人： </w:t>
      </w:r>
      <w:r>
        <w:rPr>
          <w:rFonts w:hint="eastAsia" w:cs="Times New Roman"/>
          <w:color w:val="auto"/>
          <w:sz w:val="24"/>
          <w:szCs w:val="24"/>
          <w:lang w:eastAsia="zh-CN"/>
        </w:rPr>
        <w:t>李伶媚</w:t>
      </w:r>
      <w:r>
        <w:rPr>
          <w:rFonts w:hint="eastAsia" w:ascii="Times New Roman" w:hAnsi="Times New Roman" w:eastAsia="仿宋_GB2312" w:cs="Times New Roman"/>
          <w:color w:val="auto"/>
          <w:sz w:val="24"/>
          <w:szCs w:val="24"/>
        </w:rPr>
        <w:t xml:space="preserve">       填报日期：</w:t>
      </w:r>
      <w:r>
        <w:rPr>
          <w:rFonts w:hint="eastAsia" w:cs="Times New Roman"/>
          <w:color w:val="auto"/>
          <w:sz w:val="24"/>
          <w:szCs w:val="24"/>
          <w:lang w:val="en-US" w:eastAsia="zh-CN"/>
        </w:rPr>
        <w:t>2025年3月28日</w:t>
      </w:r>
      <w:r>
        <w:rPr>
          <w:rFonts w:hint="eastAsia" w:ascii="Times New Roman" w:hAnsi="Times New Roman" w:eastAsia="仿宋_GB2312" w:cs="Times New Roman"/>
          <w:color w:val="auto"/>
          <w:sz w:val="24"/>
          <w:szCs w:val="24"/>
        </w:rPr>
        <w:t xml:space="preserve">          联系电话：</w:t>
      </w:r>
      <w:r>
        <w:rPr>
          <w:rFonts w:hint="eastAsia" w:cs="Times New Roman"/>
          <w:color w:val="auto"/>
          <w:sz w:val="24"/>
          <w:szCs w:val="24"/>
          <w:lang w:val="en-US" w:eastAsia="zh-CN"/>
        </w:rPr>
        <w:t>13873118990</w:t>
      </w:r>
      <w:r>
        <w:rPr>
          <w:rFonts w:hint="eastAsia" w:ascii="Times New Roman" w:hAnsi="Times New Roman" w:eastAsia="仿宋_GB2312" w:cs="Times New Roman"/>
          <w:color w:val="auto"/>
          <w:sz w:val="24"/>
          <w:szCs w:val="24"/>
        </w:rPr>
        <w:t xml:space="preserve">            单位负责人签字：</w:t>
      </w:r>
      <w:r>
        <w:rPr>
          <w:rFonts w:ascii="Times New Roman" w:hAnsi="Times New Roman" w:eastAsia="仿宋_GB2312" w:cs="Times New Roman"/>
          <w:color w:val="auto"/>
          <w:sz w:val="20"/>
          <w:szCs w:val="24"/>
        </w:rPr>
        <w:br w:type="page"/>
      </w:r>
    </w:p>
    <w:p>
      <w:pPr>
        <w:keepNext w:val="0"/>
        <w:keepLines w:val="0"/>
        <w:pageBreakBefore w:val="0"/>
        <w:wordWrap/>
        <w:overflowPunct/>
        <w:autoSpaceDE/>
        <w:autoSpaceDN/>
        <w:bidi w:val="0"/>
        <w:spacing w:line="600" w:lineRule="exact"/>
        <w:ind w:firstLine="0" w:firstLineChars="0"/>
        <w:rPr>
          <w:rFonts w:hint="eastAsia" w:ascii="Times New Roman" w:hAnsi="Times New Roman" w:eastAsia="黑体" w:cs="Times New Roman"/>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6"/>
          <w:szCs w:val="36"/>
        </w:rPr>
      </w:pPr>
      <w:r>
        <w:rPr>
          <w:rFonts w:hint="eastAsia" w:cs="Times New Roman"/>
          <w:color w:val="auto"/>
          <w:sz w:val="36"/>
          <w:szCs w:val="36"/>
          <w:lang w:eastAsia="zh-CN"/>
        </w:rPr>
        <w:t>2024</w:t>
      </w:r>
      <w:r>
        <w:rPr>
          <w:rFonts w:hint="eastAsia" w:ascii="Times New Roman" w:hAnsi="Times New Roman" w:eastAsia="仿宋_GB2312" w:cs="Times New Roman"/>
          <w:color w:val="auto"/>
          <w:sz w:val="36"/>
          <w:szCs w:val="36"/>
        </w:rPr>
        <w:t>年度项目支出绩效自评表（</w:t>
      </w:r>
      <w:r>
        <w:rPr>
          <w:rFonts w:hint="eastAsia" w:cs="Times New Roman"/>
          <w:color w:val="auto"/>
          <w:sz w:val="36"/>
          <w:szCs w:val="36"/>
          <w:lang w:eastAsia="zh-CN"/>
        </w:rPr>
        <w:t>省级专项资金</w:t>
      </w:r>
      <w:r>
        <w:rPr>
          <w:rFonts w:hint="eastAsia" w:ascii="Times New Roman" w:hAnsi="Times New Roman" w:eastAsia="仿宋_GB2312" w:cs="Times New Roman"/>
          <w:color w:val="auto"/>
          <w:sz w:val="36"/>
          <w:szCs w:val="36"/>
        </w:rPr>
        <w:t>）</w:t>
      </w:r>
    </w:p>
    <w:tbl>
      <w:tblPr>
        <w:tblStyle w:val="11"/>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24"/>
        <w:gridCol w:w="1025"/>
        <w:gridCol w:w="908"/>
        <w:gridCol w:w="1181"/>
        <w:gridCol w:w="1296"/>
        <w:gridCol w:w="1103"/>
        <w:gridCol w:w="640"/>
        <w:gridCol w:w="830"/>
        <w:gridCol w:w="13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2957" w:type="dxa"/>
            <w:gridSpan w:val="3"/>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项目支出名称</w:t>
            </w:r>
          </w:p>
        </w:tc>
        <w:tc>
          <w:tcPr>
            <w:tcW w:w="6397" w:type="dxa"/>
            <w:gridSpan w:val="6"/>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中消协40年座谈及消费维权成果展活动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主管部门</w:t>
            </w:r>
          </w:p>
        </w:tc>
        <w:tc>
          <w:tcPr>
            <w:tcW w:w="4410"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实施单位</w:t>
            </w:r>
          </w:p>
        </w:tc>
        <w:tc>
          <w:tcPr>
            <w:tcW w:w="2817" w:type="dxa"/>
            <w:gridSpan w:val="3"/>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rPr>
              <w:t>项目资金</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（万元）</w:t>
            </w:r>
          </w:p>
        </w:tc>
        <w:tc>
          <w:tcPr>
            <w:tcW w:w="193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年初预算数</w:t>
            </w:r>
          </w:p>
        </w:tc>
        <w:tc>
          <w:tcPr>
            <w:tcW w:w="129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全年预算数</w:t>
            </w: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全年执行数</w:t>
            </w:r>
          </w:p>
        </w:tc>
        <w:tc>
          <w:tcPr>
            <w:tcW w:w="6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分值</w:t>
            </w:r>
          </w:p>
        </w:tc>
        <w:tc>
          <w:tcPr>
            <w:tcW w:w="83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执行率</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年度资金总额</w:t>
            </w: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78</w:t>
            </w:r>
          </w:p>
        </w:tc>
        <w:tc>
          <w:tcPr>
            <w:tcW w:w="1296"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78</w:t>
            </w: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77.45</w:t>
            </w:r>
          </w:p>
        </w:tc>
        <w:tc>
          <w:tcPr>
            <w:tcW w:w="6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w:t>
            </w:r>
          </w:p>
        </w:tc>
        <w:tc>
          <w:tcPr>
            <w:tcW w:w="83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99.29%</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其中：当年财政拨款</w:t>
            </w: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cs="Times New Roman"/>
                <w:color w:val="auto"/>
                <w:sz w:val="20"/>
                <w:szCs w:val="20"/>
                <w:lang w:val="en-US" w:eastAsia="zh-CN"/>
              </w:rPr>
              <w:t>78</w:t>
            </w:r>
          </w:p>
        </w:tc>
        <w:tc>
          <w:tcPr>
            <w:tcW w:w="129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cs="Times New Roman"/>
                <w:color w:val="auto"/>
                <w:sz w:val="20"/>
                <w:szCs w:val="20"/>
                <w:lang w:val="en-US" w:eastAsia="zh-CN"/>
              </w:rPr>
              <w:t>78</w:t>
            </w: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cs="Times New Roman"/>
                <w:color w:val="auto"/>
                <w:sz w:val="20"/>
                <w:szCs w:val="20"/>
                <w:lang w:val="en-US" w:eastAsia="zh-CN"/>
              </w:rPr>
              <w:t>77.45</w:t>
            </w:r>
          </w:p>
        </w:tc>
        <w:tc>
          <w:tcPr>
            <w:tcW w:w="6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rPr>
              <w:t>10</w:t>
            </w:r>
          </w:p>
        </w:tc>
        <w:tc>
          <w:tcPr>
            <w:tcW w:w="83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cs="Times New Roman"/>
                <w:color w:val="auto"/>
                <w:sz w:val="20"/>
                <w:szCs w:val="20"/>
                <w:lang w:val="en-US" w:eastAsia="zh-CN"/>
              </w:rPr>
              <w:t>99.29%</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cs="Times New Roman"/>
                <w:color w:val="auto"/>
                <w:sz w:val="20"/>
                <w:szCs w:val="20"/>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上年结转资金</w:t>
            </w: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29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6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83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其他资金</w:t>
            </w: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29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6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83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年度总体目标</w:t>
            </w:r>
          </w:p>
        </w:tc>
        <w:tc>
          <w:tcPr>
            <w:tcW w:w="4410"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预期目标</w:t>
            </w:r>
          </w:p>
        </w:tc>
        <w:tc>
          <w:tcPr>
            <w:tcW w:w="3920"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实际完成情况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9" w:hRule="atLeast"/>
          <w:jc w:val="center"/>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4410"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目标1：承办“3·15消费者权益保护暨中国消费者协会40周年座谈会”</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目标2：承办“中消协40年消费维权成果展”活动</w:t>
            </w:r>
          </w:p>
        </w:tc>
        <w:tc>
          <w:tcPr>
            <w:tcW w:w="3920"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eastAsia="zh-CN"/>
              </w:rPr>
            </w:pPr>
            <w:r>
              <w:rPr>
                <w:rFonts w:hint="eastAsia" w:cs="Times New Roman"/>
                <w:color w:val="auto"/>
                <w:sz w:val="20"/>
                <w:szCs w:val="20"/>
                <w:lang w:eastAsia="zh-CN"/>
              </w:rPr>
              <w:t>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绩</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效</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指</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标</w:t>
            </w:r>
          </w:p>
        </w:tc>
        <w:tc>
          <w:tcPr>
            <w:tcW w:w="1025"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一级指标</w:t>
            </w: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二级指标</w:t>
            </w: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三级指标</w:t>
            </w:r>
          </w:p>
        </w:tc>
        <w:tc>
          <w:tcPr>
            <w:tcW w:w="129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指标值</w:t>
            </w: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实际</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完成值</w:t>
            </w:r>
          </w:p>
        </w:tc>
        <w:tc>
          <w:tcPr>
            <w:tcW w:w="6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分值</w:t>
            </w:r>
          </w:p>
        </w:tc>
        <w:tc>
          <w:tcPr>
            <w:tcW w:w="83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16"/>
                <w:szCs w:val="16"/>
              </w:rPr>
              <w:t>自评得分</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偏差原因分析及改进措施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5" w:hRule="atLeast"/>
          <w:jc w:val="center"/>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产出指标</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r>
              <w:rPr>
                <w:rFonts w:hint="eastAsia" w:cs="Times New Roman"/>
                <w:color w:val="auto"/>
                <w:sz w:val="20"/>
                <w:szCs w:val="20"/>
                <w:lang w:val="en-US" w:eastAsia="zh-CN"/>
              </w:rPr>
              <w:t>75</w:t>
            </w:r>
            <w:r>
              <w:rPr>
                <w:rFonts w:hint="eastAsia" w:ascii="Times New Roman" w:hAnsi="Times New Roman" w:eastAsia="仿宋_GB2312" w:cs="Times New Roman"/>
                <w:color w:val="auto"/>
                <w:sz w:val="20"/>
                <w:szCs w:val="20"/>
              </w:rPr>
              <w:t>分）</w:t>
            </w: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数量指标</w:t>
            </w: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承办中消协40年座谈及消费维权成果展活动次数</w:t>
            </w:r>
          </w:p>
        </w:tc>
        <w:tc>
          <w:tcPr>
            <w:tcW w:w="129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各1次</w:t>
            </w: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eastAsia="zh-CN"/>
              </w:rPr>
            </w:pPr>
            <w:r>
              <w:rPr>
                <w:rFonts w:hint="eastAsia" w:cs="Times New Roman"/>
                <w:color w:val="auto"/>
                <w:sz w:val="20"/>
                <w:szCs w:val="20"/>
                <w:lang w:eastAsia="zh-CN"/>
              </w:rPr>
              <w:t>完成</w:t>
            </w:r>
          </w:p>
        </w:tc>
        <w:tc>
          <w:tcPr>
            <w:tcW w:w="640" w:type="dxa"/>
            <w:noWrap w:val="0"/>
            <w:vAlign w:val="center"/>
          </w:tcPr>
          <w:p>
            <w:pPr>
              <w:keepNext w:val="0"/>
              <w:keepLines w:val="0"/>
              <w:pageBreakBefore w:val="0"/>
              <w:wordWrap/>
              <w:overflowPunct/>
              <w:autoSpaceDE/>
              <w:autoSpaceDN/>
              <w:bidi w:val="0"/>
              <w:spacing w:line="240" w:lineRule="exact"/>
              <w:ind w:left="0" w:leftChars="0"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25</w:t>
            </w:r>
          </w:p>
        </w:tc>
        <w:tc>
          <w:tcPr>
            <w:tcW w:w="830" w:type="dxa"/>
            <w:noWrap w:val="0"/>
            <w:vAlign w:val="center"/>
          </w:tcPr>
          <w:p>
            <w:pPr>
              <w:keepNext w:val="0"/>
              <w:keepLines w:val="0"/>
              <w:pageBreakBefore w:val="0"/>
              <w:wordWrap/>
              <w:overflowPunct/>
              <w:autoSpaceDE/>
              <w:autoSpaceDN/>
              <w:bidi w:val="0"/>
              <w:spacing w:line="240" w:lineRule="exact"/>
              <w:jc w:val="both"/>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25</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96" w:hRule="atLeast"/>
          <w:jc w:val="center"/>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质量指标</w:t>
            </w: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中消协40年座谈及消费维权成果展活动完成率</w:t>
            </w:r>
          </w:p>
        </w:tc>
        <w:tc>
          <w:tcPr>
            <w:tcW w:w="1296"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100%</w:t>
            </w: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100%</w:t>
            </w:r>
          </w:p>
        </w:tc>
        <w:tc>
          <w:tcPr>
            <w:tcW w:w="640" w:type="dxa"/>
            <w:noWrap w:val="0"/>
            <w:vAlign w:val="center"/>
          </w:tcPr>
          <w:p>
            <w:pPr>
              <w:keepNext w:val="0"/>
              <w:keepLines w:val="0"/>
              <w:pageBreakBefore w:val="0"/>
              <w:wordWrap/>
              <w:overflowPunct/>
              <w:autoSpaceDE/>
              <w:autoSpaceDN/>
              <w:bidi w:val="0"/>
              <w:spacing w:line="240" w:lineRule="exact"/>
              <w:ind w:left="0" w:leftChars="0"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25</w:t>
            </w:r>
          </w:p>
        </w:tc>
        <w:tc>
          <w:tcPr>
            <w:tcW w:w="830" w:type="dxa"/>
            <w:noWrap w:val="0"/>
            <w:vAlign w:val="center"/>
          </w:tcPr>
          <w:p>
            <w:pPr>
              <w:keepNext w:val="0"/>
              <w:keepLines w:val="0"/>
              <w:pageBreakBefore w:val="0"/>
              <w:wordWrap/>
              <w:overflowPunct/>
              <w:autoSpaceDE/>
              <w:autoSpaceDN/>
              <w:bidi w:val="0"/>
              <w:spacing w:line="240" w:lineRule="exact"/>
              <w:ind w:firstLine="400" w:firstLineChars="200"/>
              <w:jc w:val="both"/>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25</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9" w:hRule="atLeast"/>
          <w:jc w:val="center"/>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时效指标</w:t>
            </w: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完成中消协40年座谈及消费维权成果展活动</w:t>
            </w:r>
          </w:p>
        </w:tc>
        <w:tc>
          <w:tcPr>
            <w:tcW w:w="129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2024年12月31日前</w:t>
            </w: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rPr>
              <w:t>2024年1</w:t>
            </w:r>
            <w:r>
              <w:rPr>
                <w:rFonts w:hint="eastAsia" w:ascii="Times New Roman" w:hAnsi="Times New Roman" w:cs="Times New Roman"/>
                <w:color w:val="auto"/>
                <w:sz w:val="20"/>
                <w:szCs w:val="20"/>
                <w:lang w:val="en-US" w:eastAsia="zh-CN"/>
              </w:rPr>
              <w:t>1</w:t>
            </w:r>
            <w:r>
              <w:rPr>
                <w:rFonts w:hint="eastAsia" w:ascii="Times New Roman" w:hAnsi="Times New Roman" w:eastAsia="仿宋_GB2312" w:cs="Times New Roman"/>
                <w:color w:val="auto"/>
                <w:sz w:val="20"/>
                <w:szCs w:val="20"/>
              </w:rPr>
              <w:t>月</w:t>
            </w:r>
            <w:r>
              <w:rPr>
                <w:rFonts w:hint="eastAsia" w:ascii="Times New Roman" w:hAnsi="Times New Roman" w:cs="Times New Roman"/>
                <w:color w:val="auto"/>
                <w:sz w:val="20"/>
                <w:szCs w:val="20"/>
                <w:lang w:val="en-US" w:eastAsia="zh-CN"/>
              </w:rPr>
              <w:t>21</w:t>
            </w:r>
            <w:r>
              <w:rPr>
                <w:rFonts w:hint="eastAsia" w:ascii="Times New Roman" w:hAnsi="Times New Roman" w:eastAsia="仿宋_GB2312" w:cs="Times New Roman"/>
                <w:color w:val="auto"/>
                <w:sz w:val="20"/>
                <w:szCs w:val="20"/>
              </w:rPr>
              <w:t>日</w:t>
            </w:r>
            <w:r>
              <w:rPr>
                <w:rFonts w:hint="eastAsia" w:ascii="Times New Roman" w:hAnsi="Times New Roman" w:cs="Times New Roman"/>
                <w:color w:val="auto"/>
                <w:sz w:val="20"/>
                <w:szCs w:val="20"/>
                <w:lang w:eastAsia="zh-CN"/>
              </w:rPr>
              <w:t>完成</w:t>
            </w:r>
          </w:p>
        </w:tc>
        <w:tc>
          <w:tcPr>
            <w:tcW w:w="640" w:type="dxa"/>
            <w:noWrap w:val="0"/>
            <w:vAlign w:val="center"/>
          </w:tcPr>
          <w:p>
            <w:pPr>
              <w:keepNext w:val="0"/>
              <w:keepLines w:val="0"/>
              <w:pageBreakBefore w:val="0"/>
              <w:wordWrap/>
              <w:overflowPunct/>
              <w:autoSpaceDE/>
              <w:autoSpaceDN/>
              <w:bidi w:val="0"/>
              <w:spacing w:line="240" w:lineRule="exact"/>
              <w:ind w:left="0" w:leftChars="0"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25</w:t>
            </w:r>
          </w:p>
        </w:tc>
        <w:tc>
          <w:tcPr>
            <w:tcW w:w="830" w:type="dxa"/>
            <w:noWrap w:val="0"/>
            <w:vAlign w:val="center"/>
          </w:tcPr>
          <w:p>
            <w:pPr>
              <w:keepNext w:val="0"/>
              <w:keepLines w:val="0"/>
              <w:pageBreakBefore w:val="0"/>
              <w:wordWrap/>
              <w:overflowPunct/>
              <w:autoSpaceDE/>
              <w:autoSpaceDN/>
              <w:bidi w:val="0"/>
              <w:spacing w:line="240" w:lineRule="exact"/>
              <w:ind w:firstLine="400" w:firstLineChars="200"/>
              <w:jc w:val="both"/>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25</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7" w:hRule="atLeast"/>
          <w:jc w:val="center"/>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效益指标</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r>
              <w:rPr>
                <w:rFonts w:hint="eastAsia" w:cs="Times New Roman"/>
                <w:color w:val="auto"/>
                <w:sz w:val="20"/>
                <w:szCs w:val="20"/>
                <w:lang w:val="en-US" w:eastAsia="zh-CN"/>
              </w:rPr>
              <w:t>25</w:t>
            </w:r>
            <w:r>
              <w:rPr>
                <w:rFonts w:hint="eastAsia" w:ascii="Times New Roman" w:hAnsi="Times New Roman" w:eastAsia="仿宋_GB2312" w:cs="Times New Roman"/>
                <w:color w:val="auto"/>
                <w:sz w:val="20"/>
                <w:szCs w:val="20"/>
              </w:rPr>
              <w:t>分）</w:t>
            </w: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经济效</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益指标</w:t>
            </w: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开展中消协40年座谈及消费维权成果展活动成本</w:t>
            </w:r>
          </w:p>
        </w:tc>
        <w:tc>
          <w:tcPr>
            <w:tcW w:w="129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≦78万元</w:t>
            </w:r>
          </w:p>
        </w:tc>
        <w:tc>
          <w:tcPr>
            <w:tcW w:w="110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cs="Times New Roman"/>
                <w:color w:val="auto"/>
                <w:sz w:val="20"/>
                <w:szCs w:val="20"/>
                <w:lang w:val="en-US" w:eastAsia="zh-CN"/>
              </w:rPr>
              <w:t>77.45</w:t>
            </w:r>
            <w:r>
              <w:rPr>
                <w:rFonts w:hint="eastAsia" w:ascii="Times New Roman" w:hAnsi="Times New Roman" w:eastAsia="仿宋_GB2312" w:cs="Times New Roman"/>
                <w:color w:val="auto"/>
                <w:sz w:val="20"/>
                <w:szCs w:val="20"/>
              </w:rPr>
              <w:t>万元</w:t>
            </w:r>
          </w:p>
        </w:tc>
        <w:tc>
          <w:tcPr>
            <w:tcW w:w="640" w:type="dxa"/>
            <w:noWrap w:val="0"/>
            <w:vAlign w:val="center"/>
          </w:tcPr>
          <w:p>
            <w:pPr>
              <w:keepNext w:val="0"/>
              <w:keepLines w:val="0"/>
              <w:pageBreakBefore w:val="0"/>
              <w:wordWrap/>
              <w:overflowPunct/>
              <w:autoSpaceDE/>
              <w:autoSpaceDN/>
              <w:bidi w:val="0"/>
              <w:spacing w:line="240" w:lineRule="exact"/>
              <w:ind w:left="0" w:leftChars="0"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25</w:t>
            </w:r>
          </w:p>
        </w:tc>
        <w:tc>
          <w:tcPr>
            <w:tcW w:w="830" w:type="dxa"/>
            <w:noWrap w:val="0"/>
            <w:vAlign w:val="center"/>
          </w:tcPr>
          <w:p>
            <w:pPr>
              <w:keepNext w:val="0"/>
              <w:keepLines w:val="0"/>
              <w:pageBreakBefore w:val="0"/>
              <w:wordWrap/>
              <w:overflowPunct/>
              <w:autoSpaceDE/>
              <w:autoSpaceDN/>
              <w:bidi w:val="0"/>
              <w:spacing w:line="240" w:lineRule="exact"/>
              <w:ind w:firstLine="400" w:firstLineChars="200"/>
              <w:jc w:val="both"/>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25</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7" w:hRule="atLeast"/>
          <w:jc w:val="center"/>
        </w:trPr>
        <w:tc>
          <w:tcPr>
            <w:tcW w:w="6537" w:type="dxa"/>
            <w:gridSpan w:val="6"/>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总分</w:t>
            </w:r>
          </w:p>
        </w:tc>
        <w:tc>
          <w:tcPr>
            <w:tcW w:w="6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100</w:t>
            </w:r>
          </w:p>
        </w:tc>
        <w:tc>
          <w:tcPr>
            <w:tcW w:w="83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bl>
    <w:p>
      <w:pPr>
        <w:keepNext w:val="0"/>
        <w:keepLines w:val="0"/>
        <w:pageBreakBefore w:val="0"/>
        <w:kinsoku/>
        <w:wordWrap/>
        <w:overflowPunct/>
        <w:topLinePunct/>
        <w:autoSpaceDE/>
        <w:autoSpaceDN/>
        <w:bidi w:val="0"/>
        <w:spacing w:line="400" w:lineRule="exact"/>
        <w:ind w:firstLine="0" w:firstLineChars="0"/>
        <w:jc w:val="both"/>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填表人：</w:t>
      </w:r>
      <w:r>
        <w:rPr>
          <w:rFonts w:hint="eastAsia" w:cs="Times New Roman"/>
          <w:color w:val="auto"/>
          <w:sz w:val="24"/>
          <w:szCs w:val="24"/>
          <w:lang w:eastAsia="zh-CN"/>
        </w:rPr>
        <w:t>李伶媚</w:t>
      </w:r>
      <w:r>
        <w:rPr>
          <w:rFonts w:hint="eastAsia" w:ascii="Times New Roman" w:hAnsi="Times New Roman" w:eastAsia="仿宋_GB2312" w:cs="Times New Roman"/>
          <w:color w:val="auto"/>
          <w:sz w:val="24"/>
          <w:szCs w:val="24"/>
        </w:rPr>
        <w:t xml:space="preserve">        填报日期：</w:t>
      </w:r>
      <w:r>
        <w:rPr>
          <w:rFonts w:hint="eastAsia" w:cs="Times New Roman"/>
          <w:color w:val="auto"/>
          <w:sz w:val="24"/>
          <w:szCs w:val="24"/>
          <w:lang w:val="en-US" w:eastAsia="zh-CN"/>
        </w:rPr>
        <w:t>2025年3月28日</w:t>
      </w:r>
      <w:r>
        <w:rPr>
          <w:rFonts w:hint="eastAsia" w:ascii="Times New Roman" w:hAnsi="Times New Roman" w:eastAsia="仿宋_GB2312" w:cs="Times New Roman"/>
          <w:color w:val="auto"/>
          <w:sz w:val="24"/>
          <w:szCs w:val="24"/>
        </w:rPr>
        <w:t xml:space="preserve">           </w:t>
      </w:r>
    </w:p>
    <w:p>
      <w:pPr>
        <w:keepNext w:val="0"/>
        <w:keepLines w:val="0"/>
        <w:pageBreakBefore w:val="0"/>
        <w:kinsoku/>
        <w:wordWrap/>
        <w:overflowPunct/>
        <w:topLinePunct/>
        <w:autoSpaceDE/>
        <w:autoSpaceDN/>
        <w:bidi w:val="0"/>
        <w:spacing w:line="400" w:lineRule="exact"/>
        <w:ind w:firstLine="0" w:firstLineChars="0"/>
        <w:jc w:val="both"/>
        <w:rPr>
          <w:rFonts w:hint="eastAsia" w:ascii="Times New Roman" w:hAnsi="Times New Roman" w:eastAsia="仿宋_GB2312" w:cs="Times New Roman"/>
          <w:color w:val="auto"/>
          <w:sz w:val="24"/>
          <w:szCs w:val="24"/>
        </w:rPr>
        <w:sectPr>
          <w:headerReference r:id="rId6" w:type="default"/>
          <w:footerReference r:id="rId7" w:type="default"/>
          <w:pgSz w:w="11905" w:h="16840"/>
          <w:pgMar w:top="1984" w:right="1474" w:bottom="1474" w:left="1474" w:header="850" w:footer="1134" w:gutter="0"/>
          <w:pgNumType w:fmt="decimal"/>
          <w:cols w:space="720" w:num="1"/>
        </w:sectPr>
      </w:pPr>
      <w:r>
        <w:rPr>
          <w:rFonts w:hint="eastAsia" w:ascii="Times New Roman" w:hAnsi="Times New Roman" w:eastAsia="仿宋_GB2312" w:cs="Times New Roman"/>
          <w:color w:val="auto"/>
          <w:sz w:val="24"/>
          <w:szCs w:val="24"/>
        </w:rPr>
        <w:t>联系电话：</w:t>
      </w:r>
      <w:r>
        <w:rPr>
          <w:rFonts w:hint="eastAsia" w:cs="Times New Roman"/>
          <w:color w:val="auto"/>
          <w:sz w:val="24"/>
          <w:szCs w:val="24"/>
          <w:lang w:val="en-US" w:eastAsia="zh-CN"/>
        </w:rPr>
        <w:t>13873118990</w:t>
      </w:r>
      <w:r>
        <w:rPr>
          <w:rFonts w:hint="eastAsia" w:ascii="Times New Roman" w:hAnsi="Times New Roman" w:eastAsia="仿宋_GB2312" w:cs="Times New Roman"/>
          <w:color w:val="auto"/>
          <w:sz w:val="24"/>
          <w:szCs w:val="24"/>
        </w:rPr>
        <w:t xml:space="preserve">             单位负责人签字</w:t>
      </w:r>
    </w:p>
    <w:p>
      <w:pPr>
        <w:keepNext w:val="0"/>
        <w:keepLines w:val="0"/>
        <w:pageBreakBefore w:val="0"/>
        <w:wordWrap/>
        <w:overflowPunct/>
        <w:autoSpaceDE/>
        <w:autoSpaceDN/>
        <w:bidi w:val="0"/>
        <w:spacing w:line="60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6"/>
          <w:szCs w:val="36"/>
        </w:rPr>
      </w:pPr>
      <w:r>
        <w:rPr>
          <w:rFonts w:hint="eastAsia" w:cs="Times New Roman"/>
          <w:color w:val="auto"/>
          <w:sz w:val="36"/>
          <w:szCs w:val="36"/>
          <w:lang w:eastAsia="zh-CN"/>
        </w:rPr>
        <w:t>2024</w:t>
      </w:r>
      <w:r>
        <w:rPr>
          <w:rFonts w:hint="eastAsia" w:ascii="Times New Roman" w:hAnsi="Times New Roman" w:eastAsia="仿宋_GB2312" w:cs="Times New Roman"/>
          <w:color w:val="auto"/>
          <w:sz w:val="36"/>
          <w:szCs w:val="36"/>
        </w:rPr>
        <w:t>年度项目支出绩效自评表（其他事业发展类）</w:t>
      </w:r>
    </w:p>
    <w:tbl>
      <w:tblPr>
        <w:tblStyle w:val="11"/>
        <w:tblW w:w="9354" w:type="dxa"/>
        <w:jc w:val="center"/>
        <w:tblLayout w:type="fixed"/>
        <w:tblCellMar>
          <w:top w:w="0" w:type="dxa"/>
          <w:left w:w="108" w:type="dxa"/>
          <w:bottom w:w="0" w:type="dxa"/>
          <w:right w:w="108" w:type="dxa"/>
        </w:tblCellMar>
      </w:tblPr>
      <w:tblGrid>
        <w:gridCol w:w="1024"/>
        <w:gridCol w:w="1025"/>
        <w:gridCol w:w="908"/>
        <w:gridCol w:w="1182"/>
        <w:gridCol w:w="1182"/>
        <w:gridCol w:w="1217"/>
        <w:gridCol w:w="639"/>
        <w:gridCol w:w="829"/>
        <w:gridCol w:w="1348"/>
      </w:tblGrid>
      <w:tr>
        <w:tblPrEx>
          <w:tblCellMar>
            <w:top w:w="0" w:type="dxa"/>
            <w:left w:w="108" w:type="dxa"/>
            <w:bottom w:w="0" w:type="dxa"/>
            <w:right w:w="108" w:type="dxa"/>
          </w:tblCellMar>
        </w:tblPrEx>
        <w:trPr>
          <w:trHeight w:val="283" w:hRule="atLeast"/>
          <w:jc w:val="center"/>
        </w:trPr>
        <w:tc>
          <w:tcPr>
            <w:tcW w:w="2957" w:type="dxa"/>
            <w:gridSpan w:val="3"/>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项目支出名称</w:t>
            </w:r>
          </w:p>
        </w:tc>
        <w:tc>
          <w:tcPr>
            <w:tcW w:w="6397" w:type="dxa"/>
            <w:gridSpan w:val="6"/>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color w:val="000000"/>
                <w:kern w:val="0"/>
                <w:sz w:val="18"/>
                <w:szCs w:val="18"/>
                <w:lang w:val="en-US" w:eastAsia="zh-CN"/>
              </w:rPr>
              <w:t>315活动</w:t>
            </w:r>
          </w:p>
        </w:tc>
      </w:tr>
      <w:tr>
        <w:tblPrEx>
          <w:tblCellMar>
            <w:top w:w="0" w:type="dxa"/>
            <w:left w:w="108" w:type="dxa"/>
            <w:bottom w:w="0" w:type="dxa"/>
            <w:right w:w="108" w:type="dxa"/>
          </w:tblCellMar>
        </w:tblPrEx>
        <w:trPr>
          <w:trHeight w:val="283" w:hRule="atLeast"/>
          <w:jc w:val="center"/>
        </w:trPr>
        <w:tc>
          <w:tcPr>
            <w:tcW w:w="1024" w:type="dxa"/>
            <w:tcBorders>
              <w:top w:val="nil"/>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主管部门</w:t>
            </w:r>
          </w:p>
        </w:tc>
        <w:tc>
          <w:tcPr>
            <w:tcW w:w="4297"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湖南省市场监督管理局</w:t>
            </w:r>
          </w:p>
        </w:tc>
        <w:tc>
          <w:tcPr>
            <w:tcW w:w="1217" w:type="dxa"/>
            <w:tcBorders>
              <w:top w:val="single" w:color="auto" w:sz="4" w:space="0"/>
              <w:left w:val="nil"/>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实施单位</w:t>
            </w:r>
          </w:p>
        </w:tc>
        <w:tc>
          <w:tcPr>
            <w:tcW w:w="2816" w:type="dxa"/>
            <w:gridSpan w:val="3"/>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湖南省消费者权益保护服务中心</w:t>
            </w: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rPr>
              <w:t>项目资金</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（万元）</w:t>
            </w: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年初预算数</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全年预算数</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全年执行数</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分值</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执行率</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自评得分</w:t>
            </w:r>
          </w:p>
        </w:tc>
      </w:tr>
      <w:tr>
        <w:tblPrEx>
          <w:tblCellMar>
            <w:top w:w="0" w:type="dxa"/>
            <w:left w:w="108" w:type="dxa"/>
            <w:bottom w:w="0" w:type="dxa"/>
            <w:right w:w="108" w:type="dxa"/>
          </w:tblCellMar>
        </w:tblPrEx>
        <w:trPr>
          <w:trHeight w:val="297"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年度资金总额</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98.4</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98.4</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93.71</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95.23%</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r>
      <w:tr>
        <w:tblPrEx>
          <w:tblCellMar>
            <w:top w:w="0" w:type="dxa"/>
            <w:left w:w="108" w:type="dxa"/>
            <w:bottom w:w="0" w:type="dxa"/>
            <w:right w:w="108" w:type="dxa"/>
          </w:tblCellMar>
        </w:tblPrEx>
        <w:trPr>
          <w:trHeight w:val="256"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其中：当年财政拨款</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98.4</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98.4</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93.71</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95.23%</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上年结转资金</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其他资金</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年度总体目标</w:t>
            </w:r>
          </w:p>
        </w:tc>
        <w:tc>
          <w:tcPr>
            <w:tcW w:w="4297" w:type="dxa"/>
            <w:gridSpan w:val="4"/>
            <w:tcBorders>
              <w:top w:val="single" w:color="auto" w:sz="4" w:space="0"/>
              <w:left w:val="nil"/>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预期目标</w:t>
            </w:r>
          </w:p>
        </w:tc>
        <w:tc>
          <w:tcPr>
            <w:tcW w:w="4033"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实际完成情况</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4297" w:type="dxa"/>
            <w:gridSpan w:val="4"/>
            <w:tcBorders>
              <w:top w:val="single" w:color="auto" w:sz="4" w:space="0"/>
              <w:left w:val="nil"/>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eastAsia="方正仿宋_GBK"/>
                <w:color w:val="000000"/>
                <w:kern w:val="0"/>
                <w:sz w:val="21"/>
                <w:szCs w:val="21"/>
              </w:rPr>
              <w:t>目标1：202</w:t>
            </w:r>
            <w:r>
              <w:rPr>
                <w:rFonts w:hint="eastAsia" w:eastAsia="方正仿宋_GBK"/>
                <w:color w:val="000000"/>
                <w:kern w:val="0"/>
                <w:sz w:val="21"/>
                <w:szCs w:val="21"/>
                <w:lang w:val="en-US" w:eastAsia="zh-CN"/>
              </w:rPr>
              <w:t>4</w:t>
            </w:r>
            <w:r>
              <w:rPr>
                <w:rFonts w:hint="eastAsia" w:eastAsia="方正仿宋_GBK"/>
                <w:color w:val="000000"/>
                <w:kern w:val="0"/>
                <w:sz w:val="21"/>
                <w:szCs w:val="21"/>
              </w:rPr>
              <w:t>年</w:t>
            </w:r>
            <w:r>
              <w:rPr>
                <w:rFonts w:hint="eastAsia" w:eastAsia="方正仿宋_GBK"/>
                <w:color w:val="000000"/>
                <w:kern w:val="0"/>
                <w:sz w:val="21"/>
                <w:szCs w:val="21"/>
                <w:lang w:eastAsia="zh-CN"/>
              </w:rPr>
              <w:t>“</w:t>
            </w:r>
            <w:r>
              <w:rPr>
                <w:rFonts w:hint="eastAsia" w:eastAsia="方正仿宋_GBK"/>
                <w:color w:val="000000"/>
                <w:kern w:val="0"/>
                <w:sz w:val="21"/>
                <w:szCs w:val="21"/>
              </w:rPr>
              <w:t>3·15</w:t>
            </w:r>
            <w:r>
              <w:rPr>
                <w:rFonts w:hint="eastAsia" w:eastAsia="方正仿宋_GBK"/>
                <w:color w:val="000000"/>
                <w:kern w:val="0"/>
                <w:sz w:val="21"/>
                <w:szCs w:val="21"/>
                <w:lang w:eastAsia="zh-CN"/>
              </w:rPr>
              <w:t>”</w:t>
            </w:r>
            <w:r>
              <w:rPr>
                <w:rFonts w:hint="eastAsia" w:eastAsia="方正仿宋_GBK"/>
                <w:color w:val="000000"/>
                <w:kern w:val="0"/>
                <w:sz w:val="21"/>
                <w:szCs w:val="21"/>
              </w:rPr>
              <w:t xml:space="preserve">国际消费者权益日活动；    </w:t>
            </w:r>
            <w:r>
              <w:rPr>
                <w:rFonts w:eastAsia="方正仿宋_GBK"/>
                <w:color w:val="000000"/>
                <w:kern w:val="0"/>
                <w:sz w:val="21"/>
                <w:szCs w:val="21"/>
              </w:rPr>
              <w:br w:type="textWrapping"/>
            </w:r>
            <w:r>
              <w:rPr>
                <w:rFonts w:hint="eastAsia" w:eastAsia="方正仿宋_GBK"/>
                <w:color w:val="000000"/>
                <w:kern w:val="0"/>
                <w:sz w:val="21"/>
                <w:szCs w:val="21"/>
              </w:rPr>
              <w:t>目标2：加强《中华人民共和国消费者权益保护法》宣传，保护消费者合法权益，净化消费环境。</w:t>
            </w:r>
          </w:p>
        </w:tc>
        <w:tc>
          <w:tcPr>
            <w:tcW w:w="4033"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绩</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效</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指</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标</w:t>
            </w:r>
          </w:p>
        </w:tc>
        <w:tc>
          <w:tcPr>
            <w:tcW w:w="1025"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一级指标</w:t>
            </w:r>
          </w:p>
        </w:tc>
        <w:tc>
          <w:tcPr>
            <w:tcW w:w="90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二级指标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三级指标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指标值</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实际</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完成值</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分值</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得分</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偏差原因分析及改进措施</w:t>
            </w:r>
          </w:p>
        </w:tc>
      </w:tr>
      <w:tr>
        <w:tblPrEx>
          <w:tblCellMar>
            <w:top w:w="0" w:type="dxa"/>
            <w:left w:w="108" w:type="dxa"/>
            <w:bottom w:w="0" w:type="dxa"/>
            <w:right w:w="108" w:type="dxa"/>
          </w:tblCellMar>
        </w:tblPrEx>
        <w:trPr>
          <w:trHeight w:val="1134"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restart"/>
            <w:tcBorders>
              <w:top w:val="nil"/>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产出指标</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r>
              <w:rPr>
                <w:rFonts w:hint="eastAsia" w:cs="Times New Roman"/>
                <w:color w:val="auto"/>
                <w:sz w:val="20"/>
                <w:szCs w:val="20"/>
                <w:lang w:val="en-US" w:eastAsia="zh-CN"/>
              </w:rPr>
              <w:t>10</w:t>
            </w:r>
            <w:r>
              <w:rPr>
                <w:rFonts w:hint="eastAsia" w:ascii="Times New Roman" w:hAnsi="Times New Roman" w:eastAsia="仿宋_GB2312" w:cs="Times New Roman"/>
                <w:color w:val="auto"/>
                <w:sz w:val="20"/>
                <w:szCs w:val="20"/>
              </w:rPr>
              <w:t>0分）</w:t>
            </w:r>
          </w:p>
        </w:tc>
        <w:tc>
          <w:tcPr>
            <w:tcW w:w="908" w:type="dxa"/>
            <w:vMerge w:val="restart"/>
            <w:tcBorders>
              <w:top w:val="nil"/>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数量指标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开展2024年“3·15”国际消费者权益日活动次数</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1次</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1次</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20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1134"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continue"/>
            <w:tcBorders>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08" w:type="dxa"/>
            <w:vMerge w:val="continue"/>
            <w:tcBorders>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与媒体合作开展“3·15”权益活动合作家数</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2家</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2家</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cs="Times New Roman"/>
                <w:color w:val="auto"/>
                <w:sz w:val="20"/>
                <w:szCs w:val="20"/>
                <w:lang w:val="en-US" w:eastAsia="zh-CN"/>
              </w:rPr>
              <w:t>20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1134"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continue"/>
            <w:tcBorders>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0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质量指标</w:t>
            </w:r>
          </w:p>
        </w:tc>
        <w:tc>
          <w:tcPr>
            <w:tcW w:w="118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Times New Roman" w:hAnsi="Times New Roman" w:eastAsia="仿宋_GB2312" w:cs="Times New Roman"/>
                <w:color w:val="auto"/>
                <w:sz w:val="20"/>
                <w:szCs w:val="20"/>
                <w:lang w:val="en-US" w:eastAsia="zh-CN"/>
              </w:rPr>
              <w:t>完成2024年“3·15”国际消费者权益日活动</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widowControl/>
              <w:suppressLineNumbers w:val="0"/>
              <w:ind w:firstLine="400" w:firstLineChars="200"/>
              <w:jc w:val="both"/>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100%</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widowControl/>
              <w:suppressLineNumbers w:val="0"/>
              <w:ind w:firstLine="400" w:firstLineChars="200"/>
              <w:jc w:val="both"/>
              <w:textAlignment w:val="center"/>
              <w:rPr>
                <w:rFonts w:hint="eastAsia" w:ascii="Times New Roman" w:hAnsi="Times New Roman" w:eastAsia="仿宋_GB2312" w:cs="Times New Roman"/>
                <w:color w:val="auto"/>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1134"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continue"/>
            <w:tcBorders>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0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时效指标</w:t>
            </w:r>
          </w:p>
        </w:tc>
        <w:tc>
          <w:tcPr>
            <w:tcW w:w="118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仿宋" w:hAnsi="仿宋" w:eastAsia="仿宋" w:cs="仿宋"/>
                <w:i w:val="0"/>
                <w:iCs w:val="0"/>
                <w:color w:val="000000"/>
                <w:kern w:val="0"/>
                <w:sz w:val="20"/>
                <w:szCs w:val="20"/>
                <w:u w:val="none"/>
                <w:lang w:val="en-US" w:eastAsia="zh-CN" w:bidi="ar"/>
              </w:rPr>
              <w:t>完成2024年“3·15”国际消费者权益日</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2024年12月31日前</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2024年3月15日前</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1134"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continue"/>
            <w:tcBorders>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08" w:type="dxa"/>
            <w:tcBorders>
              <w:top w:val="nil"/>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成本指标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开展2024年“3·15”国际消费者权益日活动</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rPr>
              <w:t>≦140.4万元</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cs="Times New Roman"/>
                <w:color w:val="auto"/>
                <w:sz w:val="20"/>
                <w:szCs w:val="20"/>
                <w:lang w:val="en-US" w:eastAsia="zh-CN"/>
              </w:rPr>
              <w:t>93.71万元</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707" w:hRule="atLeast"/>
          <w:jc w:val="center"/>
        </w:trPr>
        <w:tc>
          <w:tcPr>
            <w:tcW w:w="6538" w:type="dxa"/>
            <w:gridSpan w:val="6"/>
            <w:tcBorders>
              <w:top w:val="single" w:color="auto" w:sz="4" w:space="0"/>
              <w:left w:val="single" w:color="auto" w:sz="4" w:space="0"/>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总分</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bl>
    <w:p>
      <w:pPr>
        <w:keepNext w:val="0"/>
        <w:keepLines w:val="0"/>
        <w:pageBreakBefore w:val="0"/>
        <w:kinsoku/>
        <w:wordWrap/>
        <w:overflowPunct/>
        <w:topLinePunct/>
        <w:autoSpaceDE/>
        <w:autoSpaceDN/>
        <w:bidi w:val="0"/>
        <w:spacing w:line="400" w:lineRule="exact"/>
        <w:ind w:firstLine="0" w:firstLineChars="0"/>
        <w:jc w:val="both"/>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填表人：</w:t>
      </w:r>
      <w:r>
        <w:rPr>
          <w:rFonts w:hint="eastAsia" w:cs="Times New Roman"/>
          <w:color w:val="auto"/>
          <w:sz w:val="24"/>
          <w:szCs w:val="24"/>
          <w:lang w:val="en-US" w:eastAsia="zh-CN"/>
        </w:rPr>
        <w:t>李伶媚</w:t>
      </w:r>
      <w:r>
        <w:rPr>
          <w:rFonts w:hint="eastAsia" w:ascii="Times New Roman" w:hAnsi="Times New Roman" w:eastAsia="仿宋_GB2312" w:cs="Times New Roman"/>
          <w:color w:val="auto"/>
          <w:sz w:val="24"/>
          <w:szCs w:val="24"/>
        </w:rPr>
        <w:t xml:space="preserve">        填报日期：</w:t>
      </w:r>
      <w:r>
        <w:rPr>
          <w:rFonts w:hint="eastAsia" w:cs="Times New Roman"/>
          <w:color w:val="auto"/>
          <w:sz w:val="24"/>
          <w:szCs w:val="24"/>
          <w:lang w:val="en-US" w:eastAsia="zh-CN"/>
        </w:rPr>
        <w:t>2025年3月29日</w:t>
      </w:r>
      <w:r>
        <w:rPr>
          <w:rFonts w:hint="eastAsia" w:ascii="Times New Roman" w:hAnsi="Times New Roman" w:eastAsia="仿宋_GB2312" w:cs="Times New Roman"/>
          <w:color w:val="auto"/>
          <w:sz w:val="24"/>
          <w:szCs w:val="24"/>
        </w:rPr>
        <w:t xml:space="preserve">           </w:t>
      </w:r>
    </w:p>
    <w:p>
      <w:pPr>
        <w:keepNext w:val="0"/>
        <w:keepLines w:val="0"/>
        <w:pageBreakBefore w:val="0"/>
        <w:kinsoku/>
        <w:wordWrap/>
        <w:overflowPunct/>
        <w:topLinePunct/>
        <w:autoSpaceDE/>
        <w:autoSpaceDN/>
        <w:bidi w:val="0"/>
        <w:spacing w:line="400" w:lineRule="exact"/>
        <w:ind w:firstLine="0" w:firstLineChars="0"/>
        <w:jc w:val="both"/>
        <w:rPr>
          <w:rFonts w:hint="eastAsia" w:ascii="Times New Roman" w:hAnsi="Times New Roman" w:eastAsia="仿宋_GB2312" w:cs="Times New Roman"/>
          <w:color w:val="auto"/>
          <w:sz w:val="24"/>
          <w:szCs w:val="24"/>
        </w:rPr>
        <w:sectPr>
          <w:footerReference r:id="rId8" w:type="default"/>
          <w:pgSz w:w="11905" w:h="16840"/>
          <w:pgMar w:top="1984" w:right="1474" w:bottom="1474" w:left="1474" w:header="850" w:footer="1134" w:gutter="0"/>
          <w:pgBorders>
            <w:top w:val="none" w:sz="0" w:space="0"/>
            <w:left w:val="none" w:sz="0" w:space="0"/>
            <w:bottom w:val="none" w:sz="0" w:space="0"/>
            <w:right w:val="none" w:sz="0" w:space="0"/>
          </w:pgBorders>
          <w:pgNumType w:fmt="decimal"/>
          <w:cols w:space="720" w:num="1"/>
        </w:sectPr>
      </w:pPr>
      <w:r>
        <w:rPr>
          <w:rFonts w:hint="eastAsia" w:ascii="Times New Roman" w:hAnsi="Times New Roman" w:eastAsia="仿宋_GB2312" w:cs="Times New Roman"/>
          <w:color w:val="auto"/>
          <w:sz w:val="24"/>
          <w:szCs w:val="24"/>
        </w:rPr>
        <w:t>联系电话：</w:t>
      </w:r>
      <w:r>
        <w:rPr>
          <w:rFonts w:hint="eastAsia" w:cs="Times New Roman"/>
          <w:color w:val="auto"/>
          <w:sz w:val="24"/>
          <w:szCs w:val="24"/>
          <w:lang w:val="en-US" w:eastAsia="zh-CN"/>
        </w:rPr>
        <w:t>13873118990</w:t>
      </w:r>
      <w:r>
        <w:rPr>
          <w:rFonts w:hint="eastAsia" w:ascii="Times New Roman" w:hAnsi="Times New Roman" w:eastAsia="仿宋_GB2312" w:cs="Times New Roman"/>
          <w:color w:val="auto"/>
          <w:sz w:val="24"/>
          <w:szCs w:val="24"/>
        </w:rPr>
        <w:t xml:space="preserve">             单位负责人签字：</w:t>
      </w:r>
    </w:p>
    <w:p>
      <w:pPr>
        <w:keepNext w:val="0"/>
        <w:keepLines w:val="0"/>
        <w:pageBreakBefore w:val="0"/>
        <w:wordWrap/>
        <w:overflowPunct/>
        <w:autoSpaceDE/>
        <w:autoSpaceDN/>
        <w:bidi w:val="0"/>
        <w:spacing w:line="60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6"/>
          <w:szCs w:val="36"/>
        </w:rPr>
      </w:pPr>
      <w:r>
        <w:rPr>
          <w:rFonts w:hint="eastAsia" w:cs="Times New Roman"/>
          <w:color w:val="auto"/>
          <w:sz w:val="36"/>
          <w:szCs w:val="36"/>
          <w:lang w:eastAsia="zh-CN"/>
        </w:rPr>
        <w:t>2024</w:t>
      </w:r>
      <w:r>
        <w:rPr>
          <w:rFonts w:hint="eastAsia" w:ascii="Times New Roman" w:hAnsi="Times New Roman" w:eastAsia="仿宋_GB2312" w:cs="Times New Roman"/>
          <w:color w:val="auto"/>
          <w:sz w:val="36"/>
          <w:szCs w:val="36"/>
        </w:rPr>
        <w:t>年度项目支出绩效自评表（其他事业发展类）</w:t>
      </w:r>
    </w:p>
    <w:tbl>
      <w:tblPr>
        <w:tblStyle w:val="11"/>
        <w:tblW w:w="9354" w:type="dxa"/>
        <w:jc w:val="center"/>
        <w:tblLayout w:type="fixed"/>
        <w:tblCellMar>
          <w:top w:w="0" w:type="dxa"/>
          <w:left w:w="108" w:type="dxa"/>
          <w:bottom w:w="0" w:type="dxa"/>
          <w:right w:w="108" w:type="dxa"/>
        </w:tblCellMar>
      </w:tblPr>
      <w:tblGrid>
        <w:gridCol w:w="1024"/>
        <w:gridCol w:w="1025"/>
        <w:gridCol w:w="908"/>
        <w:gridCol w:w="1182"/>
        <w:gridCol w:w="1182"/>
        <w:gridCol w:w="1217"/>
        <w:gridCol w:w="639"/>
        <w:gridCol w:w="829"/>
        <w:gridCol w:w="1348"/>
      </w:tblGrid>
      <w:tr>
        <w:tblPrEx>
          <w:tblCellMar>
            <w:top w:w="0" w:type="dxa"/>
            <w:left w:w="108" w:type="dxa"/>
            <w:bottom w:w="0" w:type="dxa"/>
            <w:right w:w="108" w:type="dxa"/>
          </w:tblCellMar>
        </w:tblPrEx>
        <w:trPr>
          <w:trHeight w:val="283" w:hRule="atLeast"/>
          <w:jc w:val="center"/>
        </w:trPr>
        <w:tc>
          <w:tcPr>
            <w:tcW w:w="2957" w:type="dxa"/>
            <w:gridSpan w:val="3"/>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项目支出名称</w:t>
            </w:r>
          </w:p>
        </w:tc>
        <w:tc>
          <w:tcPr>
            <w:tcW w:w="6397" w:type="dxa"/>
            <w:gridSpan w:val="6"/>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color w:val="000000"/>
                <w:kern w:val="0"/>
                <w:sz w:val="18"/>
                <w:szCs w:val="18"/>
              </w:rPr>
              <w:t>运行经费</w:t>
            </w:r>
          </w:p>
        </w:tc>
      </w:tr>
      <w:tr>
        <w:tblPrEx>
          <w:tblCellMar>
            <w:top w:w="0" w:type="dxa"/>
            <w:left w:w="108" w:type="dxa"/>
            <w:bottom w:w="0" w:type="dxa"/>
            <w:right w:w="108" w:type="dxa"/>
          </w:tblCellMar>
        </w:tblPrEx>
        <w:trPr>
          <w:trHeight w:val="283" w:hRule="atLeast"/>
          <w:jc w:val="center"/>
        </w:trPr>
        <w:tc>
          <w:tcPr>
            <w:tcW w:w="1024" w:type="dxa"/>
            <w:tcBorders>
              <w:top w:val="nil"/>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主管部门</w:t>
            </w:r>
          </w:p>
        </w:tc>
        <w:tc>
          <w:tcPr>
            <w:tcW w:w="4297"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湖南省市场监督管理局</w:t>
            </w:r>
          </w:p>
        </w:tc>
        <w:tc>
          <w:tcPr>
            <w:tcW w:w="1217" w:type="dxa"/>
            <w:tcBorders>
              <w:top w:val="single" w:color="auto" w:sz="4" w:space="0"/>
              <w:left w:val="nil"/>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实施单位</w:t>
            </w:r>
          </w:p>
        </w:tc>
        <w:tc>
          <w:tcPr>
            <w:tcW w:w="2816" w:type="dxa"/>
            <w:gridSpan w:val="3"/>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湖南省消费者权益保护服务中心</w:t>
            </w: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rPr>
              <w:t>项目资金</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（万元）</w:t>
            </w: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年初预算数</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全年预算数</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全年执行数</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分值</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执行率</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自评得分</w:t>
            </w:r>
          </w:p>
        </w:tc>
      </w:tr>
      <w:tr>
        <w:tblPrEx>
          <w:tblCellMar>
            <w:top w:w="0" w:type="dxa"/>
            <w:left w:w="108" w:type="dxa"/>
            <w:bottom w:w="0" w:type="dxa"/>
            <w:right w:w="108" w:type="dxa"/>
          </w:tblCellMar>
        </w:tblPrEx>
        <w:trPr>
          <w:trHeight w:val="297"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年度资金总额</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cs="Times New Roman"/>
                <w:color w:val="auto"/>
                <w:sz w:val="20"/>
                <w:szCs w:val="20"/>
                <w:lang w:val="en-US" w:eastAsia="zh-CN"/>
              </w:rPr>
              <w:t>8.44</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400" w:firstLineChars="20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cs="Times New Roman"/>
                <w:color w:val="auto"/>
                <w:sz w:val="20"/>
                <w:szCs w:val="20"/>
                <w:lang w:val="en-US" w:eastAsia="zh-CN"/>
              </w:rPr>
              <w:t>8.44</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8.43</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99.88%</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r>
      <w:tr>
        <w:tblPrEx>
          <w:tblCellMar>
            <w:top w:w="0" w:type="dxa"/>
            <w:left w:w="108" w:type="dxa"/>
            <w:bottom w:w="0" w:type="dxa"/>
            <w:right w:w="108" w:type="dxa"/>
          </w:tblCellMar>
        </w:tblPrEx>
        <w:trPr>
          <w:trHeight w:val="256"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其中：当年财政拨款</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cs="Times New Roman"/>
                <w:color w:val="auto"/>
                <w:sz w:val="20"/>
                <w:szCs w:val="20"/>
                <w:lang w:val="en-US" w:eastAsia="zh-CN"/>
              </w:rPr>
              <w:t>8.44</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400" w:firstLineChars="20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cs="Times New Roman"/>
                <w:color w:val="auto"/>
                <w:sz w:val="20"/>
                <w:szCs w:val="20"/>
                <w:lang w:val="en-US" w:eastAsia="zh-CN"/>
              </w:rPr>
              <w:t>8.44</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cs="Times New Roman"/>
                <w:color w:val="auto"/>
                <w:sz w:val="20"/>
                <w:szCs w:val="20"/>
                <w:lang w:val="en-US" w:eastAsia="zh-CN"/>
              </w:rPr>
              <w:t>8.43</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99.88%</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10</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上年结转资金</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其他资金</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年度总体目标</w:t>
            </w:r>
          </w:p>
        </w:tc>
        <w:tc>
          <w:tcPr>
            <w:tcW w:w="4297" w:type="dxa"/>
            <w:gridSpan w:val="4"/>
            <w:tcBorders>
              <w:top w:val="single" w:color="auto" w:sz="4" w:space="0"/>
              <w:left w:val="nil"/>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预期目标</w:t>
            </w:r>
          </w:p>
        </w:tc>
        <w:tc>
          <w:tcPr>
            <w:tcW w:w="4033"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实际完成情况</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4297" w:type="dxa"/>
            <w:gridSpan w:val="4"/>
            <w:tcBorders>
              <w:top w:val="single" w:color="auto" w:sz="4" w:space="0"/>
              <w:left w:val="nil"/>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eastAsia="方正仿宋_GBK"/>
                <w:color w:val="000000"/>
                <w:kern w:val="0"/>
                <w:sz w:val="21"/>
                <w:szCs w:val="21"/>
              </w:rPr>
              <w:t>目标1：维护单位基本运转</w:t>
            </w:r>
          </w:p>
        </w:tc>
        <w:tc>
          <w:tcPr>
            <w:tcW w:w="4033"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cs="Times New Roman"/>
                <w:color w:val="auto"/>
                <w:sz w:val="20"/>
                <w:szCs w:val="20"/>
                <w:lang w:val="en-US" w:eastAsia="zh-CN"/>
              </w:rPr>
              <w:t>完成</w:t>
            </w: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绩</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效</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指</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标</w:t>
            </w:r>
          </w:p>
        </w:tc>
        <w:tc>
          <w:tcPr>
            <w:tcW w:w="1025"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一级指标</w:t>
            </w:r>
          </w:p>
        </w:tc>
        <w:tc>
          <w:tcPr>
            <w:tcW w:w="90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二级指标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三级指标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指标值</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实际</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完成值</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分值</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得分</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偏差原因分析及改进措施</w:t>
            </w:r>
          </w:p>
        </w:tc>
      </w:tr>
      <w:tr>
        <w:tblPrEx>
          <w:tblCellMar>
            <w:top w:w="0" w:type="dxa"/>
            <w:left w:w="108" w:type="dxa"/>
            <w:bottom w:w="0" w:type="dxa"/>
            <w:right w:w="108" w:type="dxa"/>
          </w:tblCellMar>
        </w:tblPrEx>
        <w:trPr>
          <w:trHeight w:val="2268"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restart"/>
            <w:tcBorders>
              <w:top w:val="nil"/>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产出指标</w:t>
            </w:r>
          </w:p>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r>
              <w:rPr>
                <w:rFonts w:hint="eastAsia" w:cs="Times New Roman"/>
                <w:color w:val="auto"/>
                <w:sz w:val="20"/>
                <w:szCs w:val="20"/>
                <w:lang w:val="en-US" w:eastAsia="zh-CN"/>
              </w:rPr>
              <w:t>10</w:t>
            </w:r>
            <w:r>
              <w:rPr>
                <w:rFonts w:hint="eastAsia" w:ascii="Times New Roman" w:hAnsi="Times New Roman" w:eastAsia="仿宋_GB2312" w:cs="Times New Roman"/>
                <w:color w:val="auto"/>
                <w:sz w:val="20"/>
                <w:szCs w:val="20"/>
              </w:rPr>
              <w:t>0分）</w:t>
            </w:r>
          </w:p>
        </w:tc>
        <w:tc>
          <w:tcPr>
            <w:tcW w:w="908" w:type="dxa"/>
            <w:tcBorders>
              <w:top w:val="nil"/>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数量指标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购买办公用品</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widowControl/>
              <w:suppressLineNumbers w:val="0"/>
              <w:ind w:firstLine="400" w:firstLineChars="200"/>
              <w:jc w:val="center"/>
              <w:textAlignment w:val="center"/>
              <w:rPr>
                <w:rFonts w:hint="default" w:ascii="Times New Roman" w:hAnsi="Times New Roman" w:eastAsia="仿宋_GB2312" w:cs="Times New Roman"/>
                <w:color w:val="auto"/>
                <w:sz w:val="20"/>
                <w:szCs w:val="20"/>
                <w:lang w:val="en-US" w:eastAsia="zh-CN"/>
              </w:rPr>
            </w:pPr>
            <w:r>
              <w:rPr>
                <w:rFonts w:hint="default" w:ascii="仿宋_GB2312" w:hAnsi="宋体" w:eastAsia="仿宋_GB2312" w:cs="仿宋_GB2312"/>
                <w:i w:val="0"/>
                <w:iCs w:val="0"/>
                <w:color w:val="000000"/>
                <w:kern w:val="0"/>
                <w:sz w:val="20"/>
                <w:szCs w:val="20"/>
                <w:u w:val="none"/>
                <w:lang w:val="en-US" w:eastAsia="zh-CN" w:bidi="ar"/>
              </w:rPr>
              <w:t>1批</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1次</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60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cs="Times New Roman"/>
                <w:color w:val="auto"/>
                <w:sz w:val="20"/>
                <w:szCs w:val="20"/>
                <w:lang w:val="en-US" w:eastAsia="zh-CN"/>
              </w:rPr>
              <w:t>60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268"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continue"/>
            <w:tcBorders>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0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时效指标</w:t>
            </w:r>
          </w:p>
        </w:tc>
        <w:tc>
          <w:tcPr>
            <w:tcW w:w="118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仿宋" w:hAnsi="仿宋" w:eastAsia="仿宋" w:cs="仿宋"/>
                <w:i w:val="0"/>
                <w:iCs w:val="0"/>
                <w:color w:val="000000"/>
                <w:kern w:val="0"/>
                <w:sz w:val="20"/>
                <w:szCs w:val="20"/>
                <w:u w:val="none"/>
                <w:lang w:val="en-US" w:eastAsia="zh-CN" w:bidi="ar"/>
              </w:rPr>
              <w:t>维护运转日期</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2024年12月31日前</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2024年12月31日前</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2268"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1025" w:type="dxa"/>
            <w:vMerge w:val="continue"/>
            <w:tcBorders>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c>
          <w:tcPr>
            <w:tcW w:w="908" w:type="dxa"/>
            <w:tcBorders>
              <w:top w:val="nil"/>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成本指标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维护单位基本运转</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rPr>
              <w:t>≦</w:t>
            </w:r>
            <w:r>
              <w:rPr>
                <w:rFonts w:hint="eastAsia" w:ascii="Times New Roman" w:hAnsi="Times New Roman" w:cs="Times New Roman"/>
                <w:color w:val="auto"/>
                <w:sz w:val="20"/>
                <w:szCs w:val="20"/>
                <w:lang w:val="en-US" w:eastAsia="zh-CN"/>
              </w:rPr>
              <w:t>8.44万</w:t>
            </w:r>
            <w:r>
              <w:rPr>
                <w:rFonts w:hint="eastAsia" w:ascii="Times New Roman" w:hAnsi="Times New Roman" w:eastAsia="仿宋_GB2312" w:cs="Times New Roman"/>
                <w:color w:val="auto"/>
                <w:sz w:val="20"/>
                <w:szCs w:val="20"/>
              </w:rPr>
              <w:t>元</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kern w:val="2"/>
                <w:sz w:val="20"/>
                <w:szCs w:val="20"/>
                <w:lang w:val="en-US" w:eastAsia="zh-CN" w:bidi="ar-SA"/>
              </w:rPr>
            </w:pPr>
            <w:r>
              <w:rPr>
                <w:rFonts w:hint="eastAsia" w:cs="Times New Roman"/>
                <w:color w:val="auto"/>
                <w:sz w:val="20"/>
                <w:szCs w:val="20"/>
                <w:lang w:val="en-US" w:eastAsia="zh-CN"/>
              </w:rPr>
              <w:t>8.43万元</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cs="Times New Roman"/>
                <w:color w:val="auto"/>
                <w:sz w:val="20"/>
                <w:szCs w:val="20"/>
                <w:lang w:val="en-US" w:eastAsia="zh-CN"/>
              </w:rPr>
              <w:t>20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r>
        <w:tblPrEx>
          <w:tblCellMar>
            <w:top w:w="0" w:type="dxa"/>
            <w:left w:w="108" w:type="dxa"/>
            <w:bottom w:w="0" w:type="dxa"/>
            <w:right w:w="108" w:type="dxa"/>
          </w:tblCellMar>
        </w:tblPrEx>
        <w:trPr>
          <w:trHeight w:val="707" w:hRule="atLeast"/>
          <w:jc w:val="center"/>
        </w:trPr>
        <w:tc>
          <w:tcPr>
            <w:tcW w:w="6538" w:type="dxa"/>
            <w:gridSpan w:val="6"/>
            <w:tcBorders>
              <w:top w:val="single" w:color="auto" w:sz="4" w:space="0"/>
              <w:left w:val="single" w:color="auto" w:sz="4" w:space="0"/>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总分</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cs="Times New Roman"/>
                <w:color w:val="auto"/>
                <w:sz w:val="20"/>
                <w:szCs w:val="20"/>
                <w:lang w:val="en-US" w:eastAsia="zh-CN"/>
              </w:rPr>
              <w:t>100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eastAsia" w:ascii="Times New Roman" w:hAnsi="Times New Roman" w:eastAsia="仿宋_GB2312" w:cs="Times New Roman"/>
                <w:color w:val="auto"/>
                <w:sz w:val="20"/>
                <w:szCs w:val="20"/>
              </w:rPr>
            </w:pPr>
          </w:p>
        </w:tc>
      </w:tr>
    </w:tbl>
    <w:p>
      <w:pPr>
        <w:keepNext w:val="0"/>
        <w:keepLines w:val="0"/>
        <w:pageBreakBefore w:val="0"/>
        <w:kinsoku/>
        <w:wordWrap/>
        <w:overflowPunct/>
        <w:topLinePunct/>
        <w:autoSpaceDE/>
        <w:autoSpaceDN/>
        <w:bidi w:val="0"/>
        <w:spacing w:line="400" w:lineRule="exact"/>
        <w:ind w:firstLine="0" w:firstLineChars="0"/>
        <w:jc w:val="both"/>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填表人：</w:t>
      </w:r>
      <w:r>
        <w:rPr>
          <w:rFonts w:hint="eastAsia" w:cs="Times New Roman"/>
          <w:color w:val="auto"/>
          <w:sz w:val="24"/>
          <w:szCs w:val="24"/>
          <w:lang w:val="en-US" w:eastAsia="zh-CN"/>
        </w:rPr>
        <w:t>李伶媚</w:t>
      </w:r>
      <w:r>
        <w:rPr>
          <w:rFonts w:hint="eastAsia" w:ascii="Times New Roman" w:hAnsi="Times New Roman" w:eastAsia="仿宋_GB2312" w:cs="Times New Roman"/>
          <w:color w:val="auto"/>
          <w:sz w:val="24"/>
          <w:szCs w:val="24"/>
        </w:rPr>
        <w:t xml:space="preserve">        填报日期：</w:t>
      </w:r>
      <w:r>
        <w:rPr>
          <w:rFonts w:hint="eastAsia" w:cs="Times New Roman"/>
          <w:color w:val="auto"/>
          <w:sz w:val="24"/>
          <w:szCs w:val="24"/>
          <w:lang w:val="en-US" w:eastAsia="zh-CN"/>
        </w:rPr>
        <w:t>2025年3月29日</w:t>
      </w:r>
      <w:r>
        <w:rPr>
          <w:rFonts w:hint="eastAsia" w:ascii="Times New Roman" w:hAnsi="Times New Roman" w:eastAsia="仿宋_GB2312" w:cs="Times New Roman"/>
          <w:color w:val="auto"/>
          <w:sz w:val="24"/>
          <w:szCs w:val="24"/>
        </w:rPr>
        <w:t xml:space="preserve">           </w:t>
      </w:r>
    </w:p>
    <w:p>
      <w:pPr>
        <w:keepNext w:val="0"/>
        <w:keepLines w:val="0"/>
        <w:pageBreakBefore w:val="0"/>
        <w:kinsoku/>
        <w:wordWrap/>
        <w:overflowPunct/>
        <w:topLinePunct/>
        <w:autoSpaceDE/>
        <w:autoSpaceDN/>
        <w:bidi w:val="0"/>
        <w:spacing w:line="400" w:lineRule="exact"/>
        <w:ind w:firstLine="0" w:firstLineChars="0"/>
        <w:jc w:val="both"/>
        <w:rPr>
          <w:rFonts w:hint="eastAsia" w:ascii="Times New Roman" w:hAnsi="Times New Roman" w:eastAsia="仿宋_GB2312" w:cs="Times New Roman"/>
          <w:sz w:val="72"/>
          <w:szCs w:val="72"/>
          <w:lang w:eastAsia="zh-CN"/>
        </w:rPr>
      </w:pPr>
      <w:r>
        <w:rPr>
          <w:rFonts w:hint="eastAsia" w:ascii="Times New Roman" w:hAnsi="Times New Roman" w:eastAsia="仿宋_GB2312" w:cs="Times New Roman"/>
          <w:color w:val="auto"/>
          <w:sz w:val="24"/>
          <w:szCs w:val="24"/>
        </w:rPr>
        <w:t>联系电话：</w:t>
      </w:r>
      <w:r>
        <w:rPr>
          <w:rFonts w:hint="eastAsia" w:cs="Times New Roman"/>
          <w:color w:val="auto"/>
          <w:sz w:val="24"/>
          <w:szCs w:val="24"/>
          <w:lang w:val="en-US" w:eastAsia="zh-CN"/>
        </w:rPr>
        <w:t>13873118990</w:t>
      </w:r>
      <w:r>
        <w:rPr>
          <w:rFonts w:hint="eastAsia" w:ascii="Times New Roman" w:hAnsi="Times New Roman" w:eastAsia="仿宋_GB2312" w:cs="Times New Roman"/>
          <w:color w:val="auto"/>
          <w:sz w:val="24"/>
          <w:szCs w:val="24"/>
        </w:rPr>
        <w:t xml:space="preserve">             单位负责人签字</w:t>
      </w:r>
      <w:r>
        <w:rPr>
          <w:rFonts w:hint="eastAsia" w:ascii="Times New Roman" w:hAnsi="Times New Roman" w:eastAsia="仿宋_GB2312" w:cs="Times New Roman"/>
          <w:color w:val="auto"/>
          <w:sz w:val="24"/>
          <w:szCs w:val="24"/>
          <w:lang w:eastAsia="zh-CN"/>
        </w:rPr>
        <w:t>：</w:t>
      </w:r>
    </w:p>
    <w:p>
      <w:pPr>
        <w:jc w:val="left"/>
        <w:rPr>
          <w:rFonts w:ascii="Times New Roman" w:hAnsi="Times New Roman" w:cs="Times New Roman"/>
          <w:color w:val="000000"/>
          <w:kern w:val="0"/>
          <w:sz w:val="32"/>
          <w:szCs w:val="32"/>
        </w:rPr>
      </w:pPr>
    </w:p>
    <w:sectPr>
      <w:footerReference r:id="rId9"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5"/>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a:spLocks noChangeAspect="true"/>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l1uVLQAAAABQEAAA8AAAAAAAAA&#10;AQAgAAAAOAAAAGRycy9kb3ducmV2LnhtbFBLAQIUABQAAAAIAIdO4kAeXkAHAwIAAO8DAAAOAAAA&#10;AAAAAAEAIAAAADUBAABkcnMvZTJvRG9jLnhtbFBLBQYAAAAABgAGAFkBAACqBQAAAAA=&#10;">
              <v:fill on="f" focussize="0,0"/>
              <v:stroke on="f"/>
              <v:imagedata o:title=""/>
              <o:lock v:ext="edit" aspectratio="t"/>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Cs w:val="27"/>
      </w:rPr>
    </w:pPr>
    <w:r>
      <w:rPr>
        <w:snapToGrid/>
        <w:szCs w:val="2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12</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HNAv+3SAAAABgEAAA8AAAAAAAAAAQAgAAAAOAAAAGRycy9kb3ducmV2&#10;LnhtbFBLAQIUABQAAAAIAIdO4kAszGsKswEAAFIDAAAOAAAAAAAAAAEAIAAAADcBAABkcnMvZTJv&#10;RG9jLnhtbFBLBQYAAAAABgAGAFkBAABcBQ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12</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15</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HNAv+3SAAAABgEAAA8AAAAAAAAAAQAgAAAAOAAAAGRycy9kb3ducmV2&#10;LnhtbFBLAQIUABQAAAAIAIdO4kCqizKUswEAAFIDAAAOAAAAAAAAAAEAIAAAADcBAABkcnMvZTJv&#10;RG9jLnhtbFBLBQYAAAAABgAGAFkBAABcBQ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15</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15</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BzQL/t0gAAAAYBAAAPAAAAAAAAAAEAIAAAADgAAABkcnMvZG93bnJl&#10;di54bWxQSwECFAAUAAAACACHTuJArg6jf7QBAABSAwAADgAAAAAAAAABACAAAAA3AQAAZHJzL2Uy&#10;b0RvYy54bWxQSwUGAAAAAAYABgBZAQAAXQU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15</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08020"/>
    <w:multiLevelType w:val="singleLevel"/>
    <w:tmpl w:val="EF308020"/>
    <w:lvl w:ilvl="0" w:tentative="0">
      <w:start w:val="3"/>
      <w:numFmt w:val="decimal"/>
      <w:lvlText w:val="%1."/>
      <w:lvlJc w:val="left"/>
      <w:pPr>
        <w:tabs>
          <w:tab w:val="left" w:pos="312"/>
        </w:tabs>
      </w:pPr>
    </w:lvl>
  </w:abstractNum>
  <w:abstractNum w:abstractNumId="1">
    <w:nsid w:val="6395922C"/>
    <w:multiLevelType w:val="singleLevel"/>
    <w:tmpl w:val="6395922C"/>
    <w:lvl w:ilvl="0" w:tentative="0">
      <w:start w:val="3"/>
      <w:numFmt w:val="decimal"/>
      <w:suff w:val="nothing"/>
      <w:lvlText w:val="%1、"/>
      <w:lvlJc w:val="left"/>
    </w:lvl>
  </w:abstractNum>
  <w:abstractNum w:abstractNumId="2">
    <w:nsid w:val="6FAC3CD2"/>
    <w:multiLevelType w:val="singleLevel"/>
    <w:tmpl w:val="6FAC3CD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B2A0E"/>
    <w:rsid w:val="13AF5F7A"/>
    <w:rsid w:val="16A56587"/>
    <w:rsid w:val="198A0EF7"/>
    <w:rsid w:val="2E49359A"/>
    <w:rsid w:val="30A6724E"/>
    <w:rsid w:val="31DC7903"/>
    <w:rsid w:val="32B7259F"/>
    <w:rsid w:val="35AA216D"/>
    <w:rsid w:val="3F4E69E2"/>
    <w:rsid w:val="3F871CF2"/>
    <w:rsid w:val="401F2B76"/>
    <w:rsid w:val="42F472C6"/>
    <w:rsid w:val="47655843"/>
    <w:rsid w:val="5370565B"/>
    <w:rsid w:val="583F2E65"/>
    <w:rsid w:val="59351907"/>
    <w:rsid w:val="5BB17E77"/>
    <w:rsid w:val="66684E84"/>
    <w:rsid w:val="71CC79D6"/>
    <w:rsid w:val="7D777B9F"/>
    <w:rsid w:val="7DDF02D6"/>
    <w:rsid w:val="CBE468A6"/>
    <w:rsid w:val="DDF763F1"/>
    <w:rsid w:val="F3EB0B9B"/>
    <w:rsid w:val="FCF35B2C"/>
    <w:rsid w:val="FEEE8BD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0" w:afterAutospacing="0"/>
      <w:jc w:val="both"/>
      <w:outlineLvl w:val="0"/>
    </w:pPr>
    <w:rPr>
      <w:rFonts w:ascii="Times New Roman" w:hAnsi="Times New Roman" w:eastAsia="黑体" w:cs="Times New Roman"/>
      <w:snapToGrid w:val="0"/>
      <w:color w:val="000000"/>
      <w:kern w:val="44"/>
      <w:sz w:val="32"/>
      <w:szCs w:val="21"/>
    </w:rPr>
  </w:style>
  <w:style w:type="paragraph" w:styleId="3">
    <w:name w:val="heading 2"/>
    <w:basedOn w:val="1"/>
    <w:next w:val="1"/>
    <w:unhideWhenUsed/>
    <w:qFormat/>
    <w:uiPriority w:val="0"/>
    <w:pPr>
      <w:keepNext w:val="0"/>
      <w:keepLines w:val="0"/>
      <w:spacing w:beforeLines="0" w:beforeAutospacing="0" w:afterLines="0" w:afterAutospacing="0" w:line="560" w:lineRule="exact"/>
      <w:ind w:firstLine="560" w:firstLineChars="200"/>
      <w:outlineLvl w:val="1"/>
    </w:pPr>
    <w:rPr>
      <w:rFonts w:ascii="Times New Roman" w:hAnsi="Times New Roman" w:eastAsia="楷体"/>
      <w:b/>
      <w:sz w:val="32"/>
      <w:szCs w:val="2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semiHidden/>
    <w:qFormat/>
    <w:uiPriority w:val="0"/>
    <w:pPr>
      <w:snapToGrid w:val="0"/>
      <w:jc w:val="left"/>
    </w:pPr>
    <w:rPr>
      <w:sz w:val="18"/>
      <w:szCs w:val="18"/>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列出段落1"/>
    <w:basedOn w:val="1"/>
    <w:qFormat/>
    <w:uiPriority w:val="34"/>
    <w:pPr>
      <w:ind w:firstLine="420" w:firstLineChars="200"/>
    </w:pPr>
    <w:rPr>
      <w:rFonts w:ascii="Calibri" w:hAnsi="Calibri" w:eastAsia="宋体" w:cs="Times New Roman"/>
    </w:rPr>
  </w:style>
  <w:style w:type="paragraph" w:customStyle="1" w:styleId="23">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827</Words>
  <Characters>840</Characters>
  <Lines>69</Lines>
  <Paragraphs>19</Paragraphs>
  <TotalTime>45</TotalTime>
  <ScaleCrop>false</ScaleCrop>
  <LinksUpToDate>false</LinksUpToDate>
  <CharactersWithSpaces>869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2025-08-19T02:17:00Z</dcterms:created>
  <dc:creator>李航 null</dc:creator>
  <cp:lastModifiedBy>kylin</cp:lastModifiedBy>
  <cp:lastPrinted>2025-08-22T23:33:00Z</cp:lastPrinted>
  <dcterms:modified xsi:type="dcterms:W3CDTF">2025-09-28T09:18:17Z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BB7B6AA21D207914D6FDA268992A22D6</vt:lpwstr>
  </property>
  <property fmtid="{D5CDD505-2E9C-101B-9397-08002B2CF9AE}" pid="4" name="KSOTemplateDocerSaveRecord">
    <vt:lpwstr>eyJoZGlkIjoiOWQ1MGMwYjg2Yjk5ZTkyOWY1NDkxMjNhOTNkZjg1MWUiLCJ1c2VySWQiOiI3Mzc5MDcxODcifQ==</vt:lpwstr>
  </property>
</Properties>
</file>