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sz w:val="60"/>
        </w:rPr>
        <w:t>2024</w:t>
      </w:r>
      <w:r>
        <w:rPr>
          <w:rFonts w:ascii="黑体" w:hAnsi="黑体" w:eastAsia="黑体" w:cs="宋体"/>
          <w:b/>
          <w:color w:val="000000"/>
          <w:sz w:val="60"/>
        </w:rPr>
        <w:t>年度</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sz w:val="60"/>
        </w:rPr>
        <w:t>湖南省市场监管事务中心</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hint="eastAsia" w:ascii="黑体" w:hAnsi="黑体" w:eastAsia="黑体" w:cs="宋体"/>
          <w:b/>
          <w:color w:val="000000"/>
          <w:sz w:val="60"/>
          <w:lang w:eastAsia="zh-CN"/>
        </w:rPr>
        <w:t>单位</w:t>
      </w:r>
      <w:r>
        <w:rPr>
          <w:rFonts w:ascii="黑体" w:hAnsi="黑体" w:eastAsia="黑体" w:cs="宋体"/>
          <w:b/>
          <w:color w:val="000000"/>
          <w:sz w:val="60"/>
        </w:rPr>
        <w:t>决算</w:t>
      </w:r>
    </w:p>
    <w:p>
      <w:pPr>
        <w:pStyle w:val="5"/>
        <w:rPr>
          <w:vanish w:val="0"/>
        </w:rPr>
      </w:pPr>
      <w:r>
        <w:br w:type="page"/>
      </w:r>
    </w:p>
    <w:p>
      <w:pPr>
        <w:rPr>
          <w:rFonts w:ascii="黑体" w:hAnsi="黑体" w:eastAsia="黑体" w:cs="宋体"/>
          <w:b/>
          <w:sz w:val="33"/>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sz w:val="33"/>
        </w:rPr>
        <w:t>目录</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第一部分 湖南省市场监管事务中心</w:t>
      </w:r>
      <w:r>
        <w:rPr>
          <w:rFonts w:hint="eastAsia" w:ascii="黑体" w:hAnsi="黑体" w:eastAsia="黑体" w:cs="宋体"/>
          <w:b/>
          <w:sz w:val="28"/>
          <w:lang w:eastAsia="zh-CN"/>
        </w:rPr>
        <w:t>单位</w:t>
      </w:r>
      <w:r>
        <w:rPr>
          <w:rFonts w:ascii="黑体" w:hAnsi="黑体" w:eastAsia="黑体" w:cs="宋体"/>
          <w:b/>
          <w:sz w:val="28"/>
        </w:rPr>
        <w:t>概况</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一、</w:t>
      </w:r>
      <w:r>
        <w:rPr>
          <w:rFonts w:hint="eastAsia" w:ascii="宋体" w:hAnsi="宋体" w:eastAsia="宋体" w:cs="宋体"/>
          <w:sz w:val="28"/>
          <w:lang w:eastAsia="zh-CN"/>
        </w:rPr>
        <w:t>单位</w:t>
      </w:r>
      <w:r>
        <w:rPr>
          <w:rFonts w:ascii="宋体" w:hAnsi="宋体" w:eastAsia="宋体" w:cs="宋体"/>
          <w:sz w:val="28"/>
        </w:rPr>
        <w:t>职责</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二、机构设置</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黑体" w:hAnsi="黑体" w:eastAsia="黑体" w:cs="宋体"/>
          <w:b/>
          <w:sz w:val="28"/>
        </w:rPr>
        <w:t>第二部分 </w:t>
      </w:r>
      <w:r>
        <w:rPr>
          <w:rFonts w:hint="eastAsia" w:ascii="黑体" w:hAnsi="黑体" w:eastAsia="黑体" w:cs="宋体"/>
          <w:b/>
          <w:sz w:val="28"/>
          <w:lang w:eastAsia="zh-CN"/>
        </w:rPr>
        <w:t>单位</w:t>
      </w:r>
      <w:r>
        <w:rPr>
          <w:rFonts w:ascii="黑体" w:hAnsi="黑体" w:eastAsia="黑体" w:cs="宋体"/>
          <w:b/>
          <w:sz w:val="28"/>
        </w:rPr>
        <w:t>决算表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一、收入支出决算总表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二、收入决算表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三、支出决算表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四、财政拨款收入支出决算总表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五、一般公共预算财政拨款支出决算表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六、一般公共预算财政拨款基本支出决算明细表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七、政府性基金预算财政拨款收入支出决算表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八、国有资本经营预算财政拨款支出决算表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九、财政拨款“三公”经费支出决算表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黑体" w:hAnsi="黑体" w:eastAsia="黑体" w:cs="宋体"/>
          <w:b/>
          <w:sz w:val="28"/>
        </w:rPr>
        <w:t>第三部分 </w:t>
      </w:r>
      <w:r>
        <w:rPr>
          <w:rFonts w:hint="eastAsia" w:ascii="黑体" w:hAnsi="黑体" w:eastAsia="黑体" w:cs="宋体"/>
          <w:b/>
          <w:sz w:val="28"/>
          <w:lang w:eastAsia="zh-CN"/>
        </w:rPr>
        <w:t>单位</w:t>
      </w:r>
      <w:r>
        <w:rPr>
          <w:rFonts w:ascii="黑体" w:hAnsi="黑体" w:eastAsia="黑体" w:cs="宋体"/>
          <w:b/>
          <w:sz w:val="28"/>
        </w:rPr>
        <w:t>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一、收入支出决算总体情况说明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二、收入决算情况说明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三、支出决算情况说明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四、财政拨款收入支出决算总体情况说明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五、一般公共预算财政拨款支出决算情况说明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六、一般公共预算财政拨款基本支出决算情况说明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七、财政拨款“三公”经费支出决算情况说明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八、政府性基金预算收入支出决算情况</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hint="eastAsia" w:ascii="宋体" w:hAnsi="宋体" w:eastAsia="宋体" w:cs="宋体"/>
          <w:sz w:val="28"/>
          <w:lang w:val="en-US" w:eastAsia="zh-CN"/>
        </w:rPr>
        <w:t>九</w:t>
      </w:r>
      <w:r>
        <w:rPr>
          <w:rFonts w:ascii="宋体" w:hAnsi="宋体" w:eastAsia="宋体" w:cs="宋体"/>
          <w:sz w:val="28"/>
        </w:rPr>
        <w:t>、关于机关运行经费支出说明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十、一般性支出情况说明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十</w:t>
      </w:r>
      <w:r>
        <w:rPr>
          <w:rFonts w:hint="eastAsia" w:ascii="宋体" w:hAnsi="宋体" w:eastAsia="宋体" w:cs="宋体"/>
          <w:sz w:val="28"/>
          <w:lang w:val="en-US" w:eastAsia="zh-CN"/>
        </w:rPr>
        <w:t>一</w:t>
      </w:r>
      <w:r>
        <w:rPr>
          <w:rFonts w:ascii="宋体" w:hAnsi="宋体" w:eastAsia="宋体" w:cs="宋体"/>
          <w:sz w:val="28"/>
        </w:rPr>
        <w:t>、关于政府采购支出说明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十</w:t>
      </w:r>
      <w:r>
        <w:rPr>
          <w:rFonts w:hint="eastAsia" w:ascii="宋体" w:hAnsi="宋体" w:eastAsia="宋体" w:cs="宋体"/>
          <w:sz w:val="28"/>
          <w:lang w:val="en-US" w:eastAsia="zh-CN"/>
        </w:rPr>
        <w:t>二</w:t>
      </w:r>
      <w:r>
        <w:rPr>
          <w:rFonts w:ascii="宋体" w:hAnsi="宋体" w:eastAsia="宋体" w:cs="宋体"/>
          <w:sz w:val="28"/>
        </w:rPr>
        <w:t>、关于国有资产占用情况说明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宋体" w:hAnsi="宋体" w:eastAsia="宋体" w:cs="宋体"/>
          <w:sz w:val="28"/>
        </w:rPr>
        <w:t>十</w:t>
      </w:r>
      <w:r>
        <w:rPr>
          <w:rFonts w:hint="eastAsia" w:ascii="宋体" w:hAnsi="宋体" w:eastAsia="宋体" w:cs="宋体"/>
          <w:sz w:val="28"/>
          <w:lang w:val="en-US" w:eastAsia="zh-CN"/>
        </w:rPr>
        <w:t>三</w:t>
      </w:r>
      <w:r>
        <w:rPr>
          <w:rFonts w:ascii="宋体" w:hAnsi="宋体" w:eastAsia="宋体" w:cs="宋体"/>
          <w:sz w:val="28"/>
        </w:rPr>
        <w:t>、关于202</w:t>
      </w:r>
      <w:r>
        <w:rPr>
          <w:rFonts w:hint="eastAsia" w:ascii="宋体" w:hAnsi="宋体" w:eastAsia="宋体" w:cs="宋体"/>
          <w:sz w:val="28"/>
          <w:lang w:val="en-US" w:eastAsia="zh-CN"/>
        </w:rPr>
        <w:t>4</w:t>
      </w:r>
      <w:r>
        <w:rPr>
          <w:rFonts w:ascii="宋体" w:hAnsi="宋体" w:eastAsia="宋体" w:cs="宋体"/>
          <w:sz w:val="28"/>
        </w:rPr>
        <w:t>年度预算绩效情况的说明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黑体" w:hAnsi="黑体" w:eastAsia="黑体" w:cs="宋体"/>
          <w:b/>
          <w:sz w:val="28"/>
        </w:rPr>
        <w:t>第四部分 名词解释</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宋体" w:hAnsi="宋体" w:eastAsia="宋体" w:cs="宋体"/>
          <w:vanish w:val="0"/>
          <w:sz w:val="24"/>
        </w:rPr>
      </w:pPr>
      <w:r>
        <w:rPr>
          <w:rFonts w:ascii="黑体" w:hAnsi="黑体" w:eastAsia="黑体" w:cs="宋体"/>
          <w:b/>
          <w:sz w:val="28"/>
        </w:rPr>
        <w:t>第五部分 附件</w:t>
      </w:r>
    </w:p>
    <w:p>
      <w:pPr>
        <w:pStyle w:val="5"/>
        <w:rPr>
          <w:vanish w:val="0"/>
        </w:rPr>
      </w:pPr>
      <w:r>
        <w:br w:type="page"/>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第一部分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湖南省市场监管事务中心</w:t>
      </w:r>
      <w:r>
        <w:rPr>
          <w:rFonts w:hint="eastAsia" w:ascii="黑体" w:hAnsi="黑体" w:eastAsia="黑体" w:cs="宋体"/>
          <w:b/>
          <w:color w:val="000000"/>
          <w:sz w:val="48"/>
          <w:lang w:eastAsia="zh-CN"/>
        </w:rPr>
        <w:t>单位</w:t>
      </w:r>
      <w:r>
        <w:rPr>
          <w:rFonts w:ascii="黑体" w:hAnsi="黑体" w:eastAsia="黑体" w:cs="宋体"/>
          <w:b/>
          <w:color w:val="000000"/>
          <w:sz w:val="48"/>
        </w:rPr>
        <w:t>概况</w:t>
      </w:r>
    </w:p>
    <w:p>
      <w:pPr>
        <w:pStyle w:val="5"/>
        <w:rPr>
          <w:vanish w:val="0"/>
        </w:rPr>
      </w:pPr>
      <w:r>
        <w:br w:type="page"/>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left"/>
        <w:rPr>
          <w:rFonts w:ascii="黑体" w:hAnsi="黑体" w:eastAsia="黑体" w:cs="宋体"/>
          <w:b/>
          <w:sz w:val="28"/>
        </w:rPr>
      </w:pPr>
      <w:r>
        <w:rPr>
          <w:rFonts w:ascii="黑体" w:hAnsi="黑体" w:eastAsia="黑体" w:cs="宋体"/>
          <w:b/>
          <w:sz w:val="28"/>
        </w:rPr>
        <w:t>一、</w:t>
      </w:r>
      <w:r>
        <w:rPr>
          <w:rFonts w:hint="eastAsia" w:ascii="黑体" w:hAnsi="黑体" w:eastAsia="黑体" w:cs="宋体"/>
          <w:b/>
          <w:sz w:val="28"/>
          <w:lang w:eastAsia="zh-CN"/>
        </w:rPr>
        <w:t>单位</w:t>
      </w:r>
      <w:r>
        <w:rPr>
          <w:rFonts w:ascii="黑体" w:hAnsi="黑体" w:eastAsia="黑体" w:cs="宋体"/>
          <w:b/>
          <w:sz w:val="28"/>
        </w:rPr>
        <w:t>职责</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rPr>
        <w:t>省市场监管事务中心落实党中央、省委和省市场监督管理局关于市场监管政务服务、自贸区改革创新及深化“放管服”改革优化营商环境工作的方针政策和决策部署,主要职责是:</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lang w:eastAsia="zh-CN"/>
        </w:rPr>
        <w:t>（</w:t>
      </w:r>
      <w:r>
        <w:rPr>
          <w:rFonts w:hint="eastAsia" w:ascii="宋体" w:hAnsi="宋体" w:eastAsia="宋体" w:cs="宋体"/>
          <w:sz w:val="28"/>
          <w:lang w:val="en-US" w:eastAsia="zh-CN"/>
        </w:rPr>
        <w:t>一）</w:t>
      </w:r>
      <w:r>
        <w:rPr>
          <w:rFonts w:hint="eastAsia" w:ascii="宋体" w:hAnsi="宋体" w:eastAsia="宋体" w:cs="宋体"/>
          <w:sz w:val="28"/>
        </w:rPr>
        <w:t>、承担省市场监管</w:t>
      </w:r>
      <w:r>
        <w:rPr>
          <w:rFonts w:hint="eastAsia" w:ascii="宋体" w:hAnsi="宋体" w:eastAsia="宋体" w:cs="宋体"/>
          <w:sz w:val="28"/>
          <w:lang w:eastAsia="zh-CN"/>
        </w:rPr>
        <w:t>单位</w:t>
      </w:r>
      <w:r>
        <w:rPr>
          <w:rFonts w:hint="eastAsia" w:ascii="宋体" w:hAnsi="宋体" w:eastAsia="宋体" w:cs="宋体"/>
          <w:sz w:val="28"/>
        </w:rPr>
        <w:t>政务窗口服务事务性职能,协助推进市场监管</w:t>
      </w:r>
      <w:r>
        <w:rPr>
          <w:rFonts w:hint="eastAsia" w:ascii="宋体" w:hAnsi="宋体" w:eastAsia="宋体" w:cs="宋体"/>
          <w:sz w:val="28"/>
          <w:lang w:eastAsia="zh-CN"/>
        </w:rPr>
        <w:t>单位</w:t>
      </w:r>
      <w:r>
        <w:rPr>
          <w:rFonts w:hint="eastAsia" w:ascii="宋体" w:hAnsi="宋体" w:eastAsia="宋体" w:cs="宋体"/>
          <w:sz w:val="28"/>
        </w:rPr>
        <w:t>行政许可服务便民化。</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lang w:eastAsia="zh-CN"/>
        </w:rPr>
        <w:t>（</w:t>
      </w:r>
      <w:r>
        <w:rPr>
          <w:rFonts w:hint="eastAsia" w:ascii="宋体" w:hAnsi="宋体" w:eastAsia="宋体" w:cs="宋体"/>
          <w:sz w:val="28"/>
          <w:lang w:val="en-US" w:eastAsia="zh-CN"/>
        </w:rPr>
        <w:t>二）</w:t>
      </w:r>
      <w:r>
        <w:rPr>
          <w:rFonts w:hint="eastAsia" w:ascii="宋体" w:hAnsi="宋体" w:eastAsia="宋体" w:cs="宋体"/>
          <w:sz w:val="28"/>
        </w:rPr>
        <w:t>、承担省市场监管</w:t>
      </w:r>
      <w:r>
        <w:rPr>
          <w:rFonts w:hint="eastAsia" w:ascii="宋体" w:hAnsi="宋体" w:eastAsia="宋体" w:cs="宋体"/>
          <w:sz w:val="28"/>
          <w:lang w:eastAsia="zh-CN"/>
        </w:rPr>
        <w:t>单位</w:t>
      </w:r>
      <w:r>
        <w:rPr>
          <w:rFonts w:hint="eastAsia" w:ascii="宋体" w:hAnsi="宋体" w:eastAsia="宋体" w:cs="宋体"/>
          <w:sz w:val="28"/>
        </w:rPr>
        <w:t>自贸试验区改革创新任务的相关事务性工作。</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lang w:eastAsia="zh-CN"/>
        </w:rPr>
        <w:t>（</w:t>
      </w:r>
      <w:r>
        <w:rPr>
          <w:rFonts w:hint="eastAsia" w:ascii="宋体" w:hAnsi="宋体" w:eastAsia="宋体" w:cs="宋体"/>
          <w:sz w:val="28"/>
          <w:lang w:val="en-US" w:eastAsia="zh-CN"/>
        </w:rPr>
        <w:t>三）</w:t>
      </w:r>
      <w:r>
        <w:rPr>
          <w:rFonts w:hint="eastAsia" w:ascii="宋体" w:hAnsi="宋体" w:eastAsia="宋体" w:cs="宋体"/>
          <w:sz w:val="28"/>
        </w:rPr>
        <w:t>、承担省市场监管</w:t>
      </w:r>
      <w:r>
        <w:rPr>
          <w:rFonts w:hint="eastAsia" w:ascii="宋体" w:hAnsi="宋体" w:eastAsia="宋体" w:cs="宋体"/>
          <w:sz w:val="28"/>
          <w:lang w:eastAsia="zh-CN"/>
        </w:rPr>
        <w:t>单位</w:t>
      </w:r>
      <w:r>
        <w:rPr>
          <w:rFonts w:hint="eastAsia" w:ascii="宋体" w:hAnsi="宋体" w:eastAsia="宋体" w:cs="宋体"/>
          <w:sz w:val="28"/>
        </w:rPr>
        <w:t>深化“放管服”改革、优化营商环境相关事务性工作。</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lang w:eastAsia="zh-CN"/>
        </w:rPr>
        <w:t>（</w:t>
      </w:r>
      <w:r>
        <w:rPr>
          <w:rFonts w:hint="eastAsia" w:ascii="宋体" w:hAnsi="宋体" w:eastAsia="宋体" w:cs="宋体"/>
          <w:sz w:val="28"/>
          <w:lang w:val="en-US" w:eastAsia="zh-CN"/>
        </w:rPr>
        <w:t>四）</w:t>
      </w:r>
      <w:r>
        <w:rPr>
          <w:rFonts w:hint="eastAsia" w:ascii="宋体" w:hAnsi="宋体" w:eastAsia="宋体" w:cs="宋体"/>
          <w:sz w:val="28"/>
        </w:rPr>
        <w:t>、协助开展信访接待、文明创建、社会治安综合治理、节能减排、综合保障相关事务性工作。</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lang w:eastAsia="zh-CN"/>
        </w:rPr>
        <w:t>（</w:t>
      </w:r>
      <w:r>
        <w:rPr>
          <w:rFonts w:hint="eastAsia" w:ascii="宋体" w:hAnsi="宋体" w:eastAsia="宋体" w:cs="宋体"/>
          <w:sz w:val="28"/>
          <w:lang w:val="en-US" w:eastAsia="zh-CN"/>
        </w:rPr>
        <w:t>五）</w:t>
      </w:r>
      <w:r>
        <w:rPr>
          <w:rFonts w:hint="eastAsia" w:ascii="宋体" w:hAnsi="宋体" w:eastAsia="宋体" w:cs="宋体"/>
          <w:sz w:val="28"/>
        </w:rPr>
        <w:t>、联系协调相关</w:t>
      </w:r>
      <w:r>
        <w:rPr>
          <w:rFonts w:hint="eastAsia" w:ascii="宋体" w:hAnsi="宋体" w:eastAsia="宋体" w:cs="宋体"/>
          <w:sz w:val="28"/>
          <w:lang w:eastAsia="zh-CN"/>
        </w:rPr>
        <w:t>单位</w:t>
      </w:r>
      <w:r>
        <w:rPr>
          <w:rFonts w:hint="eastAsia" w:ascii="宋体" w:hAnsi="宋体" w:eastAsia="宋体" w:cs="宋体"/>
          <w:sz w:val="28"/>
        </w:rPr>
        <w:t>、社团组织、行业协会为个体私营经济发展服务,引导个私业主诚信守法经营。</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lang w:eastAsia="zh-CN"/>
        </w:rPr>
        <w:t>（</w:t>
      </w:r>
      <w:r>
        <w:rPr>
          <w:rFonts w:hint="eastAsia" w:ascii="宋体" w:hAnsi="宋体" w:eastAsia="宋体" w:cs="宋体"/>
          <w:sz w:val="28"/>
          <w:lang w:val="en-US" w:eastAsia="zh-CN"/>
        </w:rPr>
        <w:t>六）</w:t>
      </w:r>
      <w:r>
        <w:rPr>
          <w:rFonts w:hint="eastAsia" w:ascii="宋体" w:hAnsi="宋体" w:eastAsia="宋体" w:cs="宋体"/>
          <w:sz w:val="28"/>
        </w:rPr>
        <w:t>、完成省市场监督管理局交办的其他任务。</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二、机构设置及决算单位构成</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8"/>
        </w:rPr>
      </w:pPr>
      <w:r>
        <w:rPr>
          <w:rFonts w:ascii="宋体" w:hAnsi="宋体" w:eastAsia="宋体" w:cs="宋体"/>
          <w:sz w:val="28"/>
        </w:rPr>
        <w:t>（一）内设机构设置。湖南省市场监管事务中心单位内设机构包括：</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rPr>
        <w:t>综合部。承担事务中心党建、纪检监察、人事、财务、离退休人员管理等工作,协助机关文明创建、信访接待、综治工作。</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rPr>
        <w:t>政务服务部。负责政务服务大厅管理,承担省局政务服务窗口相关事务性工作。承担自贸试验区改革创新相关沟通对接、信息报送、宣传推广等工作。承担优化营商环境相关事务性工作。承担服务个体私营经济发展,引导个私业主诚信守法经营,推进全省个私经济社会化服务体系、维权体系建设,维护个私企业合法权益工作。</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rPr>
        <w:t>机关事务部。协助开展资产管理、维修维护、节能减排、公车管理、会务接待等相关事务性工作。</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（二）决算单位构成。湖南省市场监管事务中心单位2024年</w:t>
      </w:r>
      <w:r>
        <w:rPr>
          <w:rFonts w:hint="eastAsia" w:ascii="宋体" w:hAnsi="宋体" w:eastAsia="宋体" w:cs="宋体"/>
          <w:sz w:val="28"/>
          <w:lang w:eastAsia="zh-CN"/>
        </w:rPr>
        <w:t>单位</w:t>
      </w:r>
      <w:r>
        <w:rPr>
          <w:rFonts w:ascii="宋体" w:hAnsi="宋体" w:eastAsia="宋体" w:cs="宋体"/>
          <w:sz w:val="28"/>
        </w:rPr>
        <w:t>决算汇总公开单位构成包括：湖南省市场监管事务中心本级</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p>
      <w:pPr>
        <w:pStyle w:val="5"/>
        <w:rPr>
          <w:vanish w:val="0"/>
        </w:rPr>
      </w:pPr>
      <w:r>
        <w:br w:type="page"/>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sz w:val="48"/>
        </w:rPr>
        <w:t> 第二部分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hint="eastAsia" w:ascii="黑体" w:hAnsi="黑体" w:eastAsia="黑体" w:cs="宋体"/>
          <w:b/>
          <w:sz w:val="48"/>
          <w:lang w:eastAsia="zh-CN"/>
        </w:rPr>
        <w:t>单位</w:t>
      </w:r>
      <w:r>
        <w:rPr>
          <w:rFonts w:ascii="黑体" w:hAnsi="黑体" w:eastAsia="黑体" w:cs="宋体"/>
          <w:b/>
          <w:sz w:val="48"/>
        </w:rPr>
        <w:t>决算表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sectPr>
          <w:pgSz w:w="11907" w:h="16839"/>
          <w:pgMar w:top="1440" w:right="1440" w:bottom="1440" w:left="1440" w:header="720" w:footer="720" w:gutter="0"/>
          <w:cols w:space="720" w:num="1"/>
        </w:sectPr>
      </w:pPr>
      <w:r>
        <w:br w:type="page"/>
      </w:r>
    </w:p>
    <w:tbl>
      <w:tblPr>
        <w:tblStyle w:val="9"/>
        <w:tblW w:w="16335" w:type="dxa"/>
        <w:jc w:val="center"/>
        <w:tblInd w:w="0" w:type="dxa"/>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4897"/>
        <w:gridCol w:w="817"/>
        <w:gridCol w:w="2450"/>
        <w:gridCol w:w="4904"/>
        <w:gridCol w:w="817"/>
        <w:gridCol w:w="2450"/>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Ex>
        <w:trPr>
          <w:jc w:val="center"/>
        </w:trPr>
        <w:tc>
          <w:tcPr>
            <w:tcW w:w="16335" w:type="dxa"/>
            <w:gridSpan w:val="6"/>
            <w:tcBorders>
              <w:top w:val="outset" w:color="C0C0C0" w:sz="6" w:space="0"/>
              <w:left w:val="outset" w:color="C0C0C0" w:sz="6" w:space="0"/>
              <w:right w:val="outset" w:color="C0C0C0" w:sz="6" w:space="0"/>
            </w:tcBorders>
            <w:shd w:val="clear" w:color="auto" w:fill="auto"/>
            <w:vAlign w:val="center"/>
          </w:tcPr>
          <w:p>
            <w:pPr>
              <w:pStyle w:val="11"/>
              <w:jc w:val="center"/>
              <w:rPr>
                <w:vanish w:val="0"/>
              </w:rPr>
            </w:pPr>
            <w:r>
              <w:rPr>
                <w:rFonts w:ascii="宋体" w:hAnsi="宋体" w:eastAsia="宋体" w:cs="宋体"/>
                <w:sz w:val="36"/>
              </w:rPr>
              <w:t>收入支出决算总表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3068" w:type="dxa"/>
            <w:gridSpan w:val="4"/>
            <w:tcBorders>
              <w:left w:val="outset" w:color="C0C0C0" w:sz="6" w:space="0"/>
            </w:tcBorders>
            <w:shd w:val="clear" w:color="auto" w:fill="auto"/>
            <w:vAlign w:val="center"/>
          </w:tcPr>
          <w:p/>
        </w:tc>
        <w:tc>
          <w:tcPr>
            <w:tcW w:w="3267" w:type="dxa"/>
            <w:gridSpan w:val="2"/>
            <w:shd w:val="clear" w:color="auto" w:fill="auto"/>
            <w:vAlign w:val="center"/>
          </w:tcPr>
          <w:p>
            <w:pPr>
              <w:pStyle w:val="12"/>
              <w:jc w:val="right"/>
              <w:rPr>
                <w:vanish w:val="0"/>
              </w:rPr>
            </w:pPr>
            <w:r>
              <w:rPr>
                <w:rFonts w:ascii="Courier New" w:hAnsi="Courier New" w:eastAsia="Courier New" w:cs="Courier New"/>
                <w:sz w:val="24"/>
              </w:rPr>
              <w:t>公开01表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3068" w:type="dxa"/>
            <w:gridSpan w:val="4"/>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3267" w:type="dxa"/>
            <w:gridSpan w:val="2"/>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8164"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收入</w:t>
            </w:r>
          </w:p>
        </w:tc>
        <w:tc>
          <w:tcPr>
            <w:tcW w:w="8171"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支出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行次</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rFonts w:hint="eastAsia" w:eastAsia="宋体"/>
                <w:vanish w:val="0"/>
                <w:lang w:eastAsia="zh-CN"/>
              </w:rPr>
            </w:pPr>
            <w:r>
              <w:rPr>
                <w:rFonts w:hint="eastAsia" w:ascii="Courier New" w:hAnsi="Courier New" w:eastAsia="宋体" w:cs="Courier New"/>
                <w:sz w:val="24"/>
                <w:lang w:val="en-US" w:eastAsia="zh-CN"/>
              </w:rPr>
              <w:t>决算数</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行次</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rFonts w:hint="eastAsia" w:eastAsia="宋体"/>
                <w:vanish w:val="0"/>
                <w:lang w:eastAsia="zh-CN"/>
              </w:rPr>
            </w:pPr>
            <w:r>
              <w:rPr>
                <w:rFonts w:hint="eastAsia" w:ascii="Courier New" w:hAnsi="Courier New" w:eastAsia="宋体" w:cs="Courier New"/>
                <w:sz w:val="24"/>
                <w:lang w:val="en-US" w:eastAsia="zh-CN"/>
              </w:rPr>
              <w:t>决算数</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一、一般公共预算财政拨款收入</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hint="eastAsia" w:ascii="Courier New" w:hAnsi="Courier New" w:eastAsia="Courier New" w:cs="Courier New"/>
                <w:sz w:val="24"/>
              </w:rPr>
              <w:t>2077.63</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一、一般公共服务支出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31</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hint="eastAsia" w:ascii="Courier New" w:hAnsi="Courier New" w:eastAsia="Courier New" w:cs="Courier New"/>
                <w:sz w:val="24"/>
              </w:rPr>
              <w:t>1726.72</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二、政府性基金预算财政拨款收入</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二、外交支出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32</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三、国有资本经营预算财政拨款收入</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三、国防支出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33</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四、上级补助收入</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四、公共安全支出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34</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五、事业收入</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五、教育支出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35</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六、经营收入</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六、科学技术支出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36</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七、附属单位上缴收入</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7</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七、文化旅游体育与传媒支出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37</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八、其他收入</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8</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八、社会保障和就业支出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38</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93.79</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9</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九、卫生健康支出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39</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10</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十、节能环保支出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40</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11</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十一、城乡社区支出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41</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12</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十二、农林水支出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42</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13</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十三、交通运输支出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43</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14</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十四、资源勘探工业信息等支出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44</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15</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十五、商业服务业等支出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45</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16</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十六、金融支出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46</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17</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十七、援助其他地区支出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47</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18</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十八、自然资源海洋气象等支出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48</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19</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十九、住房保障支出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49</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69.69</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20</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二十、粮油物资储备支出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50</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21</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二十一、国有资本经营预算支出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51</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22</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二十二、灾害防治及应急管理支出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52</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23</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二十三、其他支出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53</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24</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二十四、债务还本支出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54</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25</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二十五、债务付息支出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55</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26</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二十六、抗疫特别国债安排的支出</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56</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本年收入合计</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27</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hint="eastAsia" w:ascii="Courier New" w:hAnsi="Courier New" w:eastAsia="Courier New" w:cs="Courier New"/>
                <w:sz w:val="24"/>
              </w:rPr>
              <w:t>2077.63</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本年支出合计</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57</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hint="eastAsia" w:ascii="Courier New" w:hAnsi="Courier New" w:eastAsia="Courier New" w:cs="Courier New"/>
                <w:sz w:val="24"/>
              </w:rPr>
              <w:t>1924.5</w:t>
            </w:r>
            <w:r>
              <w:rPr>
                <w:rFonts w:ascii="Courier New" w:hAnsi="Courier New" w:eastAsia="Courier New" w:cs="Courier New"/>
                <w:sz w:val="24"/>
              </w:rPr>
              <w:t>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使用非财政拨款结余（含专用结余）</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28</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结余分配</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58</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年初结转和结余</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29</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1.44</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年末结转和结余</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59</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154.57</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总计</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30</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hint="eastAsia" w:ascii="Courier New" w:hAnsi="Courier New" w:eastAsia="Courier New" w:cs="Courier New"/>
                <w:sz w:val="24"/>
              </w:rPr>
              <w:t>2079.07</w:t>
            </w:r>
          </w:p>
        </w:tc>
        <w:tc>
          <w:tcPr>
            <w:tcW w:w="49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总计</w:t>
            </w:r>
          </w:p>
        </w:tc>
        <w:tc>
          <w:tcPr>
            <w:tcW w:w="81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60</w:t>
            </w:r>
          </w:p>
        </w:tc>
        <w:tc>
          <w:tcPr>
            <w:tcW w:w="245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hint="eastAsia" w:ascii="Courier New" w:hAnsi="Courier New" w:eastAsia="Courier New" w:cs="Courier New"/>
                <w:sz w:val="24"/>
              </w:rPr>
              <w:t>2079.07</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5" w:type="dxa"/>
            <w:gridSpan w:val="6"/>
            <w:tcBorders>
              <w:top w:val="single" w:color="auto" w:sz="6" w:space="0"/>
              <w:left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注：1.本表反映</w:t>
            </w:r>
            <w:r>
              <w:rPr>
                <w:rFonts w:hint="eastAsia" w:ascii="Courier New" w:hAnsi="Courier New" w:eastAsia="宋体" w:cs="Courier New"/>
                <w:sz w:val="24"/>
                <w:lang w:eastAsia="zh-CN"/>
              </w:rPr>
              <w:t>单位</w:t>
            </w:r>
            <w:r>
              <w:rPr>
                <w:rFonts w:ascii="Courier New" w:hAnsi="Courier New" w:eastAsia="Courier New" w:cs="Courier New"/>
                <w:sz w:val="24"/>
              </w:rPr>
              <w:t>本年度的总收支和年末结转结余情况。</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5" w:type="dxa"/>
            <w:gridSpan w:val="6"/>
            <w:tcBorders>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2.本套报表金额单位转换时可能存在尾数误差。</w:t>
            </w:r>
          </w:p>
        </w:tc>
      </w:tr>
    </w:tbl>
    <w:p>
      <w:pPr>
        <w:pStyle w:val="5"/>
        <w:rPr>
          <w:vanish w:val="0"/>
        </w:rPr>
      </w:pPr>
      <w:r>
        <w:br w:type="page"/>
      </w:r>
    </w:p>
    <w:tbl>
      <w:tblPr>
        <w:tblStyle w:val="9"/>
        <w:tblW w:w="16335" w:type="dxa"/>
        <w:jc w:val="center"/>
        <w:tblInd w:w="0" w:type="dxa"/>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1470"/>
        <w:gridCol w:w="4574"/>
        <w:gridCol w:w="1797"/>
        <w:gridCol w:w="1797"/>
        <w:gridCol w:w="1143"/>
        <w:gridCol w:w="1470"/>
        <w:gridCol w:w="1307"/>
        <w:gridCol w:w="1307"/>
        <w:gridCol w:w="1470"/>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Ex>
        <w:trPr>
          <w:jc w:val="center"/>
        </w:trPr>
        <w:tc>
          <w:tcPr>
            <w:tcW w:w="16335" w:type="dxa"/>
            <w:gridSpan w:val="9"/>
            <w:tcBorders>
              <w:top w:val="outset" w:color="C0C0C0" w:sz="6" w:space="0"/>
              <w:left w:val="outset" w:color="C0C0C0" w:sz="6" w:space="0"/>
              <w:right w:val="outset" w:color="C0C0C0" w:sz="6" w:space="0"/>
            </w:tcBorders>
            <w:shd w:val="clear" w:color="auto" w:fill="auto"/>
            <w:vAlign w:val="center"/>
          </w:tcPr>
          <w:p>
            <w:pPr>
              <w:pStyle w:val="13"/>
              <w:jc w:val="center"/>
              <w:rPr>
                <w:vanish w:val="0"/>
              </w:rPr>
            </w:pPr>
            <w:r>
              <w:rPr>
                <w:rFonts w:ascii="宋体" w:hAnsi="宋体" w:eastAsia="宋体" w:cs="宋体"/>
                <w:sz w:val="36"/>
              </w:rPr>
              <w:t>收入决算表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7841" w:type="dxa"/>
            <w:gridSpan w:val="3"/>
            <w:tcBorders>
              <w:left w:val="outset" w:color="C0C0C0" w:sz="6" w:space="0"/>
            </w:tcBorders>
            <w:shd w:val="clear" w:color="auto" w:fill="auto"/>
            <w:vAlign w:val="center"/>
          </w:tcPr>
          <w:p/>
        </w:tc>
        <w:tc>
          <w:tcPr>
            <w:tcW w:w="8494" w:type="dxa"/>
            <w:gridSpan w:val="6"/>
            <w:shd w:val="clear" w:color="auto" w:fill="auto"/>
            <w:vAlign w:val="center"/>
          </w:tcPr>
          <w:p>
            <w:pPr>
              <w:pStyle w:val="14"/>
              <w:jc w:val="right"/>
              <w:rPr>
                <w:vanish w:val="0"/>
              </w:rPr>
            </w:pPr>
            <w:r>
              <w:rPr>
                <w:rFonts w:ascii="Courier New" w:hAnsi="Courier New" w:eastAsia="Courier New" w:cs="Courier New"/>
                <w:sz w:val="24"/>
              </w:rPr>
              <w:t>公开02表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7841" w:type="dxa"/>
            <w:gridSpan w:val="3"/>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8494" w:type="dxa"/>
            <w:gridSpan w:val="6"/>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604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179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本年收入合计</w:t>
            </w:r>
          </w:p>
        </w:tc>
        <w:tc>
          <w:tcPr>
            <w:tcW w:w="179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财政拨款收入</w:t>
            </w:r>
          </w:p>
        </w:tc>
        <w:tc>
          <w:tcPr>
            <w:tcW w:w="114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上级补助收入</w:t>
            </w:r>
          </w:p>
        </w:tc>
        <w:tc>
          <w:tcPr>
            <w:tcW w:w="147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事业收入</w:t>
            </w:r>
          </w:p>
        </w:tc>
        <w:tc>
          <w:tcPr>
            <w:tcW w:w="130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经营收入</w:t>
            </w:r>
          </w:p>
        </w:tc>
        <w:tc>
          <w:tcPr>
            <w:tcW w:w="130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附属单位上缴收入</w:t>
            </w:r>
          </w:p>
        </w:tc>
        <w:tc>
          <w:tcPr>
            <w:tcW w:w="147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其他收入</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47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功能分类科目编码</w:t>
            </w:r>
          </w:p>
        </w:tc>
        <w:tc>
          <w:tcPr>
            <w:tcW w:w="457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科目名称</w:t>
            </w: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14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47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30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30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47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470"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457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14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47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30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30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47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604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7</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604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2077.63</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2077.63</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2013803</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机关服务</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1052.50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1052.50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2013804</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市场主体管理</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35.00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35.00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2013850</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事业运行</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758.83</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758.83</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2013899</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其他市场监督管理事务</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7.00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2050803</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培训支出</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2080502</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事业单位离退休</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31.00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31.00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2080505</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机关事业单位基本养老保险缴费支出</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71.00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71.00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2089999</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其他社会保障和就业支出</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4.00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4.00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2101102</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事业单位医疗</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20.00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2210201</w:t>
            </w:r>
          </w:p>
        </w:tc>
        <w:tc>
          <w:tcPr>
            <w:tcW w:w="4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住房公积金</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79.00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79.00</w:t>
            </w:r>
          </w:p>
        </w:tc>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5" w:type="dxa"/>
            <w:gridSpan w:val="9"/>
            <w:tcBorders>
              <w:top w:val="single" w:color="auto" w:sz="6" w:space="0"/>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注：本表反映</w:t>
            </w:r>
            <w:r>
              <w:rPr>
                <w:rFonts w:hint="eastAsia" w:ascii="Courier New" w:hAnsi="Courier New" w:eastAsia="宋体" w:cs="Courier New"/>
                <w:sz w:val="24"/>
                <w:lang w:eastAsia="zh-CN"/>
              </w:rPr>
              <w:t>单位</w:t>
            </w:r>
            <w:r>
              <w:rPr>
                <w:rFonts w:ascii="Courier New" w:hAnsi="Courier New" w:eastAsia="Courier New" w:cs="Courier New"/>
                <w:sz w:val="24"/>
              </w:rPr>
              <w:t>本年度取得的各项收入情况。</w:t>
            </w:r>
          </w:p>
        </w:tc>
      </w:tr>
    </w:tbl>
    <w:p>
      <w:pPr>
        <w:pStyle w:val="5"/>
        <w:rPr>
          <w:vanish w:val="0"/>
        </w:rPr>
      </w:pPr>
      <w:r>
        <w:br w:type="page"/>
      </w:r>
    </w:p>
    <w:tbl>
      <w:tblPr>
        <w:tblStyle w:val="9"/>
        <w:tblW w:w="16335" w:type="dxa"/>
        <w:jc w:val="center"/>
        <w:tblInd w:w="0" w:type="dxa"/>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1306"/>
        <w:gridCol w:w="4737"/>
        <w:gridCol w:w="1797"/>
        <w:gridCol w:w="1797"/>
        <w:gridCol w:w="1797"/>
        <w:gridCol w:w="1470"/>
        <w:gridCol w:w="1307"/>
        <w:gridCol w:w="2124"/>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Ex>
        <w:trPr>
          <w:jc w:val="center"/>
        </w:trPr>
        <w:tc>
          <w:tcPr>
            <w:tcW w:w="16335" w:type="dxa"/>
            <w:gridSpan w:val="8"/>
            <w:tcBorders>
              <w:top w:val="outset" w:color="C0C0C0" w:sz="6" w:space="0"/>
              <w:left w:val="outset" w:color="C0C0C0" w:sz="6" w:space="0"/>
              <w:right w:val="outset" w:color="C0C0C0" w:sz="6" w:space="0"/>
            </w:tcBorders>
            <w:shd w:val="clear" w:color="auto" w:fill="auto"/>
            <w:vAlign w:val="center"/>
          </w:tcPr>
          <w:p>
            <w:pPr>
              <w:pStyle w:val="15"/>
              <w:jc w:val="center"/>
              <w:rPr>
                <w:vanish w:val="0"/>
              </w:rPr>
            </w:pPr>
            <w:r>
              <w:rPr>
                <w:rFonts w:ascii="宋体" w:hAnsi="宋体" w:eastAsia="宋体" w:cs="宋体"/>
                <w:sz w:val="36"/>
              </w:rPr>
              <w:t>支出决算表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6043" w:type="dxa"/>
            <w:gridSpan w:val="2"/>
            <w:tcBorders>
              <w:left w:val="outset" w:color="C0C0C0" w:sz="6" w:space="0"/>
            </w:tcBorders>
            <w:shd w:val="clear" w:color="auto" w:fill="auto"/>
            <w:vAlign w:val="center"/>
          </w:tcPr>
          <w:p/>
        </w:tc>
        <w:tc>
          <w:tcPr>
            <w:tcW w:w="10292" w:type="dxa"/>
            <w:gridSpan w:val="6"/>
            <w:shd w:val="clear" w:color="auto" w:fill="auto"/>
            <w:vAlign w:val="center"/>
          </w:tcPr>
          <w:p>
            <w:pPr>
              <w:pStyle w:val="16"/>
              <w:jc w:val="right"/>
              <w:rPr>
                <w:vanish w:val="0"/>
              </w:rPr>
            </w:pPr>
            <w:r>
              <w:rPr>
                <w:rFonts w:ascii="Courier New" w:hAnsi="Courier New" w:eastAsia="Courier New" w:cs="Courier New"/>
                <w:sz w:val="24"/>
              </w:rPr>
              <w:t>公开03表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6043" w:type="dxa"/>
            <w:gridSpan w:val="2"/>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10292" w:type="dxa"/>
            <w:gridSpan w:val="6"/>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6043"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179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本年支出合计</w:t>
            </w:r>
          </w:p>
        </w:tc>
        <w:tc>
          <w:tcPr>
            <w:tcW w:w="179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基本支出</w:t>
            </w:r>
          </w:p>
        </w:tc>
        <w:tc>
          <w:tcPr>
            <w:tcW w:w="179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项目支出</w:t>
            </w:r>
          </w:p>
        </w:tc>
        <w:tc>
          <w:tcPr>
            <w:tcW w:w="147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上缴上级支出</w:t>
            </w:r>
          </w:p>
        </w:tc>
        <w:tc>
          <w:tcPr>
            <w:tcW w:w="130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经营支出</w:t>
            </w:r>
          </w:p>
        </w:tc>
        <w:tc>
          <w:tcPr>
            <w:tcW w:w="212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对附属单位补助支出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306"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功能分类科目编码</w:t>
            </w:r>
          </w:p>
        </w:tc>
        <w:tc>
          <w:tcPr>
            <w:tcW w:w="473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科目名称</w:t>
            </w: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47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30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212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306"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473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470"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30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212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6043"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6043"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1924.50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866.34</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1058.16</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2013803</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机关服务</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1030.72</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1030.72</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2013804</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市场主体管理</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26.77</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26.77</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2013850</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事业运行</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668.56</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668.56</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2013899</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其他市场监督管理事务</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0.68</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0.68</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2050803</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培训支出</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2080502</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事业单位离退休</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22.94</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22.94</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2080505</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机关事业单位基本养老保险缴费支出</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67.59</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67.59</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2089999</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其他社会保障和就业支出</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3.25</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3.25</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2101102</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事业单位医疗</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30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2210201</w:t>
            </w:r>
          </w:p>
        </w:tc>
        <w:tc>
          <w:tcPr>
            <w:tcW w:w="473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住房公积金</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69.69</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69.69</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47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5" w:type="dxa"/>
            <w:gridSpan w:val="8"/>
            <w:tcBorders>
              <w:top w:val="single" w:color="auto" w:sz="6" w:space="0"/>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注：本表反映</w:t>
            </w:r>
            <w:r>
              <w:rPr>
                <w:rFonts w:hint="eastAsia" w:ascii="Courier New" w:hAnsi="Courier New" w:eastAsia="宋体" w:cs="Courier New"/>
                <w:sz w:val="24"/>
                <w:lang w:eastAsia="zh-CN"/>
              </w:rPr>
              <w:t>单位</w:t>
            </w:r>
            <w:r>
              <w:rPr>
                <w:rFonts w:ascii="Courier New" w:hAnsi="Courier New" w:eastAsia="Courier New" w:cs="Courier New"/>
                <w:sz w:val="24"/>
              </w:rPr>
              <w:t>本年度各项支出情况。</w:t>
            </w:r>
          </w:p>
        </w:tc>
      </w:tr>
    </w:tbl>
    <w:p>
      <w:pPr>
        <w:pStyle w:val="5"/>
        <w:rPr>
          <w:vanish w:val="0"/>
        </w:rPr>
      </w:pPr>
      <w:r>
        <w:br w:type="page"/>
      </w:r>
    </w:p>
    <w:tbl>
      <w:tblPr>
        <w:tblStyle w:val="9"/>
        <w:tblW w:w="16335" w:type="dxa"/>
        <w:jc w:val="center"/>
        <w:tblInd w:w="0" w:type="dxa"/>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3584"/>
        <w:gridCol w:w="505"/>
        <w:gridCol w:w="1460"/>
        <w:gridCol w:w="3910"/>
        <w:gridCol w:w="643"/>
        <w:gridCol w:w="1460"/>
        <w:gridCol w:w="1624"/>
        <w:gridCol w:w="1574"/>
        <w:gridCol w:w="1575"/>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Ex>
        <w:trPr>
          <w:jc w:val="center"/>
        </w:trPr>
        <w:tc>
          <w:tcPr>
            <w:tcW w:w="16335" w:type="dxa"/>
            <w:gridSpan w:val="9"/>
            <w:tcBorders>
              <w:top w:val="outset" w:color="C0C0C0" w:sz="6" w:space="0"/>
              <w:left w:val="outset" w:color="C0C0C0" w:sz="6" w:space="0"/>
              <w:right w:val="outset" w:color="C0C0C0" w:sz="6" w:space="0"/>
            </w:tcBorders>
            <w:shd w:val="clear" w:color="auto" w:fill="auto"/>
            <w:vAlign w:val="center"/>
          </w:tcPr>
          <w:p>
            <w:pPr>
              <w:pStyle w:val="17"/>
              <w:jc w:val="center"/>
              <w:rPr>
                <w:vanish w:val="0"/>
              </w:rPr>
            </w:pPr>
            <w:r>
              <w:rPr>
                <w:rFonts w:ascii="宋体" w:hAnsi="宋体" w:eastAsia="宋体" w:cs="宋体"/>
                <w:sz w:val="36"/>
              </w:rPr>
              <w:t>财政拨款收入支出决算总表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9459" w:type="dxa"/>
            <w:gridSpan w:val="4"/>
            <w:tcBorders>
              <w:left w:val="outset" w:color="C0C0C0" w:sz="6" w:space="0"/>
            </w:tcBorders>
            <w:shd w:val="clear" w:color="auto" w:fill="auto"/>
            <w:vAlign w:val="center"/>
          </w:tcPr>
          <w:p/>
        </w:tc>
        <w:tc>
          <w:tcPr>
            <w:tcW w:w="6876" w:type="dxa"/>
            <w:gridSpan w:val="5"/>
            <w:shd w:val="clear" w:color="auto" w:fill="auto"/>
            <w:vAlign w:val="center"/>
          </w:tcPr>
          <w:p>
            <w:pPr>
              <w:pStyle w:val="18"/>
              <w:jc w:val="right"/>
              <w:rPr>
                <w:vanish w:val="0"/>
              </w:rPr>
            </w:pPr>
            <w:r>
              <w:rPr>
                <w:rFonts w:ascii="Courier New" w:hAnsi="Courier New" w:eastAsia="Courier New" w:cs="Courier New"/>
                <w:sz w:val="24"/>
              </w:rPr>
              <w:t>公开04表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9459" w:type="dxa"/>
            <w:gridSpan w:val="4"/>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6876" w:type="dxa"/>
            <w:gridSpan w:val="5"/>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5549"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收入</w:t>
            </w:r>
          </w:p>
        </w:tc>
        <w:tc>
          <w:tcPr>
            <w:tcW w:w="10786" w:type="dxa"/>
            <w:gridSpan w:val="6"/>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支出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505"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行次</w:t>
            </w:r>
          </w:p>
        </w:tc>
        <w:tc>
          <w:tcPr>
            <w:tcW w:w="146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金额</w:t>
            </w:r>
          </w:p>
        </w:tc>
        <w:tc>
          <w:tcPr>
            <w:tcW w:w="391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64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行次</w:t>
            </w:r>
          </w:p>
        </w:tc>
        <w:tc>
          <w:tcPr>
            <w:tcW w:w="146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162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一般公共预算财政拨款</w:t>
            </w:r>
          </w:p>
        </w:tc>
        <w:tc>
          <w:tcPr>
            <w:tcW w:w="157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政府性基金预算财政拨款</w:t>
            </w:r>
          </w:p>
        </w:tc>
        <w:tc>
          <w:tcPr>
            <w:tcW w:w="1575"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国有资本经营预算财政拨款</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505"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460"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910"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643"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460"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62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57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575"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505"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tc>
        <w:tc>
          <w:tcPr>
            <w:tcW w:w="146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391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64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tc>
        <w:tc>
          <w:tcPr>
            <w:tcW w:w="1460"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162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c>
          <w:tcPr>
            <w:tcW w:w="157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w:t>
            </w:r>
          </w:p>
        </w:tc>
        <w:tc>
          <w:tcPr>
            <w:tcW w:w="1575"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505"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460"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910"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643"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460"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62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57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575"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一、一般公共预算财政拨款</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2077.63</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一、一般公共服务支出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33</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1726.72</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1726.72</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二、政府性基金预算财政拨款</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二、外交支出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34</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三、国有资本经营预算财政拨款</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三、国防支出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35</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四、公共安全支出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36</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五、教育支出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37</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六、科学技术支出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38</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7</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七、文化旅游体育与传媒支出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39</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8</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八、社会保障和就业支出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40</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93.79</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93.79</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9</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九、卫生健康支出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41</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10</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十、节能环保支出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42</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11</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十一、城乡社区支出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43</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12</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十二、农林水支出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44</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13</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十三、交通运输支出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45</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14</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十四、资源勘探工业信息等支出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46</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15</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十五、商业服务业等支出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47</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16</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十六、金融支出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48</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17</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十七、援助其他地区支出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49</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18</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十八、自然资源海洋气象等支出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50</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19</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十九、住房保障支出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51</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69.69</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69.69</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20</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二十、粮油物资储备支出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52</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21</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二十一、国有资本经营预算支出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53</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22</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二十二、灾害防治及应急管理支出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54</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23</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二十三、其他支出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55</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24</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二十四、债务还本支出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56</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25</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二十五、债务付息支出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57</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26</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二十六、抗疫特别国债安排的支出</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58</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本年收入合计</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27</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2077.63</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本年支出合计</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59</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1924.50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1924.50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年初财政拨款结转和结余</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28</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1.44</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年末财政拨款结转和结余</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60</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154.57</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154.57</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一般公共预算财政拨款</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29</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1.44</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61</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政府性基金预算财政拨款</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30</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62</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国有资本经营预算财政拨款</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31</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63</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358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总计</w:t>
            </w:r>
          </w:p>
        </w:tc>
        <w:tc>
          <w:tcPr>
            <w:tcW w:w="50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32</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2079.07</w:t>
            </w:r>
          </w:p>
        </w:tc>
        <w:tc>
          <w:tcPr>
            <w:tcW w:w="391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总计</w:t>
            </w:r>
          </w:p>
        </w:tc>
        <w:tc>
          <w:tcPr>
            <w:tcW w:w="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64</w:t>
            </w:r>
          </w:p>
        </w:tc>
        <w:tc>
          <w:tcPr>
            <w:tcW w:w="146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2079.07</w:t>
            </w:r>
          </w:p>
        </w:tc>
        <w:tc>
          <w:tcPr>
            <w:tcW w:w="16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2079.07</w:t>
            </w:r>
          </w:p>
        </w:tc>
        <w:tc>
          <w:tcPr>
            <w:tcW w:w="157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57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5" w:type="dxa"/>
            <w:gridSpan w:val="9"/>
            <w:tcBorders>
              <w:top w:val="single" w:color="auto" w:sz="6" w:space="0"/>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注：本表反映</w:t>
            </w:r>
            <w:r>
              <w:rPr>
                <w:rFonts w:hint="eastAsia" w:ascii="Courier New" w:hAnsi="Courier New" w:eastAsia="宋体" w:cs="Courier New"/>
                <w:sz w:val="24"/>
                <w:lang w:eastAsia="zh-CN"/>
              </w:rPr>
              <w:t>单位</w:t>
            </w:r>
            <w:r>
              <w:rPr>
                <w:rFonts w:ascii="Courier New" w:hAnsi="Courier New" w:eastAsia="Courier New" w:cs="Courier New"/>
                <w:sz w:val="24"/>
              </w:rPr>
              <w:t>本年度一般公共预算财政拨款、政府性基金预算财政拨款和国有资本经营预算财政拨款的总收支和年末结转结余情况。</w:t>
            </w:r>
          </w:p>
        </w:tc>
      </w:tr>
    </w:tbl>
    <w:p>
      <w:pPr>
        <w:pStyle w:val="5"/>
        <w:rPr>
          <w:vanish w:val="0"/>
        </w:rPr>
      </w:pPr>
      <w:r>
        <w:br w:type="page"/>
      </w:r>
    </w:p>
    <w:tbl>
      <w:tblPr>
        <w:tblStyle w:val="9"/>
        <w:tblW w:w="16335" w:type="dxa"/>
        <w:jc w:val="center"/>
        <w:tblInd w:w="0" w:type="dxa"/>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1633"/>
        <w:gridCol w:w="4901"/>
        <w:gridCol w:w="3267"/>
        <w:gridCol w:w="3267"/>
        <w:gridCol w:w="3267"/>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Ex>
        <w:trPr>
          <w:jc w:val="center"/>
        </w:trPr>
        <w:tc>
          <w:tcPr>
            <w:tcW w:w="16335" w:type="dxa"/>
            <w:gridSpan w:val="5"/>
            <w:tcBorders>
              <w:top w:val="outset" w:color="C0C0C0" w:sz="6" w:space="0"/>
              <w:left w:val="outset" w:color="C0C0C0" w:sz="6" w:space="0"/>
              <w:right w:val="outset" w:color="C0C0C0" w:sz="6" w:space="0"/>
            </w:tcBorders>
            <w:shd w:val="clear" w:color="auto" w:fill="auto"/>
            <w:vAlign w:val="center"/>
          </w:tcPr>
          <w:p>
            <w:pPr>
              <w:pStyle w:val="19"/>
              <w:jc w:val="center"/>
              <w:rPr>
                <w:vanish w:val="0"/>
              </w:rPr>
            </w:pPr>
            <w:r>
              <w:rPr>
                <w:rFonts w:ascii="宋体" w:hAnsi="宋体" w:eastAsia="宋体" w:cs="宋体"/>
                <w:sz w:val="36"/>
              </w:rPr>
              <w:t>一般公共预算财政拨款支出决算表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6534" w:type="dxa"/>
            <w:gridSpan w:val="2"/>
            <w:tcBorders>
              <w:left w:val="outset" w:color="C0C0C0" w:sz="6" w:space="0"/>
            </w:tcBorders>
            <w:shd w:val="clear" w:color="auto" w:fill="auto"/>
            <w:vAlign w:val="center"/>
          </w:tcPr>
          <w:p/>
        </w:tc>
        <w:tc>
          <w:tcPr>
            <w:tcW w:w="9801" w:type="dxa"/>
            <w:gridSpan w:val="3"/>
            <w:shd w:val="clear" w:color="auto" w:fill="auto"/>
            <w:vAlign w:val="center"/>
          </w:tcPr>
          <w:p>
            <w:pPr>
              <w:pStyle w:val="20"/>
              <w:jc w:val="right"/>
              <w:rPr>
                <w:vanish w:val="0"/>
              </w:rPr>
            </w:pPr>
            <w:r>
              <w:rPr>
                <w:rFonts w:ascii="Courier New" w:hAnsi="Courier New" w:eastAsia="Courier New" w:cs="Courier New"/>
                <w:sz w:val="24"/>
              </w:rPr>
              <w:t>公开05表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6534" w:type="dxa"/>
            <w:gridSpan w:val="2"/>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9801" w:type="dxa"/>
            <w:gridSpan w:val="3"/>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653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9801"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本年支出合计</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功能分类科目编码</w:t>
            </w:r>
          </w:p>
        </w:tc>
        <w:tc>
          <w:tcPr>
            <w:tcW w:w="4901"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科目名称</w:t>
            </w:r>
          </w:p>
        </w:tc>
        <w:tc>
          <w:tcPr>
            <w:tcW w:w="326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小计</w:t>
            </w:r>
          </w:p>
        </w:tc>
        <w:tc>
          <w:tcPr>
            <w:tcW w:w="326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基本支出</w:t>
            </w:r>
          </w:p>
        </w:tc>
        <w:tc>
          <w:tcPr>
            <w:tcW w:w="326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项目支出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4901"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4901"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653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653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1924.50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866.34</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1058.16</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2013803</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机关服务</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1030.72</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1030.72</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2013804</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市场主体管理</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26.77</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26.77</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2013850</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事业运行</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668.56</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668.56</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2013899</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其他市场监督管理事务</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0.68</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0.68</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2050803</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培训支出</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2080502</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事业单位离退休</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22.94</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22.94</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2080505</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机关事业单位基本养老保险缴费支出</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67.59</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67.59</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2089999</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其他社会保障和就业支出</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3.25</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3.25</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2101102</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事业单位医疗</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2210201</w:t>
            </w: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住房公积金</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69.69</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69.69</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5" w:type="dxa"/>
            <w:gridSpan w:val="5"/>
            <w:tcBorders>
              <w:top w:val="single" w:color="auto" w:sz="6" w:space="0"/>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注：本表反映</w:t>
            </w:r>
            <w:r>
              <w:rPr>
                <w:rFonts w:hint="eastAsia" w:ascii="Courier New" w:hAnsi="Courier New" w:eastAsia="宋体" w:cs="Courier New"/>
                <w:sz w:val="24"/>
                <w:lang w:eastAsia="zh-CN"/>
              </w:rPr>
              <w:t>单位</w:t>
            </w:r>
            <w:r>
              <w:rPr>
                <w:rFonts w:ascii="Courier New" w:hAnsi="Courier New" w:eastAsia="Courier New" w:cs="Courier New"/>
                <w:sz w:val="24"/>
              </w:rPr>
              <w:t>本年度一般公共预算财政拨款支出情况。</w:t>
            </w:r>
          </w:p>
        </w:tc>
      </w:tr>
    </w:tbl>
    <w:p>
      <w:pPr>
        <w:pStyle w:val="5"/>
        <w:rPr>
          <w:vanish w:val="0"/>
        </w:rPr>
      </w:pPr>
      <w:r>
        <w:br w:type="page"/>
      </w:r>
    </w:p>
    <w:tbl>
      <w:tblPr>
        <w:tblStyle w:val="9"/>
        <w:tblW w:w="16335" w:type="dxa"/>
        <w:jc w:val="center"/>
        <w:tblInd w:w="0" w:type="dxa"/>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1143"/>
        <w:gridCol w:w="3594"/>
        <w:gridCol w:w="1388"/>
        <w:gridCol w:w="947"/>
        <w:gridCol w:w="2532"/>
        <w:gridCol w:w="1307"/>
        <w:gridCol w:w="1094"/>
        <w:gridCol w:w="3104"/>
        <w:gridCol w:w="1226"/>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Ex>
        <w:trPr>
          <w:jc w:val="center"/>
        </w:trPr>
        <w:tc>
          <w:tcPr>
            <w:tcW w:w="16335" w:type="dxa"/>
            <w:gridSpan w:val="9"/>
            <w:tcBorders>
              <w:top w:val="outset" w:color="C0C0C0" w:sz="6" w:space="0"/>
              <w:left w:val="outset" w:color="C0C0C0" w:sz="6" w:space="0"/>
              <w:right w:val="outset" w:color="C0C0C0" w:sz="6" w:space="0"/>
            </w:tcBorders>
            <w:shd w:val="clear" w:color="auto" w:fill="auto"/>
            <w:vAlign w:val="center"/>
          </w:tcPr>
          <w:p>
            <w:pPr>
              <w:pStyle w:val="21"/>
              <w:jc w:val="center"/>
              <w:rPr>
                <w:vanish w:val="0"/>
              </w:rPr>
            </w:pPr>
            <w:r>
              <w:rPr>
                <w:rFonts w:ascii="宋体" w:hAnsi="宋体" w:eastAsia="宋体" w:cs="宋体"/>
                <w:sz w:val="36"/>
              </w:rPr>
              <w:t>一般公共预算财政拨款基本支出决算明细表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6125" w:type="dxa"/>
            <w:gridSpan w:val="3"/>
            <w:tcBorders>
              <w:left w:val="outset" w:color="C0C0C0" w:sz="6" w:space="0"/>
            </w:tcBorders>
            <w:shd w:val="clear" w:color="auto" w:fill="auto"/>
            <w:vAlign w:val="center"/>
          </w:tcPr>
          <w:p/>
        </w:tc>
        <w:tc>
          <w:tcPr>
            <w:tcW w:w="10210" w:type="dxa"/>
            <w:gridSpan w:val="6"/>
            <w:shd w:val="clear" w:color="auto" w:fill="auto"/>
            <w:vAlign w:val="center"/>
          </w:tcPr>
          <w:p>
            <w:pPr>
              <w:pStyle w:val="22"/>
              <w:jc w:val="right"/>
              <w:rPr>
                <w:vanish w:val="0"/>
              </w:rPr>
            </w:pPr>
            <w:r>
              <w:rPr>
                <w:rFonts w:ascii="Courier New" w:hAnsi="Courier New" w:eastAsia="Courier New" w:cs="Courier New"/>
                <w:sz w:val="24"/>
              </w:rPr>
              <w:t>公开06表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6125" w:type="dxa"/>
            <w:gridSpan w:val="3"/>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10210" w:type="dxa"/>
            <w:gridSpan w:val="6"/>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6125"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人员经费</w:t>
            </w:r>
          </w:p>
        </w:tc>
        <w:tc>
          <w:tcPr>
            <w:tcW w:w="10210" w:type="dxa"/>
            <w:gridSpan w:val="6"/>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公用经费</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经济分类科目编码</w:t>
            </w:r>
          </w:p>
        </w:tc>
        <w:tc>
          <w:tcPr>
            <w:tcW w:w="359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科目名称</w:t>
            </w:r>
          </w:p>
        </w:tc>
        <w:tc>
          <w:tcPr>
            <w:tcW w:w="1388"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决算数</w:t>
            </w:r>
          </w:p>
        </w:tc>
        <w:tc>
          <w:tcPr>
            <w:tcW w:w="94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经济分类科目编码</w:t>
            </w:r>
          </w:p>
        </w:tc>
        <w:tc>
          <w:tcPr>
            <w:tcW w:w="2532"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科目名称</w:t>
            </w:r>
          </w:p>
        </w:tc>
        <w:tc>
          <w:tcPr>
            <w:tcW w:w="130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决算数</w:t>
            </w:r>
          </w:p>
        </w:tc>
        <w:tc>
          <w:tcPr>
            <w:tcW w:w="109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经济分类科目编码</w:t>
            </w:r>
          </w:p>
        </w:tc>
        <w:tc>
          <w:tcPr>
            <w:tcW w:w="310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科目名称</w:t>
            </w:r>
          </w:p>
        </w:tc>
        <w:tc>
          <w:tcPr>
            <w:tcW w:w="1226"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决算数</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59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388"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94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2532"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30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09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10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226"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工资福利支出</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738.74</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商品和服务支出</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103.27</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307</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债务利息及费用支出</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30101</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基本工资</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164.88</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30201</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办公费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5.28</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30701</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国内债务付息</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30102</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津贴补贴</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56.00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30202</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印刷费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30702</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国外债务付息</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30103</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奖金</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30203</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咨询费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资本性支出</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1.39</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30106</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伙食补助费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40.90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30204</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手续费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31001</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房屋建筑物购建</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30107</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绩效工资</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270.15</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30205</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水费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31002</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办公设备购置</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1.39</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30108</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机关事业单位基本养老保险缴费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67.59</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30206</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电费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31003</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专用设备购置</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30109</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职业年金缴费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30207</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邮电费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31005</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基础设施建设</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30110</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职工基本医疗保险缴费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15.00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30208</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取暖费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31006</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大型修缮</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30111</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公务员医疗补助缴费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30209</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物业管理费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31007</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信息网络及软件购置更新</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30112</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其他社会保障缴费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3.25</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30211</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差旅费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5.59</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31008</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物资储备</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30113</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住房公积金</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69.69</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30212</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因公出国（境）费用</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6.30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31009</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土地补偿</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30114</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医疗费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30213</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维修（护）费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31010</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安置补助</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30199</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其他工资福利支出</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51.27</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30214</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租赁费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31011</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地上附着物和青苗补偿</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对个人和家庭的补助</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22.94</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30215</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会议费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1.74</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31012</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拆迁补偿</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30301</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离休费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30216</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培训费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19.30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31013</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公务用车购置</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30302</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退休费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22.00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30217</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公务接待费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0.30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31019</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其他交通工具购置</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30303</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退职（役）费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30218</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专用材料费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31021</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文物和陈列品购置</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30304</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抚恤金</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30224</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被装购置费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31022</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无形资产购置</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30305</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生活补助</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30225</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专用燃料费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31099</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其他资本性支出</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30306</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救济费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30226</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劳务费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399</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其他支出</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30307</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医疗费补助</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30227</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委托业务费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39907</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国家赔偿费用支出</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30308</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助学金</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30228</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工会经费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56.00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39908</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对民间非营利组织和群众性自治组织补贴</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30309</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奖励金</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30229</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福利费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39909</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经常性赠与</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30310</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个人农业生产补贴</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30231</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公务用车运行维护费</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2.57</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39910</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资本性赠与</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30311</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代缴社会保险费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30239</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其他交通费用</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1.00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39999</w:t>
            </w: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其他支出</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30399</w:t>
            </w: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其他对个人和家庭的补助</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0.94</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30240</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税金及附加费用</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143"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359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9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30299</w:t>
            </w:r>
          </w:p>
        </w:tc>
        <w:tc>
          <w:tcPr>
            <w:tcW w:w="2532"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left"/>
              <w:rPr>
                <w:vanish w:val="0"/>
              </w:rPr>
            </w:pPr>
            <w:r>
              <w:rPr>
                <w:rFonts w:ascii="Courier New" w:hAnsi="Courier New" w:eastAsia="Courier New" w:cs="Courier New"/>
                <w:sz w:val="24"/>
              </w:rPr>
              <w:t>其他商品和服务支出</w:t>
            </w:r>
          </w:p>
        </w:tc>
        <w:tc>
          <w:tcPr>
            <w:tcW w:w="130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5.19</w:t>
            </w:r>
          </w:p>
        </w:tc>
        <w:tc>
          <w:tcPr>
            <w:tcW w:w="109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3104"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73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人员经费</w:t>
            </w:r>
          </w:p>
        </w:tc>
        <w:tc>
          <w:tcPr>
            <w:tcW w:w="138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761.68</w:t>
            </w:r>
          </w:p>
        </w:tc>
        <w:tc>
          <w:tcPr>
            <w:tcW w:w="8984" w:type="dxa"/>
            <w:gridSpan w:val="5"/>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公用经费</w:t>
            </w:r>
          </w:p>
        </w:tc>
        <w:tc>
          <w:tcPr>
            <w:tcW w:w="122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104.66</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5" w:type="dxa"/>
            <w:gridSpan w:val="9"/>
            <w:tcBorders>
              <w:top w:val="single" w:color="auto" w:sz="6" w:space="0"/>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注：本表反映</w:t>
            </w:r>
            <w:r>
              <w:rPr>
                <w:rFonts w:hint="eastAsia" w:ascii="Courier New" w:hAnsi="Courier New" w:eastAsia="宋体" w:cs="Courier New"/>
                <w:sz w:val="24"/>
                <w:lang w:eastAsia="zh-CN"/>
              </w:rPr>
              <w:t>单位</w:t>
            </w:r>
            <w:r>
              <w:rPr>
                <w:rFonts w:ascii="Courier New" w:hAnsi="Courier New" w:eastAsia="Courier New" w:cs="Courier New"/>
                <w:sz w:val="24"/>
              </w:rPr>
              <w:t>本年度一般公共预算财政拨款基本支出明细情况。</w:t>
            </w:r>
          </w:p>
        </w:tc>
      </w:tr>
    </w:tbl>
    <w:p>
      <w:pPr>
        <w:pStyle w:val="5"/>
        <w:rPr>
          <w:vanish w:val="0"/>
        </w:rPr>
      </w:pPr>
      <w:r>
        <w:br w:type="page"/>
      </w:r>
    </w:p>
    <w:tbl>
      <w:tblPr>
        <w:tblStyle w:val="9"/>
        <w:tblW w:w="16335" w:type="dxa"/>
        <w:jc w:val="center"/>
        <w:tblInd w:w="0" w:type="dxa"/>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1633"/>
        <w:gridCol w:w="3266"/>
        <w:gridCol w:w="1633"/>
        <w:gridCol w:w="1634"/>
        <w:gridCol w:w="2124"/>
        <w:gridCol w:w="2124"/>
        <w:gridCol w:w="2124"/>
        <w:gridCol w:w="1797"/>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Ex>
        <w:trPr>
          <w:jc w:val="center"/>
        </w:trPr>
        <w:tc>
          <w:tcPr>
            <w:tcW w:w="16335" w:type="dxa"/>
            <w:gridSpan w:val="8"/>
            <w:tcBorders>
              <w:top w:val="outset" w:color="C0C0C0" w:sz="6" w:space="0"/>
              <w:left w:val="outset" w:color="C0C0C0" w:sz="6" w:space="0"/>
              <w:right w:val="outset" w:color="C0C0C0" w:sz="6" w:space="0"/>
            </w:tcBorders>
            <w:shd w:val="clear" w:color="auto" w:fill="auto"/>
            <w:vAlign w:val="center"/>
          </w:tcPr>
          <w:p>
            <w:pPr>
              <w:pStyle w:val="23"/>
              <w:jc w:val="center"/>
              <w:rPr>
                <w:vanish w:val="0"/>
              </w:rPr>
            </w:pPr>
            <w:r>
              <w:rPr>
                <w:rFonts w:ascii="宋体" w:hAnsi="宋体" w:eastAsia="宋体" w:cs="宋体"/>
                <w:sz w:val="36"/>
              </w:rPr>
              <w:t>政府性基金预算财政拨款收入支出决算表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6532" w:type="dxa"/>
            <w:gridSpan w:val="3"/>
            <w:tcBorders>
              <w:left w:val="outset" w:color="C0C0C0" w:sz="6" w:space="0"/>
            </w:tcBorders>
            <w:shd w:val="clear" w:color="auto" w:fill="auto"/>
            <w:vAlign w:val="center"/>
          </w:tcPr>
          <w:p/>
        </w:tc>
        <w:tc>
          <w:tcPr>
            <w:tcW w:w="9803" w:type="dxa"/>
            <w:gridSpan w:val="5"/>
            <w:shd w:val="clear" w:color="auto" w:fill="auto"/>
            <w:vAlign w:val="center"/>
          </w:tcPr>
          <w:p>
            <w:pPr>
              <w:pStyle w:val="24"/>
              <w:jc w:val="right"/>
              <w:rPr>
                <w:vanish w:val="0"/>
              </w:rPr>
            </w:pPr>
            <w:r>
              <w:rPr>
                <w:rFonts w:ascii="Courier New" w:hAnsi="Courier New" w:eastAsia="Courier New" w:cs="Courier New"/>
                <w:sz w:val="24"/>
              </w:rPr>
              <w:t>公开07表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6532" w:type="dxa"/>
            <w:gridSpan w:val="3"/>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9803" w:type="dxa"/>
            <w:gridSpan w:val="5"/>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9"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163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年初结转和结余</w:t>
            </w:r>
          </w:p>
        </w:tc>
        <w:tc>
          <w:tcPr>
            <w:tcW w:w="163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本年收入</w:t>
            </w:r>
          </w:p>
        </w:tc>
        <w:tc>
          <w:tcPr>
            <w:tcW w:w="6372"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本年支出</w:t>
            </w:r>
          </w:p>
        </w:tc>
        <w:tc>
          <w:tcPr>
            <w:tcW w:w="179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年末结转和结余</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科目代码</w:t>
            </w:r>
          </w:p>
        </w:tc>
        <w:tc>
          <w:tcPr>
            <w:tcW w:w="3266"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科目名称</w:t>
            </w:r>
          </w:p>
        </w:tc>
        <w:tc>
          <w:tcPr>
            <w:tcW w:w="163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63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212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小计</w:t>
            </w:r>
          </w:p>
        </w:tc>
        <w:tc>
          <w:tcPr>
            <w:tcW w:w="212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基本支出</w:t>
            </w:r>
          </w:p>
        </w:tc>
        <w:tc>
          <w:tcPr>
            <w:tcW w:w="212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项目支出</w:t>
            </w: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6"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633"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163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2124"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212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212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797"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9"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4899"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3266"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212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79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5" w:type="dxa"/>
            <w:gridSpan w:val="8"/>
            <w:tcBorders>
              <w:top w:val="single" w:color="auto" w:sz="6" w:space="0"/>
              <w:left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注：本表反映</w:t>
            </w:r>
            <w:r>
              <w:rPr>
                <w:rFonts w:hint="eastAsia" w:ascii="Courier New" w:hAnsi="Courier New" w:eastAsia="宋体" w:cs="Courier New"/>
                <w:sz w:val="24"/>
                <w:lang w:eastAsia="zh-CN"/>
              </w:rPr>
              <w:t>单位</w:t>
            </w:r>
            <w:r>
              <w:rPr>
                <w:rFonts w:ascii="Courier New" w:hAnsi="Courier New" w:eastAsia="Courier New" w:cs="Courier New"/>
                <w:sz w:val="24"/>
              </w:rPr>
              <w:t>本年度政府性基金预算财政拨款收入、支出及结转和结余情况。</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5" w:type="dxa"/>
            <w:gridSpan w:val="8"/>
            <w:tcBorders>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说明：我单位没有政府性基金收入，也没有使用政府性基金安排的支出，故本表无数据。</w:t>
            </w:r>
          </w:p>
        </w:tc>
      </w:tr>
    </w:tbl>
    <w:p>
      <w:pPr>
        <w:pStyle w:val="5"/>
        <w:rPr>
          <w:vanish w:val="0"/>
        </w:rPr>
      </w:pPr>
      <w:r>
        <w:br w:type="page"/>
      </w:r>
    </w:p>
    <w:tbl>
      <w:tblPr>
        <w:tblStyle w:val="9"/>
        <w:tblW w:w="16335" w:type="dxa"/>
        <w:jc w:val="center"/>
        <w:tblInd w:w="0" w:type="dxa"/>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1633"/>
        <w:gridCol w:w="4901"/>
        <w:gridCol w:w="3267"/>
        <w:gridCol w:w="3267"/>
        <w:gridCol w:w="3267"/>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Ex>
        <w:trPr>
          <w:jc w:val="center"/>
        </w:trPr>
        <w:tc>
          <w:tcPr>
            <w:tcW w:w="16335" w:type="dxa"/>
            <w:gridSpan w:val="5"/>
            <w:tcBorders>
              <w:top w:val="outset" w:color="C0C0C0" w:sz="6" w:space="0"/>
              <w:left w:val="outset" w:color="C0C0C0" w:sz="6" w:space="0"/>
              <w:right w:val="outset" w:color="C0C0C0" w:sz="6" w:space="0"/>
            </w:tcBorders>
            <w:shd w:val="clear" w:color="auto" w:fill="auto"/>
            <w:vAlign w:val="center"/>
          </w:tcPr>
          <w:p>
            <w:pPr>
              <w:pStyle w:val="25"/>
              <w:jc w:val="center"/>
              <w:rPr>
                <w:vanish w:val="0"/>
              </w:rPr>
            </w:pPr>
            <w:r>
              <w:rPr>
                <w:rFonts w:ascii="宋体" w:hAnsi="宋体" w:eastAsia="宋体" w:cs="宋体"/>
                <w:sz w:val="36"/>
              </w:rPr>
              <w:t>国有资本经营预算财政拨款支出决算表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6534" w:type="dxa"/>
            <w:gridSpan w:val="2"/>
            <w:tcBorders>
              <w:left w:val="outset" w:color="C0C0C0" w:sz="6" w:space="0"/>
            </w:tcBorders>
            <w:shd w:val="clear" w:color="auto" w:fill="auto"/>
            <w:vAlign w:val="center"/>
          </w:tcPr>
          <w:p/>
        </w:tc>
        <w:tc>
          <w:tcPr>
            <w:tcW w:w="9801" w:type="dxa"/>
            <w:gridSpan w:val="3"/>
            <w:shd w:val="clear" w:color="auto" w:fill="auto"/>
            <w:vAlign w:val="center"/>
          </w:tcPr>
          <w:p>
            <w:pPr>
              <w:pStyle w:val="26"/>
              <w:jc w:val="right"/>
              <w:rPr>
                <w:vanish w:val="0"/>
              </w:rPr>
            </w:pPr>
            <w:r>
              <w:rPr>
                <w:rFonts w:ascii="Courier New" w:hAnsi="Courier New" w:eastAsia="Courier New" w:cs="Courier New"/>
                <w:sz w:val="24"/>
              </w:rPr>
              <w:t>公开08表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6534" w:type="dxa"/>
            <w:gridSpan w:val="2"/>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9801" w:type="dxa"/>
            <w:gridSpan w:val="3"/>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653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w:t>
            </w:r>
          </w:p>
        </w:tc>
        <w:tc>
          <w:tcPr>
            <w:tcW w:w="9801"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本年支出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科目代码</w:t>
            </w:r>
          </w:p>
        </w:tc>
        <w:tc>
          <w:tcPr>
            <w:tcW w:w="4901"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科目名称</w:t>
            </w:r>
          </w:p>
        </w:tc>
        <w:tc>
          <w:tcPr>
            <w:tcW w:w="326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326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基本支出</w:t>
            </w:r>
          </w:p>
        </w:tc>
        <w:tc>
          <w:tcPr>
            <w:tcW w:w="326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项目支出</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4901"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c>
          <w:tcPr>
            <w:tcW w:w="3267" w:type="dxa"/>
            <w:vMerge w:val="continue"/>
            <w:tcBorders>
              <w:top w:val="single" w:color="auto" w:sz="2" w:space="0"/>
              <w:left w:val="single" w:color="auto" w:sz="2" w:space="0"/>
              <w:bottom w:val="single" w:color="auto" w:sz="2" w:space="0"/>
              <w:right w:val="single" w:color="auto" w:sz="2" w:space="0"/>
              <w:insideH w:val="nil"/>
              <w:insideV w:val="nil"/>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653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栏次</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653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4901" w:type="dxa"/>
            <w:tcBorders>
              <w:top w:val="single" w:color="auto" w:sz="2" w:space="0"/>
              <w:left w:val="single" w:color="auto" w:sz="2" w:space="0"/>
              <w:bottom w:val="single" w:color="auto" w:sz="2" w:space="0"/>
              <w:right w:val="single" w:color="auto" w:sz="2" w:space="0"/>
            </w:tcBorders>
            <w:shd w:val="clear" w:color="auto" w:fill="auto"/>
            <w:vAlign w:val="center"/>
          </w:tcP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326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5" w:type="dxa"/>
            <w:gridSpan w:val="5"/>
            <w:tcBorders>
              <w:top w:val="single" w:color="auto" w:sz="6" w:space="0"/>
              <w:left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注：本表反映</w:t>
            </w:r>
            <w:r>
              <w:rPr>
                <w:rFonts w:hint="eastAsia" w:ascii="Courier New" w:hAnsi="Courier New" w:eastAsia="宋体" w:cs="Courier New"/>
                <w:sz w:val="24"/>
                <w:lang w:eastAsia="zh-CN"/>
              </w:rPr>
              <w:t>单位</w:t>
            </w:r>
            <w:r>
              <w:rPr>
                <w:rFonts w:ascii="Courier New" w:hAnsi="Courier New" w:eastAsia="Courier New" w:cs="Courier New"/>
                <w:sz w:val="24"/>
              </w:rPr>
              <w:t>本年度国有资本经营预算财政拨款支出情况。</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5" w:type="dxa"/>
            <w:gridSpan w:val="5"/>
            <w:tcBorders>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Courier New" w:hAnsi="Courier New" w:eastAsia="Courier New" w:cs="Courier New"/>
                <w:sz w:val="24"/>
              </w:rPr>
              <w:t xml:space="preserve">说明：我单位没有使用国有资本经营预算安排的支出，故本表无数据。 </w:t>
            </w:r>
          </w:p>
        </w:tc>
      </w:tr>
    </w:tbl>
    <w:p>
      <w:pPr>
        <w:pStyle w:val="5"/>
        <w:rPr>
          <w:vanish w:val="0"/>
        </w:rPr>
      </w:pPr>
      <w:r>
        <w:br w:type="page"/>
      </w:r>
    </w:p>
    <w:tbl>
      <w:tblPr>
        <w:tblStyle w:val="9"/>
        <w:tblW w:w="16335" w:type="dxa"/>
        <w:jc w:val="center"/>
        <w:tblInd w:w="0" w:type="dxa"/>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
      <w:tblGrid>
        <w:gridCol w:w="1629"/>
        <w:gridCol w:w="1633"/>
        <w:gridCol w:w="977"/>
        <w:gridCol w:w="1140"/>
        <w:gridCol w:w="1147"/>
        <w:gridCol w:w="1643"/>
        <w:gridCol w:w="1634"/>
        <w:gridCol w:w="1634"/>
        <w:gridCol w:w="977"/>
        <w:gridCol w:w="1140"/>
        <w:gridCol w:w="1147"/>
        <w:gridCol w:w="1634"/>
      </w:tblGrid>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shd w:val="clear" w:color="auto" w:fill="auto"/>
          <w:tblLayout w:type="fixed"/>
          <w:tblCellMar>
            <w:top w:w="0" w:type="dxa"/>
            <w:left w:w="108" w:type="dxa"/>
            <w:bottom w:w="0" w:type="dxa"/>
            <w:right w:w="108" w:type="dxa"/>
          </w:tblCellMar>
        </w:tblPrEx>
        <w:trPr>
          <w:jc w:val="center"/>
        </w:trPr>
        <w:tc>
          <w:tcPr>
            <w:tcW w:w="16335" w:type="dxa"/>
            <w:gridSpan w:val="12"/>
            <w:tcBorders>
              <w:top w:val="outset" w:color="C0C0C0" w:sz="6" w:space="0"/>
              <w:left w:val="outset" w:color="C0C0C0" w:sz="6" w:space="0"/>
              <w:right w:val="outset" w:color="C0C0C0" w:sz="6" w:space="0"/>
            </w:tcBorders>
            <w:shd w:val="clear" w:color="auto" w:fill="auto"/>
            <w:vAlign w:val="center"/>
          </w:tcPr>
          <w:p>
            <w:pPr>
              <w:pStyle w:val="27"/>
              <w:jc w:val="center"/>
              <w:rPr>
                <w:vanish w:val="0"/>
              </w:rPr>
            </w:pPr>
            <w:r>
              <w:rPr>
                <w:rFonts w:ascii="宋体" w:hAnsi="宋体" w:eastAsia="宋体" w:cs="宋体"/>
                <w:sz w:val="36"/>
              </w:rPr>
              <w:t>财政拨款“三公”经费支出决算表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8169" w:type="dxa"/>
            <w:gridSpan w:val="6"/>
            <w:tcBorders>
              <w:left w:val="outset" w:color="C0C0C0" w:sz="6" w:space="0"/>
            </w:tcBorders>
            <w:shd w:val="clear" w:color="auto" w:fill="auto"/>
            <w:vAlign w:val="center"/>
          </w:tcPr>
          <w:p/>
        </w:tc>
        <w:tc>
          <w:tcPr>
            <w:tcW w:w="8166" w:type="dxa"/>
            <w:gridSpan w:val="6"/>
            <w:shd w:val="clear" w:color="auto" w:fill="auto"/>
            <w:vAlign w:val="center"/>
          </w:tcPr>
          <w:p>
            <w:pPr>
              <w:pStyle w:val="28"/>
              <w:jc w:val="right"/>
              <w:rPr>
                <w:vanish w:val="0"/>
              </w:rPr>
            </w:pPr>
            <w:r>
              <w:rPr>
                <w:rFonts w:ascii="Courier New" w:hAnsi="Courier New" w:eastAsia="Courier New" w:cs="Courier New"/>
                <w:sz w:val="24"/>
              </w:rPr>
              <w:t>公开09表</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8169" w:type="dxa"/>
            <w:gridSpan w:val="6"/>
            <w:tcBorders>
              <w:left w:val="outset" w:color="C0C0C0" w:sz="6" w:space="0"/>
              <w:bottom w:val="single" w:color="auto" w:sz="6" w:space="0"/>
            </w:tcBorders>
            <w:shd w:val="clear" w:color="auto" w:fill="auto"/>
            <w:vAlign w:val="center"/>
          </w:tcPr>
          <w:p>
            <w:pPr>
              <w:pStyle w:val="5"/>
              <w:jc w:val="left"/>
              <w:rPr>
                <w:vanish w:val="0"/>
              </w:rPr>
            </w:pPr>
            <w:r>
              <w:rPr>
                <w:rFonts w:hint="eastAsia" w:ascii="Courier New" w:hAnsi="Courier New" w:eastAsia="宋体" w:cs="Courier New"/>
                <w:sz w:val="24"/>
                <w:lang w:eastAsia="zh-CN"/>
              </w:rPr>
              <w:t>单位</w:t>
            </w:r>
            <w:r>
              <w:rPr>
                <w:rFonts w:ascii="Courier New" w:hAnsi="Courier New" w:eastAsia="Courier New" w:cs="Courier New"/>
                <w:sz w:val="24"/>
              </w:rPr>
              <w:t>：湖南省市场监管事务中心</w:t>
            </w:r>
          </w:p>
        </w:tc>
        <w:tc>
          <w:tcPr>
            <w:tcW w:w="8166" w:type="dxa"/>
            <w:gridSpan w:val="6"/>
            <w:tcBorders>
              <w:bottom w:val="single" w:color="auto" w:sz="6" w:space="0"/>
              <w:right w:val="outset" w:color="C0C0C0" w:sz="6" w:space="0"/>
            </w:tcBorders>
            <w:shd w:val="clear" w:color="auto" w:fill="auto"/>
            <w:vAlign w:val="center"/>
          </w:tcPr>
          <w:p>
            <w:pPr>
              <w:pStyle w:val="5"/>
              <w:jc w:val="right"/>
              <w:rPr>
                <w:vanish w:val="0"/>
              </w:rPr>
            </w:pPr>
            <w:r>
              <w:rPr>
                <w:rFonts w:ascii="Courier New" w:hAnsi="Courier New" w:eastAsia="Courier New" w:cs="Courier New"/>
                <w:sz w:val="24"/>
              </w:rPr>
              <w:t>金额单位：万元</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8169" w:type="dxa"/>
            <w:gridSpan w:val="6"/>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预算数</w:t>
            </w:r>
          </w:p>
        </w:tc>
        <w:tc>
          <w:tcPr>
            <w:tcW w:w="8166" w:type="dxa"/>
            <w:gridSpan w:val="6"/>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决算数</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29"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163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因公出国（境）费</w:t>
            </w:r>
          </w:p>
        </w:tc>
        <w:tc>
          <w:tcPr>
            <w:tcW w:w="3264"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公务用车购置及运行维护费</w:t>
            </w:r>
          </w:p>
        </w:tc>
        <w:tc>
          <w:tcPr>
            <w:tcW w:w="1643"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公务接待费</w:t>
            </w:r>
          </w:p>
        </w:tc>
        <w:tc>
          <w:tcPr>
            <w:tcW w:w="163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合计</w:t>
            </w:r>
          </w:p>
        </w:tc>
        <w:tc>
          <w:tcPr>
            <w:tcW w:w="163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因公出国（境）费</w:t>
            </w:r>
          </w:p>
        </w:tc>
        <w:tc>
          <w:tcPr>
            <w:tcW w:w="3264"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公务用车购置及运行维护费</w:t>
            </w:r>
          </w:p>
        </w:tc>
        <w:tc>
          <w:tcPr>
            <w:tcW w:w="1634"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公务接待费</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29"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63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97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小计</w:t>
            </w:r>
          </w:p>
        </w:tc>
        <w:tc>
          <w:tcPr>
            <w:tcW w:w="114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公务用车购置费</w:t>
            </w:r>
          </w:p>
        </w:tc>
        <w:tc>
          <w:tcPr>
            <w:tcW w:w="11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公务用车运行维护费</w:t>
            </w:r>
          </w:p>
        </w:tc>
        <w:tc>
          <w:tcPr>
            <w:tcW w:w="1643"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63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163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c>
          <w:tcPr>
            <w:tcW w:w="97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小计</w:t>
            </w:r>
          </w:p>
        </w:tc>
        <w:tc>
          <w:tcPr>
            <w:tcW w:w="114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公务用车购置费</w:t>
            </w:r>
          </w:p>
        </w:tc>
        <w:tc>
          <w:tcPr>
            <w:tcW w:w="11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公务用车运行维护费</w:t>
            </w:r>
          </w:p>
        </w:tc>
        <w:tc>
          <w:tcPr>
            <w:tcW w:w="1634"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29"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w:t>
            </w:r>
          </w:p>
        </w:tc>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2</w:t>
            </w:r>
          </w:p>
        </w:tc>
        <w:tc>
          <w:tcPr>
            <w:tcW w:w="97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3</w:t>
            </w:r>
          </w:p>
        </w:tc>
        <w:tc>
          <w:tcPr>
            <w:tcW w:w="114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4</w:t>
            </w:r>
          </w:p>
        </w:tc>
        <w:tc>
          <w:tcPr>
            <w:tcW w:w="11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5</w:t>
            </w:r>
          </w:p>
        </w:tc>
        <w:tc>
          <w:tcPr>
            <w:tcW w:w="1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6</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7</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8</w:t>
            </w:r>
          </w:p>
        </w:tc>
        <w:tc>
          <w:tcPr>
            <w:tcW w:w="97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9</w:t>
            </w:r>
          </w:p>
        </w:tc>
        <w:tc>
          <w:tcPr>
            <w:tcW w:w="114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10</w:t>
            </w:r>
          </w:p>
        </w:tc>
        <w:tc>
          <w:tcPr>
            <w:tcW w:w="11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11</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center"/>
              <w:rPr>
                <w:vanish w:val="0"/>
              </w:rPr>
            </w:pPr>
            <w:r>
              <w:rPr>
                <w:rFonts w:ascii="Courier New" w:hAnsi="Courier New" w:eastAsia="Courier New" w:cs="Courier New"/>
                <w:sz w:val="24"/>
              </w:rPr>
              <w:t>12</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29" w:type="dxa"/>
            <w:tcBorders>
              <w:top w:val="single" w:color="auto" w:sz="2" w:space="0"/>
              <w:left w:val="single" w:color="auto" w:sz="2" w:space="0"/>
              <w:bottom w:val="single" w:color="auto" w:sz="2" w:space="0"/>
              <w:right w:val="single" w:color="auto" w:sz="2"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35.00</w:t>
            </w:r>
          </w:p>
        </w:tc>
        <w:tc>
          <w:tcPr>
            <w:tcW w:w="163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rFonts w:hint="default" w:eastAsia="宋体"/>
                <w:vanish w:val="0"/>
                <w:lang w:val="en-US" w:eastAsia="zh-CN"/>
              </w:rPr>
            </w:pPr>
            <w:r>
              <w:rPr>
                <w:rFonts w:hint="eastAsia" w:ascii="Courier New" w:hAnsi="Courier New" w:eastAsia="宋体" w:cs="Courier New"/>
                <w:sz w:val="24"/>
                <w:lang w:val="en-US" w:eastAsia="zh-CN"/>
              </w:rPr>
              <w:t>0.00</w:t>
            </w:r>
          </w:p>
        </w:tc>
        <w:tc>
          <w:tcPr>
            <w:tcW w:w="977" w:type="dxa"/>
            <w:tcBorders>
              <w:top w:val="single" w:color="auto" w:sz="2" w:space="0"/>
              <w:left w:val="single" w:color="auto" w:sz="2" w:space="0"/>
              <w:bottom w:val="single" w:color="auto" w:sz="2" w:space="0"/>
              <w:right w:val="single" w:color="auto" w:sz="2"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34.00</w:t>
            </w:r>
          </w:p>
        </w:tc>
        <w:tc>
          <w:tcPr>
            <w:tcW w:w="1140" w:type="dxa"/>
            <w:tcBorders>
              <w:top w:val="single" w:color="auto" w:sz="2" w:space="0"/>
              <w:left w:val="single" w:color="auto" w:sz="2" w:space="0"/>
              <w:bottom w:val="single" w:color="auto" w:sz="2" w:space="0"/>
              <w:right w:val="single" w:color="auto" w:sz="2"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25</w:t>
            </w:r>
          </w:p>
        </w:tc>
        <w:tc>
          <w:tcPr>
            <w:tcW w:w="1147" w:type="dxa"/>
            <w:tcBorders>
              <w:top w:val="single" w:color="auto" w:sz="2" w:space="0"/>
              <w:left w:val="single" w:color="auto" w:sz="2" w:space="0"/>
              <w:bottom w:val="single" w:color="auto" w:sz="2" w:space="0"/>
              <w:right w:val="single" w:color="auto" w:sz="2"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9.00</w:t>
            </w:r>
          </w:p>
        </w:tc>
        <w:tc>
          <w:tcPr>
            <w:tcW w:w="1643"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rFonts w:hint="eastAsia" w:eastAsia="宋体"/>
                <w:vanish w:val="0"/>
                <w:lang w:eastAsia="zh-CN"/>
              </w:rPr>
            </w:pPr>
            <w:r>
              <w:rPr>
                <w:rFonts w:hint="eastAsia" w:ascii="Courier New" w:hAnsi="Courier New" w:eastAsia="宋体" w:cs="Courier New"/>
                <w:sz w:val="24"/>
                <w:lang w:val="en-US" w:eastAsia="zh-CN"/>
              </w:rPr>
              <w:t>1</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9.16</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6.30</w:t>
            </w:r>
          </w:p>
        </w:tc>
        <w:tc>
          <w:tcPr>
            <w:tcW w:w="97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2.57</w:t>
            </w:r>
          </w:p>
        </w:tc>
        <w:tc>
          <w:tcPr>
            <w:tcW w:w="1140"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0.00</w:t>
            </w:r>
          </w:p>
        </w:tc>
        <w:tc>
          <w:tcPr>
            <w:tcW w:w="114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2.57</w:t>
            </w:r>
          </w:p>
        </w:tc>
        <w:tc>
          <w:tcPr>
            <w:tcW w:w="1634"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
              <w:jc w:val="right"/>
              <w:rPr>
                <w:vanish w:val="0"/>
              </w:rPr>
            </w:pPr>
            <w:r>
              <w:rPr>
                <w:rFonts w:ascii="Courier New" w:hAnsi="Courier New" w:eastAsia="Courier New" w:cs="Courier New"/>
                <w:sz w:val="24"/>
              </w:rPr>
              <w:t>0.30</w:t>
            </w:r>
          </w:p>
        </w:tc>
      </w:tr>
      <w:tr>
        <w:tblPrEx>
          <w:tblBorders>
            <w:top w:val="outset" w:color="C0C0C0" w:sz="6" w:space="0"/>
            <w:left w:val="outset" w:color="C0C0C0" w:sz="6" w:space="0"/>
            <w:bottom w:val="outset" w:color="C0C0C0" w:sz="6" w:space="0"/>
            <w:right w:val="outset" w:color="C0C0C0" w:sz="6" w:space="0"/>
            <w:insideH w:val="outset" w:color="C0C0C0" w:sz="6" w:space="0"/>
            <w:insideV w:val="outset" w:color="C0C0C0" w:sz="6" w:space="0"/>
          </w:tblBorders>
          <w:tblLayout w:type="fixed"/>
          <w:tblCellMar>
            <w:top w:w="0" w:type="dxa"/>
            <w:left w:w="108" w:type="dxa"/>
            <w:bottom w:w="0" w:type="dxa"/>
            <w:right w:w="108" w:type="dxa"/>
          </w:tblCellMar>
        </w:tblPrEx>
        <w:trPr>
          <w:jc w:val="center"/>
        </w:trPr>
        <w:tc>
          <w:tcPr>
            <w:tcW w:w="16335" w:type="dxa"/>
            <w:gridSpan w:val="12"/>
            <w:tcBorders>
              <w:top w:val="single" w:color="auto" w:sz="6" w:space="0"/>
              <w:left w:val="outset" w:color="C0C0C0" w:sz="6" w:space="0"/>
              <w:bottom w:val="outset" w:color="C0C0C0" w:sz="6" w:space="0"/>
              <w:right w:val="outset" w:color="C0C0C0" w:sz="6" w:space="0"/>
            </w:tcBorders>
            <w:shd w:val="clear" w:color="auto" w:fill="auto"/>
            <w:vAlign w:val="center"/>
          </w:tcPr>
          <w:p>
            <w:pPr>
              <w:pStyle w:val="5"/>
              <w:jc w:val="left"/>
              <w:rPr>
                <w:vanish w:val="0"/>
              </w:rPr>
            </w:pPr>
            <w:r>
              <w:rPr>
                <w:rFonts w:ascii="宋体" w:hAnsi="宋体" w:eastAsia="宋体" w:cs="宋体"/>
                <w:sz w:val="24"/>
              </w:rPr>
              <w:t>注：本表反映</w:t>
            </w:r>
            <w:r>
              <w:rPr>
                <w:rFonts w:hint="eastAsia" w:ascii="宋体" w:hAnsi="宋体" w:eastAsia="宋体" w:cs="宋体"/>
                <w:sz w:val="24"/>
                <w:lang w:eastAsia="zh-CN"/>
              </w:rPr>
              <w:t>单位</w:t>
            </w:r>
            <w:r>
              <w:rPr>
                <w:rFonts w:ascii="宋体" w:hAnsi="宋体" w:eastAsia="宋体" w:cs="宋体"/>
                <w:sz w:val="24"/>
              </w:rPr>
              <w:t>本年度财政拨款“三公”经费支出预决算情况。其中，预算数为“三公”经费全年预算数，反映按规定程序调整后的预算数；决算数是包括当年财政拨款和以前年度结转资金安排的实际支出。</w:t>
            </w:r>
          </w:p>
        </w:tc>
      </w:tr>
    </w:tbl>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sectPr>
          <w:pgSz w:w="16839" w:h="11907" w:orient="landscape"/>
          <w:pgMar w:top="1440" w:right="360" w:bottom="1440" w:left="360" w:header="720" w:footer="720" w:gutter="0"/>
          <w:cols w:space="720" w:num="1"/>
        </w:sectPr>
      </w:pPr>
      <w:r>
        <w:br w:type="page"/>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第三部分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sz w:val="48"/>
        </w:rPr>
        <w:t>2024</w:t>
      </w:r>
      <w:r>
        <w:rPr>
          <w:rFonts w:ascii="黑体" w:hAnsi="黑体" w:eastAsia="黑体" w:cs="宋体"/>
          <w:b/>
          <w:color w:val="000000"/>
          <w:sz w:val="48"/>
        </w:rPr>
        <w:t>年度</w:t>
      </w:r>
      <w:r>
        <w:rPr>
          <w:rFonts w:hint="eastAsia" w:ascii="黑体" w:hAnsi="黑体" w:eastAsia="黑体" w:cs="宋体"/>
          <w:b/>
          <w:color w:val="000000"/>
          <w:sz w:val="48"/>
          <w:lang w:eastAsia="zh-CN"/>
        </w:rPr>
        <w:t>单位</w:t>
      </w:r>
      <w:r>
        <w:rPr>
          <w:rFonts w:ascii="黑体" w:hAnsi="黑体" w:eastAsia="黑体" w:cs="宋体"/>
          <w:b/>
          <w:color w:val="000000"/>
          <w:sz w:val="48"/>
        </w:rPr>
        <w:t>决算情况说明</w:t>
      </w:r>
    </w:p>
    <w:p>
      <w:pPr>
        <w:pStyle w:val="5"/>
        <w:rPr>
          <w:vanish w:val="0"/>
        </w:rPr>
      </w:pPr>
      <w:r>
        <w:br w:type="page"/>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r>
        <w:rPr>
          <w:rFonts w:ascii="黑体" w:hAnsi="黑体" w:eastAsia="黑体" w:cs="宋体"/>
          <w:b/>
          <w:sz w:val="28"/>
        </w:rPr>
        <w:t>一、收入支出决算总体情况说明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r>
        <w:rPr>
          <w:rFonts w:ascii="宋体" w:hAnsi="宋体" w:eastAsia="宋体" w:cs="宋体"/>
          <w:sz w:val="28"/>
        </w:rPr>
        <w:t>2024</w:t>
      </w:r>
      <w:r>
        <w:rPr>
          <w:rFonts w:ascii="宋体" w:hAnsi="宋体" w:eastAsia="宋体" w:cs="宋体"/>
          <w:color w:val="000000"/>
          <w:sz w:val="28"/>
        </w:rPr>
        <w:t>年度</w:t>
      </w:r>
      <w:r>
        <w:rPr>
          <w:rFonts w:hint="eastAsia" w:ascii="宋体" w:hAnsi="宋体" w:eastAsia="宋体" w:cs="宋体"/>
          <w:color w:val="000000"/>
          <w:sz w:val="28"/>
          <w:lang w:val="en-US" w:eastAsia="zh-CN"/>
        </w:rPr>
        <w:t>收、支</w:t>
      </w:r>
      <w:r>
        <w:rPr>
          <w:rFonts w:ascii="宋体" w:hAnsi="宋体" w:eastAsia="宋体" w:cs="宋体"/>
          <w:color w:val="000000"/>
          <w:sz w:val="28"/>
        </w:rPr>
        <w:t>总计</w:t>
      </w:r>
      <w:r>
        <w:rPr>
          <w:rFonts w:hint="eastAsia" w:ascii="宋体" w:hAnsi="宋体" w:eastAsia="宋体" w:cs="宋体"/>
          <w:sz w:val="28"/>
        </w:rPr>
        <w:t>2079.07</w:t>
      </w:r>
      <w:r>
        <w:rPr>
          <w:rFonts w:ascii="宋体" w:hAnsi="宋体" w:eastAsia="宋体" w:cs="宋体"/>
          <w:color w:val="000000"/>
          <w:sz w:val="28"/>
        </w:rPr>
        <w:t>万元。与上年相比，</w:t>
      </w:r>
      <w:r>
        <w:rPr>
          <w:rFonts w:ascii="宋体" w:hAnsi="宋体" w:eastAsia="宋体" w:cs="宋体"/>
          <w:sz w:val="28"/>
        </w:rPr>
        <w:t>减少451.5</w:t>
      </w:r>
      <w:r>
        <w:rPr>
          <w:rFonts w:hint="eastAsia" w:ascii="宋体" w:hAnsi="宋体" w:eastAsia="宋体" w:cs="宋体"/>
          <w:sz w:val="28"/>
          <w:lang w:val="en-US" w:eastAsia="zh-CN"/>
        </w:rPr>
        <w:t>6</w:t>
      </w:r>
      <w:r>
        <w:rPr>
          <w:rFonts w:ascii="宋体" w:hAnsi="宋体" w:eastAsia="宋体" w:cs="宋体"/>
          <w:sz w:val="28"/>
        </w:rPr>
        <w:t>万元</w:t>
      </w:r>
      <w:r>
        <w:rPr>
          <w:rFonts w:ascii="宋体" w:hAnsi="宋体" w:eastAsia="宋体" w:cs="宋体"/>
          <w:color w:val="000000"/>
          <w:sz w:val="28"/>
        </w:rPr>
        <w:t>，</w:t>
      </w:r>
      <w:r>
        <w:rPr>
          <w:rFonts w:ascii="宋体" w:hAnsi="宋体" w:eastAsia="宋体" w:cs="宋体"/>
          <w:sz w:val="28"/>
        </w:rPr>
        <w:t>减少</w:t>
      </w:r>
      <w:r>
        <w:rPr>
          <w:rFonts w:hint="eastAsia" w:ascii="宋体" w:hAnsi="宋体" w:eastAsia="宋体" w:cs="宋体"/>
          <w:sz w:val="28"/>
          <w:lang w:val="en-US" w:eastAsia="zh-CN"/>
        </w:rPr>
        <w:t>21</w:t>
      </w:r>
      <w:r>
        <w:rPr>
          <w:rFonts w:ascii="宋体" w:hAnsi="宋体" w:eastAsia="宋体" w:cs="宋体"/>
          <w:sz w:val="28"/>
        </w:rPr>
        <w:t>.</w:t>
      </w:r>
      <w:r>
        <w:rPr>
          <w:rFonts w:hint="eastAsia" w:ascii="宋体" w:hAnsi="宋体" w:eastAsia="宋体" w:cs="宋体"/>
          <w:sz w:val="28"/>
          <w:lang w:val="en-US" w:eastAsia="zh-CN"/>
        </w:rPr>
        <w:t>71</w:t>
      </w:r>
      <w:r>
        <w:rPr>
          <w:rFonts w:ascii="宋体" w:hAnsi="宋体" w:eastAsia="宋体" w:cs="宋体"/>
          <w:sz w:val="28"/>
        </w:rPr>
        <w:t>%，</w:t>
      </w:r>
      <w:r>
        <w:rPr>
          <w:rFonts w:ascii="宋体" w:hAnsi="宋体" w:eastAsia="宋体" w:cs="宋体"/>
          <w:color w:val="000000"/>
          <w:sz w:val="28"/>
        </w:rPr>
        <w:t>主要是因为</w:t>
      </w:r>
      <w:r>
        <w:rPr>
          <w:rFonts w:hint="eastAsia" w:ascii="宋体" w:hAnsi="宋体" w:eastAsia="宋体" w:cs="宋体"/>
          <w:color w:val="000000"/>
          <w:sz w:val="28"/>
        </w:rPr>
        <w:t>预算科目调整导致的，23年放在基本支出公用经费的调整到了项目支出里面</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二、收入决算情况说明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2024年度本年收入合计</w:t>
      </w:r>
      <w:r>
        <w:rPr>
          <w:rFonts w:hint="eastAsia" w:ascii="宋体" w:hAnsi="宋体" w:eastAsia="宋体" w:cs="宋体"/>
          <w:color w:val="000000"/>
          <w:sz w:val="28"/>
        </w:rPr>
        <w:t>2077.63</w:t>
      </w:r>
      <w:r>
        <w:rPr>
          <w:rFonts w:ascii="宋体" w:hAnsi="宋体" w:eastAsia="宋体" w:cs="宋体"/>
          <w:color w:val="000000"/>
          <w:sz w:val="28"/>
        </w:rPr>
        <w:t>万元，其中：财政拨款收入2077.63万元，占100.00%；上级补助收入0万元，占0%；事业收入0万元，占0%；经营收入0万元，占0%；附属单位上缴收入0万元，占0%；其他收入0万元，占0%。</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三、支出决算情况说明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2024年度本年支出合计1924.50万元，其中：基本支出866.34万元，占45.02%；项目支出1058.16万元，占54.98%；上缴上级支出0万元，占0%；经营支出0万元，占0%；对附属单位补助支出0万元，占0%。</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四、财政拨款收入支出决算总体情况说明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2024年度财政拨款</w:t>
      </w:r>
      <w:r>
        <w:rPr>
          <w:rFonts w:hint="eastAsia" w:ascii="宋体" w:hAnsi="宋体" w:eastAsia="宋体" w:cs="宋体"/>
          <w:color w:val="000000"/>
          <w:sz w:val="28"/>
          <w:lang w:val="en-US" w:eastAsia="zh-CN"/>
        </w:rPr>
        <w:t>收、</w:t>
      </w:r>
      <w:r>
        <w:rPr>
          <w:rFonts w:ascii="宋体" w:hAnsi="宋体" w:eastAsia="宋体" w:cs="宋体"/>
          <w:color w:val="000000"/>
          <w:sz w:val="28"/>
        </w:rPr>
        <w:t>支总计2079.07万元，与上年相比，减少451.</w:t>
      </w:r>
      <w:r>
        <w:rPr>
          <w:rFonts w:hint="eastAsia" w:ascii="宋体" w:hAnsi="宋体" w:eastAsia="宋体" w:cs="宋体"/>
          <w:color w:val="000000"/>
          <w:sz w:val="28"/>
          <w:lang w:val="en-US" w:eastAsia="zh-CN"/>
        </w:rPr>
        <w:t>5</w:t>
      </w:r>
      <w:r>
        <w:rPr>
          <w:rFonts w:ascii="宋体" w:hAnsi="宋体" w:eastAsia="宋体" w:cs="宋体"/>
          <w:color w:val="000000"/>
          <w:sz w:val="28"/>
        </w:rPr>
        <w:t>6万元，减少</w:t>
      </w:r>
      <w:r>
        <w:rPr>
          <w:rFonts w:hint="eastAsia" w:ascii="宋体" w:hAnsi="宋体" w:eastAsia="宋体" w:cs="宋体"/>
          <w:sz w:val="28"/>
          <w:lang w:val="en-US" w:eastAsia="zh-CN"/>
        </w:rPr>
        <w:t>21</w:t>
      </w:r>
      <w:r>
        <w:rPr>
          <w:rFonts w:ascii="宋体" w:hAnsi="宋体" w:eastAsia="宋体" w:cs="宋体"/>
          <w:sz w:val="28"/>
        </w:rPr>
        <w:t>.</w:t>
      </w:r>
      <w:r>
        <w:rPr>
          <w:rFonts w:hint="eastAsia" w:ascii="宋体" w:hAnsi="宋体" w:eastAsia="宋体" w:cs="宋体"/>
          <w:sz w:val="28"/>
          <w:lang w:val="en-US" w:eastAsia="zh-CN"/>
        </w:rPr>
        <w:t>71</w:t>
      </w:r>
      <w:r>
        <w:rPr>
          <w:rFonts w:ascii="宋体" w:hAnsi="宋体" w:eastAsia="宋体" w:cs="宋体"/>
          <w:color w:val="000000"/>
          <w:sz w:val="28"/>
        </w:rPr>
        <w:t>%，主要是因为</w:t>
      </w:r>
      <w:r>
        <w:rPr>
          <w:rFonts w:hint="eastAsia" w:ascii="宋体" w:hAnsi="宋体" w:eastAsia="宋体" w:cs="宋体"/>
          <w:color w:val="000000"/>
          <w:sz w:val="28"/>
        </w:rPr>
        <w:t>预算科目调整导致的，23年放在基本支出公用经费的调整到了项目支出里面</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五、一般公共预算财政拨款支出决算情况说明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（一）一般公共预算财政拨款支出决算总体情况</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2024年度财政拨款支出1924.50万元，占本年支出合计的92.57%，与上年相比，财政拨款支出减少428.95万元，减少18.23%，主要是因为</w:t>
      </w:r>
      <w:r>
        <w:rPr>
          <w:rFonts w:hint="eastAsia" w:ascii="宋体" w:hAnsi="宋体" w:eastAsia="宋体" w:cs="宋体"/>
          <w:color w:val="000000"/>
          <w:sz w:val="28"/>
        </w:rPr>
        <w:t>预算科目调整导致的，23年放在基本支出公用经费的调整到了项目支出里面</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（二）一般公共预算财政拨款支出决算结构情况</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Times New Roman" w:hAnsi="Times New Roman" w:eastAsia="宋体" w:cs="Times New Roman"/>
          <w:sz w:val="32"/>
          <w:szCs w:val="32"/>
          <w:lang w:eastAsia="zh-CN"/>
        </w:rPr>
      </w:pPr>
      <w:r>
        <w:rPr>
          <w:rFonts w:ascii="宋体" w:hAnsi="宋体" w:eastAsia="宋体" w:cs="宋体"/>
          <w:color w:val="000000"/>
          <w:sz w:val="28"/>
        </w:rPr>
        <w:t>2024年度财政拨款支出1924.50万元，主要用于以下方面：一般公共服务（类）支出</w:t>
      </w:r>
      <w:r>
        <w:rPr>
          <w:rFonts w:hint="eastAsia" w:ascii="宋体" w:hAnsi="宋体" w:eastAsia="宋体" w:cs="宋体"/>
          <w:color w:val="000000"/>
          <w:sz w:val="28"/>
        </w:rPr>
        <w:t>1726.73</w:t>
      </w:r>
      <w:r>
        <w:rPr>
          <w:rFonts w:ascii="宋体" w:hAnsi="宋体" w:eastAsia="宋体" w:cs="宋体"/>
          <w:color w:val="000000"/>
          <w:sz w:val="28"/>
        </w:rPr>
        <w:t>万元，占</w:t>
      </w:r>
      <w:r>
        <w:rPr>
          <w:rFonts w:hint="eastAsia" w:ascii="宋体" w:hAnsi="宋体" w:eastAsia="宋体" w:cs="宋体"/>
          <w:color w:val="000000"/>
          <w:sz w:val="28"/>
          <w:lang w:val="en-US" w:eastAsia="zh-CN"/>
        </w:rPr>
        <w:t>89.72%</w:t>
      </w:r>
      <w:r>
        <w:rPr>
          <w:rFonts w:hint="eastAsia" w:ascii="宋体" w:hAnsi="宋体" w:eastAsia="宋体" w:cs="宋体"/>
          <w:color w:val="000000"/>
          <w:sz w:val="28"/>
          <w:lang w:eastAsia="zh-CN"/>
        </w:rPr>
        <w:t>；</w:t>
      </w:r>
      <w:r>
        <w:rPr>
          <w:rFonts w:hint="eastAsia" w:ascii="宋体" w:hAnsi="宋体" w:eastAsia="宋体" w:cs="宋体"/>
          <w:color w:val="000000"/>
          <w:sz w:val="28"/>
        </w:rPr>
        <w:t>教育</w:t>
      </w:r>
      <w:r>
        <w:rPr>
          <w:rFonts w:ascii="宋体" w:hAnsi="宋体" w:eastAsia="宋体" w:cs="宋体"/>
          <w:color w:val="000000"/>
          <w:sz w:val="28"/>
        </w:rPr>
        <w:t>（类）支出</w:t>
      </w:r>
      <w:r>
        <w:rPr>
          <w:rFonts w:hint="eastAsia" w:ascii="宋体" w:hAnsi="宋体" w:eastAsia="宋体" w:cs="宋体"/>
          <w:color w:val="000000"/>
          <w:sz w:val="28"/>
        </w:rPr>
        <w:t>19.3</w:t>
      </w:r>
      <w:r>
        <w:rPr>
          <w:rFonts w:ascii="宋体" w:hAnsi="宋体" w:eastAsia="宋体" w:cs="宋体"/>
          <w:color w:val="000000"/>
          <w:sz w:val="28"/>
        </w:rPr>
        <w:t>万元，占</w:t>
      </w:r>
      <w:r>
        <w:rPr>
          <w:rFonts w:hint="eastAsia" w:ascii="宋体" w:hAnsi="宋体" w:eastAsia="宋体" w:cs="宋体"/>
          <w:color w:val="000000"/>
          <w:sz w:val="28"/>
          <w:lang w:val="en-US" w:eastAsia="zh-CN"/>
        </w:rPr>
        <w:t>1%</w:t>
      </w:r>
      <w:r>
        <w:rPr>
          <w:rFonts w:ascii="宋体" w:hAnsi="宋体" w:eastAsia="宋体" w:cs="宋体"/>
          <w:color w:val="000000"/>
          <w:sz w:val="28"/>
        </w:rPr>
        <w:t>；</w:t>
      </w:r>
      <w:r>
        <w:rPr>
          <w:rFonts w:hint="eastAsia" w:ascii="宋体" w:hAnsi="宋体" w:eastAsia="宋体" w:cs="宋体"/>
          <w:color w:val="000000"/>
          <w:sz w:val="28"/>
        </w:rPr>
        <w:t>社会保障和就业</w:t>
      </w:r>
      <w:r>
        <w:rPr>
          <w:rFonts w:ascii="宋体" w:hAnsi="宋体" w:eastAsia="宋体" w:cs="宋体"/>
          <w:color w:val="000000"/>
          <w:sz w:val="28"/>
        </w:rPr>
        <w:t>（类）支出</w:t>
      </w:r>
      <w:r>
        <w:rPr>
          <w:rFonts w:hint="eastAsia" w:ascii="宋体" w:hAnsi="宋体" w:eastAsia="宋体" w:cs="宋体"/>
          <w:color w:val="000000"/>
          <w:sz w:val="28"/>
        </w:rPr>
        <w:t>93.78</w:t>
      </w:r>
      <w:r>
        <w:rPr>
          <w:rFonts w:ascii="宋体" w:hAnsi="宋体" w:eastAsia="宋体" w:cs="宋体"/>
          <w:color w:val="000000"/>
          <w:sz w:val="28"/>
        </w:rPr>
        <w:t>万元，占</w:t>
      </w:r>
      <w:r>
        <w:rPr>
          <w:rFonts w:hint="eastAsia" w:ascii="宋体" w:hAnsi="宋体" w:eastAsia="宋体" w:cs="宋体"/>
          <w:color w:val="000000"/>
          <w:sz w:val="28"/>
          <w:lang w:val="en-US" w:eastAsia="zh-CN"/>
        </w:rPr>
        <w:t>4.87%</w:t>
      </w:r>
      <w:r>
        <w:rPr>
          <w:rFonts w:ascii="宋体" w:hAnsi="宋体" w:eastAsia="宋体" w:cs="宋体"/>
          <w:color w:val="000000"/>
          <w:sz w:val="28"/>
        </w:rPr>
        <w:t>；</w:t>
      </w:r>
      <w:r>
        <w:rPr>
          <w:rFonts w:hint="eastAsia" w:ascii="宋体" w:hAnsi="宋体" w:eastAsia="宋体" w:cs="宋体"/>
          <w:color w:val="000000"/>
          <w:sz w:val="28"/>
        </w:rPr>
        <w:t>卫生健康</w:t>
      </w:r>
      <w:r>
        <w:rPr>
          <w:rFonts w:ascii="宋体" w:hAnsi="宋体" w:eastAsia="宋体" w:cs="宋体"/>
          <w:color w:val="000000"/>
          <w:sz w:val="28"/>
        </w:rPr>
        <w:t>（类）支出</w:t>
      </w:r>
      <w:r>
        <w:rPr>
          <w:rFonts w:hint="eastAsia" w:ascii="宋体" w:hAnsi="宋体" w:eastAsia="宋体" w:cs="宋体"/>
          <w:color w:val="000000"/>
          <w:sz w:val="28"/>
        </w:rPr>
        <w:t>15</w:t>
      </w:r>
      <w:r>
        <w:rPr>
          <w:rFonts w:ascii="宋体" w:hAnsi="宋体" w:eastAsia="宋体" w:cs="宋体"/>
          <w:color w:val="000000"/>
          <w:sz w:val="28"/>
        </w:rPr>
        <w:t>万元，占</w:t>
      </w:r>
      <w:r>
        <w:rPr>
          <w:rFonts w:hint="eastAsia" w:ascii="宋体" w:hAnsi="宋体" w:eastAsia="宋体" w:cs="宋体"/>
          <w:color w:val="000000"/>
          <w:sz w:val="28"/>
          <w:lang w:val="en-US" w:eastAsia="zh-CN"/>
        </w:rPr>
        <w:t>0.79%</w:t>
      </w:r>
      <w:r>
        <w:rPr>
          <w:rFonts w:ascii="宋体" w:hAnsi="宋体" w:eastAsia="宋体" w:cs="宋体"/>
          <w:color w:val="000000"/>
          <w:sz w:val="28"/>
        </w:rPr>
        <w:t>；</w:t>
      </w:r>
      <w:r>
        <w:rPr>
          <w:rFonts w:hint="eastAsia" w:ascii="宋体" w:hAnsi="宋体" w:eastAsia="宋体" w:cs="宋体"/>
          <w:color w:val="000000"/>
          <w:sz w:val="28"/>
        </w:rPr>
        <w:t>住房保障</w:t>
      </w:r>
      <w:r>
        <w:rPr>
          <w:rFonts w:ascii="宋体" w:hAnsi="宋体" w:eastAsia="宋体" w:cs="宋体"/>
          <w:color w:val="000000"/>
          <w:sz w:val="28"/>
        </w:rPr>
        <w:t>（类）支出</w:t>
      </w:r>
      <w:r>
        <w:rPr>
          <w:rFonts w:hint="eastAsia" w:ascii="宋体" w:hAnsi="宋体" w:eastAsia="宋体" w:cs="宋体"/>
          <w:color w:val="000000"/>
          <w:sz w:val="28"/>
        </w:rPr>
        <w:t>69.69</w:t>
      </w:r>
      <w:r>
        <w:rPr>
          <w:rFonts w:ascii="宋体" w:hAnsi="宋体" w:eastAsia="宋体" w:cs="宋体"/>
          <w:color w:val="000000"/>
          <w:sz w:val="28"/>
        </w:rPr>
        <w:t>万元，占</w:t>
      </w:r>
      <w:r>
        <w:rPr>
          <w:rFonts w:hint="eastAsia" w:ascii="宋体" w:hAnsi="宋体" w:eastAsia="宋体" w:cs="宋体"/>
          <w:color w:val="000000"/>
          <w:sz w:val="28"/>
          <w:lang w:val="en-US" w:eastAsia="zh-CN"/>
        </w:rPr>
        <w:t>3.62%</w:t>
      </w:r>
      <w:r>
        <w:rPr>
          <w:rFonts w:hint="eastAsia" w:ascii="宋体" w:hAnsi="宋体" w:eastAsia="宋体" w:cs="宋体"/>
          <w:color w:val="000000"/>
          <w:sz w:val="28"/>
          <w:lang w:eastAsia="zh-CN"/>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（三）一般公共预算财政拨款支出决算具体情况</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2024年度财政拨款支出年初预算数为</w:t>
      </w:r>
      <w:r>
        <w:rPr>
          <w:rFonts w:hint="eastAsia" w:ascii="宋体" w:hAnsi="宋体" w:eastAsia="宋体" w:cs="宋体"/>
          <w:color w:val="000000"/>
          <w:sz w:val="28"/>
        </w:rPr>
        <w:t>2263.07</w:t>
      </w:r>
      <w:r>
        <w:rPr>
          <w:rFonts w:ascii="宋体" w:hAnsi="宋体" w:eastAsia="宋体" w:cs="宋体"/>
          <w:color w:val="000000"/>
          <w:sz w:val="28"/>
        </w:rPr>
        <w:t>万元，支出决算数为</w:t>
      </w:r>
      <w:r>
        <w:rPr>
          <w:rFonts w:hint="eastAsia" w:ascii="宋体" w:hAnsi="宋体" w:eastAsia="宋体" w:cs="宋体"/>
          <w:color w:val="000000"/>
          <w:sz w:val="28"/>
        </w:rPr>
        <w:t>1924.5</w:t>
      </w:r>
      <w:r>
        <w:rPr>
          <w:rFonts w:ascii="宋体" w:hAnsi="宋体" w:eastAsia="宋体" w:cs="宋体"/>
          <w:color w:val="000000"/>
          <w:sz w:val="28"/>
        </w:rPr>
        <w:t>万元，完成年初预算的</w:t>
      </w:r>
      <w:r>
        <w:rPr>
          <w:rFonts w:hint="eastAsia" w:ascii="宋体" w:hAnsi="宋体" w:eastAsia="宋体" w:cs="宋体"/>
          <w:color w:val="000000"/>
          <w:sz w:val="28"/>
          <w:lang w:val="en-US" w:eastAsia="zh-CN"/>
        </w:rPr>
        <w:t>85.04</w:t>
      </w:r>
      <w:r>
        <w:rPr>
          <w:rFonts w:ascii="宋体" w:hAnsi="宋体" w:eastAsia="宋体" w:cs="宋体"/>
          <w:color w:val="000000"/>
          <w:sz w:val="28"/>
        </w:rPr>
        <w:t>%，其中：</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w:t>
      </w:r>
      <w:r>
        <w:rPr>
          <w:rFonts w:ascii="宋体" w:hAnsi="宋体" w:eastAsia="宋体" w:cs="宋体"/>
          <w:color w:val="000000"/>
          <w:sz w:val="28"/>
        </w:rPr>
        <w:fldChar w:fldCharType="begin"/>
      </w:r>
      <w:r>
        <w:rPr>
          <w:rFonts w:ascii="宋体" w:hAnsi="宋体" w:eastAsia="宋体" w:cs="宋体"/>
          <w:color w:val="000000"/>
          <w:sz w:val="28"/>
        </w:rPr>
        <w:instrText xml:space="preserve"> HYPERLINK "javascript:;" </w:instrText>
      </w:r>
      <w:r>
        <w:rPr>
          <w:rFonts w:ascii="宋体" w:hAnsi="宋体" w:eastAsia="宋体" w:cs="宋体"/>
          <w:color w:val="000000"/>
          <w:sz w:val="28"/>
        </w:rPr>
        <w:fldChar w:fldCharType="separate"/>
      </w:r>
      <w:r>
        <w:rPr>
          <w:rFonts w:hint="default" w:ascii="宋体" w:hAnsi="宋体" w:eastAsia="宋体" w:cs="宋体"/>
          <w:color w:val="000000"/>
          <w:sz w:val="28"/>
        </w:rPr>
        <w:t>一般公共服务支出</w:t>
      </w:r>
      <w:r>
        <w:rPr>
          <w:rFonts w:hint="default" w:ascii="宋体" w:hAnsi="宋体" w:eastAsia="宋体" w:cs="宋体"/>
          <w:color w:val="000000"/>
          <w:sz w:val="28"/>
        </w:rPr>
        <w:fldChar w:fldCharType="end"/>
      </w:r>
      <w:r>
        <w:rPr>
          <w:rFonts w:ascii="宋体" w:hAnsi="宋体" w:eastAsia="宋体" w:cs="宋体"/>
          <w:color w:val="000000"/>
          <w:sz w:val="28"/>
        </w:rPr>
        <w:t>（类）</w:t>
      </w:r>
      <w:r>
        <w:rPr>
          <w:rFonts w:hint="eastAsia" w:ascii="宋体" w:hAnsi="宋体" w:eastAsia="宋体" w:cs="宋体"/>
          <w:color w:val="000000"/>
          <w:sz w:val="28"/>
        </w:rPr>
        <w:t>市场监督管理事务</w:t>
      </w:r>
      <w:r>
        <w:rPr>
          <w:rFonts w:ascii="宋体" w:hAnsi="宋体" w:eastAsia="宋体" w:cs="宋体"/>
          <w:color w:val="000000"/>
          <w:sz w:val="28"/>
        </w:rPr>
        <w:t>（款）机关服务（项）。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rPr>
        <w:t>1218.5</w:t>
      </w:r>
      <w:r>
        <w:rPr>
          <w:rFonts w:ascii="宋体" w:hAnsi="宋体" w:eastAsia="宋体" w:cs="宋体"/>
          <w:color w:val="000000"/>
          <w:sz w:val="28"/>
        </w:rPr>
        <w:t>万元，支出决算为1030.72万元，完成年初预算的</w:t>
      </w:r>
      <w:r>
        <w:rPr>
          <w:rFonts w:hint="eastAsia" w:ascii="宋体" w:hAnsi="宋体" w:eastAsia="宋体" w:cs="宋体"/>
          <w:color w:val="000000"/>
          <w:sz w:val="28"/>
          <w:lang w:val="en-US" w:eastAsia="zh-CN"/>
        </w:rPr>
        <w:t>84.59</w:t>
      </w:r>
      <w:r>
        <w:rPr>
          <w:rFonts w:ascii="宋体" w:hAnsi="宋体" w:eastAsia="宋体" w:cs="宋体"/>
          <w:color w:val="000000"/>
          <w:sz w:val="28"/>
        </w:rPr>
        <w:t>%。决算数</w:t>
      </w:r>
      <w:r>
        <w:rPr>
          <w:rFonts w:hint="eastAsia" w:ascii="宋体" w:hAnsi="宋体" w:eastAsia="宋体" w:cs="宋体"/>
          <w:color w:val="000000"/>
          <w:sz w:val="28"/>
          <w:lang w:val="en-US" w:eastAsia="zh-CN"/>
        </w:rPr>
        <w:t>小于</w:t>
      </w:r>
      <w:r>
        <w:rPr>
          <w:rFonts w:ascii="宋体" w:hAnsi="宋体" w:eastAsia="宋体" w:cs="宋体"/>
          <w:color w:val="000000"/>
          <w:sz w:val="28"/>
        </w:rPr>
        <w:t>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w:t>
      </w:r>
      <w:r>
        <w:rPr>
          <w:rFonts w:ascii="宋体" w:hAnsi="宋体" w:eastAsia="宋体" w:cs="宋体"/>
          <w:color w:val="000000"/>
          <w:sz w:val="28"/>
        </w:rPr>
        <w:fldChar w:fldCharType="begin"/>
      </w:r>
      <w:r>
        <w:rPr>
          <w:rFonts w:ascii="宋体" w:hAnsi="宋体" w:eastAsia="宋体" w:cs="宋体"/>
          <w:color w:val="000000"/>
          <w:sz w:val="28"/>
        </w:rPr>
        <w:instrText xml:space="preserve"> HYPERLINK "javascript:;" </w:instrText>
      </w:r>
      <w:r>
        <w:rPr>
          <w:rFonts w:ascii="宋体" w:hAnsi="宋体" w:eastAsia="宋体" w:cs="宋体"/>
          <w:color w:val="000000"/>
          <w:sz w:val="28"/>
        </w:rPr>
        <w:fldChar w:fldCharType="separate"/>
      </w:r>
      <w:r>
        <w:rPr>
          <w:rFonts w:hint="default" w:ascii="宋体" w:hAnsi="宋体" w:eastAsia="宋体" w:cs="宋体"/>
          <w:color w:val="000000"/>
          <w:sz w:val="28"/>
        </w:rPr>
        <w:t>一般公共服务支出</w:t>
      </w:r>
      <w:r>
        <w:rPr>
          <w:rFonts w:hint="default" w:ascii="宋体" w:hAnsi="宋体" w:eastAsia="宋体" w:cs="宋体"/>
          <w:color w:val="000000"/>
          <w:sz w:val="28"/>
        </w:rPr>
        <w:fldChar w:fldCharType="end"/>
      </w:r>
      <w:r>
        <w:rPr>
          <w:rFonts w:ascii="宋体" w:hAnsi="宋体" w:eastAsia="宋体" w:cs="宋体"/>
          <w:color w:val="000000"/>
          <w:sz w:val="28"/>
        </w:rPr>
        <w:t>（类）</w:t>
      </w:r>
      <w:r>
        <w:rPr>
          <w:rFonts w:hint="eastAsia" w:ascii="宋体" w:hAnsi="宋体" w:eastAsia="宋体" w:cs="宋体"/>
          <w:color w:val="000000"/>
          <w:sz w:val="28"/>
        </w:rPr>
        <w:t>市场监督管理事务</w:t>
      </w:r>
      <w:r>
        <w:rPr>
          <w:rFonts w:ascii="宋体" w:hAnsi="宋体" w:eastAsia="宋体" w:cs="宋体"/>
          <w:color w:val="000000"/>
          <w:sz w:val="28"/>
        </w:rPr>
        <w:t>（款）市场主体管理（项）。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rPr>
        <w:t>50</w:t>
      </w:r>
      <w:r>
        <w:rPr>
          <w:rFonts w:ascii="宋体" w:hAnsi="宋体" w:eastAsia="宋体" w:cs="宋体"/>
          <w:color w:val="000000"/>
          <w:sz w:val="28"/>
        </w:rPr>
        <w:t>万元，支出决算为26.77万元，完成年初预算的</w:t>
      </w:r>
      <w:r>
        <w:rPr>
          <w:rFonts w:hint="eastAsia" w:ascii="宋体" w:hAnsi="宋体" w:eastAsia="宋体" w:cs="宋体"/>
          <w:color w:val="000000"/>
          <w:sz w:val="28"/>
          <w:lang w:val="en-US" w:eastAsia="zh-CN"/>
        </w:rPr>
        <w:t>53.54</w:t>
      </w:r>
      <w:r>
        <w:rPr>
          <w:rFonts w:ascii="宋体" w:hAnsi="宋体" w:eastAsia="宋体" w:cs="宋体"/>
          <w:color w:val="000000"/>
          <w:sz w:val="28"/>
        </w:rPr>
        <w:t>%。决算数</w:t>
      </w:r>
      <w:r>
        <w:rPr>
          <w:rFonts w:hint="eastAsia" w:ascii="宋体" w:hAnsi="宋体" w:eastAsia="宋体" w:cs="宋体"/>
          <w:color w:val="000000"/>
          <w:sz w:val="28"/>
          <w:lang w:val="en-US" w:eastAsia="zh-CN"/>
        </w:rPr>
        <w:t>小于</w:t>
      </w:r>
      <w:r>
        <w:rPr>
          <w:rFonts w:ascii="宋体" w:hAnsi="宋体" w:eastAsia="宋体" w:cs="宋体"/>
          <w:color w:val="000000"/>
          <w:sz w:val="28"/>
        </w:rPr>
        <w:t>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3、</w:t>
      </w:r>
      <w:r>
        <w:rPr>
          <w:rFonts w:ascii="宋体" w:hAnsi="宋体" w:eastAsia="宋体" w:cs="宋体"/>
          <w:color w:val="000000"/>
          <w:sz w:val="28"/>
        </w:rPr>
        <w:fldChar w:fldCharType="begin"/>
      </w:r>
      <w:r>
        <w:rPr>
          <w:rFonts w:ascii="宋体" w:hAnsi="宋体" w:eastAsia="宋体" w:cs="宋体"/>
          <w:color w:val="000000"/>
          <w:sz w:val="28"/>
        </w:rPr>
        <w:instrText xml:space="preserve"> HYPERLINK "javascript:;" </w:instrText>
      </w:r>
      <w:r>
        <w:rPr>
          <w:rFonts w:ascii="宋体" w:hAnsi="宋体" w:eastAsia="宋体" w:cs="宋体"/>
          <w:color w:val="000000"/>
          <w:sz w:val="28"/>
        </w:rPr>
        <w:fldChar w:fldCharType="separate"/>
      </w:r>
      <w:r>
        <w:rPr>
          <w:rFonts w:hint="default" w:ascii="宋体" w:hAnsi="宋体" w:eastAsia="宋体" w:cs="宋体"/>
          <w:color w:val="000000"/>
          <w:sz w:val="28"/>
        </w:rPr>
        <w:t>一般公共服务支出</w:t>
      </w:r>
      <w:r>
        <w:rPr>
          <w:rFonts w:hint="default" w:ascii="宋体" w:hAnsi="宋体" w:eastAsia="宋体" w:cs="宋体"/>
          <w:color w:val="000000"/>
          <w:sz w:val="28"/>
        </w:rPr>
        <w:fldChar w:fldCharType="end"/>
      </w:r>
      <w:r>
        <w:rPr>
          <w:rFonts w:ascii="宋体" w:hAnsi="宋体" w:eastAsia="宋体" w:cs="宋体"/>
          <w:color w:val="000000"/>
          <w:sz w:val="28"/>
        </w:rPr>
        <w:t>（类）</w:t>
      </w:r>
      <w:r>
        <w:rPr>
          <w:rFonts w:hint="eastAsia" w:ascii="宋体" w:hAnsi="宋体" w:eastAsia="宋体" w:cs="宋体"/>
          <w:color w:val="000000"/>
          <w:sz w:val="28"/>
        </w:rPr>
        <w:t>市场监督管理事务</w:t>
      </w:r>
      <w:r>
        <w:rPr>
          <w:rFonts w:ascii="宋体" w:hAnsi="宋体" w:eastAsia="宋体" w:cs="宋体"/>
          <w:color w:val="000000"/>
          <w:sz w:val="28"/>
        </w:rPr>
        <w:t>（款）事业运行（项）。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rPr>
        <w:t>760.27</w:t>
      </w:r>
      <w:r>
        <w:rPr>
          <w:rFonts w:ascii="宋体" w:hAnsi="宋体" w:eastAsia="宋体" w:cs="宋体"/>
          <w:color w:val="000000"/>
          <w:sz w:val="28"/>
        </w:rPr>
        <w:t>万元，支出决算为668.56万元，完成年初预算的</w:t>
      </w:r>
      <w:r>
        <w:rPr>
          <w:rFonts w:hint="eastAsia" w:ascii="宋体" w:hAnsi="宋体" w:eastAsia="宋体" w:cs="宋体"/>
          <w:color w:val="000000"/>
          <w:sz w:val="28"/>
          <w:lang w:val="en-US" w:eastAsia="zh-CN"/>
        </w:rPr>
        <w:t>87.94</w:t>
      </w:r>
      <w:r>
        <w:rPr>
          <w:rFonts w:ascii="宋体" w:hAnsi="宋体" w:eastAsia="宋体" w:cs="宋体"/>
          <w:color w:val="000000"/>
          <w:sz w:val="28"/>
        </w:rPr>
        <w:t>%。决算数</w:t>
      </w:r>
      <w:r>
        <w:rPr>
          <w:rFonts w:hint="eastAsia" w:ascii="宋体" w:hAnsi="宋体" w:eastAsia="宋体" w:cs="宋体"/>
          <w:color w:val="000000"/>
          <w:sz w:val="28"/>
          <w:lang w:val="en-US" w:eastAsia="zh-CN"/>
        </w:rPr>
        <w:t>小于</w:t>
      </w:r>
      <w:r>
        <w:rPr>
          <w:rFonts w:ascii="宋体" w:hAnsi="宋体" w:eastAsia="宋体" w:cs="宋体"/>
          <w:color w:val="000000"/>
          <w:sz w:val="28"/>
        </w:rPr>
        <w:t>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4、</w:t>
      </w:r>
      <w:r>
        <w:rPr>
          <w:rFonts w:ascii="宋体" w:hAnsi="宋体" w:eastAsia="宋体" w:cs="宋体"/>
          <w:color w:val="000000"/>
          <w:sz w:val="28"/>
        </w:rPr>
        <w:fldChar w:fldCharType="begin"/>
      </w:r>
      <w:r>
        <w:rPr>
          <w:rFonts w:ascii="宋体" w:hAnsi="宋体" w:eastAsia="宋体" w:cs="宋体"/>
          <w:color w:val="000000"/>
          <w:sz w:val="28"/>
        </w:rPr>
        <w:instrText xml:space="preserve"> HYPERLINK "javascript:;" </w:instrText>
      </w:r>
      <w:r>
        <w:rPr>
          <w:rFonts w:ascii="宋体" w:hAnsi="宋体" w:eastAsia="宋体" w:cs="宋体"/>
          <w:color w:val="000000"/>
          <w:sz w:val="28"/>
        </w:rPr>
        <w:fldChar w:fldCharType="separate"/>
      </w:r>
      <w:r>
        <w:rPr>
          <w:rFonts w:hint="default" w:ascii="宋体" w:hAnsi="宋体" w:eastAsia="宋体" w:cs="宋体"/>
          <w:color w:val="000000"/>
          <w:sz w:val="28"/>
        </w:rPr>
        <w:t>一般公共服务支出</w:t>
      </w:r>
      <w:r>
        <w:rPr>
          <w:rFonts w:hint="default" w:ascii="宋体" w:hAnsi="宋体" w:eastAsia="宋体" w:cs="宋体"/>
          <w:color w:val="000000"/>
          <w:sz w:val="28"/>
        </w:rPr>
        <w:fldChar w:fldCharType="end"/>
      </w:r>
      <w:r>
        <w:rPr>
          <w:rFonts w:ascii="宋体" w:hAnsi="宋体" w:eastAsia="宋体" w:cs="宋体"/>
          <w:color w:val="000000"/>
          <w:sz w:val="28"/>
        </w:rPr>
        <w:t>（类）</w:t>
      </w:r>
      <w:r>
        <w:rPr>
          <w:rFonts w:hint="eastAsia" w:ascii="宋体" w:hAnsi="宋体" w:eastAsia="宋体" w:cs="宋体"/>
          <w:color w:val="000000"/>
          <w:sz w:val="28"/>
        </w:rPr>
        <w:t>市场监督管理事务</w:t>
      </w:r>
      <w:r>
        <w:rPr>
          <w:rFonts w:ascii="宋体" w:hAnsi="宋体" w:eastAsia="宋体" w:cs="宋体"/>
          <w:color w:val="000000"/>
          <w:sz w:val="28"/>
        </w:rPr>
        <w:t>（款）其他市场监督管理事务（项）。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rPr>
        <w:t>10</w:t>
      </w:r>
      <w:r>
        <w:rPr>
          <w:rFonts w:ascii="宋体" w:hAnsi="宋体" w:eastAsia="宋体" w:cs="宋体"/>
          <w:color w:val="000000"/>
          <w:sz w:val="28"/>
        </w:rPr>
        <w:t>万元，支出决算为0.68万元，完成年初预算的</w:t>
      </w:r>
      <w:r>
        <w:rPr>
          <w:rFonts w:hint="eastAsia" w:ascii="宋体" w:hAnsi="宋体" w:eastAsia="宋体" w:cs="宋体"/>
          <w:color w:val="000000"/>
          <w:sz w:val="28"/>
          <w:lang w:val="en-US" w:eastAsia="zh-CN"/>
        </w:rPr>
        <w:t>6.8</w:t>
      </w:r>
      <w:r>
        <w:rPr>
          <w:rFonts w:ascii="宋体" w:hAnsi="宋体" w:eastAsia="宋体" w:cs="宋体"/>
          <w:color w:val="000000"/>
          <w:sz w:val="28"/>
        </w:rPr>
        <w:t>%。决算数</w:t>
      </w:r>
      <w:r>
        <w:rPr>
          <w:rFonts w:hint="eastAsia" w:ascii="宋体" w:hAnsi="宋体" w:eastAsia="宋体" w:cs="宋体"/>
          <w:color w:val="000000"/>
          <w:sz w:val="28"/>
          <w:lang w:val="en-US" w:eastAsia="zh-CN"/>
        </w:rPr>
        <w:t>小</w:t>
      </w:r>
      <w:r>
        <w:rPr>
          <w:rFonts w:ascii="宋体" w:hAnsi="宋体" w:eastAsia="宋体" w:cs="宋体"/>
          <w:color w:val="000000"/>
          <w:sz w:val="28"/>
        </w:rPr>
        <w:t>于年初预算数的主要原因是：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5、</w:t>
      </w:r>
      <w:r>
        <w:rPr>
          <w:rFonts w:hint="eastAsia" w:ascii="宋体" w:hAnsi="宋体" w:eastAsia="宋体" w:cs="宋体"/>
          <w:color w:val="000000"/>
          <w:sz w:val="28"/>
        </w:rPr>
        <w:t>教育支出</w:t>
      </w:r>
      <w:r>
        <w:rPr>
          <w:rFonts w:ascii="宋体" w:hAnsi="宋体" w:eastAsia="宋体" w:cs="宋体"/>
          <w:color w:val="000000"/>
          <w:sz w:val="28"/>
        </w:rPr>
        <w:t>（类）</w:t>
      </w:r>
      <w:r>
        <w:rPr>
          <w:rFonts w:hint="eastAsia" w:ascii="宋体" w:hAnsi="宋体" w:eastAsia="宋体" w:cs="宋体"/>
          <w:color w:val="000000"/>
          <w:sz w:val="28"/>
        </w:rPr>
        <w:t>进修及培训</w:t>
      </w:r>
      <w:r>
        <w:rPr>
          <w:rFonts w:ascii="宋体" w:hAnsi="宋体" w:eastAsia="宋体" w:cs="宋体"/>
          <w:color w:val="000000"/>
          <w:sz w:val="28"/>
        </w:rPr>
        <w:t>（款）培训支出（项）。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lang w:val="en-US" w:eastAsia="zh-CN"/>
        </w:rPr>
        <w:t>19.3</w:t>
      </w:r>
      <w:r>
        <w:rPr>
          <w:rFonts w:ascii="宋体" w:hAnsi="宋体" w:eastAsia="宋体" w:cs="宋体"/>
          <w:color w:val="000000"/>
          <w:sz w:val="28"/>
        </w:rPr>
        <w:t>万元，支出决算为19.3万元，完成年初预算的</w:t>
      </w:r>
      <w:r>
        <w:rPr>
          <w:rFonts w:hint="eastAsia" w:ascii="宋体" w:hAnsi="宋体" w:eastAsia="宋体" w:cs="宋体"/>
          <w:color w:val="000000"/>
          <w:sz w:val="28"/>
          <w:lang w:val="en-US" w:eastAsia="zh-CN"/>
        </w:rPr>
        <w:t>100</w:t>
      </w:r>
      <w:r>
        <w:rPr>
          <w:rFonts w:ascii="宋体" w:hAnsi="宋体" w:eastAsia="宋体" w:cs="宋体"/>
          <w:color w:val="000000"/>
          <w:sz w:val="28"/>
        </w:rPr>
        <w:t>%。决算数</w:t>
      </w:r>
      <w:r>
        <w:rPr>
          <w:rFonts w:hint="eastAsia" w:ascii="宋体" w:hAnsi="宋体" w:eastAsia="宋体" w:cs="宋体"/>
          <w:color w:val="000000"/>
          <w:sz w:val="28"/>
          <w:lang w:val="en-US" w:eastAsia="zh-CN"/>
        </w:rPr>
        <w:t>等于</w:t>
      </w:r>
      <w:r>
        <w:rPr>
          <w:rFonts w:ascii="宋体" w:hAnsi="宋体" w:eastAsia="宋体" w:cs="宋体"/>
          <w:color w:val="000000"/>
          <w:sz w:val="28"/>
        </w:rPr>
        <w:t>年初预算数的主要原因是：</w:t>
      </w:r>
      <w:r>
        <w:rPr>
          <w:rFonts w:hint="eastAsia" w:ascii="宋体" w:hAnsi="宋体" w:eastAsia="宋体" w:cs="宋体"/>
          <w:color w:val="000000"/>
          <w:sz w:val="28"/>
          <w:lang w:val="en-US" w:eastAsia="zh-CN"/>
        </w:rPr>
        <w:t>按预算执行</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6、</w:t>
      </w:r>
      <w:r>
        <w:rPr>
          <w:rFonts w:hint="eastAsia" w:ascii="宋体" w:hAnsi="宋体" w:eastAsia="宋体" w:cs="宋体"/>
          <w:color w:val="000000"/>
          <w:sz w:val="28"/>
        </w:rPr>
        <w:t>社会保障和就业支出</w:t>
      </w:r>
      <w:r>
        <w:rPr>
          <w:rFonts w:ascii="宋体" w:hAnsi="宋体" w:eastAsia="宋体" w:cs="宋体"/>
          <w:color w:val="000000"/>
          <w:sz w:val="28"/>
        </w:rPr>
        <w:t>（类）</w:t>
      </w:r>
      <w:r>
        <w:rPr>
          <w:rFonts w:hint="eastAsia" w:ascii="宋体" w:hAnsi="宋体" w:eastAsia="宋体" w:cs="宋体"/>
          <w:color w:val="000000"/>
          <w:sz w:val="28"/>
        </w:rPr>
        <w:t>行政事业单位养老支出</w:t>
      </w:r>
      <w:r>
        <w:rPr>
          <w:rFonts w:ascii="宋体" w:hAnsi="宋体" w:eastAsia="宋体" w:cs="宋体"/>
          <w:color w:val="000000"/>
          <w:sz w:val="28"/>
        </w:rPr>
        <w:t>（款）事业单位离退休（项）。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rPr>
        <w:t>31</w:t>
      </w:r>
      <w:r>
        <w:rPr>
          <w:rFonts w:ascii="宋体" w:hAnsi="宋体" w:eastAsia="宋体" w:cs="宋体"/>
          <w:color w:val="000000"/>
          <w:sz w:val="28"/>
        </w:rPr>
        <w:t>万元，支出决算为22.94万元，完成年初预算的</w:t>
      </w:r>
      <w:r>
        <w:rPr>
          <w:rFonts w:hint="eastAsia" w:ascii="宋体" w:hAnsi="宋体" w:eastAsia="宋体" w:cs="宋体"/>
          <w:color w:val="000000"/>
          <w:sz w:val="28"/>
          <w:lang w:val="en-US" w:eastAsia="zh-CN"/>
        </w:rPr>
        <w:t>74</w:t>
      </w:r>
      <w:r>
        <w:rPr>
          <w:rFonts w:ascii="宋体" w:hAnsi="宋体" w:eastAsia="宋体" w:cs="宋体"/>
          <w:color w:val="000000"/>
          <w:sz w:val="28"/>
        </w:rPr>
        <w:t>%。决算数</w:t>
      </w:r>
      <w:r>
        <w:rPr>
          <w:rFonts w:hint="eastAsia" w:ascii="宋体" w:hAnsi="宋体" w:eastAsia="宋体" w:cs="宋体"/>
          <w:color w:val="000000"/>
          <w:sz w:val="28"/>
          <w:lang w:val="en-US" w:eastAsia="zh-CN"/>
        </w:rPr>
        <w:t>小</w:t>
      </w:r>
      <w:r>
        <w:rPr>
          <w:rFonts w:ascii="宋体" w:hAnsi="宋体" w:eastAsia="宋体" w:cs="宋体"/>
          <w:color w:val="000000"/>
          <w:sz w:val="28"/>
        </w:rPr>
        <w:t>于年初预算数的主要原因是：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7、</w:t>
      </w:r>
      <w:r>
        <w:rPr>
          <w:rFonts w:hint="eastAsia" w:ascii="宋体" w:hAnsi="宋体" w:eastAsia="宋体" w:cs="宋体"/>
          <w:color w:val="000000"/>
          <w:sz w:val="28"/>
        </w:rPr>
        <w:t>社会保障和就业支出</w:t>
      </w:r>
      <w:r>
        <w:rPr>
          <w:rFonts w:ascii="宋体" w:hAnsi="宋体" w:eastAsia="宋体" w:cs="宋体"/>
          <w:color w:val="000000"/>
          <w:sz w:val="28"/>
        </w:rPr>
        <w:t>（类）</w:t>
      </w:r>
      <w:r>
        <w:rPr>
          <w:rFonts w:hint="eastAsia" w:ascii="宋体" w:hAnsi="宋体" w:eastAsia="宋体" w:cs="宋体"/>
          <w:color w:val="000000"/>
          <w:sz w:val="28"/>
        </w:rPr>
        <w:t>行政事业单位养老支出</w:t>
      </w:r>
      <w:r>
        <w:rPr>
          <w:rFonts w:ascii="宋体" w:hAnsi="宋体" w:eastAsia="宋体" w:cs="宋体"/>
          <w:color w:val="000000"/>
          <w:sz w:val="28"/>
        </w:rPr>
        <w:t>（款）机关事业单位基本养老保险缴费支出（项）。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rPr>
        <w:t>71</w:t>
      </w:r>
      <w:r>
        <w:rPr>
          <w:rFonts w:ascii="宋体" w:hAnsi="宋体" w:eastAsia="宋体" w:cs="宋体"/>
          <w:color w:val="000000"/>
          <w:sz w:val="28"/>
        </w:rPr>
        <w:t>万元，支出决算为67.59万元，完成年初预算的</w:t>
      </w:r>
      <w:r>
        <w:rPr>
          <w:rFonts w:hint="eastAsia" w:ascii="宋体" w:hAnsi="宋体" w:eastAsia="宋体" w:cs="宋体"/>
          <w:color w:val="000000"/>
          <w:sz w:val="28"/>
          <w:lang w:val="en-US" w:eastAsia="zh-CN"/>
        </w:rPr>
        <w:t>95.19</w:t>
      </w:r>
      <w:r>
        <w:rPr>
          <w:rFonts w:ascii="宋体" w:hAnsi="宋体" w:eastAsia="宋体" w:cs="宋体"/>
          <w:color w:val="000000"/>
          <w:sz w:val="28"/>
        </w:rPr>
        <w:t>%。决算数</w:t>
      </w:r>
      <w:r>
        <w:rPr>
          <w:rFonts w:hint="eastAsia" w:ascii="宋体" w:hAnsi="宋体" w:eastAsia="宋体" w:cs="宋体"/>
          <w:color w:val="000000"/>
          <w:sz w:val="28"/>
          <w:lang w:val="en-US" w:eastAsia="zh-CN"/>
        </w:rPr>
        <w:t>小</w:t>
      </w:r>
      <w:r>
        <w:rPr>
          <w:rFonts w:ascii="宋体" w:hAnsi="宋体" w:eastAsia="宋体" w:cs="宋体"/>
          <w:color w:val="000000"/>
          <w:sz w:val="28"/>
        </w:rPr>
        <w:t>于年初预算数的主要原因是：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8、</w:t>
      </w:r>
      <w:r>
        <w:rPr>
          <w:rFonts w:hint="eastAsia" w:ascii="宋体" w:hAnsi="宋体" w:eastAsia="宋体" w:cs="宋体"/>
          <w:color w:val="000000"/>
          <w:sz w:val="28"/>
        </w:rPr>
        <w:t>社会保障和就业支出</w:t>
      </w:r>
      <w:r>
        <w:rPr>
          <w:rFonts w:ascii="宋体" w:hAnsi="宋体" w:eastAsia="宋体" w:cs="宋体"/>
          <w:color w:val="000000"/>
          <w:sz w:val="28"/>
        </w:rPr>
        <w:t>（类）</w:t>
      </w:r>
      <w:r>
        <w:rPr>
          <w:rFonts w:hint="eastAsia" w:ascii="宋体" w:hAnsi="宋体" w:eastAsia="宋体" w:cs="宋体"/>
          <w:color w:val="000000"/>
          <w:sz w:val="28"/>
        </w:rPr>
        <w:t>其他社会保障和就业支出</w:t>
      </w:r>
      <w:r>
        <w:rPr>
          <w:rFonts w:ascii="宋体" w:hAnsi="宋体" w:eastAsia="宋体" w:cs="宋体"/>
          <w:color w:val="000000"/>
          <w:sz w:val="28"/>
        </w:rPr>
        <w:t>（款）其他社会保障和就业支出（项）。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lang w:val="en-US" w:eastAsia="zh-CN"/>
        </w:rPr>
        <w:t>4</w:t>
      </w:r>
      <w:r>
        <w:rPr>
          <w:rFonts w:ascii="宋体" w:hAnsi="宋体" w:eastAsia="宋体" w:cs="宋体"/>
          <w:color w:val="000000"/>
          <w:sz w:val="28"/>
        </w:rPr>
        <w:t>万元，支出决算为3.25万元，完成年初预算的</w:t>
      </w:r>
      <w:r>
        <w:rPr>
          <w:rFonts w:hint="eastAsia" w:ascii="宋体" w:hAnsi="宋体" w:eastAsia="宋体" w:cs="宋体"/>
          <w:color w:val="000000"/>
          <w:sz w:val="28"/>
          <w:lang w:val="en-US" w:eastAsia="zh-CN"/>
        </w:rPr>
        <w:t>81.25</w:t>
      </w:r>
      <w:r>
        <w:rPr>
          <w:rFonts w:ascii="宋体" w:hAnsi="宋体" w:eastAsia="宋体" w:cs="宋体"/>
          <w:color w:val="000000"/>
          <w:sz w:val="28"/>
        </w:rPr>
        <w:t>%。决算数</w:t>
      </w:r>
      <w:r>
        <w:rPr>
          <w:rFonts w:hint="eastAsia" w:ascii="宋体" w:hAnsi="宋体" w:eastAsia="宋体" w:cs="宋体"/>
          <w:color w:val="000000"/>
          <w:sz w:val="28"/>
          <w:lang w:val="en-US" w:eastAsia="zh-CN"/>
        </w:rPr>
        <w:t>小</w:t>
      </w:r>
      <w:r>
        <w:rPr>
          <w:rFonts w:ascii="宋体" w:hAnsi="宋体" w:eastAsia="宋体" w:cs="宋体"/>
          <w:color w:val="000000"/>
          <w:sz w:val="28"/>
        </w:rPr>
        <w:t>于年初预算数的主要原因是：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9、</w:t>
      </w:r>
      <w:r>
        <w:rPr>
          <w:rFonts w:hint="eastAsia" w:ascii="宋体" w:hAnsi="宋体" w:eastAsia="宋体" w:cs="宋体"/>
          <w:color w:val="000000"/>
          <w:sz w:val="28"/>
        </w:rPr>
        <w:t>卫生健康支出</w:t>
      </w:r>
      <w:r>
        <w:rPr>
          <w:rFonts w:ascii="宋体" w:hAnsi="宋体" w:eastAsia="宋体" w:cs="宋体"/>
          <w:color w:val="000000"/>
          <w:sz w:val="28"/>
        </w:rPr>
        <w:t>（类）</w:t>
      </w:r>
      <w:r>
        <w:rPr>
          <w:rFonts w:hint="eastAsia" w:ascii="宋体" w:hAnsi="宋体" w:eastAsia="宋体" w:cs="宋体"/>
          <w:color w:val="000000"/>
          <w:sz w:val="28"/>
        </w:rPr>
        <w:t>行政事业单位医疗</w:t>
      </w:r>
      <w:r>
        <w:rPr>
          <w:rFonts w:ascii="宋体" w:hAnsi="宋体" w:eastAsia="宋体" w:cs="宋体"/>
          <w:color w:val="000000"/>
          <w:sz w:val="28"/>
        </w:rPr>
        <w:t>（款）事业单位医疗（项）。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lang w:val="en-US" w:eastAsia="zh-CN"/>
        </w:rPr>
        <w:t>20</w:t>
      </w:r>
      <w:r>
        <w:rPr>
          <w:rFonts w:ascii="宋体" w:hAnsi="宋体" w:eastAsia="宋体" w:cs="宋体"/>
          <w:color w:val="000000"/>
          <w:sz w:val="28"/>
        </w:rPr>
        <w:t>万元，支出决算为15万元，完成年初预算的</w:t>
      </w:r>
      <w:r>
        <w:rPr>
          <w:rFonts w:hint="eastAsia" w:ascii="宋体" w:hAnsi="宋体" w:eastAsia="宋体" w:cs="宋体"/>
          <w:color w:val="000000"/>
          <w:sz w:val="28"/>
          <w:lang w:val="en-US" w:eastAsia="zh-CN"/>
        </w:rPr>
        <w:t>75</w:t>
      </w:r>
      <w:r>
        <w:rPr>
          <w:rFonts w:ascii="宋体" w:hAnsi="宋体" w:eastAsia="宋体" w:cs="宋体"/>
          <w:color w:val="000000"/>
          <w:sz w:val="28"/>
        </w:rPr>
        <w:t>%。决算数</w:t>
      </w:r>
      <w:r>
        <w:rPr>
          <w:rFonts w:hint="eastAsia" w:ascii="宋体" w:hAnsi="宋体" w:eastAsia="宋体" w:cs="宋体"/>
          <w:color w:val="000000"/>
          <w:sz w:val="28"/>
          <w:lang w:val="en-US" w:eastAsia="zh-CN"/>
        </w:rPr>
        <w:t>小</w:t>
      </w:r>
      <w:r>
        <w:rPr>
          <w:rFonts w:ascii="宋体" w:hAnsi="宋体" w:eastAsia="宋体" w:cs="宋体"/>
          <w:color w:val="000000"/>
          <w:sz w:val="28"/>
        </w:rPr>
        <w:t>于年初预算数的主要原因是：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10、</w:t>
      </w:r>
      <w:r>
        <w:rPr>
          <w:rFonts w:hint="eastAsia" w:ascii="宋体" w:hAnsi="宋体" w:eastAsia="宋体" w:cs="宋体"/>
          <w:color w:val="000000"/>
          <w:sz w:val="28"/>
        </w:rPr>
        <w:t>住房保障支出</w:t>
      </w:r>
      <w:r>
        <w:rPr>
          <w:rFonts w:ascii="宋体" w:hAnsi="宋体" w:eastAsia="宋体" w:cs="宋体"/>
          <w:color w:val="000000"/>
          <w:sz w:val="28"/>
        </w:rPr>
        <w:t>（类）</w:t>
      </w:r>
      <w:r>
        <w:rPr>
          <w:rFonts w:hint="eastAsia" w:ascii="宋体" w:hAnsi="宋体" w:eastAsia="宋体" w:cs="宋体"/>
          <w:color w:val="000000"/>
          <w:sz w:val="28"/>
        </w:rPr>
        <w:t>住房改革支出</w:t>
      </w:r>
      <w:r>
        <w:rPr>
          <w:rFonts w:ascii="宋体" w:hAnsi="宋体" w:eastAsia="宋体" w:cs="宋体"/>
          <w:color w:val="000000"/>
          <w:sz w:val="28"/>
        </w:rPr>
        <w:t>（款）住房公积金（项）。</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年初预算为</w:t>
      </w:r>
      <w:r>
        <w:rPr>
          <w:rFonts w:hint="eastAsia" w:ascii="宋体" w:hAnsi="宋体" w:eastAsia="宋体" w:cs="宋体"/>
          <w:color w:val="000000"/>
          <w:sz w:val="28"/>
          <w:lang w:val="en-US" w:eastAsia="zh-CN"/>
        </w:rPr>
        <w:t>79</w:t>
      </w:r>
      <w:r>
        <w:rPr>
          <w:rFonts w:ascii="宋体" w:hAnsi="宋体" w:eastAsia="宋体" w:cs="宋体"/>
          <w:color w:val="000000"/>
          <w:sz w:val="28"/>
        </w:rPr>
        <w:t>万元，支出决算为69.69万元，完成年初预算的</w:t>
      </w:r>
      <w:r>
        <w:rPr>
          <w:rFonts w:hint="eastAsia" w:ascii="宋体" w:hAnsi="宋体" w:eastAsia="宋体" w:cs="宋体"/>
          <w:color w:val="000000"/>
          <w:sz w:val="28"/>
          <w:lang w:val="en-US" w:eastAsia="zh-CN"/>
        </w:rPr>
        <w:t>88.22</w:t>
      </w:r>
      <w:r>
        <w:rPr>
          <w:rFonts w:ascii="宋体" w:hAnsi="宋体" w:eastAsia="宋体" w:cs="宋体"/>
          <w:color w:val="000000"/>
          <w:sz w:val="28"/>
        </w:rPr>
        <w:t>%。决算数</w:t>
      </w:r>
      <w:r>
        <w:rPr>
          <w:rFonts w:hint="eastAsia" w:ascii="宋体" w:hAnsi="宋体" w:eastAsia="宋体" w:cs="宋体"/>
          <w:color w:val="000000"/>
          <w:sz w:val="28"/>
          <w:lang w:val="en-US" w:eastAsia="zh-CN"/>
        </w:rPr>
        <w:t>小</w:t>
      </w:r>
      <w:r>
        <w:rPr>
          <w:rFonts w:ascii="宋体" w:hAnsi="宋体" w:eastAsia="宋体" w:cs="宋体"/>
          <w:color w:val="000000"/>
          <w:sz w:val="28"/>
        </w:rPr>
        <w:t>于年初预算数的主要原因是：</w:t>
      </w:r>
      <w:r>
        <w:rPr>
          <w:rFonts w:hint="eastAsia" w:ascii="宋体" w:hAnsi="宋体" w:eastAsia="宋体" w:cs="宋体"/>
          <w:color w:val="000000"/>
          <w:sz w:val="28"/>
        </w:rPr>
        <w:t>预算科目调整导致</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六、一般公共预算财政拨款基本支出决算情况说明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8"/>
        </w:rPr>
        <w:t>2024</w:t>
      </w:r>
      <w:r>
        <w:rPr>
          <w:rFonts w:ascii="宋体" w:hAnsi="宋体" w:eastAsia="宋体" w:cs="宋体"/>
          <w:color w:val="000000"/>
          <w:sz w:val="28"/>
        </w:rPr>
        <w:t>年度财政拨款基本支出</w:t>
      </w:r>
      <w:r>
        <w:rPr>
          <w:rFonts w:ascii="宋体" w:hAnsi="宋体" w:eastAsia="宋体" w:cs="宋体"/>
          <w:sz w:val="28"/>
        </w:rPr>
        <w:t>866.34</w:t>
      </w:r>
      <w:r>
        <w:rPr>
          <w:rFonts w:ascii="宋体" w:hAnsi="宋体" w:eastAsia="宋体" w:cs="宋体"/>
          <w:color w:val="000000"/>
          <w:sz w:val="28"/>
        </w:rPr>
        <w:t>万元，其中：</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人员经费761.68万元，占基本支出的87.92%，主要包括：基本工资、津贴补贴、伙食补助费、绩效工资、机关事业单位基本养老保险缴费、职工基本医疗保险缴费、其他社会保障缴费、住房公积金、其他工资福利支出、退休费、其他对个人和家庭的补助。</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公用经费104.66万元，占基本支出的12.08%，主要包括：办公费、差旅费、因公出国（境）费用、会议费、培训费、公务接待费、工会经费、公务用车运行维护费、其他交通费用、其他商品和服务支出、办公设备购置。</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七、财政拨款三公经费支出决算情况说明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（一）“三公”经费财政拨款支出决算总体情况说明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default" w:ascii="宋体" w:hAnsi="宋体" w:eastAsia="宋体" w:cs="宋体"/>
          <w:vanish w:val="0"/>
          <w:sz w:val="24"/>
          <w:lang w:val="en-US" w:eastAsia="zh-CN"/>
        </w:rPr>
      </w:pPr>
      <w:r>
        <w:rPr>
          <w:rFonts w:hint="eastAsia" w:ascii="宋体" w:hAnsi="宋体" w:eastAsia="宋体" w:cs="宋体"/>
          <w:color w:val="000000"/>
          <w:sz w:val="28"/>
          <w:lang w:val="en-US" w:eastAsia="zh-CN"/>
        </w:rPr>
        <w:t>2024年度</w:t>
      </w:r>
      <w:r>
        <w:rPr>
          <w:rFonts w:ascii="宋体" w:hAnsi="宋体" w:eastAsia="宋体" w:cs="宋体"/>
          <w:color w:val="000000"/>
          <w:sz w:val="28"/>
        </w:rPr>
        <w:t>“三公”经费财政拨款支出预算为</w:t>
      </w:r>
      <w:r>
        <w:rPr>
          <w:rFonts w:hint="eastAsia" w:ascii="宋体" w:hAnsi="宋体" w:eastAsia="宋体" w:cs="宋体"/>
          <w:color w:val="000000"/>
          <w:sz w:val="28"/>
        </w:rPr>
        <w:t>35</w:t>
      </w:r>
      <w:r>
        <w:rPr>
          <w:rFonts w:ascii="宋体" w:hAnsi="宋体" w:eastAsia="宋体" w:cs="宋体"/>
          <w:color w:val="000000"/>
          <w:sz w:val="28"/>
        </w:rPr>
        <w:t>万元，支出决算为9.16万元，完成预算的</w:t>
      </w:r>
      <w:r>
        <w:rPr>
          <w:rFonts w:hint="eastAsia" w:ascii="宋体" w:hAnsi="宋体" w:eastAsia="宋体" w:cs="宋体"/>
          <w:color w:val="000000"/>
          <w:sz w:val="28"/>
          <w:lang w:val="en-US" w:eastAsia="zh-CN"/>
        </w:rPr>
        <w:t>26.17</w:t>
      </w:r>
      <w:r>
        <w:rPr>
          <w:rFonts w:ascii="宋体" w:hAnsi="宋体" w:eastAsia="宋体" w:cs="宋体"/>
          <w:color w:val="000000"/>
          <w:sz w:val="28"/>
        </w:rPr>
        <w:t>%，与上年相比减少25.70万元，减少73.72%</w:t>
      </w:r>
      <w:r>
        <w:rPr>
          <w:rFonts w:hint="eastAsia" w:ascii="宋体" w:hAnsi="宋体" w:eastAsia="宋体" w:cs="宋体"/>
          <w:color w:val="000000"/>
          <w:sz w:val="28"/>
          <w:lang w:eastAsia="zh-CN"/>
        </w:rPr>
        <w:t>。</w:t>
      </w:r>
      <w:r>
        <w:rPr>
          <w:rFonts w:ascii="宋体" w:hAnsi="宋体" w:eastAsia="宋体" w:cs="宋体"/>
          <w:color w:val="000000"/>
          <w:sz w:val="28"/>
        </w:rPr>
        <w:t>决算数</w:t>
      </w:r>
      <w:r>
        <w:rPr>
          <w:rFonts w:hint="eastAsia" w:ascii="宋体" w:hAnsi="宋体" w:eastAsia="宋体" w:cs="宋体"/>
          <w:color w:val="000000"/>
          <w:sz w:val="28"/>
          <w:lang w:val="en-US" w:eastAsia="zh-CN"/>
        </w:rPr>
        <w:t>小于</w:t>
      </w:r>
      <w:r>
        <w:rPr>
          <w:rFonts w:ascii="宋体" w:hAnsi="宋体" w:eastAsia="宋体" w:cs="宋体"/>
          <w:color w:val="000000"/>
          <w:sz w:val="28"/>
        </w:rPr>
        <w:t>预算数，主要原因是</w:t>
      </w:r>
      <w:r>
        <w:rPr>
          <w:rFonts w:hint="eastAsia" w:ascii="宋体" w:hAnsi="宋体" w:eastAsia="宋体" w:cs="宋体"/>
          <w:color w:val="000000"/>
          <w:sz w:val="28"/>
          <w:lang w:val="en-US" w:eastAsia="zh-CN"/>
        </w:rPr>
        <w:t>本年度没有公务用车购置费</w:t>
      </w:r>
      <w:r>
        <w:rPr>
          <w:rFonts w:ascii="宋体" w:hAnsi="宋体" w:eastAsia="宋体" w:cs="宋体"/>
          <w:color w:val="000000"/>
          <w:sz w:val="28"/>
        </w:rPr>
        <w:t>，减少的主要原因是</w:t>
      </w:r>
      <w:r>
        <w:rPr>
          <w:rFonts w:hint="eastAsia" w:ascii="宋体" w:hAnsi="宋体" w:eastAsia="宋体" w:cs="宋体"/>
          <w:color w:val="000000"/>
          <w:sz w:val="28"/>
          <w:lang w:val="en-US" w:eastAsia="zh-CN"/>
        </w:rPr>
        <w:t>本年度没有公务用车购置费</w:t>
      </w:r>
      <w:r>
        <w:rPr>
          <w:rFonts w:ascii="宋体" w:hAnsi="宋体" w:eastAsia="宋体" w:cs="宋体"/>
          <w:color w:val="000000"/>
          <w:sz w:val="28"/>
        </w:rPr>
        <w:t>。</w:t>
      </w:r>
      <w:r>
        <w:rPr>
          <w:rFonts w:hint="eastAsia" w:ascii="宋体" w:hAnsi="宋体" w:eastAsia="宋体" w:cs="宋体"/>
          <w:color w:val="000000"/>
          <w:sz w:val="28"/>
          <w:lang w:val="en-US" w:eastAsia="zh-CN"/>
        </w:rPr>
        <w:t>决算数小于上年数的主要原因是本年度没有公务用车购置费用及本年度单位的运行维护费减少。</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（二）“三公”经费财政拨款支出决算具体情况说明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r>
        <w:rPr>
          <w:rFonts w:ascii="宋体" w:hAnsi="宋体" w:eastAsia="宋体" w:cs="宋体"/>
          <w:color w:val="000000"/>
          <w:sz w:val="28"/>
        </w:rPr>
        <w:t>1、</w:t>
      </w:r>
      <w:r>
        <w:rPr>
          <w:rFonts w:ascii="宋体" w:hAnsi="宋体" w:eastAsia="宋体" w:cs="宋体"/>
          <w:sz w:val="28"/>
        </w:rPr>
        <w:t>因公出国（境）费支出</w:t>
      </w:r>
      <w:r>
        <w:rPr>
          <w:rFonts w:ascii="宋体" w:hAnsi="宋体" w:eastAsia="宋体" w:cs="宋体"/>
          <w:color w:val="000000"/>
          <w:sz w:val="28"/>
        </w:rPr>
        <w:t>预算为0万元</w:t>
      </w:r>
      <w:r>
        <w:rPr>
          <w:rFonts w:hint="eastAsia" w:ascii="宋体" w:hAnsi="宋体" w:eastAsia="宋体" w:cs="宋体"/>
          <w:color w:val="000000"/>
          <w:sz w:val="28"/>
          <w:lang w:eastAsia="zh-CN"/>
        </w:rPr>
        <w:t>，</w:t>
      </w:r>
      <w:r>
        <w:rPr>
          <w:rFonts w:ascii="宋体" w:hAnsi="宋体" w:eastAsia="宋体" w:cs="宋体"/>
          <w:sz w:val="28"/>
        </w:rPr>
        <w:t>决算为</w:t>
      </w:r>
      <w:r>
        <w:rPr>
          <w:rFonts w:ascii="宋体" w:hAnsi="宋体" w:eastAsia="宋体" w:cs="宋体"/>
          <w:color w:val="000000"/>
          <w:sz w:val="28"/>
        </w:rPr>
        <w:t>6.30</w:t>
      </w:r>
      <w:r>
        <w:rPr>
          <w:rFonts w:ascii="宋体" w:hAnsi="宋体" w:eastAsia="宋体" w:cs="宋体"/>
          <w:sz w:val="28"/>
        </w:rPr>
        <w:t>万元，</w:t>
      </w:r>
      <w:r>
        <w:rPr>
          <w:rFonts w:ascii="宋体" w:hAnsi="宋体" w:eastAsia="宋体" w:cs="宋体"/>
          <w:color w:val="000000"/>
          <w:sz w:val="28"/>
        </w:rPr>
        <w:t>因年初预算金额为0万元，无法计算百分比</w:t>
      </w:r>
      <w:r>
        <w:rPr>
          <w:rFonts w:hint="eastAsia" w:ascii="宋体" w:hAnsi="宋体" w:eastAsia="宋体" w:cs="宋体"/>
          <w:color w:val="000000"/>
          <w:sz w:val="28"/>
          <w:lang w:eastAsia="zh-CN"/>
        </w:rPr>
        <w:t>；</w:t>
      </w:r>
      <w:r>
        <w:rPr>
          <w:rFonts w:ascii="宋体" w:hAnsi="宋体" w:eastAsia="宋体" w:cs="宋体"/>
          <w:color w:val="000000"/>
          <w:sz w:val="28"/>
        </w:rPr>
        <w:t>与上年相比</w:t>
      </w:r>
      <w:r>
        <w:rPr>
          <w:rFonts w:hint="eastAsia" w:ascii="宋体" w:hAnsi="宋体" w:eastAsia="宋体" w:cs="宋体"/>
          <w:color w:val="000000"/>
          <w:sz w:val="28"/>
          <w:lang w:val="en-US" w:eastAsia="zh-CN"/>
        </w:rPr>
        <w:t>增加</w:t>
      </w:r>
      <w:r>
        <w:rPr>
          <w:rFonts w:hint="eastAsia" w:ascii="宋体" w:hAnsi="宋体" w:eastAsia="宋体" w:cs="宋体"/>
          <w:color w:val="000000"/>
          <w:sz w:val="28"/>
        </w:rPr>
        <w:t>6.3</w:t>
      </w:r>
      <w:r>
        <w:rPr>
          <w:rFonts w:hint="eastAsia" w:ascii="宋体" w:hAnsi="宋体" w:eastAsia="宋体" w:cs="宋体"/>
          <w:color w:val="000000"/>
          <w:sz w:val="28"/>
          <w:lang w:val="en-US" w:eastAsia="zh-CN"/>
        </w:rPr>
        <w:t>万元</w:t>
      </w:r>
      <w:r>
        <w:rPr>
          <w:rFonts w:ascii="宋体" w:hAnsi="宋体" w:eastAsia="宋体" w:cs="宋体"/>
          <w:color w:val="000000"/>
          <w:sz w:val="28"/>
        </w:rPr>
        <w:t>，</w:t>
      </w:r>
      <w:r>
        <w:rPr>
          <w:rFonts w:hint="eastAsia" w:ascii="宋体" w:hAnsi="宋体" w:eastAsia="宋体" w:cs="宋体"/>
          <w:color w:val="000000"/>
          <w:sz w:val="28"/>
          <w:lang w:val="en-US" w:eastAsia="zh-CN"/>
        </w:rPr>
        <w:t>因预算数为0，无法计算增长百分比。决算数大于预算数的主要原因是本年度单位有出国费用为临时考察工作需要，单位年初没有预算</w:t>
      </w:r>
      <w:r>
        <w:rPr>
          <w:rFonts w:ascii="宋体" w:hAnsi="宋体" w:eastAsia="宋体" w:cs="宋体"/>
          <w:color w:val="000000"/>
          <w:sz w:val="28"/>
        </w:rPr>
        <w:t>。</w:t>
      </w:r>
      <w:r>
        <w:rPr>
          <w:rFonts w:hint="eastAsia" w:ascii="宋体" w:hAnsi="宋体" w:eastAsia="宋体" w:cs="宋体"/>
          <w:color w:val="000000"/>
          <w:sz w:val="28"/>
          <w:lang w:val="en-US" w:eastAsia="zh-CN"/>
        </w:rPr>
        <w:t>决算数大于上年数的主要原因是单位上年度没有出国考察任务，没有</w:t>
      </w:r>
      <w:r>
        <w:rPr>
          <w:rFonts w:ascii="宋体" w:hAnsi="宋体" w:eastAsia="宋体" w:cs="宋体"/>
          <w:sz w:val="28"/>
        </w:rPr>
        <w:t>因公出国（境）费</w:t>
      </w:r>
      <w:r>
        <w:rPr>
          <w:rFonts w:hint="eastAsia" w:ascii="宋体" w:hAnsi="宋体" w:eastAsia="宋体" w:cs="宋体"/>
          <w:sz w:val="28"/>
          <w:lang w:val="en-US" w:eastAsia="zh-CN"/>
        </w:rPr>
        <w:t>用。2024年</w:t>
      </w:r>
      <w:r>
        <w:rPr>
          <w:rFonts w:ascii="宋体" w:hAnsi="宋体" w:eastAsia="宋体" w:cs="宋体"/>
          <w:sz w:val="28"/>
        </w:rPr>
        <w:t>安排因公出国（境）团组</w:t>
      </w:r>
      <w:r>
        <w:rPr>
          <w:rFonts w:hint="eastAsia" w:ascii="宋体" w:hAnsi="宋体" w:eastAsia="宋体" w:cs="宋体"/>
          <w:sz w:val="28"/>
          <w:lang w:val="en-US" w:eastAsia="zh-CN"/>
        </w:rPr>
        <w:t>1</w:t>
      </w:r>
      <w:r>
        <w:rPr>
          <w:rFonts w:ascii="宋体" w:hAnsi="宋体" w:eastAsia="宋体" w:cs="宋体"/>
          <w:sz w:val="28"/>
        </w:rPr>
        <w:t>个，累计</w:t>
      </w:r>
      <w:r>
        <w:rPr>
          <w:rFonts w:hint="eastAsia" w:ascii="宋体" w:hAnsi="宋体" w:eastAsia="宋体" w:cs="宋体"/>
          <w:sz w:val="28"/>
          <w:lang w:val="en-US" w:eastAsia="zh-CN"/>
        </w:rPr>
        <w:t>1</w:t>
      </w:r>
      <w:r>
        <w:rPr>
          <w:rFonts w:ascii="宋体" w:hAnsi="宋体" w:eastAsia="宋体" w:cs="宋体"/>
          <w:sz w:val="28"/>
        </w:rPr>
        <w:t>人次，</w:t>
      </w:r>
      <w:r>
        <w:rPr>
          <w:rFonts w:hint="eastAsia" w:ascii="宋体" w:hAnsi="宋体" w:eastAsia="宋体" w:cs="宋体"/>
          <w:sz w:val="28"/>
          <w:lang w:val="en-US" w:eastAsia="zh-CN"/>
        </w:rPr>
        <w:t>主要包括：</w:t>
      </w:r>
      <w:r>
        <w:rPr>
          <w:rFonts w:ascii="宋体" w:hAnsi="宋体" w:eastAsia="宋体" w:cs="宋体"/>
          <w:sz w:val="28"/>
        </w:rPr>
        <w:t>因公出国（境）开支</w:t>
      </w:r>
      <w:r>
        <w:rPr>
          <w:rFonts w:hint="eastAsia" w:ascii="宋体" w:hAnsi="宋体" w:eastAsia="宋体" w:cs="宋体"/>
          <w:sz w:val="28"/>
          <w:lang w:val="en-US" w:eastAsia="zh-CN"/>
        </w:rPr>
        <w:t>6.3万元，主要用于主任出国考察活动费用</w:t>
      </w:r>
      <w:r>
        <w:rPr>
          <w:rFonts w:ascii="宋体" w:hAnsi="宋体" w:eastAsia="宋体" w:cs="宋体"/>
          <w:sz w:val="28"/>
        </w:rPr>
        <w:t>。</w:t>
      </w:r>
    </w:p>
    <w:p>
      <w:pPr>
        <w:pStyle w:val="5"/>
        <w:numPr>
          <w:ilvl w:val="0"/>
          <w:numId w:val="1"/>
        </w:numPr>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8"/>
        </w:rPr>
      </w:pPr>
      <w:r>
        <w:rPr>
          <w:rFonts w:ascii="宋体" w:hAnsi="宋体" w:eastAsia="宋体" w:cs="宋体"/>
          <w:sz w:val="28"/>
        </w:rPr>
        <w:t>公务用车购置费及运行维护费</w:t>
      </w:r>
      <w:r>
        <w:rPr>
          <w:rFonts w:hint="eastAsia" w:ascii="宋体" w:hAnsi="宋体" w:eastAsia="宋体" w:cs="宋体"/>
          <w:sz w:val="28"/>
          <w:lang w:val="en-US" w:eastAsia="zh-CN"/>
        </w:rPr>
        <w:t>支出预算数34万元，</w:t>
      </w:r>
      <w:r>
        <w:rPr>
          <w:rFonts w:ascii="宋体" w:hAnsi="宋体" w:eastAsia="宋体" w:cs="宋体"/>
          <w:sz w:val="28"/>
        </w:rPr>
        <w:t>支出决算为2.57万元，</w:t>
      </w:r>
      <w:r>
        <w:rPr>
          <w:rFonts w:hint="eastAsia" w:ascii="宋体" w:hAnsi="宋体" w:eastAsia="宋体" w:cs="宋体"/>
          <w:sz w:val="28"/>
          <w:lang w:val="en-US" w:eastAsia="zh-CN"/>
        </w:rPr>
        <w:t>完成预算的7.56%；与上年相比减少32.18万元，降低48.62%。其中：</w:t>
      </w:r>
    </w:p>
    <w:p>
      <w:pPr>
        <w:pStyle w:val="5"/>
        <w:numPr>
          <w:ilvl w:val="0"/>
          <w:numId w:val="0"/>
        </w:numPr>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hint="eastAsia" w:ascii="宋体" w:hAnsi="宋体" w:eastAsia="宋体" w:cs="宋体"/>
          <w:color w:val="000000"/>
          <w:sz w:val="28"/>
          <w:lang w:val="en-US" w:eastAsia="zh-CN"/>
        </w:rPr>
      </w:pPr>
      <w:r>
        <w:rPr>
          <w:rFonts w:ascii="宋体" w:hAnsi="宋体" w:eastAsia="宋体" w:cs="宋体"/>
          <w:color w:val="000000"/>
          <w:sz w:val="28"/>
        </w:rPr>
        <w:t>公务用车购置费支出预算为</w:t>
      </w:r>
      <w:r>
        <w:rPr>
          <w:rFonts w:hint="eastAsia" w:ascii="宋体" w:hAnsi="宋体" w:eastAsia="宋体" w:cs="宋体"/>
          <w:color w:val="000000"/>
          <w:sz w:val="28"/>
        </w:rPr>
        <w:t>25</w:t>
      </w:r>
      <w:r>
        <w:rPr>
          <w:rFonts w:ascii="宋体" w:hAnsi="宋体" w:eastAsia="宋体" w:cs="宋体"/>
          <w:color w:val="000000"/>
          <w:sz w:val="28"/>
        </w:rPr>
        <w:t>万元，支出决算为0万元，完成预算的</w:t>
      </w:r>
      <w:r>
        <w:rPr>
          <w:rFonts w:hint="eastAsia" w:ascii="宋体" w:hAnsi="宋体" w:eastAsia="宋体" w:cs="宋体"/>
          <w:color w:val="000000"/>
          <w:sz w:val="28"/>
          <w:lang w:val="en-US" w:eastAsia="zh-CN"/>
        </w:rPr>
        <w:t>0</w:t>
      </w:r>
      <w:r>
        <w:rPr>
          <w:rFonts w:ascii="宋体" w:hAnsi="宋体" w:eastAsia="宋体" w:cs="宋体"/>
          <w:color w:val="000000"/>
          <w:sz w:val="28"/>
        </w:rPr>
        <w:t>%，与上年相比减少24.98万元，</w:t>
      </w:r>
      <w:r>
        <w:rPr>
          <w:rFonts w:hint="eastAsia" w:ascii="宋体" w:hAnsi="宋体" w:eastAsia="宋体" w:cs="宋体"/>
          <w:color w:val="000000"/>
          <w:sz w:val="28"/>
          <w:lang w:val="en-US" w:eastAsia="zh-CN"/>
        </w:rPr>
        <w:t>降低49.98</w:t>
      </w:r>
      <w:r>
        <w:rPr>
          <w:rFonts w:ascii="宋体" w:hAnsi="宋体" w:eastAsia="宋体" w:cs="宋体"/>
          <w:color w:val="000000"/>
          <w:sz w:val="28"/>
        </w:rPr>
        <w:t>%</w:t>
      </w:r>
      <w:r>
        <w:rPr>
          <w:rFonts w:hint="eastAsia" w:ascii="宋体" w:hAnsi="宋体" w:eastAsia="宋体" w:cs="宋体"/>
          <w:color w:val="000000"/>
          <w:sz w:val="28"/>
          <w:lang w:eastAsia="zh-CN"/>
        </w:rPr>
        <w:t>；</w:t>
      </w:r>
      <w:r>
        <w:rPr>
          <w:rFonts w:ascii="宋体" w:hAnsi="宋体" w:eastAsia="宋体" w:cs="宋体"/>
          <w:color w:val="000000"/>
          <w:sz w:val="28"/>
        </w:rPr>
        <w:t>决算数</w:t>
      </w:r>
      <w:r>
        <w:rPr>
          <w:rFonts w:hint="eastAsia" w:ascii="宋体" w:hAnsi="宋体" w:eastAsia="宋体" w:cs="宋体"/>
          <w:color w:val="000000"/>
          <w:sz w:val="28"/>
          <w:lang w:val="en-US" w:eastAsia="zh-CN"/>
        </w:rPr>
        <w:t>小于</w:t>
      </w:r>
      <w:r>
        <w:rPr>
          <w:rFonts w:ascii="宋体" w:hAnsi="宋体" w:eastAsia="宋体" w:cs="宋体"/>
          <w:color w:val="000000"/>
          <w:sz w:val="28"/>
        </w:rPr>
        <w:t>预算数，主要原因是</w:t>
      </w:r>
      <w:r>
        <w:rPr>
          <w:rFonts w:hint="eastAsia" w:ascii="宋体" w:hAnsi="宋体" w:eastAsia="宋体" w:cs="宋体"/>
          <w:color w:val="000000"/>
          <w:sz w:val="28"/>
          <w:lang w:val="en-US" w:eastAsia="zh-CN"/>
        </w:rPr>
        <w:t>本年年初预算参考决算编制，实际本年度单位没有公务购置费</w:t>
      </w:r>
      <w:r>
        <w:rPr>
          <w:rFonts w:hint="eastAsia" w:ascii="宋体" w:hAnsi="宋体" w:eastAsia="宋体" w:cs="宋体"/>
          <w:color w:val="000000"/>
          <w:sz w:val="28"/>
          <w:lang w:eastAsia="zh-CN"/>
        </w:rPr>
        <w:t>，</w:t>
      </w:r>
      <w:r>
        <w:rPr>
          <w:rFonts w:hint="eastAsia" w:ascii="宋体" w:hAnsi="宋体" w:eastAsia="宋体" w:cs="宋体"/>
          <w:color w:val="000000"/>
          <w:sz w:val="28"/>
          <w:lang w:val="en-US" w:eastAsia="zh-CN"/>
        </w:rPr>
        <w:t>决算数小于上年数的主要原因为本年度单位没有公务购置费。湖南省市场监管事务中心更新公务用车0辆。</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lang w:val="en-US" w:eastAsia="zh-CN"/>
        </w:rPr>
      </w:pPr>
      <w:r>
        <w:rPr>
          <w:rFonts w:ascii="宋体" w:hAnsi="宋体" w:eastAsia="宋体" w:cs="宋体"/>
          <w:color w:val="000000"/>
          <w:sz w:val="28"/>
        </w:rPr>
        <w:t>公务用车运行维护费支出预算为</w:t>
      </w:r>
      <w:r>
        <w:rPr>
          <w:rFonts w:hint="eastAsia" w:ascii="宋体" w:hAnsi="宋体" w:eastAsia="宋体" w:cs="宋体"/>
          <w:color w:val="000000"/>
          <w:sz w:val="28"/>
          <w:lang w:val="en-US" w:eastAsia="zh-CN"/>
        </w:rPr>
        <w:t>9</w:t>
      </w:r>
      <w:r>
        <w:rPr>
          <w:rFonts w:ascii="宋体" w:hAnsi="宋体" w:eastAsia="宋体" w:cs="宋体"/>
          <w:color w:val="000000"/>
          <w:sz w:val="28"/>
        </w:rPr>
        <w:t>万元，支出决算为2.57万元，</w:t>
      </w:r>
      <w:r>
        <w:rPr>
          <w:rFonts w:hint="eastAsia" w:ascii="宋体" w:hAnsi="宋体" w:eastAsia="宋体" w:cs="宋体"/>
          <w:color w:val="000000"/>
          <w:sz w:val="28"/>
          <w:lang w:val="en-US" w:eastAsia="zh-CN"/>
        </w:rPr>
        <w:t>主要是</w:t>
      </w:r>
      <w:r>
        <w:rPr>
          <w:rFonts w:hint="eastAsia" w:ascii="宋体" w:hAnsi="宋体" w:eastAsia="宋体" w:cs="宋体"/>
          <w:color w:val="000000"/>
          <w:sz w:val="28"/>
        </w:rPr>
        <w:t>车辆维修保养</w:t>
      </w:r>
      <w:r>
        <w:rPr>
          <w:rFonts w:hint="eastAsia" w:ascii="宋体" w:hAnsi="宋体" w:eastAsia="宋体" w:cs="宋体"/>
          <w:color w:val="000000"/>
          <w:sz w:val="28"/>
          <w:lang w:val="en-US" w:eastAsia="zh-CN"/>
        </w:rPr>
        <w:t>和车辆保险费用支出，</w:t>
      </w:r>
      <w:r>
        <w:rPr>
          <w:rFonts w:ascii="宋体" w:hAnsi="宋体" w:eastAsia="宋体" w:cs="宋体"/>
          <w:color w:val="000000"/>
          <w:sz w:val="28"/>
        </w:rPr>
        <w:t>完成预算的</w:t>
      </w:r>
      <w:r>
        <w:rPr>
          <w:rFonts w:hint="eastAsia" w:ascii="宋体" w:hAnsi="宋体" w:eastAsia="宋体" w:cs="宋体"/>
          <w:color w:val="000000"/>
          <w:sz w:val="28"/>
          <w:lang w:val="en-US" w:eastAsia="zh-CN"/>
        </w:rPr>
        <w:t>28</w:t>
      </w:r>
      <w:r>
        <w:rPr>
          <w:rFonts w:ascii="宋体" w:hAnsi="宋体" w:eastAsia="宋体" w:cs="宋体"/>
          <w:color w:val="000000"/>
          <w:sz w:val="28"/>
        </w:rPr>
        <w:t>.</w:t>
      </w:r>
      <w:r>
        <w:rPr>
          <w:rFonts w:hint="eastAsia" w:ascii="宋体" w:hAnsi="宋体" w:eastAsia="宋体" w:cs="宋体"/>
          <w:color w:val="000000"/>
          <w:sz w:val="28"/>
          <w:lang w:val="en-US" w:eastAsia="zh-CN"/>
        </w:rPr>
        <w:t>55</w:t>
      </w:r>
      <w:r>
        <w:rPr>
          <w:rFonts w:ascii="宋体" w:hAnsi="宋体" w:eastAsia="宋体" w:cs="宋体"/>
          <w:color w:val="000000"/>
          <w:sz w:val="28"/>
        </w:rPr>
        <w:t>%，与上年相比减少7.20万元，</w:t>
      </w:r>
      <w:r>
        <w:rPr>
          <w:rFonts w:hint="eastAsia" w:ascii="宋体" w:hAnsi="宋体" w:eastAsia="宋体" w:cs="宋体"/>
          <w:color w:val="000000"/>
          <w:sz w:val="28"/>
          <w:lang w:val="en-US" w:eastAsia="zh-CN"/>
        </w:rPr>
        <w:t>降低</w:t>
      </w:r>
      <w:r>
        <w:rPr>
          <w:rFonts w:ascii="宋体" w:hAnsi="宋体" w:eastAsia="宋体" w:cs="宋体"/>
          <w:color w:val="000000"/>
          <w:sz w:val="28"/>
        </w:rPr>
        <w:t>73.69%</w:t>
      </w:r>
      <w:r>
        <w:rPr>
          <w:rFonts w:hint="eastAsia" w:ascii="宋体" w:hAnsi="宋体" w:eastAsia="宋体" w:cs="宋体"/>
          <w:color w:val="000000"/>
          <w:sz w:val="28"/>
          <w:lang w:eastAsia="zh-CN"/>
        </w:rPr>
        <w:t>；</w:t>
      </w:r>
      <w:r>
        <w:rPr>
          <w:rFonts w:ascii="宋体" w:hAnsi="宋体" w:eastAsia="宋体" w:cs="宋体"/>
          <w:color w:val="000000"/>
          <w:sz w:val="28"/>
        </w:rPr>
        <w:t>决算数</w:t>
      </w:r>
      <w:r>
        <w:rPr>
          <w:rFonts w:hint="eastAsia" w:ascii="宋体" w:hAnsi="宋体" w:eastAsia="宋体" w:cs="宋体"/>
          <w:color w:val="000000"/>
          <w:sz w:val="28"/>
          <w:lang w:val="en-US" w:eastAsia="zh-CN"/>
        </w:rPr>
        <w:t>小于</w:t>
      </w:r>
      <w:r>
        <w:rPr>
          <w:rFonts w:ascii="宋体" w:hAnsi="宋体" w:eastAsia="宋体" w:cs="宋体"/>
          <w:color w:val="000000"/>
          <w:sz w:val="28"/>
        </w:rPr>
        <w:t>预算数，主要原因是</w:t>
      </w:r>
      <w:r>
        <w:rPr>
          <w:rFonts w:hint="eastAsia" w:ascii="宋体" w:hAnsi="宋体" w:eastAsia="宋体" w:cs="宋体"/>
          <w:color w:val="000000"/>
          <w:sz w:val="28"/>
        </w:rPr>
        <w:t>车辆维修保养</w:t>
      </w:r>
      <w:r>
        <w:rPr>
          <w:rFonts w:hint="eastAsia" w:ascii="宋体" w:hAnsi="宋体" w:eastAsia="宋体" w:cs="宋体"/>
          <w:color w:val="000000"/>
          <w:sz w:val="28"/>
          <w:lang w:val="en-US" w:eastAsia="zh-CN"/>
        </w:rPr>
        <w:t>减少</w:t>
      </w:r>
      <w:r>
        <w:rPr>
          <w:rFonts w:ascii="宋体" w:hAnsi="宋体" w:eastAsia="宋体" w:cs="宋体"/>
          <w:color w:val="000000"/>
          <w:sz w:val="28"/>
        </w:rPr>
        <w:t>。</w:t>
      </w:r>
      <w:r>
        <w:rPr>
          <w:rFonts w:hint="eastAsia" w:ascii="宋体" w:hAnsi="宋体" w:eastAsia="宋体" w:cs="宋体"/>
          <w:color w:val="000000"/>
          <w:sz w:val="28"/>
          <w:lang w:val="en-US" w:eastAsia="zh-CN"/>
        </w:rPr>
        <w:t>决算数小于上年数的主要原因是本年度单位</w:t>
      </w:r>
      <w:r>
        <w:rPr>
          <w:rFonts w:hint="eastAsia" w:ascii="宋体" w:hAnsi="宋体" w:eastAsia="宋体" w:cs="宋体"/>
          <w:color w:val="000000"/>
          <w:sz w:val="28"/>
        </w:rPr>
        <w:t>车辆维修保养</w:t>
      </w:r>
      <w:r>
        <w:rPr>
          <w:rFonts w:hint="eastAsia" w:ascii="宋体" w:hAnsi="宋体" w:eastAsia="宋体" w:cs="宋体"/>
          <w:color w:val="000000"/>
          <w:sz w:val="28"/>
          <w:lang w:val="en-US" w:eastAsia="zh-CN"/>
        </w:rPr>
        <w:t>和车辆保险费用。截止2024年12月31日，我单位开支财政拨款的公务用车保有量为2辆。</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hint="eastAsia" w:ascii="宋体" w:hAnsi="宋体" w:eastAsia="宋体" w:cs="宋体"/>
          <w:color w:val="000000"/>
          <w:sz w:val="28"/>
          <w:lang w:val="en-US" w:eastAsia="zh-CN"/>
        </w:rPr>
        <w:t>3</w:t>
      </w:r>
      <w:r>
        <w:rPr>
          <w:rFonts w:ascii="宋体" w:hAnsi="宋体" w:eastAsia="宋体" w:cs="宋体"/>
          <w:color w:val="000000"/>
          <w:sz w:val="28"/>
        </w:rPr>
        <w:t>、公务接待费</w:t>
      </w:r>
      <w:r>
        <w:rPr>
          <w:rFonts w:hint="eastAsia" w:ascii="宋体" w:hAnsi="宋体" w:eastAsia="宋体" w:cs="宋体"/>
          <w:color w:val="000000"/>
          <w:sz w:val="28"/>
          <w:lang w:val="en-US" w:eastAsia="zh-CN"/>
        </w:rPr>
        <w:t>支出预算为1万元，</w:t>
      </w:r>
      <w:r>
        <w:rPr>
          <w:rFonts w:ascii="宋体" w:hAnsi="宋体" w:eastAsia="宋体" w:cs="宋体"/>
          <w:color w:val="000000"/>
          <w:sz w:val="28"/>
        </w:rPr>
        <w:t>支出决算为</w:t>
      </w:r>
      <w:r>
        <w:rPr>
          <w:rFonts w:ascii="宋体" w:hAnsi="宋体" w:eastAsia="宋体" w:cs="宋体"/>
          <w:sz w:val="28"/>
        </w:rPr>
        <w:t>0.30</w:t>
      </w:r>
      <w:r>
        <w:rPr>
          <w:rFonts w:ascii="宋体" w:hAnsi="宋体" w:eastAsia="宋体" w:cs="宋体"/>
          <w:color w:val="000000"/>
          <w:sz w:val="28"/>
        </w:rPr>
        <w:t>万元，完成预算的</w:t>
      </w:r>
      <w:r>
        <w:rPr>
          <w:rFonts w:hint="eastAsia" w:ascii="宋体" w:hAnsi="宋体" w:eastAsia="宋体" w:cs="宋体"/>
          <w:color w:val="000000"/>
          <w:sz w:val="28"/>
          <w:lang w:val="en-US" w:eastAsia="zh-CN"/>
        </w:rPr>
        <w:t>30</w:t>
      </w:r>
      <w:r>
        <w:rPr>
          <w:rFonts w:ascii="宋体" w:hAnsi="宋体" w:eastAsia="宋体" w:cs="宋体"/>
          <w:color w:val="000000"/>
          <w:sz w:val="28"/>
        </w:rPr>
        <w:t>.00%</w:t>
      </w:r>
      <w:r>
        <w:rPr>
          <w:rFonts w:hint="eastAsia" w:ascii="宋体" w:hAnsi="宋体" w:eastAsia="宋体" w:cs="宋体"/>
          <w:color w:val="000000"/>
          <w:sz w:val="28"/>
          <w:lang w:eastAsia="zh-CN"/>
        </w:rPr>
        <w:t>；</w:t>
      </w:r>
      <w:r>
        <w:rPr>
          <w:rFonts w:ascii="宋体" w:hAnsi="宋体" w:eastAsia="宋体" w:cs="宋体"/>
          <w:color w:val="000000"/>
          <w:sz w:val="28"/>
        </w:rPr>
        <w:t>与上年相比增加0.19万元，增长172.73%</w:t>
      </w:r>
      <w:r>
        <w:rPr>
          <w:rFonts w:hint="eastAsia" w:ascii="宋体" w:hAnsi="宋体" w:eastAsia="宋体" w:cs="宋体"/>
          <w:color w:val="000000"/>
          <w:sz w:val="28"/>
          <w:lang w:eastAsia="zh-CN"/>
        </w:rPr>
        <w:t>。</w:t>
      </w:r>
      <w:r>
        <w:rPr>
          <w:rFonts w:ascii="宋体" w:hAnsi="宋体" w:eastAsia="宋体" w:cs="宋体"/>
          <w:color w:val="000000"/>
          <w:sz w:val="28"/>
        </w:rPr>
        <w:t>决算数</w:t>
      </w:r>
      <w:r>
        <w:rPr>
          <w:rFonts w:hint="eastAsia" w:ascii="宋体" w:hAnsi="宋体" w:eastAsia="宋体" w:cs="宋体"/>
          <w:color w:val="000000"/>
          <w:sz w:val="28"/>
          <w:lang w:val="en-US" w:eastAsia="zh-CN"/>
        </w:rPr>
        <w:t>小于</w:t>
      </w:r>
      <w:r>
        <w:rPr>
          <w:rFonts w:ascii="宋体" w:hAnsi="宋体" w:eastAsia="宋体" w:cs="宋体"/>
          <w:color w:val="000000"/>
          <w:sz w:val="28"/>
        </w:rPr>
        <w:t>预算数，主要原因是</w:t>
      </w:r>
      <w:r>
        <w:rPr>
          <w:rFonts w:hint="eastAsia" w:ascii="宋体" w:hAnsi="宋体" w:eastAsia="宋体" w:cs="宋体"/>
          <w:color w:val="000000"/>
          <w:sz w:val="28"/>
          <w:lang w:val="en-US" w:eastAsia="zh-CN"/>
        </w:rPr>
        <w:t>本年度单位的预算增加，实际支出比预算少。决算数大于上年数的主要原因是</w:t>
      </w:r>
      <w:r>
        <w:rPr>
          <w:rFonts w:hint="eastAsia" w:ascii="宋体" w:hAnsi="宋体" w:eastAsia="宋体" w:cs="宋体"/>
          <w:color w:val="000000"/>
          <w:sz w:val="28"/>
        </w:rPr>
        <w:t>对接工作考察调研</w:t>
      </w:r>
      <w:r>
        <w:rPr>
          <w:rFonts w:hint="eastAsia" w:ascii="宋体" w:hAnsi="宋体" w:eastAsia="宋体" w:cs="宋体"/>
          <w:color w:val="000000"/>
          <w:sz w:val="28"/>
          <w:lang w:val="en-US" w:eastAsia="zh-CN"/>
        </w:rPr>
        <w:t>接待支出增加。2024年度</w:t>
      </w:r>
      <w:r>
        <w:rPr>
          <w:rFonts w:ascii="宋体" w:hAnsi="宋体" w:eastAsia="宋体" w:cs="宋体"/>
          <w:color w:val="000000"/>
          <w:sz w:val="28"/>
        </w:rPr>
        <w:t>共接待来访团组</w:t>
      </w:r>
      <w:r>
        <w:rPr>
          <w:rFonts w:hint="eastAsia" w:ascii="宋体" w:hAnsi="宋体" w:eastAsia="宋体" w:cs="宋体"/>
          <w:color w:val="000000"/>
          <w:sz w:val="28"/>
          <w:lang w:val="en-US" w:eastAsia="zh-CN"/>
        </w:rPr>
        <w:t>4</w:t>
      </w:r>
      <w:r>
        <w:rPr>
          <w:rFonts w:ascii="宋体" w:hAnsi="宋体" w:eastAsia="宋体" w:cs="宋体"/>
          <w:color w:val="000000"/>
          <w:sz w:val="28"/>
        </w:rPr>
        <w:t>个、来宾</w:t>
      </w:r>
      <w:r>
        <w:rPr>
          <w:rFonts w:hint="eastAsia" w:ascii="宋体" w:hAnsi="宋体" w:eastAsia="宋体" w:cs="宋体"/>
          <w:color w:val="000000"/>
          <w:sz w:val="28"/>
          <w:lang w:val="en-US" w:eastAsia="zh-CN"/>
        </w:rPr>
        <w:t>13</w:t>
      </w:r>
      <w:r>
        <w:rPr>
          <w:rFonts w:ascii="宋体" w:hAnsi="宋体" w:eastAsia="宋体" w:cs="宋体"/>
          <w:color w:val="000000"/>
          <w:sz w:val="28"/>
        </w:rPr>
        <w:t>人次，主要是</w:t>
      </w:r>
      <w:r>
        <w:rPr>
          <w:rFonts w:hint="eastAsia" w:ascii="宋体" w:hAnsi="宋体" w:eastAsia="宋体" w:cs="宋体"/>
          <w:color w:val="000000"/>
          <w:sz w:val="28"/>
        </w:rPr>
        <w:t>对接工作考察调研</w:t>
      </w:r>
      <w:r>
        <w:rPr>
          <w:rFonts w:ascii="宋体" w:hAnsi="宋体" w:eastAsia="宋体" w:cs="宋体"/>
          <w:color w:val="000000"/>
          <w:sz w:val="28"/>
        </w:rPr>
        <w:t>发生的接待支出。</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八、政府性基金预算收入支出决算情况</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hint="eastAsia" w:ascii="宋体" w:hAnsi="宋体" w:eastAsia="宋体" w:cs="宋体"/>
          <w:sz w:val="28"/>
          <w:lang w:val="en-US" w:eastAsia="zh-CN"/>
        </w:rPr>
        <w:t>本单位无政府性基金收支</w:t>
      </w:r>
      <w:r>
        <w:rPr>
          <w:rFonts w:ascii="宋体" w:hAnsi="宋体" w:eastAsia="宋体" w:cs="宋体"/>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hint="eastAsia" w:ascii="黑体" w:hAnsi="黑体" w:eastAsia="黑体" w:cs="宋体"/>
          <w:b/>
          <w:sz w:val="28"/>
          <w:lang w:val="en-US" w:eastAsia="zh-CN"/>
        </w:rPr>
        <w:t>九</w:t>
      </w:r>
      <w:r>
        <w:rPr>
          <w:rFonts w:ascii="黑体" w:hAnsi="黑体" w:eastAsia="黑体" w:cs="宋体"/>
          <w:b/>
          <w:sz w:val="28"/>
        </w:rPr>
        <w:t>、关于机关运行经费支出说明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本</w:t>
      </w:r>
      <w:r>
        <w:rPr>
          <w:rFonts w:hint="eastAsia" w:ascii="宋体" w:hAnsi="宋体" w:eastAsia="宋体" w:cs="宋体"/>
          <w:color w:val="000000"/>
          <w:sz w:val="28"/>
          <w:lang w:eastAsia="zh-CN"/>
        </w:rPr>
        <w:t>单位</w:t>
      </w:r>
      <w:r>
        <w:rPr>
          <w:rFonts w:ascii="宋体" w:hAnsi="宋体" w:eastAsia="宋体" w:cs="宋体"/>
          <w:sz w:val="28"/>
        </w:rPr>
        <w:t>2024</w:t>
      </w:r>
      <w:r>
        <w:rPr>
          <w:rFonts w:ascii="宋体" w:hAnsi="宋体" w:eastAsia="宋体" w:cs="宋体"/>
          <w:color w:val="000000"/>
          <w:sz w:val="28"/>
        </w:rPr>
        <w:t>年度机关运行经费支出0万元，比上年决算数</w:t>
      </w:r>
      <w:r>
        <w:rPr>
          <w:rFonts w:ascii="宋体" w:hAnsi="宋体" w:eastAsia="宋体" w:cs="宋体"/>
          <w:sz w:val="28"/>
        </w:rPr>
        <w:t>持平，</w:t>
      </w:r>
      <w:r>
        <w:rPr>
          <w:rFonts w:ascii="宋体" w:hAnsi="宋体" w:eastAsia="宋体" w:cs="宋体"/>
          <w:color w:val="000000"/>
          <w:sz w:val="28"/>
        </w:rPr>
        <w:t>主要原因是：</w:t>
      </w:r>
      <w:r>
        <w:rPr>
          <w:rFonts w:hint="eastAsia" w:ascii="宋体" w:hAnsi="宋体" w:eastAsia="宋体" w:cs="宋体"/>
          <w:color w:val="000000"/>
          <w:sz w:val="28"/>
        </w:rPr>
        <w:t>我单位为非参公事业单位和非行政单位，未纳入机关运行经费统计范围，故机关运行经费为0万元</w:t>
      </w:r>
      <w:r>
        <w:rPr>
          <w:rFonts w:ascii="宋体" w:hAnsi="宋体" w:eastAsia="宋体" w:cs="宋体"/>
          <w:color w:val="000000"/>
          <w:sz w:val="28"/>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十、一般性支出情况</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rPr>
        <w:t>2024年本</w:t>
      </w:r>
      <w:r>
        <w:rPr>
          <w:rFonts w:hint="eastAsia" w:ascii="宋体" w:hAnsi="宋体" w:eastAsia="宋体" w:cs="宋体"/>
          <w:color w:val="000000"/>
          <w:sz w:val="28"/>
          <w:lang w:eastAsia="zh-CN"/>
        </w:rPr>
        <w:t>单位</w:t>
      </w:r>
      <w:r>
        <w:rPr>
          <w:rFonts w:hint="eastAsia" w:ascii="宋体" w:hAnsi="宋体" w:eastAsia="宋体" w:cs="宋体"/>
          <w:color w:val="000000"/>
          <w:sz w:val="28"/>
        </w:rPr>
        <w:t>开支会议费1.74万元，用于召开1场会议，人数45人，内容为2024年湖南省个私协会工作会议；开支培训费19.3万元，用于开展2场培训，人数109人，内容为湖南省个体劳动者私营企业协会举办特色经营素质提升培训班、开展“服务个私经济、提升履职能力”专题培训；未举办节庆、晚会、论坛、赛事等，开支0万元。</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十</w:t>
      </w:r>
      <w:r>
        <w:rPr>
          <w:rFonts w:hint="eastAsia" w:ascii="黑体" w:hAnsi="黑体" w:eastAsia="黑体" w:cs="宋体"/>
          <w:b/>
          <w:sz w:val="28"/>
          <w:lang w:val="en-US" w:eastAsia="zh-CN"/>
        </w:rPr>
        <w:t>一</w:t>
      </w:r>
      <w:r>
        <w:rPr>
          <w:rFonts w:ascii="黑体" w:hAnsi="黑体" w:eastAsia="黑体" w:cs="宋体"/>
          <w:b/>
          <w:sz w:val="28"/>
        </w:rPr>
        <w:t>、关于政府采购支出说明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本</w:t>
      </w:r>
      <w:r>
        <w:rPr>
          <w:rFonts w:hint="eastAsia" w:ascii="宋体" w:hAnsi="宋体" w:eastAsia="宋体" w:cs="宋体"/>
          <w:color w:val="000000"/>
          <w:sz w:val="28"/>
          <w:lang w:eastAsia="zh-CN"/>
        </w:rPr>
        <w:t>单位</w:t>
      </w:r>
      <w:r>
        <w:rPr>
          <w:rFonts w:ascii="宋体" w:hAnsi="宋体" w:eastAsia="宋体" w:cs="宋体"/>
          <w:color w:val="000000"/>
          <w:sz w:val="28"/>
        </w:rPr>
        <w:t>202</w:t>
      </w:r>
      <w:r>
        <w:rPr>
          <w:rFonts w:hint="eastAsia" w:ascii="宋体" w:hAnsi="宋体" w:eastAsia="宋体" w:cs="宋体"/>
          <w:color w:val="000000"/>
          <w:sz w:val="28"/>
          <w:lang w:val="en-US" w:eastAsia="zh-CN"/>
        </w:rPr>
        <w:t>4</w:t>
      </w:r>
      <w:r>
        <w:rPr>
          <w:rFonts w:ascii="宋体" w:hAnsi="宋体" w:eastAsia="宋体" w:cs="宋体"/>
          <w:color w:val="000000"/>
          <w:sz w:val="28"/>
        </w:rPr>
        <w:t>年度政府采购支出总额0万元，其中：政府采购货物支出0万元、政府采购工程支出0万元、政府采购服务支出0万元。授予中小企业合同金额0万元，占政府采购支出总额的百分比无法计算，其中：授予小微企业合同金额0万元，占政府采购支出总额的百分比无法计算；货物采购授予中小企业合同金额占货物支出金额的百分比无法计算，原因是政府采购货物支出为0万元，工程采购授予中小企业合同金额占工程支出金额的百分比无法计算，原因是政府采购工程支出为0万元，服务采购授予中小企业合同金额占服务支出金额的百分比无法计算，原因是政府采购服务支出为0万元。</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十</w:t>
      </w:r>
      <w:r>
        <w:rPr>
          <w:rFonts w:hint="eastAsia" w:ascii="黑体" w:hAnsi="黑体" w:eastAsia="黑体" w:cs="宋体"/>
          <w:b/>
          <w:sz w:val="28"/>
          <w:lang w:val="en-US" w:eastAsia="zh-CN"/>
        </w:rPr>
        <w:t>二</w:t>
      </w:r>
      <w:r>
        <w:rPr>
          <w:rFonts w:ascii="黑体" w:hAnsi="黑体" w:eastAsia="黑体" w:cs="宋体"/>
          <w:b/>
          <w:sz w:val="28"/>
        </w:rPr>
        <w:t>、关于国有资产占用情况说明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截至</w:t>
      </w:r>
      <w:r>
        <w:rPr>
          <w:rFonts w:ascii="宋体" w:hAnsi="宋体" w:eastAsia="宋体" w:cs="宋体"/>
          <w:sz w:val="28"/>
        </w:rPr>
        <w:t>2024</w:t>
      </w:r>
      <w:r>
        <w:rPr>
          <w:rFonts w:ascii="宋体" w:hAnsi="宋体" w:eastAsia="宋体" w:cs="宋体"/>
          <w:color w:val="000000"/>
          <w:sz w:val="28"/>
        </w:rPr>
        <w:t>年12月31日，本单位共有车辆</w:t>
      </w:r>
      <w:r>
        <w:rPr>
          <w:rFonts w:hint="eastAsia" w:ascii="宋体" w:hAnsi="宋体" w:eastAsia="宋体" w:cs="宋体"/>
          <w:color w:val="000000"/>
          <w:sz w:val="28"/>
          <w:lang w:val="en-US" w:eastAsia="zh-CN"/>
        </w:rPr>
        <w:t>2</w:t>
      </w:r>
      <w:r>
        <w:rPr>
          <w:rFonts w:ascii="宋体" w:hAnsi="宋体" w:eastAsia="宋体" w:cs="宋体"/>
          <w:color w:val="000000"/>
          <w:sz w:val="28"/>
        </w:rPr>
        <w:t>辆，其中，副部（省）级及以上领导用车0辆,主要负责人用车0辆，机要通信用车0辆、应急保障用车0辆、执法执勤用车0辆、特种专业技术用车0辆、离退休干部服务用车0辆、其他用车</w:t>
      </w:r>
      <w:r>
        <w:rPr>
          <w:rFonts w:hint="eastAsia" w:ascii="宋体" w:hAnsi="宋体" w:eastAsia="宋体" w:cs="宋体"/>
          <w:color w:val="000000"/>
          <w:sz w:val="28"/>
          <w:lang w:val="en-US" w:eastAsia="zh-CN"/>
        </w:rPr>
        <w:t>2</w:t>
      </w:r>
      <w:r>
        <w:rPr>
          <w:rFonts w:ascii="宋体" w:hAnsi="宋体" w:eastAsia="宋体" w:cs="宋体"/>
          <w:color w:val="000000"/>
          <w:sz w:val="28"/>
        </w:rPr>
        <w:t>辆，其他用车主要是无；单位价值100万元以上设备（不含车辆）0台（套）。</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b/>
          <w:sz w:val="28"/>
        </w:rPr>
        <w:t>十</w:t>
      </w:r>
      <w:r>
        <w:rPr>
          <w:rFonts w:hint="eastAsia" w:ascii="黑体" w:hAnsi="黑体" w:eastAsia="黑体" w:cs="宋体"/>
          <w:b/>
          <w:sz w:val="28"/>
          <w:lang w:val="en-US" w:eastAsia="zh-CN"/>
        </w:rPr>
        <w:t>三</w:t>
      </w:r>
      <w:r>
        <w:rPr>
          <w:rFonts w:ascii="黑体" w:hAnsi="黑体" w:eastAsia="黑体" w:cs="宋体"/>
          <w:b/>
          <w:sz w:val="28"/>
        </w:rPr>
        <w:t>、关于202</w:t>
      </w:r>
      <w:r>
        <w:rPr>
          <w:rFonts w:hint="eastAsia" w:ascii="黑体" w:hAnsi="黑体" w:eastAsia="黑体" w:cs="宋体"/>
          <w:b/>
          <w:sz w:val="28"/>
          <w:lang w:val="en-US" w:eastAsia="zh-CN"/>
        </w:rPr>
        <w:t>4</w:t>
      </w:r>
      <w:r>
        <w:rPr>
          <w:rFonts w:ascii="黑体" w:hAnsi="黑体" w:eastAsia="黑体" w:cs="宋体"/>
          <w:b/>
          <w:sz w:val="28"/>
        </w:rPr>
        <w:t>年度预算绩效情况的说明</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sz w:val="28"/>
        </w:rPr>
        <w:t>（一）绩效管理工作开展情况</w:t>
      </w:r>
    </w:p>
    <w:p>
      <w:pPr>
        <w:pStyle w:val="29"/>
        <w:keepNext w:val="0"/>
        <w:keepLines w:val="0"/>
        <w:pageBreakBefore w:val="0"/>
        <w:kinsoku/>
        <w:wordWrap/>
        <w:overflowPunct/>
        <w:topLinePunct w:val="0"/>
        <w:autoSpaceDE/>
        <w:autoSpaceDN/>
        <w:bidi w:val="0"/>
        <w:spacing w:line="600" w:lineRule="exact"/>
        <w:ind w:firstLine="532" w:firstLineChars="190"/>
        <w:textAlignment w:val="auto"/>
        <w:rPr>
          <w:rFonts w:ascii="宋体" w:hAnsi="宋体" w:eastAsia="宋体" w:cs="宋体"/>
          <w:color w:val="000000"/>
          <w:sz w:val="28"/>
          <w:szCs w:val="24"/>
          <w:lang w:val="en-US" w:eastAsia="uk-UA" w:bidi="ar-SA"/>
        </w:rPr>
      </w:pPr>
      <w:r>
        <w:rPr>
          <w:rFonts w:hint="eastAsia" w:ascii="宋体" w:hAnsi="宋体" w:eastAsia="宋体" w:cs="宋体"/>
          <w:color w:val="000000"/>
          <w:sz w:val="28"/>
          <w:szCs w:val="24"/>
          <w:lang w:val="en-US" w:eastAsia="zh-CN" w:bidi="ar-SA"/>
        </w:rPr>
        <w:tab/>
      </w:r>
      <w:r>
        <w:rPr>
          <w:rFonts w:hint="eastAsia" w:ascii="宋体" w:hAnsi="宋体" w:eastAsia="宋体" w:cs="宋体"/>
          <w:color w:val="000000"/>
          <w:sz w:val="28"/>
          <w:szCs w:val="24"/>
          <w:lang w:val="en-US" w:eastAsia="zh-CN" w:bidi="ar-SA"/>
        </w:rPr>
        <w:t>2024</w:t>
      </w:r>
      <w:r>
        <w:rPr>
          <w:rFonts w:hint="eastAsia" w:ascii="宋体" w:hAnsi="宋体" w:eastAsia="宋体" w:cs="宋体"/>
          <w:color w:val="000000"/>
          <w:sz w:val="28"/>
          <w:szCs w:val="24"/>
          <w:lang w:val="en-US" w:eastAsia="uk-UA" w:bidi="ar-SA"/>
        </w:rPr>
        <w:t>年</w:t>
      </w:r>
      <w:r>
        <w:rPr>
          <w:rFonts w:hint="eastAsia" w:ascii="宋体" w:hAnsi="宋体" w:eastAsia="宋体" w:cs="宋体"/>
          <w:color w:val="000000"/>
          <w:sz w:val="28"/>
          <w:szCs w:val="24"/>
          <w:lang w:val="en-US" w:eastAsia="zh-CN" w:bidi="ar-SA"/>
        </w:rPr>
        <w:t>，我中心</w:t>
      </w:r>
      <w:r>
        <w:rPr>
          <w:rFonts w:hint="eastAsia" w:ascii="宋体" w:hAnsi="宋体" w:eastAsia="宋体" w:cs="宋体"/>
          <w:color w:val="000000"/>
          <w:sz w:val="28"/>
          <w:szCs w:val="24"/>
          <w:lang w:val="en-US" w:eastAsia="uk-UA" w:bidi="ar-SA"/>
        </w:rPr>
        <w:t>全年预算数为</w:t>
      </w:r>
      <w:r>
        <w:rPr>
          <w:rFonts w:hint="eastAsia" w:ascii="宋体" w:hAnsi="宋体" w:eastAsia="宋体" w:cs="宋体"/>
          <w:color w:val="000000"/>
          <w:sz w:val="28"/>
          <w:szCs w:val="24"/>
          <w:lang w:val="en-US" w:eastAsia="zh-CN" w:bidi="ar-SA"/>
        </w:rPr>
        <w:t>2079.07</w:t>
      </w:r>
      <w:r>
        <w:rPr>
          <w:rFonts w:hint="eastAsia" w:ascii="宋体" w:hAnsi="宋体" w:eastAsia="宋体" w:cs="宋体"/>
          <w:color w:val="000000"/>
          <w:sz w:val="28"/>
          <w:szCs w:val="24"/>
          <w:lang w:val="en-US" w:eastAsia="uk-UA" w:bidi="ar-SA"/>
        </w:rPr>
        <w:t>万元，支出</w:t>
      </w:r>
      <w:r>
        <w:rPr>
          <w:rFonts w:hint="eastAsia" w:ascii="宋体" w:hAnsi="宋体" w:eastAsia="宋体" w:cs="宋体"/>
          <w:color w:val="000000"/>
          <w:sz w:val="28"/>
          <w:szCs w:val="24"/>
          <w:lang w:val="en-US" w:eastAsia="zh-CN" w:bidi="ar-SA"/>
        </w:rPr>
        <w:t>1924.50</w:t>
      </w:r>
      <w:r>
        <w:rPr>
          <w:rFonts w:hint="eastAsia" w:ascii="宋体" w:hAnsi="宋体" w:eastAsia="宋体" w:cs="宋体"/>
          <w:color w:val="000000"/>
          <w:sz w:val="28"/>
          <w:szCs w:val="24"/>
          <w:lang w:val="en-US" w:eastAsia="uk-UA" w:bidi="ar-SA"/>
        </w:rPr>
        <w:t>万元，其中：基本支出为</w:t>
      </w:r>
      <w:r>
        <w:rPr>
          <w:rFonts w:hint="eastAsia" w:ascii="宋体" w:hAnsi="宋体" w:eastAsia="宋体" w:cs="宋体"/>
          <w:color w:val="000000"/>
          <w:sz w:val="28"/>
          <w:szCs w:val="24"/>
          <w:lang w:val="en-US" w:eastAsia="zh-CN" w:bidi="ar-SA"/>
        </w:rPr>
        <w:t>866.34</w:t>
      </w:r>
      <w:r>
        <w:rPr>
          <w:rFonts w:hint="eastAsia" w:ascii="宋体" w:hAnsi="宋体" w:eastAsia="宋体" w:cs="宋体"/>
          <w:color w:val="000000"/>
          <w:sz w:val="28"/>
          <w:szCs w:val="24"/>
          <w:lang w:val="en-US" w:eastAsia="uk-UA" w:bidi="ar-SA"/>
        </w:rPr>
        <w:t>万元，项目支出</w:t>
      </w:r>
      <w:r>
        <w:rPr>
          <w:rFonts w:hint="eastAsia" w:ascii="宋体" w:hAnsi="宋体" w:eastAsia="宋体" w:cs="宋体"/>
          <w:color w:val="000000"/>
          <w:sz w:val="28"/>
          <w:szCs w:val="24"/>
          <w:lang w:val="en-US" w:eastAsia="zh-CN" w:bidi="ar-SA"/>
        </w:rPr>
        <w:t>1058.16</w:t>
      </w:r>
      <w:r>
        <w:rPr>
          <w:rFonts w:hint="eastAsia" w:ascii="宋体" w:hAnsi="宋体" w:eastAsia="宋体" w:cs="宋体"/>
          <w:color w:val="000000"/>
          <w:sz w:val="28"/>
          <w:szCs w:val="24"/>
          <w:lang w:val="en-US" w:eastAsia="uk-UA" w:bidi="ar-SA"/>
        </w:rPr>
        <w:t>万元。</w:t>
      </w:r>
      <w:r>
        <w:rPr>
          <w:rFonts w:hint="eastAsia" w:ascii="宋体" w:hAnsi="宋体" w:eastAsia="宋体" w:cs="宋体"/>
          <w:color w:val="000000"/>
          <w:sz w:val="28"/>
          <w:szCs w:val="24"/>
          <w:lang w:val="en-US" w:eastAsia="zh-CN" w:bidi="ar-SA"/>
        </w:rPr>
        <w:t>事务</w:t>
      </w:r>
      <w:r>
        <w:rPr>
          <w:rFonts w:hint="eastAsia" w:ascii="宋体" w:hAnsi="宋体" w:eastAsia="宋体" w:cs="宋体"/>
          <w:color w:val="000000"/>
          <w:sz w:val="28"/>
          <w:szCs w:val="24"/>
          <w:lang w:val="en-US" w:eastAsia="uk-UA" w:bidi="ar-SA"/>
        </w:rPr>
        <w:t>中心严格</w:t>
      </w:r>
      <w:r>
        <w:rPr>
          <w:rFonts w:hint="eastAsia" w:ascii="宋体" w:hAnsi="宋体" w:eastAsia="宋体" w:cs="宋体"/>
          <w:color w:val="000000"/>
          <w:sz w:val="28"/>
          <w:szCs w:val="24"/>
          <w:lang w:val="en-US" w:eastAsia="zh-CN" w:bidi="ar-SA"/>
        </w:rPr>
        <w:t>按照</w:t>
      </w:r>
      <w:r>
        <w:rPr>
          <w:rFonts w:hint="eastAsia" w:ascii="宋体" w:hAnsi="宋体" w:eastAsia="宋体" w:cs="宋体"/>
          <w:color w:val="000000"/>
          <w:sz w:val="28"/>
          <w:szCs w:val="24"/>
          <w:lang w:val="en-US" w:eastAsia="uk-UA" w:bidi="ar-SA"/>
        </w:rPr>
        <w:t>中央八项规定</w:t>
      </w:r>
      <w:r>
        <w:rPr>
          <w:rFonts w:hint="eastAsia" w:ascii="宋体" w:hAnsi="宋体" w:eastAsia="宋体" w:cs="宋体"/>
          <w:color w:val="000000"/>
          <w:sz w:val="28"/>
          <w:szCs w:val="24"/>
          <w:lang w:val="en-US" w:eastAsia="zh-CN" w:bidi="ar-SA"/>
        </w:rPr>
        <w:t>精神</w:t>
      </w:r>
      <w:r>
        <w:rPr>
          <w:rFonts w:hint="eastAsia" w:ascii="宋体" w:hAnsi="宋体" w:eastAsia="宋体" w:cs="宋体"/>
          <w:color w:val="000000"/>
          <w:sz w:val="28"/>
          <w:szCs w:val="24"/>
          <w:lang w:val="en-US" w:eastAsia="uk-UA" w:bidi="ar-SA"/>
        </w:rPr>
        <w:t>和</w:t>
      </w:r>
      <w:r>
        <w:rPr>
          <w:rFonts w:hint="eastAsia" w:ascii="宋体" w:hAnsi="宋体" w:eastAsia="宋体" w:cs="宋体"/>
          <w:color w:val="000000"/>
          <w:sz w:val="28"/>
          <w:szCs w:val="24"/>
          <w:lang w:val="en-US" w:eastAsia="zh-CN" w:bidi="ar-SA"/>
        </w:rPr>
        <w:t>各项</w:t>
      </w:r>
      <w:r>
        <w:rPr>
          <w:rFonts w:hint="eastAsia" w:ascii="宋体" w:hAnsi="宋体" w:eastAsia="宋体" w:cs="宋体"/>
          <w:color w:val="000000"/>
          <w:sz w:val="28"/>
          <w:szCs w:val="24"/>
          <w:lang w:val="en-US" w:eastAsia="uk-UA" w:bidi="ar-SA"/>
        </w:rPr>
        <w:t>财务管理制度，</w:t>
      </w:r>
      <w:r>
        <w:rPr>
          <w:rFonts w:hint="eastAsia" w:ascii="宋体" w:hAnsi="宋体" w:eastAsia="宋体" w:cs="宋体"/>
          <w:color w:val="000000"/>
          <w:sz w:val="28"/>
          <w:szCs w:val="24"/>
          <w:lang w:val="en-US" w:eastAsia="zh-CN" w:bidi="ar-SA"/>
        </w:rPr>
        <w:t>在资金的管理和使用上，坚持统筹兼顾、厉行节约、提高效益的原则，</w:t>
      </w:r>
      <w:r>
        <w:rPr>
          <w:rFonts w:hint="eastAsia" w:ascii="宋体" w:hAnsi="宋体" w:eastAsia="宋体" w:cs="宋体"/>
          <w:color w:val="000000"/>
          <w:sz w:val="28"/>
          <w:szCs w:val="24"/>
          <w:lang w:val="en-US" w:eastAsia="uk-UA" w:bidi="ar-SA"/>
        </w:rPr>
        <w:t>合理安排日常公用经费资金及项目资金，</w:t>
      </w:r>
      <w:r>
        <w:rPr>
          <w:rFonts w:hint="eastAsia" w:ascii="宋体" w:hAnsi="宋体" w:eastAsia="宋体" w:cs="宋体"/>
          <w:color w:val="000000"/>
          <w:sz w:val="28"/>
          <w:szCs w:val="24"/>
          <w:lang w:val="en-US" w:eastAsia="zh-CN" w:bidi="ar-SA"/>
        </w:rPr>
        <w:t>预算执行总体较为有效，</w:t>
      </w:r>
      <w:r>
        <w:rPr>
          <w:rFonts w:hint="eastAsia" w:ascii="宋体" w:hAnsi="宋体" w:eastAsia="宋体" w:cs="宋体"/>
          <w:color w:val="000000"/>
          <w:sz w:val="28"/>
          <w:szCs w:val="24"/>
          <w:lang w:val="en-US" w:eastAsia="uk-UA" w:bidi="ar-SA"/>
        </w:rPr>
        <w:t>保证</w:t>
      </w:r>
      <w:r>
        <w:rPr>
          <w:rFonts w:hint="eastAsia" w:ascii="宋体" w:hAnsi="宋体" w:eastAsia="宋体" w:cs="宋体"/>
          <w:color w:val="000000"/>
          <w:sz w:val="28"/>
          <w:szCs w:val="24"/>
          <w:lang w:val="en-US" w:eastAsia="zh-CN" w:bidi="ar-SA"/>
        </w:rPr>
        <w:t>了</w:t>
      </w:r>
      <w:r>
        <w:rPr>
          <w:rFonts w:hint="eastAsia" w:ascii="宋体" w:hAnsi="宋体" w:eastAsia="宋体" w:cs="宋体"/>
          <w:color w:val="000000"/>
          <w:sz w:val="28"/>
          <w:szCs w:val="24"/>
          <w:lang w:val="en-US" w:eastAsia="uk-UA" w:bidi="ar-SA"/>
        </w:rPr>
        <w:t>中心各项工作的正常运转</w:t>
      </w:r>
      <w:r>
        <w:rPr>
          <w:rFonts w:ascii="宋体" w:hAnsi="宋体" w:eastAsia="宋体" w:cs="宋体"/>
          <w:color w:val="000000"/>
          <w:sz w:val="28"/>
          <w:szCs w:val="24"/>
          <w:lang w:val="en-US" w:eastAsia="uk-UA" w:bidi="ar-SA"/>
        </w:rPr>
        <w:t>。</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sz w:val="28"/>
        </w:rPr>
        <w:t>（二）</w:t>
      </w:r>
      <w:r>
        <w:rPr>
          <w:rFonts w:ascii="Times New Roman" w:hAnsi="Times New Roman" w:eastAsia="楷体_GB2312" w:cs="Times New Roman"/>
          <w:b/>
          <w:bCs/>
          <w:sz w:val="32"/>
          <w:szCs w:val="32"/>
        </w:rPr>
        <w:t>绩效评价结果</w:t>
      </w:r>
    </w:p>
    <w:p>
      <w:pPr>
        <w:pStyle w:val="29"/>
        <w:keepNext w:val="0"/>
        <w:keepLines w:val="0"/>
        <w:pageBreakBefore w:val="0"/>
        <w:kinsoku/>
        <w:wordWrap/>
        <w:overflowPunct/>
        <w:topLinePunct w:val="0"/>
        <w:autoSpaceDE/>
        <w:autoSpaceDN/>
        <w:bidi w:val="0"/>
        <w:spacing w:line="600" w:lineRule="exact"/>
        <w:ind w:firstLine="532" w:firstLineChars="190"/>
        <w:textAlignment w:val="auto"/>
        <w:rPr>
          <w:rFonts w:ascii="宋体" w:hAnsi="宋体" w:eastAsia="宋体" w:cs="宋体"/>
          <w:color w:val="000000"/>
          <w:sz w:val="28"/>
          <w:szCs w:val="24"/>
          <w:lang w:val="en-US" w:eastAsia="uk-UA" w:bidi="ar-SA"/>
        </w:rPr>
      </w:pPr>
      <w:r>
        <w:rPr>
          <w:rFonts w:hint="eastAsia" w:ascii="宋体" w:hAnsi="宋体" w:eastAsia="宋体" w:cs="宋体"/>
          <w:color w:val="000000"/>
          <w:sz w:val="28"/>
          <w:szCs w:val="24"/>
          <w:lang w:val="en-US" w:eastAsia="uk-UA" w:bidi="ar-SA"/>
        </w:rPr>
        <w:t>202</w:t>
      </w:r>
      <w:r>
        <w:rPr>
          <w:rFonts w:hint="eastAsia" w:ascii="宋体" w:hAnsi="宋体" w:eastAsia="宋体" w:cs="宋体"/>
          <w:color w:val="000000"/>
          <w:sz w:val="28"/>
          <w:szCs w:val="24"/>
          <w:lang w:val="en-US" w:eastAsia="zh-CN" w:bidi="ar-SA"/>
        </w:rPr>
        <w:t>4</w:t>
      </w:r>
      <w:r>
        <w:rPr>
          <w:rFonts w:hint="eastAsia" w:ascii="宋体" w:hAnsi="宋体" w:eastAsia="宋体" w:cs="宋体"/>
          <w:color w:val="000000"/>
          <w:sz w:val="28"/>
          <w:szCs w:val="24"/>
          <w:lang w:val="en-US" w:eastAsia="uk-UA" w:bidi="ar-SA"/>
        </w:rPr>
        <w:t>年</w:t>
      </w:r>
      <w:r>
        <w:rPr>
          <w:rFonts w:hint="eastAsia" w:ascii="宋体" w:hAnsi="宋体" w:eastAsia="宋体" w:cs="宋体"/>
          <w:color w:val="000000"/>
          <w:sz w:val="28"/>
          <w:szCs w:val="24"/>
          <w:lang w:val="en-US" w:eastAsia="zh-CN" w:bidi="ar-SA"/>
        </w:rPr>
        <w:t>事务</w:t>
      </w:r>
      <w:r>
        <w:rPr>
          <w:rFonts w:hint="eastAsia" w:ascii="宋体" w:hAnsi="宋体" w:eastAsia="宋体" w:cs="宋体"/>
          <w:color w:val="000000"/>
          <w:sz w:val="28"/>
          <w:szCs w:val="24"/>
          <w:lang w:val="en-US" w:eastAsia="uk-UA" w:bidi="ar-SA"/>
        </w:rPr>
        <w:t>中心严格按照年初预算批复认真组织实施,严格执行财政相关管理规定，确保了单位正常运行，较好地完成了202</w:t>
      </w:r>
      <w:r>
        <w:rPr>
          <w:rFonts w:hint="eastAsia" w:ascii="宋体" w:hAnsi="宋体" w:eastAsia="宋体" w:cs="宋体"/>
          <w:color w:val="000000"/>
          <w:sz w:val="28"/>
          <w:szCs w:val="24"/>
          <w:lang w:val="en-US" w:eastAsia="zh-CN" w:bidi="ar-SA"/>
        </w:rPr>
        <w:t>4</w:t>
      </w:r>
      <w:r>
        <w:rPr>
          <w:rFonts w:hint="eastAsia" w:ascii="宋体" w:hAnsi="宋体" w:eastAsia="宋体" w:cs="宋体"/>
          <w:color w:val="000000"/>
          <w:sz w:val="28"/>
          <w:szCs w:val="24"/>
          <w:lang w:val="en-US" w:eastAsia="uk-UA" w:bidi="ar-SA"/>
        </w:rPr>
        <w:t>年</w:t>
      </w:r>
      <w:r>
        <w:rPr>
          <w:rFonts w:hint="eastAsia" w:ascii="宋体" w:hAnsi="宋体" w:eastAsia="宋体" w:cs="宋体"/>
          <w:color w:val="000000"/>
          <w:sz w:val="28"/>
          <w:szCs w:val="24"/>
          <w:lang w:val="en-US" w:eastAsia="zh-CN" w:bidi="ar-SA"/>
        </w:rPr>
        <w:t>单位</w:t>
      </w:r>
      <w:r>
        <w:rPr>
          <w:rFonts w:hint="eastAsia" w:ascii="宋体" w:hAnsi="宋体" w:eastAsia="宋体" w:cs="宋体"/>
          <w:color w:val="000000"/>
          <w:sz w:val="28"/>
          <w:szCs w:val="24"/>
          <w:lang w:val="en-US" w:eastAsia="uk-UA" w:bidi="ar-SA"/>
        </w:rPr>
        <w:t>预算编制和决算汇总工作，</w:t>
      </w:r>
      <w:r>
        <w:rPr>
          <w:rFonts w:hint="eastAsia" w:ascii="宋体" w:hAnsi="宋体" w:eastAsia="宋体" w:cs="宋体"/>
          <w:color w:val="000000"/>
          <w:sz w:val="28"/>
          <w:szCs w:val="24"/>
          <w:lang w:val="en-US" w:eastAsia="zh-CN" w:bidi="ar-SA"/>
        </w:rPr>
        <w:t>较好地实现了</w:t>
      </w:r>
      <w:r>
        <w:rPr>
          <w:rFonts w:hint="eastAsia" w:ascii="宋体" w:hAnsi="宋体" w:eastAsia="宋体" w:cs="宋体"/>
          <w:color w:val="000000"/>
          <w:sz w:val="28"/>
          <w:szCs w:val="24"/>
          <w:lang w:val="en-US" w:eastAsia="uk-UA" w:bidi="ar-SA"/>
        </w:rPr>
        <w:t>单位整体支出绩效目标任务，绩效自评结果为良好。</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黑体" w:hAnsi="黑体" w:eastAsia="黑体" w:cs="宋体"/>
          <w:sz w:val="28"/>
        </w:rPr>
        <w:t>（三）</w:t>
      </w:r>
      <w:r>
        <w:rPr>
          <w:rFonts w:ascii="Times New Roman" w:hAnsi="Times New Roman" w:eastAsia="楷体_GB2312" w:cs="Times New Roman"/>
          <w:b/>
          <w:bCs/>
          <w:color w:val="auto"/>
          <w:kern w:val="2"/>
          <w:sz w:val="32"/>
          <w:szCs w:val="32"/>
        </w:rPr>
        <w:t>评价结果应用情况</w:t>
      </w:r>
    </w:p>
    <w:p>
      <w:pPr>
        <w:widowControl/>
        <w:numPr>
          <w:ilvl w:val="0"/>
          <w:numId w:val="0"/>
        </w:numPr>
        <w:snapToGrid w:val="0"/>
        <w:spacing w:line="540" w:lineRule="exact"/>
        <w:ind w:firstLine="560" w:firstLineChars="200"/>
        <w:jc w:val="left"/>
        <w:rPr>
          <w:rFonts w:hint="eastAsia" w:ascii="宋体" w:hAnsi="宋体" w:eastAsia="宋体" w:cs="宋体"/>
          <w:color w:val="000000"/>
          <w:sz w:val="28"/>
          <w:szCs w:val="24"/>
          <w:lang w:val="en-US" w:eastAsia="zh-CN" w:bidi="ar-SA"/>
        </w:rPr>
      </w:pPr>
      <w:r>
        <w:rPr>
          <w:rFonts w:hint="eastAsia" w:ascii="宋体" w:hAnsi="宋体" w:eastAsia="宋体" w:cs="宋体"/>
          <w:color w:val="000000"/>
          <w:sz w:val="28"/>
          <w:szCs w:val="24"/>
          <w:lang w:val="en-US" w:eastAsia="zh-CN" w:bidi="ar-SA"/>
        </w:rPr>
        <w:t>1、项目管理决策支持：项目绩效自评结果为项目管理者提供了客观的数据支出，可作为制定决策、调整项目方向和资源分配的依据。通过对绩效评估结果的分析，项目管理者可以及时发现项目执行中存在的问题和风险，采取相应措施加以解决，确保项目目标实现。</w:t>
      </w:r>
    </w:p>
    <w:p>
      <w:pPr>
        <w:widowControl/>
        <w:numPr>
          <w:ilvl w:val="0"/>
          <w:numId w:val="0"/>
        </w:numPr>
        <w:snapToGrid w:val="0"/>
        <w:spacing w:line="540" w:lineRule="exact"/>
        <w:ind w:firstLine="560" w:firstLineChars="200"/>
        <w:jc w:val="left"/>
        <w:rPr>
          <w:rFonts w:hint="eastAsia" w:ascii="宋体" w:hAnsi="宋体" w:eastAsia="宋体" w:cs="宋体"/>
          <w:color w:val="000000"/>
          <w:sz w:val="28"/>
          <w:szCs w:val="24"/>
          <w:lang w:val="en-US" w:eastAsia="zh-CN" w:bidi="ar-SA"/>
        </w:rPr>
      </w:pPr>
      <w:r>
        <w:rPr>
          <w:rFonts w:hint="eastAsia" w:ascii="宋体" w:hAnsi="宋体" w:eastAsia="宋体" w:cs="宋体"/>
          <w:color w:val="000000"/>
          <w:sz w:val="28"/>
          <w:szCs w:val="24"/>
          <w:lang w:val="en-US" w:eastAsia="zh-CN" w:bidi="ar-SA"/>
        </w:rPr>
        <w:t>2、过程改进和优化：项目绩效自评结果有助于发现项目执行过程中存在的不足和改进的空间，可以识别出影响项目执行效率和质量的关键因素，针对性地进行改进和优化，提升项目管理水平和绩效表现。</w:t>
      </w:r>
    </w:p>
    <w:p>
      <w:pPr>
        <w:widowControl/>
        <w:numPr>
          <w:ilvl w:val="0"/>
          <w:numId w:val="0"/>
        </w:numPr>
        <w:snapToGrid w:val="0"/>
        <w:spacing w:line="540" w:lineRule="exact"/>
        <w:ind w:firstLine="560" w:firstLineChars="200"/>
        <w:jc w:val="left"/>
        <w:rPr>
          <w:rFonts w:hint="default" w:ascii="宋体" w:hAnsi="宋体" w:eastAsia="宋体" w:cs="宋体"/>
          <w:color w:val="000000"/>
          <w:sz w:val="28"/>
          <w:szCs w:val="24"/>
          <w:lang w:val="en-US" w:eastAsia="zh-CN" w:bidi="ar-SA"/>
        </w:rPr>
      </w:pPr>
      <w:r>
        <w:rPr>
          <w:rFonts w:hint="eastAsia" w:ascii="宋体" w:hAnsi="宋体" w:eastAsia="宋体" w:cs="宋体"/>
          <w:color w:val="000000"/>
          <w:sz w:val="28"/>
          <w:szCs w:val="24"/>
          <w:lang w:val="en-US" w:eastAsia="zh-CN" w:bidi="ar-SA"/>
        </w:rPr>
        <w:t>3、风险管理和控制：项目绩效自评结果为项目风险管理提供了重要参考依据。通过对项目绩效的评估，可以及时发现并评估项目执行过程中存在的各类风险，采取相应措施进行风险应对和控制，降低项目执行风险，保障项目目标的实现。</w:t>
      </w:r>
    </w:p>
    <w:p>
      <w:pPr>
        <w:pStyle w:val="5"/>
        <w:rPr>
          <w:rFonts w:ascii="宋体" w:hAnsi="宋体" w:eastAsia="宋体" w:cs="宋体"/>
          <w:color w:val="000000"/>
          <w:sz w:val="28"/>
          <w:szCs w:val="24"/>
          <w:lang w:val="en-US" w:eastAsia="uk-UA" w:bidi="ar-SA"/>
        </w:rPr>
      </w:pPr>
      <w:r>
        <w:rPr>
          <w:rFonts w:ascii="宋体" w:hAnsi="宋体" w:eastAsia="宋体" w:cs="宋体"/>
          <w:color w:val="000000"/>
          <w:sz w:val="28"/>
          <w:szCs w:val="24"/>
          <w:lang w:val="en-US" w:eastAsia="uk-UA" w:bidi="ar-SA"/>
        </w:rPr>
        <w:br w:type="page"/>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 第四部分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名词解释</w:t>
      </w:r>
    </w:p>
    <w:p>
      <w:pPr>
        <w:pStyle w:val="5"/>
        <w:rPr>
          <w:vanish w:val="0"/>
        </w:rPr>
      </w:pPr>
      <w:r>
        <w:br w:type="page"/>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1、“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支出。</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color w:val="000000"/>
          <w:sz w:val="28"/>
        </w:rPr>
        <w:t>2、机关运行经费：机关运行经费指为保障行政单位（包括参照公务员法管理的事业单位）运行，用于购买货物和服务的各项资金。包括办公及印刷费、邮电费、差旅费、会议费、福利费、日常维修费、专用材料费及一般设备购置费、办公用房水电费、公务用车运行维护费及其他费用。</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p>
      <w:pPr>
        <w:pStyle w:val="5"/>
        <w:rPr>
          <w:vanish w:val="0"/>
        </w:rPr>
      </w:pPr>
      <w:r>
        <w:br w:type="page"/>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 第五部分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center"/>
        <w:rPr>
          <w:rFonts w:ascii="宋体" w:hAnsi="宋体" w:eastAsia="宋体" w:cs="宋体"/>
          <w:vanish w:val="0"/>
          <w:sz w:val="24"/>
        </w:rPr>
      </w:pPr>
      <w:r>
        <w:rPr>
          <w:rFonts w:ascii="黑体" w:hAnsi="黑体" w:eastAsia="黑体" w:cs="宋体"/>
          <w:b/>
          <w:color w:val="000000"/>
          <w:sz w:val="48"/>
        </w:rPr>
        <w:t>附件</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p>
      <w:pPr>
        <w:spacing w:line="600" w:lineRule="exact"/>
        <w:outlineLvl w:val="0"/>
        <w:rPr>
          <w:rFonts w:eastAsia="方正黑体_GBK"/>
          <w:kern w:val="0"/>
          <w:sz w:val="32"/>
          <w:szCs w:val="32"/>
        </w:rPr>
      </w:pPr>
      <w:bookmarkStart w:id="1" w:name="_GoBack"/>
      <w:bookmarkEnd w:id="1"/>
      <w:r>
        <w:rPr>
          <w:rFonts w:eastAsia="方正黑体_GBK"/>
          <w:kern w:val="0"/>
          <w:sz w:val="32"/>
          <w:szCs w:val="32"/>
        </w:rPr>
        <w:t>附件1</w:t>
      </w:r>
    </w:p>
    <w:p>
      <w:pPr>
        <w:spacing w:line="600" w:lineRule="exact"/>
        <w:rPr>
          <w:rFonts w:eastAsia="黑体"/>
          <w:kern w:val="0"/>
          <w:sz w:val="32"/>
          <w:szCs w:val="32"/>
        </w:rPr>
      </w:pPr>
    </w:p>
    <w:p>
      <w:pPr>
        <w:pStyle w:val="3"/>
      </w:pPr>
    </w:p>
    <w:p>
      <w:pPr>
        <w:jc w:val="center"/>
        <w:rPr>
          <w:rFonts w:hint="eastAsia" w:ascii="方正小标宋_GBK" w:eastAsia="方正小标宋_GBK"/>
          <w:sz w:val="52"/>
          <w:szCs w:val="52"/>
          <w:lang w:eastAsia="zh-CN"/>
        </w:rPr>
      </w:pPr>
      <w:r>
        <w:rPr>
          <w:rFonts w:hint="eastAsia" w:ascii="方正小标宋_GBK" w:eastAsia="方正小标宋_GBK"/>
          <w:sz w:val="52"/>
          <w:szCs w:val="52"/>
          <w:lang w:val="en-US" w:eastAsia="zh-CN"/>
        </w:rPr>
        <w:t>202</w:t>
      </w:r>
      <w:r>
        <w:rPr>
          <w:rFonts w:hint="default" w:ascii="方正小标宋_GBK" w:eastAsia="方正小标宋_GBK"/>
          <w:sz w:val="52"/>
          <w:szCs w:val="52"/>
          <w:lang w:val="en" w:eastAsia="zh-CN"/>
        </w:rPr>
        <w:t>4</w:t>
      </w:r>
      <w:r>
        <w:rPr>
          <w:rFonts w:hint="eastAsia" w:ascii="方正小标宋_GBK" w:eastAsia="方正小标宋_GBK"/>
          <w:sz w:val="52"/>
          <w:szCs w:val="52"/>
        </w:rPr>
        <w:t>年度</w:t>
      </w:r>
      <w:r>
        <w:rPr>
          <w:rFonts w:hint="eastAsia" w:ascii="方正小标宋_GBK" w:eastAsia="方正小标宋_GBK"/>
          <w:sz w:val="52"/>
          <w:szCs w:val="52"/>
          <w:lang w:eastAsia="zh-CN"/>
        </w:rPr>
        <w:t>湖南省市场监管事务中心</w:t>
      </w:r>
    </w:p>
    <w:p>
      <w:pPr>
        <w:jc w:val="center"/>
        <w:rPr>
          <w:rFonts w:ascii="方正小标宋_GBK" w:eastAsia="方正小标宋_GBK"/>
          <w:sz w:val="52"/>
          <w:szCs w:val="52"/>
        </w:rPr>
      </w:pPr>
      <w:r>
        <w:rPr>
          <w:rFonts w:hint="eastAsia" w:ascii="方正小标宋_GBK" w:eastAsia="方正小标宋_GBK"/>
          <w:sz w:val="52"/>
          <w:szCs w:val="52"/>
        </w:rPr>
        <w:t>整体支出绩效自评报告</w:t>
      </w:r>
    </w:p>
    <w:p>
      <w:pPr>
        <w:jc w:val="center"/>
        <w:rPr>
          <w:rFonts w:ascii="方正小标宋_GBK" w:eastAsia="方正小标宋_GBK"/>
          <w:b/>
          <w:sz w:val="52"/>
          <w:szCs w:val="5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黑体"/>
          <w:sz w:val="32"/>
          <w:szCs w:val="32"/>
        </w:rPr>
      </w:pPr>
    </w:p>
    <w:p>
      <w:pP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spacing w:line="600" w:lineRule="exact"/>
        <w:ind w:firstLine="640" w:firstLineChars="200"/>
        <w:jc w:val="center"/>
        <w:rPr>
          <w:rFonts w:hint="eastAsia" w:ascii="方正仿宋_GBK" w:eastAsia="方正仿宋_GBK"/>
          <w:sz w:val="32"/>
          <w:szCs w:val="32"/>
          <w:u w:val="single"/>
          <w:lang w:eastAsia="zh-CN"/>
        </w:rPr>
      </w:pPr>
      <w:r>
        <w:rPr>
          <w:rFonts w:hint="eastAsia" w:ascii="方正仿宋_GBK" w:eastAsia="方正仿宋_GBK"/>
          <w:sz w:val="32"/>
          <w:szCs w:val="32"/>
        </w:rPr>
        <w:t>单位名称：</w:t>
      </w:r>
      <w:r>
        <w:rPr>
          <w:rFonts w:hint="eastAsia" w:ascii="方正仿宋_GBK" w:eastAsia="方正仿宋_GBK"/>
          <w:sz w:val="32"/>
          <w:szCs w:val="32"/>
          <w:u w:val="single"/>
          <w:lang w:eastAsia="zh-CN"/>
        </w:rPr>
        <w:t>湖南省市场监管事务中心</w:t>
      </w:r>
    </w:p>
    <w:p>
      <w:pPr>
        <w:spacing w:line="600" w:lineRule="exact"/>
        <w:ind w:firstLine="640" w:firstLineChars="200"/>
        <w:jc w:val="center"/>
        <w:rPr>
          <w:rFonts w:hint="eastAsia" w:ascii="方正仿宋_GBK" w:eastAsia="方正仿宋_GBK"/>
          <w:sz w:val="32"/>
          <w:szCs w:val="32"/>
        </w:rPr>
      </w:pPr>
      <w:r>
        <w:rPr>
          <w:rFonts w:hint="eastAsia" w:ascii="方正仿宋_GBK" w:eastAsia="方正仿宋_GBK"/>
          <w:sz w:val="32"/>
          <w:szCs w:val="32"/>
          <w:lang w:val="en-US" w:eastAsia="zh-CN"/>
        </w:rPr>
        <w:t>202</w:t>
      </w:r>
      <w:r>
        <w:rPr>
          <w:rFonts w:hint="default" w:ascii="方正仿宋_GBK" w:eastAsia="方正仿宋_GBK"/>
          <w:sz w:val="32"/>
          <w:szCs w:val="32"/>
          <w:lang w:val="en" w:eastAsia="zh-CN"/>
        </w:rPr>
        <w:t>5</w:t>
      </w:r>
      <w:r>
        <w:rPr>
          <w:rFonts w:hint="eastAsia" w:ascii="方正仿宋_GBK" w:eastAsia="方正仿宋_GBK"/>
          <w:sz w:val="32"/>
          <w:szCs w:val="32"/>
        </w:rPr>
        <w:t>年</w:t>
      </w:r>
      <w:r>
        <w:rPr>
          <w:rFonts w:hint="eastAsia" w:ascii="方正仿宋_GBK" w:eastAsia="方正仿宋_GBK"/>
          <w:sz w:val="32"/>
          <w:szCs w:val="32"/>
          <w:lang w:val="en-US" w:eastAsia="zh-CN"/>
        </w:rPr>
        <w:t>0</w:t>
      </w:r>
      <w:r>
        <w:rPr>
          <w:rFonts w:hint="default" w:ascii="方正仿宋_GBK" w:eastAsia="方正仿宋_GBK"/>
          <w:sz w:val="32"/>
          <w:szCs w:val="32"/>
          <w:lang w:val="en" w:eastAsia="zh-CN"/>
        </w:rPr>
        <w:t>3</w:t>
      </w:r>
      <w:r>
        <w:rPr>
          <w:rFonts w:hint="eastAsia" w:ascii="方正仿宋_GBK" w:eastAsia="方正仿宋_GBK"/>
          <w:sz w:val="32"/>
          <w:szCs w:val="32"/>
        </w:rPr>
        <w:t>月</w:t>
      </w:r>
      <w:r>
        <w:rPr>
          <w:rFonts w:hint="eastAsia" w:ascii="方正仿宋_GBK" w:eastAsia="方正仿宋_GBK"/>
          <w:sz w:val="32"/>
          <w:szCs w:val="32"/>
          <w:lang w:val="en-US" w:eastAsia="zh-CN"/>
        </w:rPr>
        <w:t>28</w:t>
      </w:r>
      <w:r>
        <w:rPr>
          <w:rFonts w:hint="eastAsia" w:ascii="方正仿宋_GBK" w:eastAsia="方正仿宋_GBK"/>
          <w:sz w:val="32"/>
          <w:szCs w:val="32"/>
        </w:rPr>
        <w:t>日</w:t>
      </w:r>
    </w:p>
    <w:p>
      <w:pPr>
        <w:jc w:val="center"/>
        <w:rPr>
          <w:rFonts w:hint="eastAsia" w:ascii="方正仿宋_GBK" w:eastAsia="方正仿宋_GBK"/>
          <w:sz w:val="32"/>
          <w:szCs w:val="32"/>
        </w:rPr>
      </w:pPr>
    </w:p>
    <w:p>
      <w:pPr>
        <w:jc w:val="center"/>
        <w:rPr>
          <w:rFonts w:hint="eastAsia" w:ascii="方正仿宋_GBK" w:eastAsia="方正仿宋_GBK"/>
          <w:sz w:val="32"/>
          <w:szCs w:val="32"/>
          <w:lang w:eastAsia="zh-CN"/>
        </w:rPr>
        <w:sectPr>
          <w:footerReference r:id="rId3" w:type="default"/>
          <w:footerReference r:id="rId4" w:type="even"/>
          <w:pgSz w:w="11906" w:h="16838"/>
          <w:pgMar w:top="1985" w:right="1474" w:bottom="1474" w:left="1474" w:header="851" w:footer="1134" w:gutter="0"/>
          <w:cols w:space="720" w:num="1"/>
          <w:titlePg/>
          <w:docGrid w:type="lines" w:linePitch="312" w:charSpace="0"/>
        </w:sectPr>
      </w:pPr>
      <w:r>
        <w:rPr>
          <w:rFonts w:hint="eastAsia" w:ascii="方正仿宋_GBK" w:eastAsia="方正仿宋_GBK"/>
          <w:sz w:val="32"/>
          <w:szCs w:val="32"/>
        </w:rPr>
        <w:t>（此页为封面</w:t>
      </w:r>
      <w:r>
        <w:rPr>
          <w:rFonts w:hint="eastAsia" w:ascii="方正仿宋_GBK"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
        </w:rPr>
        <w:t>4</w:t>
      </w:r>
      <w:r>
        <w:rPr>
          <w:rFonts w:ascii="Times New Roman" w:hAnsi="Times New Roman" w:eastAsia="方正小标宋_GBK" w:cs="Times New Roman"/>
          <w:sz w:val="44"/>
          <w:szCs w:val="44"/>
        </w:rPr>
        <w:t>年度</w:t>
      </w:r>
      <w:r>
        <w:rPr>
          <w:rFonts w:hint="eastAsia" w:ascii="Times New Roman" w:hAnsi="Times New Roman" w:eastAsia="方正小标宋_GBK" w:cs="Times New Roman"/>
          <w:sz w:val="44"/>
          <w:szCs w:val="44"/>
          <w:lang w:eastAsia="zh-CN"/>
        </w:rPr>
        <w:t>湖南省市场监管事务中心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eastAsia="zh-CN"/>
        </w:rPr>
      </w:pPr>
      <w:r>
        <w:rPr>
          <w:rFonts w:ascii="Times New Roman" w:hAnsi="Times New Roman" w:eastAsia="方正小标宋_GBK" w:cs="Times New Roman"/>
          <w:sz w:val="44"/>
          <w:szCs w:val="44"/>
        </w:rPr>
        <w:t>整体支出绩效自评报告</w:t>
      </w:r>
    </w:p>
    <w:p>
      <w:pPr>
        <w:keepNext w:val="0"/>
        <w:keepLines w:val="0"/>
        <w:pageBreakBefore w:val="0"/>
        <w:kinsoku/>
        <w:wordWrap/>
        <w:overflowPunct/>
        <w:topLinePunct w:val="0"/>
        <w:autoSpaceDE/>
        <w:autoSpaceDN/>
        <w:bidi w:val="0"/>
        <w:spacing w:line="600" w:lineRule="exact"/>
        <w:textAlignment w:val="auto"/>
        <w:rPr>
          <w:rFonts w:hint="eastAsia"/>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lang w:eastAsia="zh-CN"/>
        </w:rPr>
      </w:pPr>
      <w:r>
        <w:rPr>
          <w:rFonts w:hint="eastAsia" w:eastAsia="黑体"/>
          <w:bCs/>
          <w:kern w:val="0"/>
          <w:sz w:val="32"/>
          <w:szCs w:val="32"/>
          <w:lang w:eastAsia="zh-CN"/>
        </w:rPr>
        <w:t>一、单位</w:t>
      </w:r>
      <w:r>
        <w:rPr>
          <w:rFonts w:eastAsia="黑体"/>
          <w:bCs/>
          <w:kern w:val="0"/>
          <w:sz w:val="32"/>
          <w:szCs w:val="32"/>
        </w:rPr>
        <w:t>基本</w:t>
      </w:r>
      <w:r>
        <w:rPr>
          <w:rFonts w:hint="eastAsia" w:eastAsia="黑体"/>
          <w:bCs/>
          <w:kern w:val="0"/>
          <w:sz w:val="32"/>
          <w:szCs w:val="32"/>
          <w:lang w:eastAsia="zh-CN"/>
        </w:rPr>
        <w:t>情况</w:t>
      </w:r>
    </w:p>
    <w:p>
      <w:pPr>
        <w:keepNext w:val="0"/>
        <w:keepLines w:val="0"/>
        <w:pageBreakBefore w:val="0"/>
        <w:widowControl w:val="0"/>
        <w:tabs>
          <w:tab w:val="left" w:pos="1260"/>
          <w:tab w:val="left" w:pos="1980"/>
        </w:tabs>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0"/>
        <w:rPr>
          <w:rFonts w:hint="eastAsia" w:ascii="楷体" w:hAnsi="楷体" w:eastAsia="楷体" w:cs="楷体"/>
          <w:b w:val="0"/>
          <w:bCs/>
          <w:sz w:val="32"/>
          <w:szCs w:val="32"/>
          <w:lang w:eastAsia="zh-CN"/>
        </w:rPr>
      </w:pPr>
      <w:r>
        <w:rPr>
          <w:rFonts w:hint="eastAsia" w:ascii="楷体" w:hAnsi="楷体" w:eastAsia="楷体" w:cs="楷体"/>
          <w:b w:val="0"/>
          <w:bCs/>
          <w:sz w:val="32"/>
          <w:szCs w:val="32"/>
        </w:rPr>
        <w:t>（一）</w:t>
      </w:r>
      <w:r>
        <w:rPr>
          <w:rFonts w:hint="eastAsia" w:ascii="楷体" w:hAnsi="楷体" w:eastAsia="楷体" w:cs="楷体"/>
          <w:b w:val="0"/>
          <w:bCs/>
          <w:sz w:val="32"/>
          <w:szCs w:val="32"/>
          <w:lang w:eastAsia="zh-CN"/>
        </w:rPr>
        <w:t>机构组成</w:t>
      </w:r>
    </w:p>
    <w:p>
      <w:pPr>
        <w:pStyle w:val="30"/>
        <w:keepNext w:val="0"/>
        <w:keepLines w:val="0"/>
        <w:pageBreakBefore w:val="0"/>
        <w:kinsoku/>
        <w:wordWrap/>
        <w:overflowPunct/>
        <w:topLinePunct w:val="0"/>
        <w:autoSpaceDE/>
        <w:autoSpaceDN/>
        <w:bidi w:val="0"/>
        <w:spacing w:line="600" w:lineRule="exact"/>
        <w:ind w:firstLine="608" w:firstLineChars="190"/>
        <w:textAlignment w:val="auto"/>
        <w:rPr>
          <w:rFonts w:hint="default" w:ascii="Times New Roman" w:hAnsi="Times New Roman" w:eastAsia="仿宋" w:cs="Times New Roman"/>
          <w:b w:val="0"/>
          <w:bCs/>
          <w:sz w:val="32"/>
          <w:szCs w:val="32"/>
          <w:lang w:eastAsia="zh-CN"/>
        </w:rPr>
      </w:pPr>
      <w:r>
        <w:rPr>
          <w:rFonts w:hint="default" w:ascii="Times New Roman" w:hAnsi="Times New Roman" w:eastAsia="仿宋" w:cs="Times New Roman"/>
          <w:b w:val="0"/>
          <w:bCs/>
          <w:sz w:val="32"/>
          <w:szCs w:val="32"/>
        </w:rPr>
        <w:t>根据湖南省机构编制委员会办公室</w:t>
      </w:r>
      <w:r>
        <w:rPr>
          <w:rFonts w:hint="default" w:ascii="Times New Roman" w:hAnsi="Times New Roman" w:eastAsia="仿宋" w:cs="Times New Roman"/>
          <w:b w:val="0"/>
          <w:bCs/>
          <w:color w:val="auto"/>
          <w:sz w:val="32"/>
          <w:szCs w:val="32"/>
        </w:rPr>
        <w:t>《关于省市场监督管理局深化事业单位改革试点有关事项的批复》(湘编复字〔2021〕2 号)，</w:t>
      </w:r>
      <w:r>
        <w:rPr>
          <w:rFonts w:hint="default" w:ascii="Times New Roman" w:hAnsi="Times New Roman" w:eastAsia="仿宋" w:cs="Times New Roman"/>
          <w:b w:val="0"/>
          <w:bCs/>
          <w:sz w:val="32"/>
          <w:szCs w:val="32"/>
        </w:rPr>
        <w:t>湖南省</w:t>
      </w:r>
      <w:r>
        <w:rPr>
          <w:rFonts w:hint="default" w:ascii="Times New Roman" w:hAnsi="Times New Roman" w:eastAsia="仿宋" w:cs="Times New Roman"/>
          <w:b w:val="0"/>
          <w:bCs/>
          <w:sz w:val="32"/>
          <w:szCs w:val="32"/>
          <w:lang w:eastAsia="zh-CN"/>
        </w:rPr>
        <w:t>市场监管事务</w:t>
      </w:r>
      <w:r>
        <w:rPr>
          <w:rFonts w:hint="default" w:ascii="Times New Roman" w:hAnsi="Times New Roman" w:eastAsia="仿宋" w:cs="Times New Roman"/>
          <w:b w:val="0"/>
          <w:bCs/>
          <w:sz w:val="32"/>
          <w:szCs w:val="32"/>
        </w:rPr>
        <w:t>中心为公益一类事业单位，</w:t>
      </w:r>
      <w:r>
        <w:rPr>
          <w:rFonts w:hint="eastAsia" w:ascii="Times New Roman" w:hAnsi="Times New Roman" w:eastAsia="仿宋" w:cs="Times New Roman"/>
          <w:b w:val="0"/>
          <w:bCs/>
          <w:sz w:val="32"/>
          <w:szCs w:val="32"/>
          <w:lang w:eastAsia="zh-CN"/>
        </w:rPr>
        <w:t>正</w:t>
      </w:r>
      <w:r>
        <w:rPr>
          <w:rFonts w:hint="default" w:ascii="Times New Roman" w:hAnsi="Times New Roman" w:eastAsia="仿宋" w:cs="Times New Roman"/>
          <w:b w:val="0"/>
          <w:bCs/>
          <w:sz w:val="32"/>
          <w:szCs w:val="32"/>
        </w:rPr>
        <w:t>处级，内设综合部</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政务服务部</w:t>
      </w:r>
      <w:r>
        <w:rPr>
          <w:rFonts w:hint="default" w:ascii="Times New Roman" w:hAnsi="Times New Roman" w:eastAsia="仿宋" w:cs="Times New Roman"/>
          <w:b w:val="0"/>
          <w:bCs/>
          <w:sz w:val="32"/>
          <w:szCs w:val="32"/>
          <w:lang w:eastAsia="zh-CN"/>
        </w:rPr>
        <w:t>、机关事务部。</w:t>
      </w:r>
    </w:p>
    <w:p>
      <w:pPr>
        <w:keepNext w:val="0"/>
        <w:keepLines w:val="0"/>
        <w:pageBreakBefore w:val="0"/>
        <w:widowControl w:val="0"/>
        <w:tabs>
          <w:tab w:val="left" w:pos="1260"/>
          <w:tab w:val="left" w:pos="1980"/>
        </w:tabs>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0"/>
        <w:rPr>
          <w:rFonts w:hint="eastAsia" w:eastAsia="楷体_GB2312"/>
          <w:b w:val="0"/>
          <w:bCs/>
          <w:sz w:val="32"/>
          <w:szCs w:val="32"/>
          <w:lang w:eastAsia="zh-CN"/>
        </w:rPr>
      </w:pPr>
      <w:r>
        <w:rPr>
          <w:rFonts w:hint="eastAsia" w:eastAsia="楷体_GB2312"/>
          <w:b w:val="0"/>
          <w:bCs/>
          <w:sz w:val="32"/>
          <w:szCs w:val="32"/>
          <w:lang w:eastAsia="zh-CN"/>
        </w:rPr>
        <w:t>（二）机构职能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省市场监管事务中心落实党中央、省委和省市场监督管理局关于市场监管政务服务、自贸区改革创新及深化“放管服”改革优化营商环境工作的方针政策和决策部署,主要职责是: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承担省市场监管部门政务窗口服务事务性职能,协助推进市场监管部门行政许可服务便民化。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承担省市场监管部门自贸试验区改革创新任务的相关事务性工作。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承担省市场监管部门深化“放管服”改革、优化营商环境相关事务性工作。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4</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协助开展信访接待、文明创建、社会治安综合治理、节能减排、综合保障相关事务性工作。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联系协调相关部门、社团组织、行业协会为个体私营经济发展服务,引导个私业主诚信守法经营。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b w:val="0"/>
          <w:bCs/>
          <w:kern w:val="0"/>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完成省市场监督管理局交办的其他任务。</w:t>
      </w:r>
    </w:p>
    <w:p>
      <w:pPr>
        <w:pStyle w:val="30"/>
        <w:keepNext w:val="0"/>
        <w:keepLines w:val="0"/>
        <w:pageBreakBefore w:val="0"/>
        <w:kinsoku/>
        <w:wordWrap/>
        <w:overflowPunct/>
        <w:topLinePunct w:val="0"/>
        <w:autoSpaceDE/>
        <w:autoSpaceDN/>
        <w:bidi w:val="0"/>
        <w:spacing w:line="600" w:lineRule="exact"/>
        <w:ind w:firstLine="608" w:firstLineChars="19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（三）人员概况</w:t>
      </w:r>
    </w:p>
    <w:p>
      <w:pPr>
        <w:pStyle w:val="30"/>
        <w:keepNext w:val="0"/>
        <w:keepLines w:val="0"/>
        <w:pageBreakBefore w:val="0"/>
        <w:kinsoku/>
        <w:wordWrap/>
        <w:overflowPunct/>
        <w:topLinePunct w:val="0"/>
        <w:autoSpaceDE/>
        <w:autoSpaceDN/>
        <w:bidi w:val="0"/>
        <w:spacing w:line="600" w:lineRule="exact"/>
        <w:ind w:firstLine="608" w:firstLineChars="190"/>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eastAsia="zh-CN"/>
        </w:rPr>
        <w:t>湖南</w:t>
      </w:r>
      <w:r>
        <w:rPr>
          <w:rFonts w:hint="default" w:ascii="Times New Roman" w:hAnsi="Times New Roman" w:eastAsia="仿宋" w:cs="Times New Roman"/>
          <w:b w:val="0"/>
          <w:bCs/>
          <w:sz w:val="32"/>
          <w:szCs w:val="32"/>
        </w:rPr>
        <w:t>省</w:t>
      </w:r>
      <w:r>
        <w:rPr>
          <w:rFonts w:hint="default" w:ascii="Times New Roman" w:hAnsi="Times New Roman" w:eastAsia="仿宋" w:cs="Times New Roman"/>
          <w:b w:val="0"/>
          <w:bCs/>
          <w:sz w:val="32"/>
          <w:szCs w:val="32"/>
          <w:lang w:eastAsia="zh-CN"/>
        </w:rPr>
        <w:t>市场监管事务</w:t>
      </w:r>
      <w:r>
        <w:rPr>
          <w:rFonts w:hint="default" w:ascii="Times New Roman" w:hAnsi="Times New Roman" w:eastAsia="仿宋" w:cs="Times New Roman"/>
          <w:b w:val="0"/>
          <w:bCs/>
          <w:sz w:val="32"/>
          <w:szCs w:val="32"/>
        </w:rPr>
        <w:t>中心事业</w:t>
      </w:r>
      <w:r>
        <w:rPr>
          <w:rFonts w:hint="eastAsia" w:ascii="Times New Roman" w:hAnsi="Times New Roman" w:eastAsia="仿宋" w:cs="Times New Roman"/>
          <w:b w:val="0"/>
          <w:bCs/>
          <w:sz w:val="32"/>
          <w:szCs w:val="32"/>
          <w:lang w:eastAsia="zh-CN"/>
        </w:rPr>
        <w:t>核定</w:t>
      </w:r>
      <w:r>
        <w:rPr>
          <w:rFonts w:hint="default" w:ascii="Times New Roman" w:hAnsi="Times New Roman" w:eastAsia="仿宋" w:cs="Times New Roman"/>
          <w:b w:val="0"/>
          <w:bCs/>
          <w:sz w:val="32"/>
          <w:szCs w:val="32"/>
        </w:rPr>
        <w:t>编制</w:t>
      </w:r>
      <w:r>
        <w:rPr>
          <w:rFonts w:hint="eastAsia" w:ascii="Times New Roman" w:hAnsi="Times New Roman" w:eastAsia="仿宋" w:cs="Times New Roman"/>
          <w:b w:val="0"/>
          <w:bCs/>
          <w:sz w:val="32"/>
          <w:szCs w:val="32"/>
          <w:lang w:val="en-US" w:eastAsia="zh-CN"/>
        </w:rPr>
        <w:t>19名，实有在职人员34</w:t>
      </w:r>
      <w:r>
        <w:rPr>
          <w:rFonts w:hint="eastAsia" w:ascii="Times New Roman" w:hAnsi="Times New Roman" w:eastAsia="仿宋" w:cs="Times New Roman"/>
          <w:b w:val="0"/>
          <w:bCs/>
          <w:sz w:val="32"/>
          <w:szCs w:val="32"/>
          <w:lang w:eastAsia="zh-CN"/>
        </w:rPr>
        <w:t>人</w:t>
      </w:r>
      <w:r>
        <w:rPr>
          <w:rFonts w:hint="default" w:ascii="Times New Roman" w:hAnsi="Times New Roman" w:eastAsia="仿宋" w:cs="Times New Roman"/>
          <w:b w:val="0"/>
          <w:bCs/>
          <w:sz w:val="32"/>
          <w:szCs w:val="32"/>
        </w:rPr>
        <w:t>，其中</w:t>
      </w:r>
      <w:r>
        <w:rPr>
          <w:rFonts w:hint="eastAsia"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主任</w:t>
      </w:r>
      <w:r>
        <w:rPr>
          <w:rFonts w:hint="eastAsia" w:ascii="Times New Roman" w:hAnsi="Times New Roman" w:eastAsia="仿宋" w:cs="Times New Roman"/>
          <w:b w:val="0"/>
          <w:bCs/>
          <w:sz w:val="32"/>
          <w:szCs w:val="32"/>
          <w:lang w:val="en-US" w:eastAsia="zh-CN"/>
        </w:rPr>
        <w:t>1人</w:t>
      </w:r>
      <w:r>
        <w:rPr>
          <w:rFonts w:hint="eastAsia" w:ascii="Times New Roman" w:hAnsi="Times New Roman" w:eastAsia="仿宋" w:cs="Times New Roman"/>
          <w:b w:val="0"/>
          <w:bCs/>
          <w:sz w:val="32"/>
          <w:szCs w:val="32"/>
          <w:lang w:eastAsia="zh-CN"/>
        </w:rPr>
        <w:t>，党总支书记</w:t>
      </w:r>
      <w:r>
        <w:rPr>
          <w:rFonts w:hint="eastAsia" w:ascii="Times New Roman" w:hAnsi="Times New Roman" w:eastAsia="仿宋" w:cs="Times New Roman"/>
          <w:b w:val="0"/>
          <w:bCs/>
          <w:sz w:val="32"/>
          <w:szCs w:val="32"/>
          <w:lang w:val="en-US" w:eastAsia="zh-CN"/>
        </w:rPr>
        <w:t>1人</w:t>
      </w:r>
      <w:r>
        <w:rPr>
          <w:rFonts w:hint="default" w:ascii="Times New Roman" w:hAnsi="Times New Roman" w:eastAsia="仿宋" w:cs="Times New Roman"/>
          <w:b w:val="0"/>
          <w:bCs/>
          <w:sz w:val="32"/>
          <w:szCs w:val="32"/>
        </w:rPr>
        <w:t>，副主任</w:t>
      </w:r>
      <w:r>
        <w:rPr>
          <w:rFonts w:hint="default" w:ascii="Times New Roman" w:hAnsi="Times New Roman" w:eastAsia="仿宋" w:cs="Times New Roman"/>
          <w:b w:val="0"/>
          <w:bCs/>
          <w:sz w:val="32"/>
          <w:szCs w:val="32"/>
          <w:lang w:val="en-US" w:eastAsia="zh-CN"/>
        </w:rPr>
        <w:t>2</w:t>
      </w:r>
      <w:r>
        <w:rPr>
          <w:rFonts w:hint="eastAsia" w:ascii="Times New Roman" w:hAnsi="Times New Roman" w:eastAsia="仿宋" w:cs="Times New Roman"/>
          <w:b w:val="0"/>
          <w:bCs/>
          <w:sz w:val="32"/>
          <w:szCs w:val="32"/>
          <w:lang w:val="en-US" w:eastAsia="zh-CN"/>
        </w:rPr>
        <w:t>人</w:t>
      </w:r>
      <w:r>
        <w:rPr>
          <w:rFonts w:hint="default" w:ascii="Times New Roman" w:hAnsi="Times New Roman" w:eastAsia="仿宋" w:cs="Times New Roman"/>
          <w:b w:val="0"/>
          <w:bCs/>
          <w:sz w:val="32"/>
          <w:szCs w:val="32"/>
        </w:rPr>
        <w:t>，管理岗</w:t>
      </w:r>
      <w:r>
        <w:rPr>
          <w:rFonts w:hint="default" w:ascii="Times New Roman" w:hAnsi="Times New Roman" w:eastAsia="仿宋" w:cs="Times New Roman"/>
          <w:b w:val="0"/>
          <w:bCs/>
          <w:sz w:val="32"/>
          <w:szCs w:val="32"/>
          <w:lang w:val="en-US" w:eastAsia="zh-CN"/>
        </w:rPr>
        <w:t>7</w:t>
      </w:r>
      <w:r>
        <w:rPr>
          <w:rFonts w:hint="default" w:ascii="Times New Roman" w:hAnsi="Times New Roman" w:eastAsia="仿宋" w:cs="Times New Roman"/>
          <w:b w:val="0"/>
          <w:bCs/>
          <w:sz w:val="32"/>
          <w:szCs w:val="32"/>
        </w:rPr>
        <w:t>级</w:t>
      </w:r>
      <w:r>
        <w:rPr>
          <w:rFonts w:hint="eastAsia" w:ascii="Times New Roman" w:hAnsi="Times New Roman" w:eastAsia="仿宋" w:cs="Times New Roman"/>
          <w:b w:val="0"/>
          <w:bCs/>
          <w:sz w:val="32"/>
          <w:szCs w:val="32"/>
          <w:lang w:val="en-US" w:eastAsia="zh-CN"/>
        </w:rPr>
        <w:t>8人</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管理岗8级</w:t>
      </w:r>
      <w:r>
        <w:rPr>
          <w:rFonts w:hint="default" w:ascii="Times New Roman" w:hAnsi="Times New Roman" w:eastAsia="仿宋" w:cs="Times New Roman"/>
          <w:b w:val="0"/>
          <w:bCs/>
          <w:sz w:val="32"/>
          <w:szCs w:val="32"/>
          <w:lang w:val="en-US" w:eastAsia="zh-CN"/>
        </w:rPr>
        <w:t>2</w:t>
      </w:r>
      <w:r>
        <w:rPr>
          <w:rFonts w:hint="eastAsia" w:ascii="Times New Roman" w:hAnsi="Times New Roman" w:eastAsia="仿宋" w:cs="Times New Roman"/>
          <w:b w:val="0"/>
          <w:bCs/>
          <w:sz w:val="32"/>
          <w:szCs w:val="32"/>
          <w:lang w:eastAsia="zh-CN"/>
        </w:rPr>
        <w:t>人</w:t>
      </w:r>
      <w:r>
        <w:rPr>
          <w:rFonts w:hint="default" w:ascii="Times New Roman" w:hAnsi="Times New Roman" w:eastAsia="仿宋" w:cs="Times New Roman"/>
          <w:b w:val="0"/>
          <w:bCs/>
          <w:sz w:val="32"/>
          <w:szCs w:val="32"/>
        </w:rPr>
        <w:t>，管理岗</w:t>
      </w:r>
      <w:r>
        <w:rPr>
          <w:rFonts w:hint="default" w:ascii="Times New Roman" w:hAnsi="Times New Roman" w:eastAsia="仿宋" w:cs="Times New Roman"/>
          <w:b w:val="0"/>
          <w:bCs/>
          <w:sz w:val="32"/>
          <w:szCs w:val="32"/>
          <w:lang w:val="en-US" w:eastAsia="zh-CN"/>
        </w:rPr>
        <w:t>9</w:t>
      </w:r>
      <w:r>
        <w:rPr>
          <w:rFonts w:hint="default" w:ascii="Times New Roman" w:hAnsi="Times New Roman" w:eastAsia="仿宋" w:cs="Times New Roman"/>
          <w:b w:val="0"/>
          <w:bCs/>
          <w:sz w:val="32"/>
          <w:szCs w:val="32"/>
        </w:rPr>
        <w:t>级</w:t>
      </w:r>
      <w:r>
        <w:rPr>
          <w:rFonts w:hint="default" w:ascii="Times New Roman" w:hAnsi="Times New Roman" w:eastAsia="仿宋" w:cs="Times New Roman"/>
          <w:b w:val="0"/>
          <w:bCs/>
          <w:sz w:val="32"/>
          <w:szCs w:val="32"/>
          <w:lang w:val="en-US" w:eastAsia="zh-CN"/>
        </w:rPr>
        <w:t>1</w:t>
      </w:r>
      <w:r>
        <w:rPr>
          <w:rFonts w:hint="eastAsia" w:ascii="Times New Roman" w:hAnsi="Times New Roman" w:eastAsia="仿宋" w:cs="Times New Roman"/>
          <w:b w:val="0"/>
          <w:bCs/>
          <w:sz w:val="32"/>
          <w:szCs w:val="32"/>
          <w:lang w:eastAsia="zh-CN"/>
        </w:rPr>
        <w:t>人</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rPr>
        <w:t>专技岗</w:t>
      </w:r>
      <w:r>
        <w:rPr>
          <w:rFonts w:hint="eastAsia" w:ascii="Times New Roman" w:hAnsi="Times New Roman" w:eastAsia="仿宋" w:cs="Times New Roman"/>
          <w:b w:val="0"/>
          <w:bCs/>
          <w:sz w:val="32"/>
          <w:szCs w:val="32"/>
          <w:lang w:val="en-US" w:eastAsia="zh-CN"/>
        </w:rPr>
        <w:t>2</w:t>
      </w:r>
      <w:r>
        <w:rPr>
          <w:rFonts w:hint="eastAsia" w:ascii="Times New Roman" w:hAnsi="Times New Roman" w:eastAsia="仿宋" w:cs="Times New Roman"/>
          <w:b w:val="0"/>
          <w:bCs/>
          <w:sz w:val="32"/>
          <w:szCs w:val="32"/>
          <w:lang w:eastAsia="zh-CN"/>
        </w:rPr>
        <w:t>人（其中</w:t>
      </w:r>
      <w:r>
        <w:rPr>
          <w:rFonts w:hint="eastAsia" w:ascii="Times New Roman" w:hAnsi="Times New Roman" w:eastAsia="仿宋" w:cs="Times New Roman"/>
          <w:b w:val="0"/>
          <w:bCs/>
          <w:sz w:val="32"/>
          <w:szCs w:val="32"/>
          <w:lang w:val="en-US" w:eastAsia="zh-CN"/>
        </w:rPr>
        <w:t>1人双肩挑</w:t>
      </w:r>
      <w:r>
        <w:rPr>
          <w:rFonts w:hint="eastAsia"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lang w:eastAsia="zh-CN"/>
        </w:rPr>
        <w:t>，工勤</w:t>
      </w:r>
      <w:r>
        <w:rPr>
          <w:rFonts w:hint="default" w:ascii="Times New Roman" w:hAnsi="Times New Roman" w:eastAsia="仿宋" w:cs="Times New Roman"/>
          <w:b w:val="0"/>
          <w:bCs/>
          <w:sz w:val="32"/>
          <w:szCs w:val="32"/>
        </w:rPr>
        <w:t>岗</w:t>
      </w:r>
      <w:r>
        <w:rPr>
          <w:rFonts w:hint="eastAsia" w:ascii="Times New Roman" w:hAnsi="Times New Roman" w:eastAsia="仿宋" w:cs="Times New Roman"/>
          <w:b w:val="0"/>
          <w:bCs/>
          <w:sz w:val="32"/>
          <w:szCs w:val="32"/>
          <w:lang w:val="en-US" w:eastAsia="zh-CN"/>
        </w:rPr>
        <w:t>18</w:t>
      </w:r>
      <w:r>
        <w:rPr>
          <w:rFonts w:hint="eastAsia" w:ascii="Times New Roman" w:hAnsi="Times New Roman" w:eastAsia="仿宋" w:cs="Times New Roman"/>
          <w:b w:val="0"/>
          <w:bCs/>
          <w:sz w:val="32"/>
          <w:szCs w:val="32"/>
          <w:lang w:eastAsia="zh-CN"/>
        </w:rPr>
        <w:t>人；退休人员</w:t>
      </w:r>
      <w:r>
        <w:rPr>
          <w:rFonts w:hint="eastAsia" w:ascii="Times New Roman" w:hAnsi="Times New Roman" w:eastAsia="仿宋" w:cs="Times New Roman"/>
          <w:b w:val="0"/>
          <w:bCs/>
          <w:sz w:val="32"/>
          <w:szCs w:val="32"/>
          <w:lang w:val="en-US" w:eastAsia="zh-CN"/>
        </w:rPr>
        <w:t>8人。另有长期合同工3人。</w:t>
      </w:r>
    </w:p>
    <w:p>
      <w:pPr>
        <w:keepNext w:val="0"/>
        <w:keepLines w:val="0"/>
        <w:pageBreakBefore w:val="0"/>
        <w:numPr>
          <w:ilvl w:val="0"/>
          <w:numId w:val="0"/>
        </w:numPr>
        <w:kinsoku/>
        <w:wordWrap/>
        <w:overflowPunct/>
        <w:topLinePunct w:val="0"/>
        <w:autoSpaceDE/>
        <w:autoSpaceDN/>
        <w:bidi w:val="0"/>
        <w:spacing w:line="600" w:lineRule="exact"/>
        <w:ind w:leftChars="200"/>
        <w:textAlignment w:val="auto"/>
        <w:rPr>
          <w:rFonts w:hint="eastAsia" w:ascii="方正黑体_GBK" w:eastAsia="方正黑体_GBK" w:cs="微软雅黑"/>
          <w:sz w:val="32"/>
          <w:szCs w:val="32"/>
        </w:rPr>
      </w:pPr>
      <w:r>
        <w:rPr>
          <w:rFonts w:hint="eastAsia" w:ascii="方正黑体_GBK" w:eastAsia="方正黑体_GBK" w:cs="微软雅黑"/>
          <w:sz w:val="32"/>
          <w:szCs w:val="32"/>
          <w:lang w:eastAsia="zh-CN"/>
        </w:rPr>
        <w:t>二、</w:t>
      </w:r>
      <w:r>
        <w:rPr>
          <w:rFonts w:hint="eastAsia" w:ascii="方正黑体_GBK" w:eastAsia="方正黑体_GBK" w:cs="微软雅黑"/>
          <w:sz w:val="32"/>
          <w:szCs w:val="32"/>
        </w:rPr>
        <w:t>一般公共预算支出情况</w:t>
      </w:r>
    </w:p>
    <w:p>
      <w:pPr>
        <w:pStyle w:val="30"/>
        <w:keepNext w:val="0"/>
        <w:keepLines w:val="0"/>
        <w:pageBreakBefore w:val="0"/>
        <w:kinsoku/>
        <w:wordWrap/>
        <w:overflowPunct/>
        <w:topLinePunct w:val="0"/>
        <w:autoSpaceDE/>
        <w:autoSpaceDN/>
        <w:bidi w:val="0"/>
        <w:spacing w:line="600" w:lineRule="exact"/>
        <w:ind w:firstLine="608" w:firstLineChars="190"/>
        <w:textAlignment w:val="auto"/>
        <w:rPr>
          <w:rFonts w:hint="eastAsia" w:ascii="方正黑体_GBK" w:eastAsia="方正黑体_GBK" w:cs="微软雅黑"/>
          <w:sz w:val="32"/>
          <w:szCs w:val="32"/>
        </w:rPr>
      </w:pPr>
      <w:r>
        <w:rPr>
          <w:rFonts w:hint="eastAsia" w:ascii="仿宋" w:hAnsi="仿宋" w:eastAsia="仿宋"/>
          <w:sz w:val="32"/>
          <w:szCs w:val="32"/>
        </w:rPr>
        <w:t>202</w:t>
      </w:r>
      <w:r>
        <w:rPr>
          <w:rFonts w:hint="default" w:ascii="仿宋" w:hAnsi="仿宋" w:eastAsia="仿宋"/>
          <w:sz w:val="32"/>
          <w:szCs w:val="32"/>
          <w:lang w:val="en"/>
        </w:rPr>
        <w:t>4</w:t>
      </w:r>
      <w:r>
        <w:rPr>
          <w:rFonts w:hint="eastAsia" w:ascii="仿宋" w:hAnsi="仿宋" w:eastAsia="仿宋"/>
          <w:sz w:val="32"/>
          <w:szCs w:val="32"/>
        </w:rPr>
        <w:t>年财政批复</w:t>
      </w:r>
      <w:r>
        <w:rPr>
          <w:rFonts w:hint="eastAsia" w:ascii="仿宋" w:hAnsi="仿宋" w:eastAsia="仿宋"/>
          <w:sz w:val="32"/>
          <w:szCs w:val="32"/>
          <w:lang w:eastAsia="zh-CN"/>
        </w:rPr>
        <w:t>我中心</w:t>
      </w:r>
      <w:r>
        <w:rPr>
          <w:rFonts w:hint="eastAsia" w:ascii="仿宋" w:hAnsi="仿宋" w:eastAsia="仿宋"/>
          <w:sz w:val="32"/>
          <w:szCs w:val="32"/>
        </w:rPr>
        <w:t>预算</w:t>
      </w:r>
      <w:r>
        <w:rPr>
          <w:rFonts w:hint="eastAsia" w:ascii="仿宋" w:hAnsi="仿宋" w:eastAsia="仿宋"/>
          <w:sz w:val="32"/>
          <w:szCs w:val="32"/>
          <w:lang w:eastAsia="zh-CN"/>
        </w:rPr>
        <w:t>支出</w:t>
      </w:r>
      <w:r>
        <w:rPr>
          <w:rFonts w:hint="eastAsia" w:ascii="仿宋" w:hAnsi="仿宋" w:eastAsia="仿宋"/>
          <w:sz w:val="32"/>
          <w:szCs w:val="32"/>
        </w:rPr>
        <w:t>控制数为</w:t>
      </w:r>
      <w:r>
        <w:rPr>
          <w:rFonts w:hint="eastAsia" w:ascii="仿宋" w:hAnsi="仿宋" w:eastAsia="仿宋"/>
          <w:sz w:val="32"/>
          <w:szCs w:val="32"/>
          <w:lang w:val="en-US" w:eastAsia="zh-CN"/>
        </w:rPr>
        <w:t>2</w:t>
      </w:r>
      <w:r>
        <w:rPr>
          <w:rFonts w:hint="default" w:ascii="仿宋" w:hAnsi="仿宋" w:eastAsia="仿宋"/>
          <w:sz w:val="32"/>
          <w:szCs w:val="32"/>
          <w:lang w:val="en" w:eastAsia="zh-CN"/>
        </w:rPr>
        <w:t>077</w:t>
      </w:r>
      <w:r>
        <w:rPr>
          <w:rFonts w:hint="eastAsia" w:ascii="仿宋" w:hAnsi="仿宋" w:eastAsia="仿宋"/>
          <w:sz w:val="32"/>
          <w:szCs w:val="32"/>
          <w:lang w:val="en-US" w:eastAsia="zh-CN"/>
        </w:rPr>
        <w:t>.</w:t>
      </w:r>
      <w:r>
        <w:rPr>
          <w:rFonts w:hint="default" w:ascii="仿宋" w:hAnsi="仿宋" w:eastAsia="仿宋"/>
          <w:sz w:val="32"/>
          <w:szCs w:val="32"/>
          <w:lang w:val="en" w:eastAsia="zh-CN"/>
        </w:rPr>
        <w:t>63</w:t>
      </w:r>
      <w:r>
        <w:rPr>
          <w:rFonts w:hint="eastAsia" w:ascii="仿宋" w:hAnsi="仿宋" w:eastAsia="仿宋"/>
          <w:sz w:val="32"/>
          <w:szCs w:val="32"/>
        </w:rPr>
        <w:t>万元</w:t>
      </w:r>
      <w:r>
        <w:rPr>
          <w:rFonts w:hint="eastAsia" w:ascii="仿宋" w:hAnsi="仿宋" w:eastAsia="仿宋"/>
          <w:sz w:val="32"/>
          <w:szCs w:val="32"/>
          <w:lang w:eastAsia="zh-CN"/>
        </w:rPr>
        <w:t>，上年结转结余</w:t>
      </w:r>
      <w:r>
        <w:rPr>
          <w:rFonts w:hint="default" w:ascii="仿宋" w:hAnsi="仿宋" w:eastAsia="仿宋"/>
          <w:sz w:val="32"/>
          <w:szCs w:val="32"/>
          <w:lang w:val="en" w:eastAsia="zh-CN"/>
        </w:rPr>
        <w:t>1</w:t>
      </w:r>
      <w:r>
        <w:rPr>
          <w:rFonts w:hint="eastAsia" w:ascii="仿宋" w:hAnsi="仿宋" w:eastAsia="仿宋"/>
          <w:sz w:val="32"/>
          <w:szCs w:val="32"/>
          <w:lang w:val="en-US" w:eastAsia="zh-CN"/>
        </w:rPr>
        <w:t>.</w:t>
      </w:r>
      <w:r>
        <w:rPr>
          <w:rFonts w:hint="default" w:ascii="仿宋" w:hAnsi="仿宋" w:eastAsia="仿宋"/>
          <w:sz w:val="32"/>
          <w:szCs w:val="32"/>
          <w:lang w:val="en" w:eastAsia="zh-CN"/>
        </w:rPr>
        <w:t>44</w:t>
      </w:r>
      <w:r>
        <w:rPr>
          <w:rFonts w:hint="eastAsia" w:ascii="仿宋" w:hAnsi="仿宋" w:eastAsia="仿宋"/>
          <w:sz w:val="32"/>
          <w:szCs w:val="32"/>
          <w:lang w:val="en-US" w:eastAsia="zh-CN"/>
        </w:rPr>
        <w:t>万元。</w:t>
      </w:r>
      <w:r>
        <w:rPr>
          <w:rFonts w:hint="eastAsia" w:ascii="仿宋" w:hAnsi="仿宋" w:eastAsia="仿宋" w:cs="仿宋"/>
          <w:sz w:val="32"/>
          <w:szCs w:val="32"/>
        </w:rPr>
        <w:t>202</w:t>
      </w:r>
      <w:r>
        <w:rPr>
          <w:rFonts w:hint="default" w:ascii="仿宋" w:hAnsi="仿宋" w:eastAsia="仿宋" w:cs="仿宋"/>
          <w:sz w:val="32"/>
          <w:szCs w:val="32"/>
          <w:lang w:val="en"/>
        </w:rPr>
        <w:t>4</w:t>
      </w:r>
      <w:r>
        <w:rPr>
          <w:rFonts w:hint="eastAsia" w:ascii="仿宋" w:hAnsi="仿宋" w:eastAsia="仿宋" w:cs="仿宋"/>
          <w:sz w:val="32"/>
          <w:szCs w:val="32"/>
        </w:rPr>
        <w:t>年全年预算数为</w:t>
      </w:r>
      <w:r>
        <w:rPr>
          <w:rFonts w:hint="eastAsia" w:ascii="仿宋" w:hAnsi="仿宋" w:eastAsia="仿宋" w:cs="仿宋"/>
          <w:sz w:val="32"/>
          <w:szCs w:val="32"/>
          <w:lang w:val="en-US" w:eastAsia="zh-CN"/>
        </w:rPr>
        <w:t>2</w:t>
      </w:r>
      <w:r>
        <w:rPr>
          <w:rFonts w:hint="default" w:ascii="仿宋" w:hAnsi="仿宋" w:eastAsia="仿宋" w:cs="仿宋"/>
          <w:sz w:val="32"/>
          <w:szCs w:val="32"/>
          <w:lang w:val="en" w:eastAsia="zh-CN"/>
        </w:rPr>
        <w:t>079</w:t>
      </w:r>
      <w:r>
        <w:rPr>
          <w:rFonts w:hint="eastAsia" w:ascii="仿宋" w:hAnsi="仿宋" w:eastAsia="仿宋" w:cs="仿宋"/>
          <w:sz w:val="32"/>
          <w:szCs w:val="32"/>
          <w:lang w:val="en-US" w:eastAsia="zh-CN"/>
        </w:rPr>
        <w:t>.</w:t>
      </w:r>
      <w:r>
        <w:rPr>
          <w:rFonts w:hint="default" w:ascii="仿宋" w:hAnsi="仿宋" w:eastAsia="仿宋" w:cs="仿宋"/>
          <w:sz w:val="32"/>
          <w:szCs w:val="32"/>
          <w:lang w:val="en" w:eastAsia="zh-CN"/>
        </w:rPr>
        <w:t>07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sz w:val="32"/>
          <w:szCs w:val="32"/>
        </w:rPr>
        <w:t>202</w:t>
      </w:r>
      <w:r>
        <w:rPr>
          <w:rFonts w:hint="default" w:ascii="仿宋" w:hAnsi="仿宋" w:eastAsia="仿宋"/>
          <w:sz w:val="32"/>
          <w:szCs w:val="32"/>
          <w:lang w:val="en"/>
        </w:rPr>
        <w:t>4</w:t>
      </w:r>
      <w:r>
        <w:rPr>
          <w:rFonts w:hint="eastAsia" w:ascii="仿宋" w:hAnsi="仿宋" w:eastAsia="仿宋"/>
          <w:sz w:val="32"/>
          <w:szCs w:val="32"/>
        </w:rPr>
        <w:t>年全年预算支出</w:t>
      </w:r>
      <w:r>
        <w:rPr>
          <w:rFonts w:hint="default" w:ascii="仿宋" w:hAnsi="仿宋" w:eastAsia="仿宋"/>
          <w:sz w:val="32"/>
          <w:szCs w:val="32"/>
          <w:lang w:val="en"/>
        </w:rPr>
        <w:t>1924.5</w:t>
      </w:r>
      <w:r>
        <w:rPr>
          <w:rFonts w:hint="eastAsia" w:ascii="仿宋" w:hAnsi="仿宋" w:eastAsia="仿宋"/>
          <w:sz w:val="32"/>
          <w:szCs w:val="32"/>
          <w:lang w:val="en-US" w:eastAsia="zh-CN"/>
        </w:rPr>
        <w:t>0</w:t>
      </w:r>
      <w:r>
        <w:rPr>
          <w:rFonts w:hint="eastAsia" w:ascii="仿宋" w:hAnsi="仿宋" w:eastAsia="仿宋"/>
          <w:sz w:val="32"/>
          <w:szCs w:val="32"/>
        </w:rPr>
        <w:t>万元，整体预算执行率为</w:t>
      </w:r>
      <w:r>
        <w:rPr>
          <w:rFonts w:hint="eastAsia" w:ascii="仿宋" w:hAnsi="仿宋" w:eastAsia="仿宋"/>
          <w:sz w:val="32"/>
          <w:szCs w:val="32"/>
          <w:lang w:val="en-US" w:eastAsia="zh-CN"/>
        </w:rPr>
        <w:t>9</w:t>
      </w:r>
      <w:r>
        <w:rPr>
          <w:rFonts w:hint="default" w:ascii="仿宋" w:hAnsi="仿宋" w:eastAsia="仿宋"/>
          <w:sz w:val="32"/>
          <w:szCs w:val="32"/>
          <w:lang w:val="en" w:eastAsia="zh-CN"/>
        </w:rPr>
        <w:t>2.57</w:t>
      </w:r>
      <w:r>
        <w:rPr>
          <w:rFonts w:hint="eastAsia" w:ascii="仿宋" w:hAnsi="仿宋" w:eastAsia="仿宋"/>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）基本支出情况</w:t>
      </w:r>
    </w:p>
    <w:p>
      <w:pPr>
        <w:pStyle w:val="30"/>
        <w:keepNext w:val="0"/>
        <w:keepLines w:val="0"/>
        <w:pageBreakBefore w:val="0"/>
        <w:kinsoku/>
        <w:wordWrap/>
        <w:overflowPunct/>
        <w:topLinePunct w:val="0"/>
        <w:autoSpaceDE/>
        <w:autoSpaceDN/>
        <w:bidi w:val="0"/>
        <w:spacing w:line="600" w:lineRule="exact"/>
        <w:ind w:firstLine="608" w:firstLineChars="190"/>
        <w:textAlignment w:val="auto"/>
        <w:rPr>
          <w:rFonts w:hint="eastAsia" w:ascii="仿宋" w:hAnsi="仿宋" w:eastAsia="仿宋" w:cs="仿宋"/>
          <w:sz w:val="32"/>
          <w:szCs w:val="32"/>
          <w:lang w:val="en-US"/>
        </w:rPr>
      </w:pPr>
      <w:r>
        <w:rPr>
          <w:rFonts w:hint="eastAsia" w:ascii="仿宋" w:hAnsi="仿宋" w:eastAsia="仿宋"/>
          <w:sz w:val="32"/>
          <w:szCs w:val="32"/>
          <w:lang w:val="en-US" w:eastAsia="zh-CN"/>
        </w:rPr>
        <w:t>202</w:t>
      </w:r>
      <w:r>
        <w:rPr>
          <w:rFonts w:hint="default" w:ascii="仿宋" w:hAnsi="仿宋" w:eastAsia="仿宋"/>
          <w:sz w:val="32"/>
          <w:szCs w:val="32"/>
          <w:lang w:val="en" w:eastAsia="zh-CN"/>
        </w:rPr>
        <w:t>4</w:t>
      </w:r>
      <w:r>
        <w:rPr>
          <w:rFonts w:hint="eastAsia" w:ascii="仿宋" w:hAnsi="仿宋" w:eastAsia="仿宋"/>
          <w:sz w:val="32"/>
          <w:szCs w:val="32"/>
          <w:lang w:val="en-US" w:eastAsia="zh-CN"/>
        </w:rPr>
        <w:t>年</w:t>
      </w:r>
      <w:r>
        <w:rPr>
          <w:rFonts w:hint="eastAsia" w:ascii="仿宋" w:hAnsi="仿宋" w:eastAsia="仿宋"/>
          <w:sz w:val="32"/>
          <w:szCs w:val="32"/>
        </w:rPr>
        <w:t>基本支出全年预算为</w:t>
      </w:r>
      <w:r>
        <w:rPr>
          <w:rFonts w:hint="default" w:ascii="仿宋" w:hAnsi="仿宋" w:eastAsia="仿宋"/>
          <w:sz w:val="32"/>
          <w:szCs w:val="32"/>
          <w:lang w:val="en"/>
        </w:rPr>
        <w:t>98</w:t>
      </w:r>
      <w:r>
        <w:rPr>
          <w:rFonts w:hint="eastAsia" w:ascii="仿宋" w:hAnsi="仿宋" w:eastAsia="仿宋"/>
          <w:sz w:val="32"/>
          <w:szCs w:val="32"/>
          <w:lang w:val="en-US" w:eastAsia="zh-CN"/>
        </w:rPr>
        <w:t>4.57</w:t>
      </w:r>
      <w:r>
        <w:rPr>
          <w:rFonts w:hint="eastAsia" w:ascii="仿宋" w:hAnsi="仿宋" w:eastAsia="仿宋"/>
          <w:sz w:val="32"/>
          <w:szCs w:val="32"/>
        </w:rPr>
        <w:t>万元，全年共支出</w:t>
      </w:r>
      <w:r>
        <w:rPr>
          <w:rFonts w:hint="default" w:ascii="仿宋" w:hAnsi="仿宋" w:eastAsia="仿宋"/>
          <w:sz w:val="32"/>
          <w:szCs w:val="32"/>
          <w:lang w:val="en"/>
        </w:rPr>
        <w:t>866</w:t>
      </w:r>
      <w:r>
        <w:rPr>
          <w:rFonts w:hint="eastAsia" w:ascii="仿宋" w:hAnsi="仿宋" w:eastAsia="仿宋"/>
          <w:sz w:val="32"/>
          <w:szCs w:val="32"/>
          <w:lang w:val="en-US" w:eastAsia="zh-CN"/>
        </w:rPr>
        <w:t>.</w:t>
      </w:r>
      <w:r>
        <w:rPr>
          <w:rFonts w:hint="default" w:ascii="仿宋" w:hAnsi="仿宋" w:eastAsia="仿宋"/>
          <w:sz w:val="32"/>
          <w:szCs w:val="32"/>
          <w:lang w:val="en" w:eastAsia="zh-CN"/>
        </w:rPr>
        <w:t>34</w:t>
      </w:r>
      <w:r>
        <w:rPr>
          <w:rFonts w:hint="eastAsia" w:ascii="仿宋" w:hAnsi="仿宋" w:eastAsia="仿宋"/>
          <w:sz w:val="32"/>
          <w:szCs w:val="32"/>
        </w:rPr>
        <w:t>万元，预算执行率为</w:t>
      </w:r>
      <w:r>
        <w:rPr>
          <w:rFonts w:hint="default" w:ascii="仿宋" w:hAnsi="仿宋" w:eastAsia="仿宋"/>
          <w:sz w:val="32"/>
          <w:szCs w:val="32"/>
          <w:lang w:val="en"/>
        </w:rPr>
        <w:t>8</w:t>
      </w: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ascii="仿宋" w:hAnsi="仿宋" w:eastAsia="仿宋"/>
          <w:sz w:val="32"/>
          <w:szCs w:val="32"/>
          <w:lang w:val="en-US" w:eastAsia="zh-CN"/>
        </w:rPr>
        <w:t>99</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 xml:space="preserve">工资福利支出 </w:t>
      </w:r>
      <w:r>
        <w:rPr>
          <w:rFonts w:hint="default" w:ascii="仿宋" w:hAnsi="仿宋" w:eastAsia="仿宋"/>
          <w:sz w:val="32"/>
          <w:szCs w:val="32"/>
          <w:lang w:val="en"/>
        </w:rPr>
        <w:t>738</w:t>
      </w:r>
      <w:r>
        <w:rPr>
          <w:rFonts w:hint="eastAsia" w:ascii="仿宋" w:hAnsi="仿宋" w:eastAsia="仿宋"/>
          <w:sz w:val="32"/>
          <w:szCs w:val="32"/>
        </w:rPr>
        <w:t>.</w:t>
      </w:r>
      <w:r>
        <w:rPr>
          <w:rFonts w:hint="eastAsia" w:ascii="仿宋" w:hAnsi="仿宋" w:eastAsia="仿宋"/>
          <w:sz w:val="32"/>
          <w:szCs w:val="32"/>
          <w:lang w:val="en-US" w:eastAsia="zh-CN"/>
        </w:rPr>
        <w:t>7</w:t>
      </w:r>
      <w:r>
        <w:rPr>
          <w:rFonts w:hint="default" w:ascii="仿宋" w:hAnsi="仿宋" w:eastAsia="仿宋"/>
          <w:sz w:val="32"/>
          <w:szCs w:val="32"/>
          <w:lang w:val="en" w:eastAsia="zh-CN"/>
        </w:rPr>
        <w:t>4</w:t>
      </w:r>
      <w:r>
        <w:rPr>
          <w:rFonts w:hint="eastAsia" w:ascii="仿宋" w:hAnsi="仿宋" w:eastAsia="仿宋"/>
          <w:sz w:val="32"/>
          <w:szCs w:val="32"/>
          <w:lang w:val="en-US" w:eastAsia="zh-CN"/>
        </w:rPr>
        <w:t>万</w:t>
      </w:r>
      <w:r>
        <w:rPr>
          <w:rFonts w:hint="eastAsia" w:ascii="仿宋" w:hAnsi="仿宋" w:eastAsia="仿宋"/>
          <w:sz w:val="32"/>
          <w:szCs w:val="32"/>
        </w:rPr>
        <w:t>元，</w:t>
      </w:r>
      <w:r>
        <w:rPr>
          <w:rFonts w:hint="eastAsia" w:ascii="仿宋" w:hAnsi="仿宋" w:eastAsia="仿宋"/>
          <w:sz w:val="32"/>
          <w:szCs w:val="32"/>
          <w:lang w:eastAsia="zh-CN"/>
        </w:rPr>
        <w:t>商品和服务支出</w:t>
      </w:r>
      <w:r>
        <w:rPr>
          <w:rFonts w:hint="eastAsia" w:ascii="仿宋" w:hAnsi="仿宋" w:eastAsia="仿宋"/>
          <w:sz w:val="32"/>
          <w:szCs w:val="32"/>
          <w:lang w:val="en-US" w:eastAsia="zh-CN"/>
        </w:rPr>
        <w:t>1</w:t>
      </w:r>
      <w:r>
        <w:rPr>
          <w:rFonts w:hint="default" w:ascii="仿宋" w:hAnsi="仿宋" w:eastAsia="仿宋"/>
          <w:sz w:val="32"/>
          <w:szCs w:val="32"/>
          <w:lang w:val="en" w:eastAsia="zh-CN"/>
        </w:rPr>
        <w:t>03</w:t>
      </w:r>
      <w:r>
        <w:rPr>
          <w:rFonts w:hint="eastAsia" w:ascii="仿宋" w:hAnsi="仿宋" w:eastAsia="仿宋"/>
          <w:sz w:val="32"/>
          <w:szCs w:val="32"/>
          <w:lang w:val="en-US" w:eastAsia="zh-CN"/>
        </w:rPr>
        <w:t>.</w:t>
      </w:r>
      <w:r>
        <w:rPr>
          <w:rFonts w:hint="default" w:ascii="仿宋" w:hAnsi="仿宋" w:eastAsia="仿宋"/>
          <w:sz w:val="32"/>
          <w:szCs w:val="32"/>
          <w:lang w:val="en" w:eastAsia="zh-CN"/>
        </w:rPr>
        <w:t>27</w:t>
      </w:r>
      <w:r>
        <w:rPr>
          <w:rFonts w:hint="eastAsia" w:ascii="仿宋" w:hAnsi="仿宋" w:eastAsia="仿宋"/>
          <w:sz w:val="32"/>
          <w:szCs w:val="32"/>
          <w:lang w:val="en-US" w:eastAsia="zh-CN"/>
        </w:rPr>
        <w:t>万元，对个人和家庭的补助支出</w:t>
      </w:r>
      <w:r>
        <w:rPr>
          <w:rFonts w:hint="default" w:ascii="仿宋" w:hAnsi="仿宋" w:eastAsia="仿宋"/>
          <w:sz w:val="32"/>
          <w:szCs w:val="32"/>
          <w:lang w:val="en" w:eastAsia="zh-CN"/>
        </w:rPr>
        <w:t>22</w:t>
      </w:r>
      <w:r>
        <w:rPr>
          <w:rFonts w:hint="eastAsia" w:ascii="仿宋" w:hAnsi="仿宋" w:eastAsia="仿宋"/>
          <w:sz w:val="32"/>
          <w:szCs w:val="32"/>
          <w:lang w:val="en-US" w:eastAsia="zh-CN"/>
        </w:rPr>
        <w:t>.</w:t>
      </w:r>
      <w:r>
        <w:rPr>
          <w:rFonts w:hint="default" w:ascii="仿宋" w:hAnsi="仿宋" w:eastAsia="仿宋"/>
          <w:sz w:val="32"/>
          <w:szCs w:val="32"/>
          <w:lang w:val="en" w:eastAsia="zh-CN"/>
        </w:rPr>
        <w:t>94</w:t>
      </w:r>
      <w:r>
        <w:rPr>
          <w:rFonts w:hint="eastAsia" w:ascii="仿宋" w:hAnsi="仿宋" w:eastAsia="仿宋"/>
          <w:sz w:val="32"/>
          <w:szCs w:val="32"/>
          <w:lang w:val="en-US" w:eastAsia="zh-CN"/>
        </w:rPr>
        <w:t>万元，资本性支出1.39万元。</w:t>
      </w:r>
      <w:r>
        <w:rPr>
          <w:rFonts w:hint="eastAsia" w:ascii="仿宋" w:hAnsi="仿宋" w:eastAsia="仿宋" w:cs="仿宋"/>
          <w:kern w:val="2"/>
          <w:sz w:val="32"/>
          <w:szCs w:val="32"/>
        </w:rPr>
        <w:t>三公经费中因公出国（境）费</w:t>
      </w:r>
      <w:r>
        <w:rPr>
          <w:rFonts w:hint="eastAsia" w:ascii="仿宋" w:hAnsi="仿宋" w:eastAsia="仿宋" w:cs="仿宋"/>
          <w:kern w:val="2"/>
          <w:sz w:val="32"/>
          <w:szCs w:val="32"/>
          <w:lang w:val="en-US" w:eastAsia="zh-CN"/>
        </w:rPr>
        <w:t>6.30万元；</w:t>
      </w:r>
      <w:r>
        <w:rPr>
          <w:rFonts w:hint="eastAsia" w:ascii="仿宋" w:hAnsi="仿宋" w:eastAsia="仿宋" w:cs="仿宋"/>
          <w:kern w:val="2"/>
          <w:sz w:val="32"/>
          <w:szCs w:val="32"/>
          <w:lang w:eastAsia="zh-CN"/>
        </w:rPr>
        <w:t>公务接待</w:t>
      </w:r>
      <w:r>
        <w:rPr>
          <w:rFonts w:hint="eastAsia" w:ascii="仿宋" w:hAnsi="仿宋" w:eastAsia="仿宋" w:cs="仿宋"/>
          <w:kern w:val="2"/>
          <w:sz w:val="32"/>
          <w:szCs w:val="32"/>
        </w:rPr>
        <w:t>费</w:t>
      </w:r>
      <w:r>
        <w:rPr>
          <w:rFonts w:hint="eastAsia" w:ascii="仿宋" w:hAnsi="仿宋" w:eastAsia="仿宋" w:cs="仿宋"/>
          <w:kern w:val="2"/>
          <w:sz w:val="32"/>
          <w:szCs w:val="32"/>
          <w:lang w:val="en-US" w:eastAsia="zh-CN"/>
        </w:rPr>
        <w:t>0.30万</w:t>
      </w:r>
      <w:r>
        <w:rPr>
          <w:rFonts w:hint="eastAsia" w:ascii="仿宋" w:hAnsi="仿宋" w:eastAsia="仿宋" w:cs="仿宋"/>
          <w:kern w:val="2"/>
          <w:sz w:val="32"/>
          <w:szCs w:val="32"/>
        </w:rPr>
        <w:t>元；公务用车运行维护费</w:t>
      </w:r>
      <w:r>
        <w:rPr>
          <w:rFonts w:hint="eastAsia" w:ascii="仿宋" w:hAnsi="仿宋" w:eastAsia="仿宋" w:cs="仿宋"/>
          <w:kern w:val="2"/>
          <w:sz w:val="32"/>
          <w:szCs w:val="32"/>
          <w:lang w:val="en-US" w:eastAsia="zh-CN"/>
        </w:rPr>
        <w:t>2.57万元。</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）项目支出情况</w:t>
      </w:r>
    </w:p>
    <w:p>
      <w:pPr>
        <w:pStyle w:val="30"/>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202</w:t>
      </w:r>
      <w:r>
        <w:rPr>
          <w:rFonts w:hint="default" w:ascii="仿宋" w:hAnsi="仿宋" w:eastAsia="仿宋"/>
          <w:sz w:val="32"/>
          <w:szCs w:val="32"/>
          <w:lang w:val="en" w:eastAsia="zh-CN"/>
        </w:rPr>
        <w:t>4</w:t>
      </w:r>
      <w:r>
        <w:rPr>
          <w:rFonts w:hint="eastAsia" w:ascii="仿宋" w:hAnsi="仿宋" w:eastAsia="仿宋"/>
          <w:sz w:val="32"/>
          <w:szCs w:val="32"/>
          <w:lang w:val="en-US" w:eastAsia="zh-CN"/>
        </w:rPr>
        <w:t>年项目</w:t>
      </w:r>
      <w:r>
        <w:rPr>
          <w:rFonts w:hint="eastAsia" w:ascii="仿宋" w:hAnsi="仿宋" w:eastAsia="仿宋"/>
          <w:sz w:val="32"/>
          <w:szCs w:val="32"/>
        </w:rPr>
        <w:t>支出全年预算为</w:t>
      </w:r>
      <w:r>
        <w:rPr>
          <w:rFonts w:hint="eastAsia" w:ascii="仿宋" w:hAnsi="仿宋" w:eastAsia="仿宋"/>
          <w:sz w:val="32"/>
          <w:szCs w:val="32"/>
          <w:lang w:val="en-US" w:eastAsia="zh-CN"/>
        </w:rPr>
        <w:t>1094</w:t>
      </w:r>
      <w:r>
        <w:rPr>
          <w:rFonts w:hint="default" w:ascii="仿宋" w:hAnsi="仿宋" w:eastAsia="仿宋"/>
          <w:sz w:val="32"/>
          <w:szCs w:val="32"/>
          <w:lang w:val="en"/>
        </w:rPr>
        <w:t>.</w:t>
      </w:r>
      <w:r>
        <w:rPr>
          <w:rFonts w:hint="eastAsia" w:ascii="仿宋" w:hAnsi="仿宋" w:eastAsia="仿宋"/>
          <w:sz w:val="32"/>
          <w:szCs w:val="32"/>
          <w:lang w:val="en-US" w:eastAsia="zh-CN"/>
        </w:rPr>
        <w:t>50</w:t>
      </w:r>
      <w:r>
        <w:rPr>
          <w:rFonts w:hint="eastAsia" w:ascii="仿宋" w:hAnsi="仿宋" w:eastAsia="仿宋"/>
          <w:sz w:val="32"/>
          <w:szCs w:val="32"/>
        </w:rPr>
        <w:t>万元，全年共支出</w:t>
      </w:r>
      <w:r>
        <w:rPr>
          <w:rFonts w:hint="eastAsia" w:ascii="仿宋" w:hAnsi="仿宋" w:eastAsia="仿宋"/>
          <w:sz w:val="32"/>
          <w:szCs w:val="32"/>
          <w:lang w:val="en-US" w:eastAsia="zh-CN"/>
        </w:rPr>
        <w:t>1058.16</w:t>
      </w:r>
      <w:r>
        <w:rPr>
          <w:rFonts w:hint="eastAsia" w:ascii="仿宋" w:hAnsi="仿宋" w:eastAsia="仿宋"/>
          <w:sz w:val="32"/>
          <w:szCs w:val="32"/>
        </w:rPr>
        <w:t>万元，预算执行率为</w:t>
      </w:r>
      <w:r>
        <w:rPr>
          <w:rFonts w:hint="eastAsia" w:ascii="仿宋" w:hAnsi="仿宋" w:eastAsia="仿宋"/>
          <w:sz w:val="32"/>
          <w:szCs w:val="32"/>
          <w:lang w:val="en-US" w:eastAsia="zh-CN"/>
        </w:rPr>
        <w:t>96</w:t>
      </w:r>
      <w:r>
        <w:rPr>
          <w:rFonts w:hint="eastAsia" w:ascii="仿宋" w:hAnsi="仿宋" w:eastAsia="仿宋"/>
          <w:sz w:val="32"/>
          <w:szCs w:val="32"/>
        </w:rPr>
        <w:t>.</w:t>
      </w:r>
      <w:r>
        <w:rPr>
          <w:rFonts w:hint="eastAsia" w:ascii="仿宋" w:hAnsi="仿宋" w:eastAsia="仿宋"/>
          <w:sz w:val="32"/>
          <w:szCs w:val="32"/>
          <w:lang w:val="en-US" w:eastAsia="zh-CN"/>
        </w:rPr>
        <w:t>68</w:t>
      </w:r>
      <w:r>
        <w:rPr>
          <w:rFonts w:hint="eastAsia" w:ascii="仿宋" w:hAnsi="仿宋" w:eastAsia="仿宋"/>
          <w:sz w:val="32"/>
          <w:szCs w:val="32"/>
        </w:rPr>
        <w:t>%</w:t>
      </w:r>
      <w:r>
        <w:rPr>
          <w:rFonts w:hint="eastAsia" w:ascii="仿宋" w:hAnsi="仿宋" w:eastAsia="仿宋"/>
          <w:sz w:val="32"/>
          <w:szCs w:val="32"/>
          <w:lang w:eastAsia="zh-CN"/>
        </w:rPr>
        <w:t>。公共运转经费</w:t>
      </w:r>
      <w:r>
        <w:rPr>
          <w:rFonts w:hint="eastAsia" w:ascii="仿宋" w:hAnsi="仿宋" w:eastAsia="仿宋"/>
          <w:sz w:val="32"/>
          <w:szCs w:val="32"/>
          <w:lang w:val="en-US" w:eastAsia="zh-CN"/>
        </w:rPr>
        <w:t>1030.71万元，</w:t>
      </w:r>
      <w:r>
        <w:rPr>
          <w:rFonts w:hint="eastAsia" w:ascii="仿宋" w:hAnsi="仿宋" w:eastAsia="仿宋"/>
          <w:sz w:val="32"/>
          <w:szCs w:val="32"/>
          <w:lang w:eastAsia="zh-CN"/>
        </w:rPr>
        <w:t>个私工作经费支出</w:t>
      </w:r>
      <w:r>
        <w:rPr>
          <w:rFonts w:hint="eastAsia" w:ascii="仿宋" w:hAnsi="仿宋" w:eastAsia="仿宋"/>
          <w:sz w:val="32"/>
          <w:szCs w:val="32"/>
          <w:lang w:val="en-US" w:eastAsia="zh-CN"/>
        </w:rPr>
        <w:t>26.77万元，自贸实验区专项经费0.68万元</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三、政府性基金预算支出情况</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default" w:ascii="仿宋" w:hAnsi="仿宋" w:eastAsia="仿宋" w:cs="仿宋"/>
          <w:sz w:val="32"/>
          <w:szCs w:val="32"/>
          <w:lang w:val="en"/>
        </w:rPr>
        <w:t>4</w:t>
      </w:r>
      <w:r>
        <w:rPr>
          <w:rFonts w:hint="eastAsia" w:ascii="仿宋" w:hAnsi="仿宋" w:eastAsia="仿宋" w:cs="仿宋"/>
          <w:sz w:val="32"/>
          <w:szCs w:val="32"/>
        </w:rPr>
        <w:t>年我中心无政府性基金预算支出情况。</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四、国有资本经营预算支出情况</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default" w:ascii="仿宋" w:hAnsi="仿宋" w:eastAsia="仿宋" w:cs="仿宋"/>
          <w:sz w:val="32"/>
          <w:szCs w:val="32"/>
          <w:lang w:val="en"/>
        </w:rPr>
        <w:t>4</w:t>
      </w:r>
      <w:r>
        <w:rPr>
          <w:rFonts w:hint="eastAsia" w:ascii="仿宋" w:hAnsi="仿宋" w:eastAsia="仿宋" w:cs="仿宋"/>
          <w:sz w:val="32"/>
          <w:szCs w:val="32"/>
        </w:rPr>
        <w:t>年我中心无国有资本经营预算支出情况。</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五、社会保险基金预算支出情况</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default" w:ascii="仿宋" w:hAnsi="仿宋" w:eastAsia="仿宋" w:cs="仿宋"/>
          <w:sz w:val="32"/>
          <w:szCs w:val="32"/>
          <w:lang w:val="en"/>
        </w:rPr>
        <w:t>4</w:t>
      </w:r>
      <w:r>
        <w:rPr>
          <w:rFonts w:hint="eastAsia" w:ascii="仿宋" w:hAnsi="仿宋" w:eastAsia="仿宋" w:cs="仿宋"/>
          <w:sz w:val="32"/>
          <w:szCs w:val="32"/>
        </w:rPr>
        <w:t>年我中心无社会保险基金预算支出情况。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黑体_GBK" w:eastAsia="方正黑体_GBK" w:cs="微软雅黑"/>
          <w:sz w:val="32"/>
          <w:szCs w:val="32"/>
        </w:rPr>
      </w:pPr>
      <w:r>
        <w:rPr>
          <w:rFonts w:hint="eastAsia" w:ascii="方正黑体_GBK" w:eastAsia="方正黑体_GBK" w:cs="微软雅黑"/>
          <w:sz w:val="32"/>
          <w:szCs w:val="32"/>
          <w:lang w:eastAsia="zh-CN"/>
        </w:rPr>
        <w:t>六、单位</w:t>
      </w:r>
      <w:r>
        <w:rPr>
          <w:rFonts w:hint="eastAsia" w:ascii="方正黑体_GBK" w:eastAsia="方正黑体_GBK" w:cs="微软雅黑"/>
          <w:sz w:val="32"/>
          <w:szCs w:val="32"/>
        </w:rPr>
        <w:t>整体支出绩效情况</w:t>
      </w:r>
    </w:p>
    <w:p>
      <w:pPr>
        <w:pStyle w:val="30"/>
        <w:keepNext w:val="0"/>
        <w:keepLines w:val="0"/>
        <w:pageBreakBefore w:val="0"/>
        <w:kinsoku/>
        <w:wordWrap/>
        <w:overflowPunct/>
        <w:topLinePunct w:val="0"/>
        <w:autoSpaceDE/>
        <w:autoSpaceDN/>
        <w:bidi w:val="0"/>
        <w:spacing w:line="600" w:lineRule="exact"/>
        <w:ind w:firstLine="608" w:firstLineChars="19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w:t>
      </w:r>
      <w:r>
        <w:rPr>
          <w:rFonts w:hint="eastAsia" w:ascii="楷体" w:hAnsi="楷体" w:eastAsia="楷体" w:cs="楷体"/>
          <w:b w:val="0"/>
          <w:bCs w:val="0"/>
          <w:sz w:val="32"/>
          <w:szCs w:val="32"/>
          <w:lang w:eastAsia="zh-CN"/>
        </w:rPr>
        <w:t>预算支出</w:t>
      </w:r>
      <w:r>
        <w:rPr>
          <w:rFonts w:hint="eastAsia" w:ascii="楷体" w:hAnsi="楷体" w:eastAsia="楷体" w:cs="楷体"/>
          <w:b w:val="0"/>
          <w:bCs w:val="0"/>
          <w:sz w:val="32"/>
          <w:szCs w:val="32"/>
        </w:rPr>
        <w:t>整体绩效</w:t>
      </w:r>
    </w:p>
    <w:p>
      <w:pPr>
        <w:pStyle w:val="30"/>
        <w:keepNext w:val="0"/>
        <w:keepLines w:val="0"/>
        <w:pageBreakBefore w:val="0"/>
        <w:kinsoku/>
        <w:wordWrap/>
        <w:overflowPunct/>
        <w:topLinePunct w:val="0"/>
        <w:autoSpaceDE/>
        <w:autoSpaceDN/>
        <w:bidi w:val="0"/>
        <w:spacing w:line="600" w:lineRule="exact"/>
        <w:ind w:firstLine="608" w:firstLineChars="190"/>
        <w:textAlignment w:val="auto"/>
        <w:rPr>
          <w:rFonts w:hint="eastAsia"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eastAsia="zh-CN"/>
        </w:rPr>
        <w:t>，我中心</w:t>
      </w:r>
      <w:r>
        <w:rPr>
          <w:rFonts w:hint="eastAsia" w:ascii="仿宋" w:hAnsi="仿宋" w:eastAsia="仿宋"/>
          <w:sz w:val="32"/>
          <w:szCs w:val="32"/>
        </w:rPr>
        <w:t>全年预算数为</w:t>
      </w:r>
      <w:r>
        <w:rPr>
          <w:rFonts w:hint="eastAsia" w:ascii="仿宋" w:hAnsi="仿宋" w:eastAsia="仿宋"/>
          <w:sz w:val="32"/>
          <w:szCs w:val="32"/>
          <w:lang w:val="en-US" w:eastAsia="zh-CN"/>
        </w:rPr>
        <w:t>2079.07</w:t>
      </w:r>
      <w:r>
        <w:rPr>
          <w:rFonts w:hint="eastAsia" w:ascii="仿宋" w:hAnsi="仿宋" w:eastAsia="仿宋"/>
          <w:sz w:val="32"/>
          <w:szCs w:val="32"/>
        </w:rPr>
        <w:t>万元，支出</w:t>
      </w:r>
      <w:r>
        <w:rPr>
          <w:rFonts w:hint="eastAsia" w:ascii="仿宋" w:hAnsi="仿宋" w:eastAsia="仿宋"/>
          <w:sz w:val="32"/>
          <w:szCs w:val="32"/>
          <w:lang w:val="en-US" w:eastAsia="zh-CN"/>
        </w:rPr>
        <w:t>1924.50</w:t>
      </w:r>
      <w:r>
        <w:rPr>
          <w:rFonts w:hint="eastAsia" w:ascii="仿宋" w:hAnsi="仿宋" w:eastAsia="仿宋"/>
          <w:sz w:val="32"/>
          <w:szCs w:val="32"/>
        </w:rPr>
        <w:t>万元，其中：基本支出为</w:t>
      </w:r>
      <w:r>
        <w:rPr>
          <w:rFonts w:hint="eastAsia" w:ascii="仿宋" w:hAnsi="仿宋" w:eastAsia="仿宋"/>
          <w:sz w:val="32"/>
          <w:szCs w:val="32"/>
          <w:lang w:val="en-US" w:eastAsia="zh-CN"/>
        </w:rPr>
        <w:t>866.34</w:t>
      </w:r>
      <w:r>
        <w:rPr>
          <w:rFonts w:hint="eastAsia" w:ascii="仿宋" w:hAnsi="仿宋" w:eastAsia="仿宋"/>
          <w:sz w:val="32"/>
          <w:szCs w:val="32"/>
        </w:rPr>
        <w:t>万元，项目支出</w:t>
      </w:r>
      <w:r>
        <w:rPr>
          <w:rFonts w:hint="eastAsia" w:ascii="仿宋" w:hAnsi="仿宋" w:eastAsia="仿宋"/>
          <w:sz w:val="32"/>
          <w:szCs w:val="32"/>
          <w:lang w:val="en-US" w:eastAsia="zh-CN"/>
        </w:rPr>
        <w:t>1058.16</w:t>
      </w:r>
      <w:r>
        <w:rPr>
          <w:rFonts w:hint="eastAsia" w:ascii="仿宋" w:hAnsi="仿宋" w:eastAsia="仿宋"/>
          <w:sz w:val="32"/>
          <w:szCs w:val="32"/>
        </w:rPr>
        <w:t>万元。</w:t>
      </w:r>
      <w:r>
        <w:rPr>
          <w:rFonts w:hint="eastAsia" w:ascii="仿宋" w:hAnsi="仿宋" w:eastAsia="仿宋"/>
          <w:sz w:val="32"/>
          <w:szCs w:val="32"/>
          <w:lang w:eastAsia="zh-CN"/>
        </w:rPr>
        <w:t>事务</w:t>
      </w:r>
      <w:r>
        <w:rPr>
          <w:rFonts w:hint="eastAsia" w:ascii="仿宋" w:hAnsi="仿宋" w:eastAsia="仿宋"/>
          <w:sz w:val="32"/>
          <w:szCs w:val="32"/>
        </w:rPr>
        <w:t>中心严格</w:t>
      </w:r>
      <w:r>
        <w:rPr>
          <w:rFonts w:hint="eastAsia" w:ascii="仿宋" w:hAnsi="仿宋" w:eastAsia="仿宋"/>
          <w:sz w:val="32"/>
          <w:szCs w:val="32"/>
          <w:lang w:eastAsia="zh-CN"/>
        </w:rPr>
        <w:t>按照</w:t>
      </w:r>
      <w:r>
        <w:rPr>
          <w:rFonts w:hint="eastAsia" w:ascii="仿宋" w:hAnsi="仿宋" w:eastAsia="仿宋"/>
          <w:sz w:val="32"/>
          <w:szCs w:val="32"/>
        </w:rPr>
        <w:t>中央八项规定</w:t>
      </w:r>
      <w:r>
        <w:rPr>
          <w:rFonts w:hint="eastAsia" w:ascii="仿宋" w:hAnsi="仿宋" w:eastAsia="仿宋"/>
          <w:sz w:val="32"/>
          <w:szCs w:val="32"/>
          <w:lang w:eastAsia="zh-CN"/>
        </w:rPr>
        <w:t>精神</w:t>
      </w:r>
      <w:r>
        <w:rPr>
          <w:rFonts w:hint="eastAsia" w:ascii="仿宋" w:hAnsi="仿宋" w:eastAsia="仿宋"/>
          <w:sz w:val="32"/>
          <w:szCs w:val="32"/>
        </w:rPr>
        <w:t>和</w:t>
      </w:r>
      <w:r>
        <w:rPr>
          <w:rFonts w:hint="eastAsia" w:ascii="仿宋" w:hAnsi="仿宋" w:eastAsia="仿宋"/>
          <w:sz w:val="32"/>
          <w:szCs w:val="32"/>
          <w:lang w:eastAsia="zh-CN"/>
        </w:rPr>
        <w:t>各项</w:t>
      </w:r>
      <w:r>
        <w:rPr>
          <w:rFonts w:hint="eastAsia" w:ascii="仿宋" w:hAnsi="仿宋" w:eastAsia="仿宋"/>
          <w:sz w:val="32"/>
          <w:szCs w:val="32"/>
        </w:rPr>
        <w:t>财务管理制度，</w:t>
      </w:r>
      <w:r>
        <w:rPr>
          <w:rFonts w:hint="eastAsia" w:ascii="仿宋" w:hAnsi="仿宋" w:eastAsia="仿宋"/>
          <w:sz w:val="32"/>
          <w:szCs w:val="32"/>
          <w:lang w:eastAsia="zh-CN"/>
        </w:rPr>
        <w:t>在资金的管理和使用上，坚持统筹兼顾、厉行节约、提高效益的原则，</w:t>
      </w:r>
      <w:r>
        <w:rPr>
          <w:rFonts w:hint="eastAsia" w:ascii="仿宋" w:hAnsi="仿宋" w:eastAsia="仿宋"/>
          <w:sz w:val="32"/>
          <w:szCs w:val="32"/>
        </w:rPr>
        <w:t>合理安排日常公用经费资金及项目资金，</w:t>
      </w:r>
      <w:r>
        <w:rPr>
          <w:rFonts w:hint="eastAsia" w:ascii="仿宋" w:hAnsi="仿宋" w:eastAsia="仿宋"/>
          <w:sz w:val="32"/>
          <w:szCs w:val="32"/>
          <w:lang w:eastAsia="zh-CN"/>
        </w:rPr>
        <w:t>预算执行总体较为有效，</w:t>
      </w:r>
      <w:r>
        <w:rPr>
          <w:rFonts w:hint="eastAsia" w:ascii="仿宋" w:hAnsi="仿宋" w:eastAsia="仿宋"/>
          <w:sz w:val="32"/>
          <w:szCs w:val="32"/>
        </w:rPr>
        <w:t>保证</w:t>
      </w:r>
      <w:r>
        <w:rPr>
          <w:rFonts w:hint="eastAsia" w:ascii="仿宋" w:hAnsi="仿宋" w:eastAsia="仿宋"/>
          <w:sz w:val="32"/>
          <w:szCs w:val="32"/>
          <w:lang w:eastAsia="zh-CN"/>
        </w:rPr>
        <w:t>了</w:t>
      </w:r>
      <w:r>
        <w:rPr>
          <w:rFonts w:hint="eastAsia" w:ascii="仿宋" w:hAnsi="仿宋" w:eastAsia="仿宋"/>
          <w:sz w:val="32"/>
          <w:szCs w:val="32"/>
        </w:rPr>
        <w:t>中心各项工作的正常运转。</w:t>
      </w:r>
    </w:p>
    <w:p>
      <w:pPr>
        <w:pStyle w:val="30"/>
        <w:keepNext w:val="0"/>
        <w:keepLines w:val="0"/>
        <w:pageBreakBefore w:val="0"/>
        <w:numPr>
          <w:ilvl w:val="0"/>
          <w:numId w:val="2"/>
        </w:numPr>
        <w:kinsoku/>
        <w:wordWrap/>
        <w:overflowPunct/>
        <w:topLinePunct w:val="0"/>
        <w:autoSpaceDE/>
        <w:autoSpaceDN/>
        <w:bidi w:val="0"/>
        <w:spacing w:line="600" w:lineRule="exact"/>
        <w:ind w:firstLine="608" w:firstLineChars="190"/>
        <w:textAlignment w:val="auto"/>
        <w:rPr>
          <w:rFonts w:hint="eastAsia" w:ascii="仿宋" w:hAnsi="仿宋" w:eastAsia="仿宋"/>
          <w:sz w:val="32"/>
          <w:szCs w:val="32"/>
          <w:lang w:eastAsia="zh-CN"/>
        </w:rPr>
      </w:pPr>
      <w:r>
        <w:rPr>
          <w:rFonts w:hint="eastAsia" w:ascii="楷体" w:hAnsi="楷体" w:eastAsia="楷体" w:cs="楷体"/>
          <w:b w:val="0"/>
          <w:bCs w:val="0"/>
          <w:sz w:val="32"/>
          <w:szCs w:val="32"/>
          <w:lang w:eastAsia="zh-CN"/>
        </w:rPr>
        <w:t>预算</w:t>
      </w:r>
      <w:r>
        <w:rPr>
          <w:rFonts w:hint="eastAsia" w:ascii="楷体" w:hAnsi="楷体" w:eastAsia="楷体" w:cs="楷体"/>
          <w:b w:val="0"/>
          <w:bCs w:val="0"/>
          <w:sz w:val="32"/>
          <w:szCs w:val="32"/>
        </w:rPr>
        <w:t>执行管理</w:t>
      </w:r>
    </w:p>
    <w:p>
      <w:pPr>
        <w:pStyle w:val="30"/>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加强预算管理和执行力度，本着厉行节约原则，本年度严格按照有关规定和工作需要，科学、合理地安排资金，</w:t>
      </w:r>
      <w:r>
        <w:rPr>
          <w:rFonts w:hint="eastAsia" w:ascii="仿宋" w:hAnsi="仿宋" w:eastAsia="仿宋"/>
          <w:sz w:val="32"/>
          <w:szCs w:val="32"/>
          <w:lang w:eastAsia="zh-CN"/>
        </w:rPr>
        <w:t>既保证了支出总额控制在预算总额以内，又提高了</w:t>
      </w:r>
      <w:r>
        <w:rPr>
          <w:rFonts w:hint="eastAsia" w:ascii="仿宋" w:hAnsi="仿宋" w:eastAsia="仿宋"/>
          <w:sz w:val="32"/>
          <w:szCs w:val="32"/>
        </w:rPr>
        <w:t>基本支出预算执行率</w:t>
      </w:r>
      <w:r>
        <w:rPr>
          <w:rFonts w:hint="eastAsia" w:ascii="仿宋" w:hAnsi="仿宋" w:eastAsia="仿宋"/>
          <w:sz w:val="32"/>
          <w:szCs w:val="32"/>
          <w:lang w:eastAsia="zh-CN"/>
        </w:rPr>
        <w:t>。</w:t>
      </w:r>
    </w:p>
    <w:p>
      <w:pPr>
        <w:pStyle w:val="30"/>
        <w:keepNext w:val="0"/>
        <w:keepLines w:val="0"/>
        <w:pageBreakBefore w:val="0"/>
        <w:kinsoku/>
        <w:wordWrap/>
        <w:overflowPunct/>
        <w:topLinePunct w:val="0"/>
        <w:autoSpaceDE/>
        <w:autoSpaceDN/>
        <w:bidi w:val="0"/>
        <w:spacing w:line="600" w:lineRule="exact"/>
        <w:ind w:firstLine="640"/>
        <w:textAlignment w:val="auto"/>
        <w:rPr>
          <w:rFonts w:hint="eastAsia" w:ascii="仿宋" w:hAnsi="仿宋" w:eastAsia="仿宋"/>
          <w:sz w:val="32"/>
          <w:szCs w:val="32"/>
          <w:lang w:eastAsia="zh-CN"/>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严格按照财务管理制度，</w:t>
      </w:r>
      <w:r>
        <w:rPr>
          <w:rFonts w:hint="eastAsia" w:ascii="仿宋" w:hAnsi="仿宋" w:eastAsia="仿宋" w:cs="仿宋"/>
          <w:kern w:val="2"/>
          <w:sz w:val="32"/>
          <w:szCs w:val="32"/>
          <w:lang w:val="en-US" w:eastAsia="zh-CN"/>
        </w:rPr>
        <w:t>贯彻落实中央八项规定精神及行政单位内部控制规范等，规范财务管理，强化资金使用约束力，加强经费审批和控制，规范支出标准与范围，并严格执行。</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仿宋" w:hAnsi="仿宋" w:eastAsia="仿宋"/>
          <w:sz w:val="32"/>
          <w:szCs w:val="32"/>
          <w:lang w:val="en-US" w:eastAsia="zh-CN"/>
        </w:rPr>
        <w:t>3、事务中心依据年度预算安排，结合实际业务需求和资产存量状况，合理规划新资产的采购。严格遵循预算审批流程，确保购置资金的合规使用。对于达到使用年限或因其他原因需处置的资产，事务中心严格按照规定程序进行处置。在预算资金管理的主导下，通过有效的资产管理和资产业务开展，实现了资产的合理配置和高效利用，为单位的正常运转和业务发展提供了有力保障。</w:t>
      </w:r>
    </w:p>
    <w:p>
      <w:pPr>
        <w:pStyle w:val="30"/>
        <w:keepNext w:val="0"/>
        <w:keepLines w:val="0"/>
        <w:pageBreakBefore w:val="0"/>
        <w:widowControl w:val="0"/>
        <w:kinsoku/>
        <w:wordWrap/>
        <w:overflowPunct/>
        <w:topLinePunct w:val="0"/>
        <w:autoSpaceDE/>
        <w:autoSpaceDN/>
        <w:bidi w:val="0"/>
        <w:adjustRightInd/>
        <w:snapToGrid/>
        <w:spacing w:line="600" w:lineRule="exact"/>
        <w:ind w:firstLine="608" w:firstLineChars="19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单位整体及核心业务实施情况</w:t>
      </w:r>
    </w:p>
    <w:p>
      <w:pPr>
        <w:pStyle w:val="30"/>
        <w:keepNext w:val="0"/>
        <w:keepLines w:val="0"/>
        <w:pageBreakBefore w:val="0"/>
        <w:widowControl w:val="0"/>
        <w:kinsoku/>
        <w:wordWrap/>
        <w:overflowPunct/>
        <w:topLinePunct w:val="0"/>
        <w:autoSpaceDE/>
        <w:autoSpaceDN/>
        <w:bidi w:val="0"/>
        <w:adjustRightInd/>
        <w:snapToGrid/>
        <w:spacing w:line="600" w:lineRule="exact"/>
        <w:ind w:firstLine="570" w:firstLineChars="190"/>
        <w:textAlignment w:val="auto"/>
        <w:rPr>
          <w:rFonts w:hint="eastAsia" w:ascii="楷体" w:hAnsi="楷体" w:eastAsia="楷体" w:cs="楷体"/>
          <w:b w:val="0"/>
          <w:bCs w:val="0"/>
          <w:sz w:val="32"/>
          <w:szCs w:val="32"/>
        </w:rPr>
      </w:pPr>
      <w:r>
        <w:rPr>
          <w:rFonts w:hint="eastAsia" w:ascii="仿宋" w:hAnsi="仿宋" w:eastAsia="仿宋"/>
          <w:spacing w:val="-10"/>
          <w:sz w:val="32"/>
          <w:szCs w:val="32"/>
          <w:lang w:val="en-US" w:eastAsia="zh-CN"/>
        </w:rPr>
        <w:t>2024年事务中心通过精细化预算编制与严格的成本控制措施，办公用品、印刷费等日常开销得到合理管控。车辆运行、机关维修等固定成本通过优化资源配置，实现了一定程度的降低。</w:t>
      </w:r>
    </w:p>
    <w:p>
      <w:pPr>
        <w:pStyle w:val="30"/>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（四）产生的社会效益</w:t>
      </w:r>
    </w:p>
    <w:p>
      <w:pPr>
        <w:pStyle w:val="30"/>
        <w:keepNext w:val="0"/>
        <w:keepLines w:val="0"/>
        <w:pageBreakBefore w:val="0"/>
        <w:kinsoku/>
        <w:wordWrap/>
        <w:overflowPunct/>
        <w:topLinePunct w:val="0"/>
        <w:autoSpaceDE/>
        <w:autoSpaceDN/>
        <w:bidi w:val="0"/>
        <w:spacing w:line="600" w:lineRule="exact"/>
        <w:ind w:firstLine="570" w:firstLineChars="190"/>
        <w:textAlignment w:val="auto"/>
        <w:rPr>
          <w:rFonts w:hint="eastAsia" w:ascii="仿宋" w:hAnsi="仿宋" w:eastAsia="仿宋" w:cs="Times New Roman"/>
          <w:spacing w:val="-10"/>
          <w:kern w:val="2"/>
          <w:sz w:val="32"/>
          <w:szCs w:val="32"/>
          <w:lang w:val="en-US" w:eastAsia="zh-CN" w:bidi="ar-SA"/>
        </w:rPr>
      </w:pPr>
      <w:r>
        <w:rPr>
          <w:rFonts w:hint="eastAsia" w:ascii="仿宋" w:hAnsi="仿宋" w:eastAsia="仿宋" w:cs="Times New Roman"/>
          <w:spacing w:val="-10"/>
          <w:kern w:val="2"/>
          <w:sz w:val="32"/>
          <w:szCs w:val="32"/>
          <w:lang w:val="en-US" w:eastAsia="zh-CN" w:bidi="ar-SA"/>
        </w:rPr>
        <w:t>2024年事务中心围绕既定工作目标，完成了各项任务，通过优化内部管理流程，部门间协作更加顺畅，工作部署到执行的响应速度明显提升，整体履职效能显著增强。个私部开展的系列公共服务项目，在社会上引起广泛关注，获得媒体报道36次。通过政策法规宣讲，强化政治引领，协同政府部门抓好惠企政策落实；通过问情服务，帮助个私企业纾困解难；通过调研走访，积极反馈个私企业诉求；通过多形式、多维度宣传展示，营造了支持个私经济发展的良好氛围。</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w:t>
      </w:r>
      <w:r>
        <w:rPr>
          <w:rFonts w:hint="eastAsia" w:ascii="方正黑体_GBK" w:hAnsi="方正黑体_GBK" w:eastAsia="方正黑体_GBK" w:cs="方正黑体_GBK"/>
          <w:b w:val="0"/>
          <w:bCs/>
          <w:sz w:val="32"/>
          <w:szCs w:val="32"/>
        </w:rPr>
        <w:t>单</w:t>
      </w:r>
      <w:r>
        <w:rPr>
          <w:rFonts w:hint="eastAsia" w:ascii="方正黑体_GBK" w:hAnsi="方正黑体_GBK" w:eastAsia="方正黑体_GBK" w:cs="方正黑体_GBK"/>
          <w:b w:val="0"/>
          <w:bCs w:val="0"/>
          <w:sz w:val="32"/>
          <w:szCs w:val="32"/>
        </w:rPr>
        <w:t>位整体支出绩效自评结果拟应用和公开情况</w:t>
      </w:r>
    </w:p>
    <w:p>
      <w:pPr>
        <w:pStyle w:val="30"/>
        <w:keepNext w:val="0"/>
        <w:keepLines w:val="0"/>
        <w:pageBreakBefore w:val="0"/>
        <w:kinsoku/>
        <w:wordWrap/>
        <w:overflowPunct/>
        <w:topLinePunct w:val="0"/>
        <w:autoSpaceDE/>
        <w:autoSpaceDN/>
        <w:bidi w:val="0"/>
        <w:spacing w:line="600" w:lineRule="exact"/>
        <w:ind w:firstLine="592" w:firstLineChars="190"/>
        <w:textAlignment w:val="auto"/>
        <w:rPr>
          <w:rFonts w:hint="eastAsia" w:ascii="仿宋" w:hAnsi="仿宋" w:eastAsia="仿宋"/>
          <w:spacing w:val="-4"/>
          <w:sz w:val="32"/>
          <w:szCs w:val="32"/>
        </w:rPr>
      </w:pPr>
      <w:r>
        <w:rPr>
          <w:rFonts w:hint="eastAsia" w:ascii="仿宋" w:hAnsi="仿宋" w:eastAsia="仿宋"/>
          <w:spacing w:val="-4"/>
          <w:sz w:val="32"/>
          <w:szCs w:val="32"/>
        </w:rPr>
        <w:t>202</w:t>
      </w:r>
      <w:r>
        <w:rPr>
          <w:rFonts w:hint="eastAsia" w:ascii="仿宋" w:hAnsi="仿宋" w:eastAsia="仿宋"/>
          <w:spacing w:val="-4"/>
          <w:sz w:val="32"/>
          <w:szCs w:val="32"/>
          <w:lang w:val="en-US" w:eastAsia="zh-CN"/>
        </w:rPr>
        <w:t>4</w:t>
      </w:r>
      <w:r>
        <w:rPr>
          <w:rFonts w:hint="eastAsia" w:ascii="仿宋" w:hAnsi="仿宋" w:eastAsia="仿宋"/>
          <w:spacing w:val="-4"/>
          <w:sz w:val="32"/>
          <w:szCs w:val="32"/>
        </w:rPr>
        <w:t>年</w:t>
      </w:r>
      <w:r>
        <w:rPr>
          <w:rFonts w:hint="eastAsia" w:ascii="仿宋" w:hAnsi="仿宋" w:eastAsia="仿宋"/>
          <w:spacing w:val="-4"/>
          <w:sz w:val="32"/>
          <w:szCs w:val="32"/>
          <w:lang w:eastAsia="zh-CN"/>
        </w:rPr>
        <w:t>事务</w:t>
      </w:r>
      <w:r>
        <w:rPr>
          <w:rFonts w:hint="eastAsia" w:ascii="仿宋" w:hAnsi="仿宋" w:eastAsia="仿宋"/>
          <w:spacing w:val="-4"/>
          <w:sz w:val="32"/>
          <w:szCs w:val="32"/>
        </w:rPr>
        <w:t>中心严格按照年初预算批复认真组织实施,严格执行财政相关管理规定，确保了单位正常运行，较好地完成了202</w:t>
      </w:r>
      <w:r>
        <w:rPr>
          <w:rFonts w:hint="eastAsia" w:ascii="仿宋" w:hAnsi="仿宋" w:eastAsia="仿宋"/>
          <w:spacing w:val="-4"/>
          <w:sz w:val="32"/>
          <w:szCs w:val="32"/>
          <w:lang w:val="en-US" w:eastAsia="zh-CN"/>
        </w:rPr>
        <w:t>4</w:t>
      </w:r>
      <w:r>
        <w:rPr>
          <w:rFonts w:hint="eastAsia" w:ascii="仿宋" w:hAnsi="仿宋" w:eastAsia="仿宋"/>
          <w:spacing w:val="-4"/>
          <w:sz w:val="32"/>
          <w:szCs w:val="32"/>
        </w:rPr>
        <w:t>年部门预算编制和决算汇总工作，</w:t>
      </w:r>
      <w:r>
        <w:rPr>
          <w:rFonts w:hint="eastAsia" w:ascii="仿宋" w:hAnsi="仿宋" w:eastAsia="仿宋"/>
          <w:spacing w:val="-4"/>
          <w:sz w:val="32"/>
          <w:szCs w:val="32"/>
          <w:lang w:eastAsia="zh-CN"/>
        </w:rPr>
        <w:t>较好地实现了</w:t>
      </w:r>
      <w:r>
        <w:rPr>
          <w:rFonts w:hint="eastAsia" w:ascii="仿宋" w:hAnsi="仿宋" w:eastAsia="仿宋"/>
          <w:spacing w:val="-4"/>
          <w:sz w:val="32"/>
          <w:szCs w:val="32"/>
        </w:rPr>
        <w:t>单位整体支出绩效目标任务，绩效自评结果为</w:t>
      </w:r>
      <w:r>
        <w:rPr>
          <w:rFonts w:hint="eastAsia" w:ascii="仿宋" w:hAnsi="仿宋" w:eastAsia="仿宋"/>
          <w:spacing w:val="-4"/>
          <w:sz w:val="32"/>
          <w:szCs w:val="32"/>
          <w:lang w:eastAsia="zh-CN"/>
        </w:rPr>
        <w:t>优秀</w:t>
      </w:r>
      <w:r>
        <w:rPr>
          <w:rFonts w:hint="eastAsia" w:ascii="仿宋" w:hAnsi="仿宋" w:eastAsia="仿宋"/>
          <w:spacing w:val="-4"/>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按文件要求在指定网站上公开。</w:t>
      </w: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八</w:t>
      </w:r>
      <w:r>
        <w:rPr>
          <w:rFonts w:hint="eastAsia" w:ascii="方正黑体_GBK" w:hAnsi="方正黑体_GBK" w:eastAsia="方正黑体_GBK" w:cs="方正黑体_GBK"/>
          <w:b w:val="0"/>
          <w:bCs w:val="0"/>
          <w:sz w:val="32"/>
          <w:szCs w:val="32"/>
        </w:rPr>
        <w:t>、其他需要说明的情况</w:t>
      </w:r>
    </w:p>
    <w:p>
      <w:pPr>
        <w:keepNext w:val="0"/>
        <w:keepLines w:val="0"/>
        <w:pageBreakBefore w:val="0"/>
        <w:widowControl/>
        <w:kinsoku/>
        <w:wordWrap/>
        <w:overflowPunct/>
        <w:topLinePunct w:val="0"/>
        <w:autoSpaceDE/>
        <w:autoSpaceDN/>
        <w:bidi w:val="0"/>
        <w:adjustRightInd w:val="0"/>
        <w:snapToGrid w:val="0"/>
        <w:spacing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无</w:t>
      </w: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pStyle w:val="3"/>
        <w:rPr>
          <w:rFonts w:hint="eastAsia" w:ascii="仿宋" w:hAnsi="仿宋" w:eastAsia="仿宋" w:cs="仿宋"/>
          <w:sz w:val="32"/>
          <w:szCs w:val="32"/>
        </w:rPr>
      </w:pPr>
    </w:p>
    <w:p>
      <w:pPr>
        <w:spacing w:before="104" w:line="424" w:lineRule="exact"/>
        <w:ind w:left="69"/>
        <w:rPr>
          <w:rFonts w:ascii="Times New Roman" w:hAnsi="Times New Roman" w:eastAsia="Times New Roman" w:cs="Times New Roman"/>
          <w:sz w:val="32"/>
          <w:szCs w:val="32"/>
        </w:rPr>
      </w:pPr>
      <w:r>
        <w:rPr>
          <w:rFonts w:ascii="黑体" w:hAnsi="黑体" w:eastAsia="黑体" w:cs="黑体"/>
          <w:spacing w:val="-27"/>
          <w:position w:val="1"/>
          <w:sz w:val="32"/>
          <w:szCs w:val="32"/>
        </w:rPr>
        <w:t>附</w:t>
      </w:r>
      <w:r>
        <w:rPr>
          <w:rFonts w:ascii="黑体" w:hAnsi="黑体" w:eastAsia="黑体" w:cs="黑体"/>
          <w:spacing w:val="-26"/>
          <w:position w:val="1"/>
          <w:sz w:val="32"/>
          <w:szCs w:val="32"/>
        </w:rPr>
        <w:t>件</w:t>
      </w:r>
      <w:r>
        <w:rPr>
          <w:rFonts w:ascii="Times New Roman" w:hAnsi="Times New Roman" w:eastAsia="Times New Roman" w:cs="Times New Roman"/>
          <w:spacing w:val="-26"/>
          <w:position w:val="1"/>
          <w:sz w:val="32"/>
          <w:szCs w:val="32"/>
        </w:rPr>
        <w:t>2</w:t>
      </w:r>
    </w:p>
    <w:p>
      <w:pPr>
        <w:spacing w:before="327" w:line="182" w:lineRule="auto"/>
        <w:ind w:left="289"/>
        <w:jc w:val="center"/>
        <w:rPr>
          <w:rFonts w:ascii="微软雅黑" w:hAnsi="微软雅黑" w:eastAsia="微软雅黑" w:cs="微软雅黑"/>
          <w:spacing w:val="-8"/>
          <w:sz w:val="36"/>
          <w:szCs w:val="36"/>
        </w:rPr>
      </w:pPr>
      <w:r>
        <w:rPr>
          <w:rFonts w:ascii="微软雅黑" w:hAnsi="微软雅黑" w:eastAsia="微软雅黑" w:cs="微软雅黑"/>
          <w:spacing w:val="-11"/>
          <w:sz w:val="36"/>
          <w:szCs w:val="36"/>
        </w:rPr>
        <w:t>2</w:t>
      </w:r>
      <w:r>
        <w:rPr>
          <w:rFonts w:ascii="微软雅黑" w:hAnsi="微软雅黑" w:eastAsia="微软雅黑" w:cs="微软雅黑"/>
          <w:spacing w:val="-8"/>
          <w:sz w:val="36"/>
          <w:szCs w:val="36"/>
        </w:rPr>
        <w:t>02</w:t>
      </w:r>
      <w:r>
        <w:rPr>
          <w:rFonts w:hint="eastAsia" w:ascii="微软雅黑" w:hAnsi="微软雅黑" w:eastAsia="微软雅黑" w:cs="微软雅黑"/>
          <w:spacing w:val="-8"/>
          <w:sz w:val="36"/>
          <w:szCs w:val="36"/>
          <w:lang w:val="en-US" w:eastAsia="zh-CN"/>
        </w:rPr>
        <w:t>4</w:t>
      </w:r>
      <w:r>
        <w:rPr>
          <w:rFonts w:ascii="微软雅黑" w:hAnsi="微软雅黑" w:eastAsia="微软雅黑" w:cs="微软雅黑"/>
          <w:spacing w:val="-8"/>
          <w:sz w:val="36"/>
          <w:szCs w:val="36"/>
        </w:rPr>
        <w:t>年度单位整体支出绩效评价基础数据表</w:t>
      </w:r>
    </w:p>
    <w:tbl>
      <w:tblPr>
        <w:tblStyle w:val="9"/>
        <w:tblW w:w="9673" w:type="dxa"/>
        <w:jc w:val="center"/>
        <w:tblInd w:w="0" w:type="dxa"/>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Layout w:type="fixed"/>
          <w:tblCellMar>
            <w:top w:w="0" w:type="dxa"/>
            <w:left w:w="108" w:type="dxa"/>
            <w:bottom w:w="0" w:type="dxa"/>
            <w:right w:w="108" w:type="dxa"/>
          </w:tblCellMar>
        </w:tblPrEx>
        <w:trPr>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编制数</w:t>
            </w:r>
          </w:p>
        </w:tc>
        <w:tc>
          <w:tcPr>
            <w:tcW w:w="224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w:t>
            </w:r>
            <w:r>
              <w:rPr>
                <w:rFonts w:hint="default" w:ascii="Times New Roman" w:hAnsi="Times New Roman" w:eastAsia="仿宋_GB2312" w:cs="Times New Roman"/>
                <w:b/>
                <w:bCs/>
                <w:sz w:val="20"/>
                <w:szCs w:val="20"/>
                <w:lang w:val="en"/>
              </w:rPr>
              <w:t>4</w:t>
            </w:r>
            <w:r>
              <w:rPr>
                <w:rFonts w:ascii="Times New Roman" w:hAnsi="Times New Roman" w:eastAsia="仿宋_GB2312" w:cs="Times New Roman"/>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控制率</w:t>
            </w:r>
          </w:p>
        </w:tc>
      </w:tr>
      <w:tr>
        <w:tblPrEx>
          <w:tblLayout w:type="fixed"/>
          <w:tblCellMar>
            <w:top w:w="0" w:type="dxa"/>
            <w:left w:w="108" w:type="dxa"/>
            <w:bottom w:w="0" w:type="dxa"/>
            <w:right w:w="108" w:type="dxa"/>
          </w:tblCellMar>
        </w:tblPrEx>
        <w:trPr>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p>
        </w:tc>
        <w:tc>
          <w:tcPr>
            <w:tcW w:w="2038"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19</w:t>
            </w:r>
          </w:p>
        </w:tc>
        <w:tc>
          <w:tcPr>
            <w:tcW w:w="224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34</w:t>
            </w:r>
            <w:r>
              <w:rPr>
                <w:rFonts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178.95%</w:t>
            </w:r>
            <w:r>
              <w:rPr>
                <w:rFonts w:ascii="Times New Roman" w:hAnsi="Times New Roman" w:eastAsia="仿宋_GB2312" w:cs="Times New Roman"/>
                <w:sz w:val="20"/>
                <w:szCs w:val="20"/>
              </w:rPr>
              <w:t>　</w:t>
            </w:r>
          </w:p>
        </w:tc>
      </w:tr>
      <w:tr>
        <w:tblPrEx>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w:t>
            </w:r>
            <w:r>
              <w:rPr>
                <w:rFonts w:hint="default" w:ascii="Times New Roman" w:hAnsi="Times New Roman" w:eastAsia="仿宋_GB2312" w:cs="Times New Roman"/>
                <w:b/>
                <w:bCs/>
                <w:sz w:val="20"/>
                <w:szCs w:val="20"/>
                <w:lang w:val="en"/>
              </w:rPr>
              <w:t>3</w:t>
            </w:r>
            <w:r>
              <w:rPr>
                <w:rFonts w:ascii="Times New Roman" w:hAnsi="Times New Roman" w:eastAsia="仿宋_GB2312" w:cs="Times New Roman"/>
                <w:b/>
                <w:bCs/>
                <w:sz w:val="20"/>
                <w:szCs w:val="20"/>
              </w:rPr>
              <w:t>年决算数</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w:t>
            </w:r>
            <w:r>
              <w:rPr>
                <w:rFonts w:hint="default" w:ascii="Times New Roman" w:hAnsi="Times New Roman" w:eastAsia="仿宋_GB2312" w:cs="Times New Roman"/>
                <w:b/>
                <w:bCs/>
                <w:sz w:val="20"/>
                <w:szCs w:val="20"/>
                <w:lang w:val="en"/>
              </w:rPr>
              <w:t>4</w:t>
            </w:r>
            <w:r>
              <w:rPr>
                <w:rFonts w:ascii="Times New Roman" w:hAnsi="Times New Roman" w:eastAsia="仿宋_GB2312" w:cs="Times New Roman"/>
                <w:b/>
                <w:bCs/>
                <w:sz w:val="20"/>
                <w:szCs w:val="20"/>
              </w:rPr>
              <w:t>年预算数</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202</w:t>
            </w:r>
            <w:r>
              <w:rPr>
                <w:rFonts w:hint="default" w:ascii="Times New Roman" w:hAnsi="Times New Roman" w:eastAsia="仿宋_GB2312" w:cs="Times New Roman"/>
                <w:b/>
                <w:bCs/>
                <w:sz w:val="20"/>
                <w:szCs w:val="20"/>
                <w:lang w:val="en"/>
              </w:rPr>
              <w:t>4</w:t>
            </w:r>
            <w:r>
              <w:rPr>
                <w:rFonts w:ascii="Times New Roman" w:hAnsi="Times New Roman" w:eastAsia="仿宋_GB2312" w:cs="Times New Roman"/>
                <w:b/>
                <w:bCs/>
                <w:sz w:val="20"/>
                <w:szCs w:val="20"/>
              </w:rPr>
              <w:t>年决算数</w:t>
            </w:r>
          </w:p>
        </w:tc>
      </w:tr>
      <w:tr>
        <w:tblPrEx>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三公经费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34.85</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9.17</w:t>
            </w:r>
          </w:p>
        </w:tc>
      </w:tr>
      <w:tr>
        <w:tblPrEx>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34.74</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2.70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2.57</w:t>
            </w:r>
          </w:p>
        </w:tc>
      </w:tr>
      <w:tr>
        <w:tblPrEx>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24.98</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p>
        </w:tc>
      </w:tr>
      <w:tr>
        <w:tblPrEx>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9.76</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2.70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2.57</w:t>
            </w:r>
          </w:p>
        </w:tc>
      </w:tr>
      <w:tr>
        <w:tblPrEx>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6.30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6.30</w:t>
            </w:r>
          </w:p>
        </w:tc>
      </w:tr>
      <w:tr>
        <w:tblPrEx>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0.11</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0.30</w:t>
            </w:r>
          </w:p>
        </w:tc>
      </w:tr>
      <w:tr>
        <w:tblPrEx>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项目支出：</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139.21</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1094.50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1058.16</w:t>
            </w:r>
          </w:p>
        </w:tc>
      </w:tr>
      <w:tr>
        <w:tblPrEx>
          <w:tblLayout w:type="fixed"/>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28.26</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7</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0.68</w:t>
            </w:r>
          </w:p>
        </w:tc>
      </w:tr>
      <w:tr>
        <w:tblPrEx>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34.76</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1052.50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1030.71</w:t>
            </w:r>
          </w:p>
        </w:tc>
      </w:tr>
      <w:tr>
        <w:tblPrEx>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jc w:val="both"/>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 xml:space="preserve">    3、其他事业发展资金</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76.19</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35</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26.77</w:t>
            </w:r>
          </w:p>
        </w:tc>
      </w:tr>
      <w:tr>
        <w:tblPrEx>
          <w:tblLayout w:type="fixed"/>
          <w:tblCellMar>
            <w:top w:w="0" w:type="dxa"/>
            <w:left w:w="108" w:type="dxa"/>
            <w:bottom w:w="0" w:type="dxa"/>
            <w:right w:w="108" w:type="dxa"/>
          </w:tblCellMar>
        </w:tblPrEx>
        <w:trPr>
          <w:trHeight w:val="347" w:hRule="atLeast"/>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ind w:firstLine="400" w:firstLineChars="200"/>
              <w:rPr>
                <w:rFonts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4</w:t>
            </w:r>
            <w:r>
              <w:rPr>
                <w:rFonts w:ascii="Times New Roman" w:hAnsi="Times New Roman" w:eastAsia="仿宋_GB2312" w:cs="Times New Roman"/>
                <w:sz w:val="20"/>
                <w:szCs w:val="20"/>
              </w:rPr>
              <w:t>、省级专项资金</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45</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r>
      <w:tr>
        <w:tblPrEx>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jc w:val="both"/>
              <w:rPr>
                <w:rFonts w:hint="eastAsia" w:ascii="Times New Roman" w:hAnsi="Times New Roman" w:eastAsia="仿宋_GB2312" w:cs="Times New Roman"/>
                <w:sz w:val="20"/>
                <w:szCs w:val="20"/>
                <w:lang w:eastAsia="zh-CN"/>
              </w:rPr>
            </w:pPr>
            <w:r>
              <w:rPr>
                <w:rFonts w:hint="eastAsia" w:ascii="Times New Roman" w:hAnsi="Times New Roman" w:eastAsia="仿宋_GB2312" w:cs="Times New Roman"/>
                <w:sz w:val="20"/>
                <w:szCs w:val="20"/>
                <w:lang w:eastAsia="zh-CN"/>
              </w:rPr>
              <w:t>市场监督管理专项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45</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r>
      <w:tr>
        <w:tblPrEx>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公用经费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sz w:val="20"/>
                <w:szCs w:val="20"/>
                <w:lang w:val="en-US" w:eastAsia="zh-CN"/>
              </w:rPr>
              <w:t>1258.16</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120.80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103.27</w:t>
            </w:r>
          </w:p>
        </w:tc>
      </w:tr>
      <w:tr>
        <w:tblPrEx>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6.36</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5.5</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5.28</w:t>
            </w:r>
          </w:p>
        </w:tc>
      </w:tr>
      <w:tr>
        <w:tblPrEx>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6.77</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12</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5.59</w:t>
            </w:r>
          </w:p>
        </w:tc>
      </w:tr>
      <w:tr>
        <w:tblPrEx>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4.12</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21.30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21.04</w:t>
            </w:r>
          </w:p>
        </w:tc>
      </w:tr>
      <w:tr>
        <w:tblPrEx>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0</w:t>
            </w:r>
          </w:p>
        </w:tc>
      </w:tr>
      <w:tr>
        <w:tblPrEx>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sz w:val="20"/>
                <w:szCs w:val="20"/>
                <w:lang w:val="en-US" w:eastAsia="zh-CN"/>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vAlign w:val="center"/>
          </w:tcPr>
          <w:p>
            <w:pPr>
              <w:spacing w:line="360" w:lineRule="exact"/>
              <w:jc w:val="center"/>
              <w:rPr>
                <w:rFonts w:hint="eastAsia" w:ascii="Times New Roman" w:hAnsi="Times New Roman" w:eastAsia="仿宋_GB2312" w:cs="Times New Roman"/>
                <w:sz w:val="20"/>
                <w:szCs w:val="20"/>
                <w:lang w:val="en-US" w:eastAsia="zh-CN"/>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0</w:t>
            </w:r>
          </w:p>
        </w:tc>
      </w:tr>
      <w:tr>
        <w:tblPrEx>
          <w:tblLayout w:type="fixed"/>
          <w:tblCellMar>
            <w:top w:w="0" w:type="dxa"/>
            <w:left w:w="108" w:type="dxa"/>
            <w:bottom w:w="0" w:type="dxa"/>
            <w:right w:w="108" w:type="dxa"/>
          </w:tblCellMar>
        </w:tblPrEx>
        <w:trPr>
          <w:jc w:val="center"/>
        </w:trPr>
        <w:tc>
          <w:tcPr>
            <w:tcW w:w="3354"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仿宋_GB2312" w:cs="Times New Roman"/>
                <w:sz w:val="20"/>
                <w:szCs w:val="20"/>
                <w:lang w:eastAsia="zh-CN"/>
              </w:rPr>
            </w:pPr>
            <w:r>
              <w:rPr>
                <w:rFonts w:ascii="Times New Roman" w:hAnsi="Times New Roman" w:eastAsia="仿宋_GB2312" w:cs="Times New Roman"/>
                <w:sz w:val="20"/>
                <w:szCs w:val="20"/>
              </w:rPr>
              <w:t>楼堂馆所控制情况</w:t>
            </w:r>
          </w:p>
          <w:p>
            <w:pPr>
              <w:spacing w:line="36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（202</w:t>
            </w:r>
            <w:r>
              <w:rPr>
                <w:rFonts w:hint="eastAsia" w:ascii="Times New Roman" w:hAnsi="Times New Roman" w:eastAsia="仿宋_GB2312" w:cs="Times New Roman"/>
                <w:sz w:val="20"/>
                <w:szCs w:val="20"/>
              </w:rPr>
              <w:t>2</w:t>
            </w:r>
            <w:r>
              <w:rPr>
                <w:rFonts w:ascii="Times New Roman" w:hAnsi="Times New Roman" w:eastAsia="仿宋_GB2312" w:cs="Times New Roman"/>
                <w:sz w:val="20"/>
                <w:szCs w:val="20"/>
              </w:rPr>
              <w:t>年完工项目）</w:t>
            </w:r>
          </w:p>
        </w:tc>
        <w:tc>
          <w:tcPr>
            <w:tcW w:w="1189" w:type="dxa"/>
            <w:tcBorders>
              <w:top w:val="nil"/>
              <w:left w:val="nil"/>
              <w:bottom w:val="single" w:color="auto" w:sz="4" w:space="0"/>
              <w:right w:val="single" w:color="auto" w:sz="4" w:space="0"/>
            </w:tcBorders>
            <w:vAlign w:val="center"/>
          </w:tcPr>
          <w:p>
            <w:pPr>
              <w:spacing w:line="360" w:lineRule="exact"/>
              <w:jc w:val="center"/>
              <w:rPr>
                <w:rFonts w:hint="eastAsia" w:ascii="Times New Roman" w:hAnsi="Times New Roman" w:eastAsia="仿宋_GB2312" w:cs="Times New Roman"/>
                <w:bCs/>
                <w:sz w:val="20"/>
                <w:szCs w:val="20"/>
                <w:lang w:eastAsia="zh-CN"/>
              </w:rPr>
            </w:pPr>
            <w:r>
              <w:rPr>
                <w:rFonts w:ascii="Times New Roman" w:hAnsi="Times New Roman" w:eastAsia="仿宋_GB2312" w:cs="Times New Roman"/>
                <w:bCs/>
                <w:sz w:val="20"/>
                <w:szCs w:val="20"/>
              </w:rPr>
              <w:t>批复规模</w:t>
            </w:r>
          </w:p>
          <w:p>
            <w:pPr>
              <w:spacing w:line="36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w:t>
            </w:r>
            <w:r>
              <w:rPr>
                <w:rFonts w:ascii="Times New Roman" w:hAnsi="Times New Roman" w:cs="Times New Roman"/>
                <w:bCs/>
                <w:sz w:val="20"/>
                <w:szCs w:val="20"/>
              </w:rPr>
              <w:t>㎡</w:t>
            </w:r>
            <w:r>
              <w:rPr>
                <w:rFonts w:ascii="Times New Roman" w:hAnsi="Times New Roman" w:eastAsia="仿宋_GB2312" w:cs="Times New Roman"/>
                <w:bCs/>
                <w:sz w:val="20"/>
                <w:szCs w:val="20"/>
              </w:rPr>
              <w:t>）</w:t>
            </w:r>
          </w:p>
        </w:tc>
        <w:tc>
          <w:tcPr>
            <w:tcW w:w="849" w:type="dxa"/>
            <w:tcBorders>
              <w:top w:val="nil"/>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实际规模（</w:t>
            </w:r>
            <w:r>
              <w:rPr>
                <w:rFonts w:ascii="Times New Roman" w:hAnsi="Times New Roman" w:cs="Times New Roman"/>
                <w:bCs/>
                <w:sz w:val="20"/>
                <w:szCs w:val="20"/>
              </w:rPr>
              <w:t>㎡</w:t>
            </w:r>
            <w:r>
              <w:rPr>
                <w:rFonts w:ascii="Times New Roman" w:hAnsi="Times New Roman" w:eastAsia="仿宋_GB2312" w:cs="Times New Roman"/>
                <w:bCs/>
                <w:sz w:val="20"/>
                <w:szCs w:val="20"/>
              </w:rPr>
              <w:t>）</w:t>
            </w:r>
          </w:p>
        </w:tc>
        <w:tc>
          <w:tcPr>
            <w:tcW w:w="1129" w:type="dxa"/>
            <w:tcBorders>
              <w:top w:val="nil"/>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规模控制率</w:t>
            </w:r>
          </w:p>
        </w:tc>
        <w:tc>
          <w:tcPr>
            <w:tcW w:w="1111" w:type="dxa"/>
            <w:tcBorders>
              <w:top w:val="nil"/>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预算投资（万元）</w:t>
            </w:r>
          </w:p>
        </w:tc>
        <w:tc>
          <w:tcPr>
            <w:tcW w:w="1081" w:type="dxa"/>
            <w:tcBorders>
              <w:top w:val="nil"/>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实际投资（万元）</w:t>
            </w:r>
          </w:p>
        </w:tc>
        <w:tc>
          <w:tcPr>
            <w:tcW w:w="960" w:type="dxa"/>
            <w:tcBorders>
              <w:top w:val="nil"/>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投资概算控制率</w:t>
            </w:r>
          </w:p>
        </w:tc>
      </w:tr>
      <w:tr>
        <w:tblPrEx>
          <w:tblLayout w:type="fixed"/>
          <w:tblCellMar>
            <w:top w:w="0" w:type="dxa"/>
            <w:left w:w="108" w:type="dxa"/>
            <w:bottom w:w="0" w:type="dxa"/>
            <w:right w:w="108" w:type="dxa"/>
          </w:tblCellMar>
        </w:tblPrEx>
        <w:trPr>
          <w:jc w:val="center"/>
        </w:trPr>
        <w:tc>
          <w:tcPr>
            <w:tcW w:w="3354" w:type="dxa"/>
            <w:vMerge w:val="continue"/>
            <w:tcBorders>
              <w:top w:val="nil"/>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p>
        </w:tc>
        <w:tc>
          <w:tcPr>
            <w:tcW w:w="1189" w:type="dxa"/>
            <w:tcBorders>
              <w:top w:val="nil"/>
              <w:left w:val="nil"/>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849" w:type="dxa"/>
            <w:tcBorders>
              <w:top w:val="nil"/>
              <w:left w:val="nil"/>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1129" w:type="dxa"/>
            <w:tcBorders>
              <w:top w:val="nil"/>
              <w:left w:val="nil"/>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1111" w:type="dxa"/>
            <w:tcBorders>
              <w:top w:val="nil"/>
              <w:left w:val="nil"/>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1081" w:type="dxa"/>
            <w:tcBorders>
              <w:top w:val="nil"/>
              <w:left w:val="nil"/>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960" w:type="dxa"/>
            <w:tcBorders>
              <w:top w:val="nil"/>
              <w:left w:val="nil"/>
              <w:bottom w:val="single" w:color="auto" w:sz="4" w:space="0"/>
              <w:right w:val="single" w:color="auto" w:sz="4" w:space="0"/>
            </w:tcBorders>
            <w:vAlign w:val="center"/>
          </w:tcPr>
          <w:p>
            <w:pPr>
              <w:spacing w:line="36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Layout w:type="fixed"/>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vAlign w:val="center"/>
          </w:tcPr>
          <w:p>
            <w:pPr>
              <w:spacing w:line="36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bl>
    <w:p>
      <w:pPr>
        <w:spacing w:line="400" w:lineRule="exact"/>
        <w:rPr>
          <w:rFonts w:ascii="Times New Roman" w:hAnsi="Times New Roman" w:eastAsia="仿宋_GB2312" w:cs="Times New Roman"/>
          <w:sz w:val="22"/>
        </w:rPr>
      </w:pPr>
      <w:r>
        <w:rPr>
          <w:rFonts w:ascii="Times New Roman" w:hAnsi="Times New Roman" w:eastAsia="仿宋_GB2312" w:cs="Times New Roman"/>
          <w:sz w:val="22"/>
        </w:rPr>
        <w:t>说明：“项目支出”需要填报基本支出以外的所有项目支出情况，“公用经费”填报基本支出中的一般商品和服务支出。</w:t>
      </w:r>
    </w:p>
    <w:p>
      <w:pPr>
        <w:spacing w:line="400" w:lineRule="exact"/>
        <w:rPr>
          <w:rFonts w:ascii="Times New Roman" w:hAnsi="Times New Roman" w:eastAsia="仿宋_GB2312" w:cs="Times New Roman"/>
          <w:sz w:val="22"/>
        </w:rPr>
      </w:pPr>
    </w:p>
    <w:p>
      <w:pPr>
        <w:pStyle w:val="3"/>
        <w:rPr>
          <w:rFonts w:hint="eastAsia" w:ascii="宋体" w:hAnsi="宋体" w:eastAsia="宋体" w:cs="宋体"/>
          <w:sz w:val="22"/>
        </w:rPr>
      </w:pPr>
      <w:r>
        <w:rPr>
          <w:rFonts w:hint="eastAsia" w:ascii="宋体" w:hAnsi="宋体" w:eastAsia="宋体" w:cs="宋体"/>
          <w:sz w:val="22"/>
        </w:rPr>
        <w:t>填表人：</w:t>
      </w:r>
      <w:r>
        <w:rPr>
          <w:rFonts w:hint="eastAsia" w:ascii="宋体" w:hAnsi="宋体" w:eastAsia="宋体" w:cs="宋体"/>
          <w:sz w:val="22"/>
          <w:lang w:eastAsia="zh-CN"/>
        </w:rPr>
        <w:t>庞桠文</w:t>
      </w:r>
      <w:r>
        <w:rPr>
          <w:rFonts w:hint="eastAsia" w:ascii="宋体" w:hAnsi="宋体" w:eastAsia="宋体" w:cs="宋体"/>
          <w:sz w:val="22"/>
        </w:rPr>
        <w:t xml:space="preserve"> </w:t>
      </w:r>
      <w:r>
        <w:rPr>
          <w:rFonts w:hint="eastAsia" w:ascii="宋体" w:hAnsi="宋体" w:cs="宋体"/>
          <w:sz w:val="22"/>
          <w:lang w:val="en-US" w:eastAsia="zh-CN"/>
        </w:rPr>
        <w:t xml:space="preserve">  </w:t>
      </w:r>
      <w:r>
        <w:rPr>
          <w:rFonts w:hint="eastAsia" w:ascii="宋体" w:hAnsi="宋体" w:eastAsia="宋体" w:cs="宋体"/>
          <w:sz w:val="22"/>
        </w:rPr>
        <w:t>填报日期：</w:t>
      </w:r>
      <w:r>
        <w:rPr>
          <w:rFonts w:hint="eastAsia" w:ascii="宋体" w:hAnsi="宋体" w:eastAsia="宋体" w:cs="宋体"/>
          <w:sz w:val="22"/>
          <w:lang w:val="en-US" w:eastAsia="zh-CN"/>
        </w:rPr>
        <w:t>202</w:t>
      </w:r>
      <w:r>
        <w:rPr>
          <w:rFonts w:hint="eastAsia" w:ascii="宋体" w:hAnsi="宋体" w:cs="宋体"/>
          <w:sz w:val="22"/>
          <w:lang w:val="en-US" w:eastAsia="zh-CN"/>
        </w:rPr>
        <w:t>5/</w:t>
      </w:r>
      <w:r>
        <w:rPr>
          <w:rFonts w:hint="eastAsia" w:ascii="宋体" w:hAnsi="宋体" w:eastAsia="宋体" w:cs="宋体"/>
          <w:sz w:val="22"/>
          <w:lang w:val="en-US" w:eastAsia="zh-CN"/>
        </w:rPr>
        <w:t>3</w:t>
      </w:r>
      <w:r>
        <w:rPr>
          <w:rFonts w:hint="eastAsia" w:ascii="宋体" w:hAnsi="宋体" w:cs="宋体"/>
          <w:sz w:val="22"/>
          <w:lang w:val="en-US" w:eastAsia="zh-CN"/>
        </w:rPr>
        <w:t xml:space="preserve">/28   </w:t>
      </w:r>
      <w:r>
        <w:rPr>
          <w:rFonts w:hint="eastAsia" w:ascii="宋体" w:hAnsi="宋体" w:eastAsia="宋体" w:cs="宋体"/>
          <w:sz w:val="22"/>
        </w:rPr>
        <w:t>联系电话：</w:t>
      </w:r>
      <w:r>
        <w:rPr>
          <w:rFonts w:hint="eastAsia" w:ascii="宋体" w:hAnsi="宋体" w:eastAsia="宋体" w:cs="宋体"/>
          <w:sz w:val="22"/>
          <w:lang w:val="en-US" w:eastAsia="zh-CN"/>
        </w:rPr>
        <w:t>13574880456</w:t>
      </w:r>
      <w:r>
        <w:rPr>
          <w:rFonts w:hint="eastAsia" w:ascii="宋体" w:hAnsi="宋体" w:eastAsia="宋体" w:cs="宋体"/>
          <w:sz w:val="22"/>
        </w:rPr>
        <w:t xml:space="preserve"> </w:t>
      </w:r>
      <w:r>
        <w:rPr>
          <w:rFonts w:hint="eastAsia" w:ascii="宋体" w:hAnsi="宋体" w:cs="宋体"/>
          <w:sz w:val="22"/>
          <w:lang w:val="en-US" w:eastAsia="zh-CN"/>
        </w:rPr>
        <w:t xml:space="preserve">  </w:t>
      </w:r>
      <w:r>
        <w:rPr>
          <w:rFonts w:hint="eastAsia" w:ascii="宋体" w:hAnsi="宋体" w:eastAsia="宋体" w:cs="宋体"/>
          <w:sz w:val="22"/>
        </w:rPr>
        <w:t>单位负责人签字：</w:t>
      </w:r>
    </w:p>
    <w:p>
      <w:pPr>
        <w:widowControl/>
        <w:spacing w:line="600" w:lineRule="exact"/>
        <w:jc w:val="left"/>
        <w:outlineLvl w:val="0"/>
        <w:rPr>
          <w:rFonts w:hint="eastAsia" w:ascii="黑体" w:hAnsi="黑体" w:eastAsia="黑体" w:cs="黑体"/>
          <w:sz w:val="32"/>
          <w:szCs w:val="32"/>
        </w:rPr>
      </w:pPr>
    </w:p>
    <w:p>
      <w:pPr>
        <w:widowControl/>
        <w:spacing w:line="600" w:lineRule="exact"/>
        <w:jc w:val="left"/>
        <w:outlineLvl w:val="0"/>
        <w:rPr>
          <w:rFonts w:hint="eastAsia" w:ascii="黑体" w:hAnsi="黑体" w:eastAsia="黑体" w:cs="黑体"/>
          <w:sz w:val="32"/>
          <w:szCs w:val="32"/>
        </w:rPr>
      </w:pPr>
      <w:r>
        <w:rPr>
          <w:rFonts w:hint="eastAsia" w:ascii="黑体" w:hAnsi="黑体" w:eastAsia="黑体" w:cs="黑体"/>
          <w:sz w:val="32"/>
          <w:szCs w:val="32"/>
        </w:rPr>
        <w:t>附件3</w:t>
      </w:r>
    </w:p>
    <w:p>
      <w:pPr>
        <w:widowControl/>
        <w:spacing w:before="156" w:beforeLines="50" w:after="156" w:afterLines="50" w:line="600" w:lineRule="exact"/>
        <w:jc w:val="center"/>
        <w:rPr>
          <w:rFonts w:hint="eastAsia" w:ascii="方正小标宋_GBK" w:hAnsi="微软雅黑" w:eastAsia="方正小标宋_GBK" w:cs="微软雅黑"/>
          <w:color w:val="000000"/>
          <w:kern w:val="0"/>
          <w:sz w:val="44"/>
          <w:szCs w:val="44"/>
        </w:rPr>
      </w:pPr>
      <w:r>
        <w:rPr>
          <w:rFonts w:hint="eastAsia" w:ascii="方正小标宋_GBK" w:hAnsi="微软雅黑" w:eastAsia="方正小标宋_GBK" w:cs="微软雅黑"/>
          <w:color w:val="000000"/>
          <w:kern w:val="0"/>
          <w:sz w:val="44"/>
          <w:szCs w:val="44"/>
        </w:rPr>
        <w:t>202</w:t>
      </w:r>
      <w:r>
        <w:rPr>
          <w:rFonts w:hint="eastAsia" w:ascii="方正小标宋_GBK" w:hAnsi="微软雅黑" w:eastAsia="方正小标宋_GBK" w:cs="微软雅黑"/>
          <w:color w:val="000000"/>
          <w:kern w:val="0"/>
          <w:sz w:val="44"/>
          <w:szCs w:val="44"/>
          <w:lang w:val="en-US" w:eastAsia="zh-CN"/>
        </w:rPr>
        <w:t>4</w:t>
      </w:r>
      <w:r>
        <w:rPr>
          <w:rFonts w:hint="eastAsia" w:ascii="方正小标宋_GBK" w:hAnsi="微软雅黑" w:eastAsia="方正小标宋_GBK" w:cs="微软雅黑"/>
          <w:color w:val="000000"/>
          <w:kern w:val="0"/>
          <w:sz w:val="44"/>
          <w:szCs w:val="44"/>
        </w:rPr>
        <w:t>年度单位整体支出绩效自评表</w:t>
      </w:r>
    </w:p>
    <w:tbl>
      <w:tblPr>
        <w:tblStyle w:val="9"/>
        <w:tblW w:w="9914" w:type="dxa"/>
        <w:jc w:val="center"/>
        <w:tblInd w:w="-45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87"/>
        <w:gridCol w:w="767"/>
        <w:gridCol w:w="700"/>
        <w:gridCol w:w="1582"/>
        <w:gridCol w:w="351"/>
        <w:gridCol w:w="1005"/>
        <w:gridCol w:w="1237"/>
        <w:gridCol w:w="748"/>
        <w:gridCol w:w="845"/>
        <w:gridCol w:w="16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987"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预算单位</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名称</w:t>
            </w:r>
          </w:p>
        </w:tc>
        <w:tc>
          <w:tcPr>
            <w:tcW w:w="8927" w:type="dxa"/>
            <w:gridSpan w:val="9"/>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湖南省市场监管事务中心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987" w:type="dxa"/>
            <w:vMerge w:val="restart"/>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pPr>
              <w:widowControl/>
              <w:spacing w:line="240" w:lineRule="exact"/>
              <w:jc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算申请</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1467" w:type="dxa"/>
            <w:gridSpan w:val="2"/>
            <w:vAlign w:val="center"/>
          </w:tcPr>
          <w:p>
            <w:pPr>
              <w:spacing w:line="240" w:lineRule="exact"/>
              <w:jc w:val="center"/>
              <w:rPr>
                <w:rFonts w:hint="eastAsia" w:ascii="仿宋" w:hAnsi="仿宋" w:eastAsia="仿宋" w:cs="仿宋"/>
                <w:sz w:val="20"/>
                <w:szCs w:val="20"/>
              </w:rPr>
            </w:pPr>
          </w:p>
        </w:tc>
        <w:tc>
          <w:tcPr>
            <w:tcW w:w="1582" w:type="dxa"/>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年初</w:t>
            </w:r>
          </w:p>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预算数</w:t>
            </w:r>
          </w:p>
        </w:tc>
        <w:tc>
          <w:tcPr>
            <w:tcW w:w="1356" w:type="dxa"/>
            <w:gridSpan w:val="2"/>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全年预算数</w:t>
            </w:r>
          </w:p>
        </w:tc>
        <w:tc>
          <w:tcPr>
            <w:tcW w:w="1237" w:type="dxa"/>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全年执行数</w:t>
            </w:r>
          </w:p>
        </w:tc>
        <w:tc>
          <w:tcPr>
            <w:tcW w:w="748" w:type="dxa"/>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分值</w:t>
            </w:r>
          </w:p>
        </w:tc>
        <w:tc>
          <w:tcPr>
            <w:tcW w:w="845" w:type="dxa"/>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执行率</w:t>
            </w:r>
          </w:p>
        </w:tc>
        <w:tc>
          <w:tcPr>
            <w:tcW w:w="1692"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987" w:type="dxa"/>
            <w:vMerge w:val="continue"/>
            <w:vAlign w:val="center"/>
          </w:tcPr>
          <w:p>
            <w:pPr>
              <w:widowControl/>
              <w:spacing w:line="240" w:lineRule="exact"/>
              <w:jc w:val="center"/>
              <w:rPr>
                <w:rFonts w:hint="eastAsia" w:ascii="仿宋" w:hAnsi="仿宋" w:eastAsia="仿宋" w:cs="仿宋"/>
                <w:color w:val="000000"/>
                <w:kern w:val="0"/>
                <w:sz w:val="20"/>
                <w:szCs w:val="20"/>
              </w:rPr>
            </w:pPr>
          </w:p>
        </w:tc>
        <w:tc>
          <w:tcPr>
            <w:tcW w:w="1467" w:type="dxa"/>
            <w:gridSpan w:val="2"/>
            <w:vAlign w:val="center"/>
          </w:tcPr>
          <w:p>
            <w:pPr>
              <w:spacing w:line="240" w:lineRule="exact"/>
              <w:jc w:val="center"/>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1582" w:type="dxa"/>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2469.37</w:t>
            </w:r>
          </w:p>
        </w:tc>
        <w:tc>
          <w:tcPr>
            <w:tcW w:w="1356" w:type="dxa"/>
            <w:gridSpan w:val="2"/>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2079.07</w:t>
            </w:r>
          </w:p>
        </w:tc>
        <w:tc>
          <w:tcPr>
            <w:tcW w:w="1237" w:type="dxa"/>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1924.50</w:t>
            </w:r>
          </w:p>
        </w:tc>
        <w:tc>
          <w:tcPr>
            <w:tcW w:w="748" w:type="dxa"/>
            <w:vAlign w:val="center"/>
          </w:tcPr>
          <w:p>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10</w:t>
            </w:r>
          </w:p>
        </w:tc>
        <w:tc>
          <w:tcPr>
            <w:tcW w:w="845" w:type="dxa"/>
            <w:vAlign w:val="center"/>
          </w:tcPr>
          <w:p>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92.57%</w:t>
            </w:r>
          </w:p>
        </w:tc>
        <w:tc>
          <w:tcPr>
            <w:tcW w:w="1692" w:type="dxa"/>
            <w:vAlign w:val="center"/>
          </w:tcPr>
          <w:p>
            <w:pPr>
              <w:spacing w:line="240" w:lineRule="exact"/>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987"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4405" w:type="dxa"/>
            <w:gridSpan w:val="5"/>
            <w:vAlign w:val="center"/>
          </w:tcPr>
          <w:p>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4522" w:type="dxa"/>
            <w:gridSpan w:val="4"/>
            <w:vAlign w:val="center"/>
          </w:tcPr>
          <w:p>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987"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4405" w:type="dxa"/>
            <w:gridSpan w:val="5"/>
            <w:vAlign w:val="center"/>
          </w:tcPr>
          <w:p>
            <w:pPr>
              <w:widowControl/>
              <w:spacing w:line="240" w:lineRule="exact"/>
              <w:jc w:val="left"/>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2079.07</w:t>
            </w:r>
          </w:p>
        </w:tc>
        <w:tc>
          <w:tcPr>
            <w:tcW w:w="4522" w:type="dxa"/>
            <w:gridSpan w:val="4"/>
            <w:vAlign w:val="center"/>
          </w:tcPr>
          <w:p>
            <w:pPr>
              <w:widowControl/>
              <w:spacing w:line="240" w:lineRule="exact"/>
              <w:jc w:val="left"/>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866.34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987"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4405" w:type="dxa"/>
            <w:gridSpan w:val="5"/>
            <w:vAlign w:val="center"/>
          </w:tcPr>
          <w:p>
            <w:pPr>
              <w:widowControl/>
              <w:spacing w:line="240" w:lineRule="exact"/>
              <w:jc w:val="left"/>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w:t>
            </w:r>
            <w:r>
              <w:rPr>
                <w:rFonts w:hint="eastAsia" w:ascii="仿宋" w:hAnsi="仿宋" w:eastAsia="仿宋" w:cs="仿宋"/>
                <w:color w:val="000000"/>
                <w:kern w:val="0"/>
                <w:sz w:val="20"/>
                <w:szCs w:val="20"/>
                <w:lang w:val="en-US" w:eastAsia="zh-CN"/>
              </w:rPr>
              <w:t>0</w:t>
            </w:r>
          </w:p>
        </w:tc>
        <w:tc>
          <w:tcPr>
            <w:tcW w:w="4522" w:type="dxa"/>
            <w:gridSpan w:val="4"/>
            <w:vAlign w:val="center"/>
          </w:tcPr>
          <w:p>
            <w:pPr>
              <w:widowControl/>
              <w:spacing w:line="240" w:lineRule="exact"/>
              <w:ind w:firstLine="600" w:firstLineChars="300"/>
              <w:jc w:val="left"/>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1058.16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987"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4405" w:type="dxa"/>
            <w:gridSpan w:val="5"/>
            <w:vAlign w:val="center"/>
          </w:tcPr>
          <w:p>
            <w:pPr>
              <w:widowControl/>
              <w:spacing w:line="240" w:lineRule="exact"/>
              <w:jc w:val="left"/>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纳入专户管理的非税收入拨款：</w:t>
            </w:r>
            <w:r>
              <w:rPr>
                <w:rFonts w:hint="eastAsia" w:ascii="仿宋" w:hAnsi="仿宋" w:eastAsia="仿宋" w:cs="仿宋"/>
                <w:color w:val="000000"/>
                <w:kern w:val="0"/>
                <w:sz w:val="20"/>
                <w:szCs w:val="20"/>
                <w:lang w:val="en-US" w:eastAsia="zh-CN"/>
              </w:rPr>
              <w:t>0</w:t>
            </w:r>
          </w:p>
        </w:tc>
        <w:tc>
          <w:tcPr>
            <w:tcW w:w="4522" w:type="dxa"/>
            <w:gridSpan w:val="4"/>
            <w:vAlign w:val="center"/>
          </w:tcPr>
          <w:p>
            <w:pPr>
              <w:widowControl/>
              <w:spacing w:line="240" w:lineRule="exact"/>
              <w:jc w:val="left"/>
              <w:rPr>
                <w:rFonts w:hint="eastAsia" w:ascii="仿宋" w:hAnsi="仿宋" w:eastAsia="仿宋" w:cs="仿宋"/>
                <w:color w:val="000000"/>
                <w:kern w:val="0"/>
                <w:sz w:val="20"/>
                <w:szCs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987"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4405" w:type="dxa"/>
            <w:gridSpan w:val="5"/>
            <w:vAlign w:val="center"/>
          </w:tcPr>
          <w:p>
            <w:pPr>
              <w:widowControl/>
              <w:spacing w:line="240" w:lineRule="exact"/>
              <w:jc w:val="left"/>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0</w:t>
            </w:r>
          </w:p>
        </w:tc>
        <w:tc>
          <w:tcPr>
            <w:tcW w:w="4522" w:type="dxa"/>
            <w:gridSpan w:val="4"/>
            <w:vAlign w:val="center"/>
          </w:tcPr>
          <w:p>
            <w:pPr>
              <w:widowControl/>
              <w:spacing w:line="240" w:lineRule="exact"/>
              <w:jc w:val="left"/>
              <w:rPr>
                <w:rFonts w:hint="eastAsia" w:ascii="仿宋" w:hAnsi="仿宋" w:eastAsia="仿宋" w:cs="仿宋"/>
                <w:color w:val="000000"/>
                <w:kern w:val="0"/>
                <w:sz w:val="20"/>
                <w:szCs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987" w:type="dxa"/>
            <w:vMerge w:val="restart"/>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w:t>
            </w:r>
          </w:p>
        </w:tc>
        <w:tc>
          <w:tcPr>
            <w:tcW w:w="4405" w:type="dxa"/>
            <w:gridSpan w:val="5"/>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522" w:type="dxa"/>
            <w:gridSpan w:val="4"/>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987" w:type="dxa"/>
            <w:vMerge w:val="continue"/>
            <w:vAlign w:val="center"/>
          </w:tcPr>
          <w:p>
            <w:pPr>
              <w:widowControl/>
              <w:spacing w:line="240" w:lineRule="exact"/>
              <w:jc w:val="left"/>
              <w:rPr>
                <w:rFonts w:hint="eastAsia" w:ascii="仿宋" w:hAnsi="仿宋" w:eastAsia="仿宋" w:cs="仿宋"/>
                <w:color w:val="000000"/>
                <w:kern w:val="0"/>
                <w:sz w:val="20"/>
                <w:szCs w:val="20"/>
              </w:rPr>
            </w:pPr>
          </w:p>
        </w:tc>
        <w:tc>
          <w:tcPr>
            <w:tcW w:w="4405" w:type="dxa"/>
            <w:gridSpan w:val="5"/>
            <w:vAlign w:val="center"/>
          </w:tcPr>
          <w:p>
            <w:pPr>
              <w:widowControl/>
              <w:spacing w:line="240" w:lineRule="exact"/>
              <w:jc w:val="center"/>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2079.07</w:t>
            </w:r>
          </w:p>
        </w:tc>
        <w:tc>
          <w:tcPr>
            <w:tcW w:w="4522" w:type="dxa"/>
            <w:gridSpan w:val="4"/>
            <w:vAlign w:val="center"/>
          </w:tcPr>
          <w:p>
            <w:pPr>
              <w:widowControl/>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1924.50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96" w:hRule="atLeast"/>
          <w:jc w:val="center"/>
        </w:trPr>
        <w:tc>
          <w:tcPr>
            <w:tcW w:w="987" w:type="dxa"/>
            <w:vAlign w:val="center"/>
          </w:tcPr>
          <w:p>
            <w:pPr>
              <w:widowControl/>
              <w:spacing w:line="240" w:lineRule="exact"/>
              <w:jc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年度总体</w:t>
            </w:r>
          </w:p>
          <w:p>
            <w:pPr>
              <w:widowControl/>
              <w:spacing w:line="240" w:lineRule="exact"/>
              <w:jc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目标</w:t>
            </w:r>
          </w:p>
        </w:tc>
        <w:tc>
          <w:tcPr>
            <w:tcW w:w="767"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700"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933" w:type="dxa"/>
            <w:gridSpan w:val="2"/>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005"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237" w:type="dxa"/>
            <w:vAlign w:val="center"/>
          </w:tcPr>
          <w:p>
            <w:pPr>
              <w:widowControl/>
              <w:spacing w:line="240" w:lineRule="exac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实际完成值</w:t>
            </w:r>
          </w:p>
        </w:tc>
        <w:tc>
          <w:tcPr>
            <w:tcW w:w="748"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45"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692" w:type="dxa"/>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偏差原因</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分析及</w:t>
            </w:r>
          </w:p>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改进措施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30" w:hRule="atLeast"/>
          <w:jc w:val="center"/>
        </w:trPr>
        <w:tc>
          <w:tcPr>
            <w:tcW w:w="987" w:type="dxa"/>
            <w:vMerge w:val="restart"/>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绩效</w:t>
            </w:r>
          </w:p>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767" w:type="dxa"/>
            <w:vMerge w:val="restart"/>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产出</w:t>
            </w:r>
          </w:p>
          <w:p>
            <w:pPr>
              <w:keepNext w:val="0"/>
              <w:keepLines w:val="0"/>
              <w:pageBreakBefore w:val="0"/>
              <w:kinsoku/>
              <w:wordWrap/>
              <w:overflowPunct/>
              <w:topLinePunct w:val="0"/>
              <w:autoSpaceDE/>
              <w:autoSpaceDN/>
              <w:bidi w:val="0"/>
              <w:adjustRightInd/>
              <w:spacing w:line="240" w:lineRule="exact"/>
              <w:jc w:val="center"/>
              <w:textAlignment w:val="auto"/>
              <w:rPr>
                <w:rFonts w:hint="eastAsia" w:ascii="方正仿宋_GBK" w:hAnsi="方正仿宋_GBK" w:eastAsia="方正仿宋_GBK" w:cs="方正仿宋_GBK"/>
                <w:sz w:val="22"/>
                <w:szCs w:val="22"/>
                <w:lang w:eastAsia="zh-CN"/>
              </w:rPr>
            </w:pPr>
            <w:r>
              <w:rPr>
                <w:rFonts w:hint="eastAsia" w:ascii="方正仿宋_GBK" w:hAnsi="方正仿宋_GBK" w:eastAsia="方正仿宋_GBK" w:cs="方正仿宋_GBK"/>
                <w:sz w:val="22"/>
                <w:szCs w:val="22"/>
                <w:lang w:eastAsia="zh-CN"/>
              </w:rPr>
              <w:t>指标</w:t>
            </w:r>
          </w:p>
          <w:p>
            <w:pPr>
              <w:pStyle w:val="2"/>
              <w:keepNext w:val="0"/>
              <w:keepLines w:val="0"/>
              <w:pageBreakBefore w:val="0"/>
              <w:kinsoku/>
              <w:wordWrap/>
              <w:overflowPunct/>
              <w:topLinePunct w:val="0"/>
              <w:autoSpaceDE/>
              <w:autoSpaceDN/>
              <w:bidi w:val="0"/>
              <w:adjustRightInd/>
              <w:spacing w:line="240" w:lineRule="exact"/>
              <w:jc w:val="center"/>
              <w:textAlignment w:val="auto"/>
              <w:rPr>
                <w:rFonts w:hint="eastAsia"/>
                <w:lang w:eastAsia="zh-CN"/>
              </w:rPr>
            </w:pPr>
            <w:r>
              <w:rPr>
                <w:rFonts w:hint="eastAsia" w:ascii="方正仿宋_GBK" w:hAnsi="方正仿宋_GBK" w:eastAsia="方正仿宋_GBK" w:cs="方正仿宋_GBK"/>
                <w:sz w:val="18"/>
                <w:szCs w:val="18"/>
                <w:lang w:eastAsia="zh-CN"/>
              </w:rPr>
              <w:t>（</w:t>
            </w:r>
            <w:r>
              <w:rPr>
                <w:rFonts w:hint="eastAsia" w:ascii="方正仿宋_GBK" w:hAnsi="方正仿宋_GBK" w:eastAsia="方正仿宋_GBK" w:cs="方正仿宋_GBK"/>
                <w:sz w:val="18"/>
                <w:szCs w:val="18"/>
                <w:lang w:val="en-US" w:eastAsia="zh-CN"/>
              </w:rPr>
              <w:t>50分</w:t>
            </w:r>
            <w:r>
              <w:rPr>
                <w:rFonts w:hint="eastAsia"/>
                <w:sz w:val="18"/>
                <w:szCs w:val="18"/>
                <w:lang w:eastAsia="zh-CN"/>
              </w:rPr>
              <w:t>）</w:t>
            </w:r>
          </w:p>
        </w:tc>
        <w:tc>
          <w:tcPr>
            <w:tcW w:w="700" w:type="dxa"/>
            <w:vMerge w:val="restart"/>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数量</w:t>
            </w:r>
          </w:p>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指标</w:t>
            </w: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开展一次个私指导服务工作会议</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≤45人次</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44人次</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30"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00" w:type="dxa"/>
            <w:vMerge w:val="continue"/>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购置空调设备数量</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≤1台</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1台</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44"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0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default" w:ascii="仿宋" w:hAnsi="仿宋" w:eastAsia="仿宋" w:cs="仿宋"/>
                <w:color w:val="000000"/>
                <w:kern w:val="0"/>
                <w:sz w:val="20"/>
                <w:szCs w:val="20"/>
                <w:lang w:val="en" w:eastAsia="zh-CN"/>
              </w:rPr>
            </w:pPr>
            <w:r>
              <w:rPr>
                <w:rFonts w:hint="eastAsia" w:ascii="仿宋" w:hAnsi="仿宋" w:eastAsia="仿宋" w:cs="仿宋"/>
                <w:color w:val="000000"/>
                <w:kern w:val="0"/>
                <w:sz w:val="20"/>
                <w:szCs w:val="20"/>
                <w:lang w:eastAsia="zh-CN"/>
              </w:rPr>
              <w:t>维修合格率</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100%</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2"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0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任务完成时间</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w:t>
            </w:r>
            <w:r>
              <w:rPr>
                <w:rFonts w:hint="eastAsia"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rPr>
              <w:t>年12月31日前</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w:t>
            </w:r>
            <w:r>
              <w:rPr>
                <w:rFonts w:hint="eastAsia"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rPr>
              <w:t>年12月31日前</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35"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00" w:type="dxa"/>
            <w:vMerge w:val="restart"/>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w:t>
            </w:r>
          </w:p>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指标</w:t>
            </w: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事业单位人员培训</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≤19.3万</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19.3万</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00"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维修（护）费</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≤128万</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152万</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82"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67" w:type="dxa"/>
            <w:vMerge w:val="restart"/>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30分</w:t>
            </w:r>
            <w:r>
              <w:rPr>
                <w:rFonts w:hint="eastAsia" w:ascii="仿宋" w:hAnsi="仿宋" w:eastAsia="仿宋" w:cs="仿宋"/>
                <w:color w:val="000000"/>
                <w:kern w:val="0"/>
                <w:sz w:val="18"/>
                <w:szCs w:val="18"/>
                <w:lang w:eastAsia="zh-CN"/>
              </w:rPr>
              <w:t>）</w:t>
            </w:r>
          </w:p>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0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经济效益指标</w:t>
            </w:r>
          </w:p>
        </w:tc>
        <w:tc>
          <w:tcPr>
            <w:tcW w:w="1933" w:type="dxa"/>
            <w:gridSpan w:val="2"/>
            <w:vAlign w:val="center"/>
          </w:tcPr>
          <w:p>
            <w:pPr>
              <w:pStyle w:val="3"/>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sz w:val="20"/>
                <w:szCs w:val="20"/>
                <w:lang w:eastAsia="zh-CN"/>
              </w:rPr>
            </w:pP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bidi="ar-SA"/>
              </w:rPr>
            </w:pP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65"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00" w:type="dxa"/>
            <w:vMerge w:val="restart"/>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1933" w:type="dxa"/>
            <w:gridSpan w:val="2"/>
            <w:vAlign w:val="center"/>
          </w:tcPr>
          <w:p>
            <w:pPr>
              <w:pStyle w:val="3"/>
              <w:keepNext w:val="0"/>
              <w:keepLines w:val="0"/>
              <w:pageBreakBefore w:val="0"/>
              <w:kinsoku/>
              <w:wordWrap/>
              <w:overflowPunct/>
              <w:topLinePunct w:val="0"/>
              <w:autoSpaceDE/>
              <w:autoSpaceDN/>
              <w:bidi w:val="0"/>
              <w:adjustRightInd/>
              <w:spacing w:line="240" w:lineRule="exact"/>
              <w:jc w:val="both"/>
              <w:textAlignment w:val="auto"/>
              <w:rPr>
                <w:rFonts w:hint="eastAsia" w:ascii="仿宋" w:hAnsi="仿宋" w:eastAsia="仿宋" w:cs="仿宋"/>
                <w:sz w:val="20"/>
                <w:szCs w:val="20"/>
                <w:lang w:eastAsia="zh-CN"/>
              </w:rPr>
            </w:pPr>
            <w:r>
              <w:rPr>
                <w:rFonts w:hint="eastAsia" w:ascii="仿宋" w:hAnsi="仿宋" w:eastAsia="仿宋" w:cs="仿宋"/>
                <w:sz w:val="20"/>
                <w:szCs w:val="20"/>
                <w:lang w:eastAsia="zh-CN"/>
              </w:rPr>
              <w:t>政务服务工作完成率</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100%</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62"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p>
        </w:tc>
        <w:tc>
          <w:tcPr>
            <w:tcW w:w="700" w:type="dxa"/>
            <w:vMerge w:val="continue"/>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1933" w:type="dxa"/>
            <w:gridSpan w:val="2"/>
            <w:vAlign w:val="center"/>
          </w:tcPr>
          <w:p>
            <w:pPr>
              <w:pStyle w:val="3"/>
              <w:keepNext w:val="0"/>
              <w:keepLines w:val="0"/>
              <w:pageBreakBefore w:val="0"/>
              <w:kinsoku/>
              <w:wordWrap/>
              <w:overflowPunct/>
              <w:topLinePunct w:val="0"/>
              <w:autoSpaceDE/>
              <w:autoSpaceDN/>
              <w:bidi w:val="0"/>
              <w:adjustRightInd/>
              <w:spacing w:line="240" w:lineRule="exact"/>
              <w:textAlignment w:val="auto"/>
              <w:rPr>
                <w:rFonts w:hint="eastAsia" w:ascii="仿宋" w:hAnsi="仿宋" w:eastAsia="仿宋" w:cs="仿宋"/>
                <w:sz w:val="20"/>
                <w:szCs w:val="20"/>
                <w:lang w:eastAsia="zh-CN"/>
              </w:rPr>
            </w:pPr>
            <w:r>
              <w:rPr>
                <w:rFonts w:hint="eastAsia" w:ascii="仿宋" w:hAnsi="仿宋" w:eastAsia="仿宋" w:cs="仿宋"/>
                <w:sz w:val="20"/>
                <w:szCs w:val="20"/>
                <w:lang w:eastAsia="zh-CN"/>
              </w:rPr>
              <w:t>个私指导服务工作完成率</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100%</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50" w:hRule="atLeast"/>
          <w:jc w:val="center"/>
        </w:trPr>
        <w:tc>
          <w:tcPr>
            <w:tcW w:w="987"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700"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保证机关工作运转率</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36" w:hRule="atLeast"/>
          <w:jc w:val="center"/>
        </w:trPr>
        <w:tc>
          <w:tcPr>
            <w:tcW w:w="987"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70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指标</w:t>
            </w: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val="en-US" w:eastAsia="zh-CN"/>
              </w:rPr>
            </w:pP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28" w:hRule="atLeast"/>
          <w:jc w:val="center"/>
        </w:trPr>
        <w:tc>
          <w:tcPr>
            <w:tcW w:w="987"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767" w:type="dxa"/>
            <w:vMerge w:val="continue"/>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70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可持续指标</w:t>
            </w: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lang w:val="en-US" w:eastAsia="zh-CN"/>
              </w:rPr>
            </w:pP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lang w:val="en-US" w:eastAsia="zh-CN"/>
              </w:rPr>
            </w:pP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830"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p>
        </w:tc>
        <w:tc>
          <w:tcPr>
            <w:tcW w:w="767"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（10分）</w:t>
            </w:r>
          </w:p>
        </w:tc>
        <w:tc>
          <w:tcPr>
            <w:tcW w:w="700"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933" w:type="dxa"/>
            <w:gridSpan w:val="2"/>
            <w:vAlign w:val="center"/>
          </w:tcPr>
          <w:p>
            <w:pPr>
              <w:keepNext w:val="0"/>
              <w:keepLines w:val="0"/>
              <w:pageBreakBefore w:val="0"/>
              <w:widowControl/>
              <w:kinsoku/>
              <w:wordWrap/>
              <w:overflowPunct/>
              <w:topLinePunct w:val="0"/>
              <w:autoSpaceDE/>
              <w:autoSpaceDN/>
              <w:bidi w:val="0"/>
              <w:adjustRightIn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事务中心</w:t>
            </w:r>
            <w:r>
              <w:rPr>
                <w:rFonts w:hint="eastAsia" w:ascii="仿宋" w:hAnsi="仿宋" w:eastAsia="仿宋" w:cs="仿宋"/>
                <w:color w:val="000000"/>
                <w:kern w:val="0"/>
                <w:sz w:val="20"/>
                <w:szCs w:val="20"/>
              </w:rPr>
              <w:t>服务对象满意度</w:t>
            </w:r>
          </w:p>
        </w:tc>
        <w:tc>
          <w:tcPr>
            <w:tcW w:w="100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90%</w:t>
            </w:r>
          </w:p>
        </w:tc>
        <w:tc>
          <w:tcPr>
            <w:tcW w:w="1237"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748"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5"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69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仿宋" w:hAnsi="仿宋" w:eastAsia="仿宋" w:cs="仿宋"/>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6629" w:type="dxa"/>
            <w:gridSpan w:val="7"/>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48" w:type="dxa"/>
            <w:vAlign w:val="center"/>
          </w:tcPr>
          <w:p>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45" w:type="dxa"/>
            <w:vAlign w:val="center"/>
          </w:tcPr>
          <w:p>
            <w:pPr>
              <w:widowControl/>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w:t>
            </w:r>
          </w:p>
        </w:tc>
        <w:tc>
          <w:tcPr>
            <w:tcW w:w="1692" w:type="dxa"/>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bl>
    <w:p>
      <w:pPr>
        <w:widowControl/>
        <w:spacing w:after="156" w:afterLines="50" w:line="400" w:lineRule="exact"/>
        <w:jc w:val="left"/>
        <w:rPr>
          <w:rFonts w:hint="eastAsia" w:ascii="宋体" w:hAnsi="宋体" w:eastAsia="宋体" w:cs="宋体"/>
          <w:kern w:val="0"/>
          <w:sz w:val="21"/>
          <w:szCs w:val="21"/>
          <w:lang w:eastAsia="zh-CN"/>
        </w:rPr>
        <w:sectPr>
          <w:pgSz w:w="11906" w:h="16838"/>
          <w:pgMar w:top="1985" w:right="1474" w:bottom="1361" w:left="1474" w:header="851" w:footer="1134" w:gutter="0"/>
          <w:cols w:space="720" w:num="1"/>
          <w:docGrid w:type="lines" w:linePitch="312" w:charSpace="0"/>
        </w:sectPr>
      </w:pPr>
      <w:r>
        <w:rPr>
          <w:rFonts w:hint="eastAsia" w:ascii="宋体" w:hAnsi="宋体" w:eastAsia="宋体" w:cs="宋体"/>
          <w:kern w:val="0"/>
          <w:sz w:val="21"/>
          <w:szCs w:val="21"/>
        </w:rPr>
        <w:t>填表人</w:t>
      </w:r>
      <w:r>
        <w:rPr>
          <w:rFonts w:hint="eastAsia" w:ascii="宋体" w:hAnsi="宋体" w:eastAsia="宋体" w:cs="宋体"/>
          <w:kern w:val="0"/>
          <w:sz w:val="21"/>
          <w:szCs w:val="21"/>
          <w:lang w:eastAsia="zh-CN"/>
        </w:rPr>
        <w:t>：</w:t>
      </w:r>
      <w:r>
        <w:rPr>
          <w:rFonts w:hint="eastAsia" w:ascii="宋体" w:hAnsi="宋体" w:cs="宋体"/>
          <w:kern w:val="0"/>
          <w:sz w:val="21"/>
          <w:szCs w:val="21"/>
          <w:lang w:eastAsia="zh-CN"/>
        </w:rPr>
        <w:t>庞桠文</w:t>
      </w:r>
      <w:r>
        <w:rPr>
          <w:rFonts w:hint="eastAsia" w:ascii="宋体" w:hAnsi="宋体" w:eastAsia="宋体" w:cs="宋体"/>
          <w:kern w:val="0"/>
          <w:sz w:val="21"/>
          <w:szCs w:val="21"/>
        </w:rPr>
        <w:t xml:space="preserve">    填报日期：</w:t>
      </w:r>
      <w:r>
        <w:rPr>
          <w:rFonts w:hint="eastAsia" w:ascii="宋体" w:hAnsi="宋体" w:eastAsia="宋体" w:cs="宋体"/>
          <w:kern w:val="0"/>
          <w:sz w:val="21"/>
          <w:szCs w:val="21"/>
          <w:lang w:val="en-US" w:eastAsia="zh-CN"/>
        </w:rPr>
        <w:t>202</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28</w:t>
      </w:r>
      <w:r>
        <w:rPr>
          <w:rFonts w:hint="eastAsia" w:ascii="宋体" w:hAnsi="宋体" w:eastAsia="宋体" w:cs="宋体"/>
          <w:kern w:val="0"/>
          <w:sz w:val="21"/>
          <w:szCs w:val="21"/>
        </w:rPr>
        <w:t xml:space="preserve">   联系电话：</w:t>
      </w:r>
      <w:r>
        <w:rPr>
          <w:rFonts w:hint="eastAsia" w:ascii="宋体" w:hAnsi="宋体" w:cs="宋体"/>
          <w:kern w:val="0"/>
          <w:sz w:val="21"/>
          <w:szCs w:val="21"/>
          <w:lang w:val="en-US" w:eastAsia="zh-CN"/>
        </w:rPr>
        <w:t>13574880456</w:t>
      </w:r>
      <w:r>
        <w:rPr>
          <w:rFonts w:hint="eastAsia" w:ascii="宋体" w:hAnsi="宋体" w:eastAsia="宋体" w:cs="宋体"/>
          <w:kern w:val="0"/>
          <w:sz w:val="21"/>
          <w:szCs w:val="21"/>
        </w:rPr>
        <w:t xml:space="preserve">    单位负责人签字</w:t>
      </w:r>
      <w:r>
        <w:rPr>
          <w:rFonts w:hint="eastAsia" w:ascii="宋体" w:hAnsi="宋体" w:cs="宋体"/>
          <w:kern w:val="0"/>
          <w:sz w:val="21"/>
          <w:szCs w:val="21"/>
          <w:lang w:eastAsia="zh-CN"/>
        </w:rPr>
        <w:t>：</w:t>
      </w:r>
    </w:p>
    <w:p>
      <w:pPr>
        <w:autoSpaceDE/>
        <w:autoSpaceDN/>
        <w:spacing w:line="600" w:lineRule="exact"/>
        <w:rPr>
          <w:rFonts w:ascii="Times New Roman" w:hAnsi="Times New Roman" w:eastAsia="Times New Roman" w:cs="Times New Roman"/>
          <w:color w:val="auto"/>
          <w:sz w:val="32"/>
          <w:szCs w:val="32"/>
        </w:rPr>
      </w:pPr>
      <w:r>
        <w:rPr>
          <w:rFonts w:ascii="Times New Roman" w:hAnsi="Times New Roman" w:eastAsia="方正黑体_GBK" w:cs="Times New Roman"/>
          <w:color w:val="auto"/>
          <w:sz w:val="32"/>
          <w:szCs w:val="32"/>
        </w:rPr>
        <w:t>附件4</w:t>
      </w:r>
    </w:p>
    <w:p>
      <w:pPr>
        <w:autoSpaceDE/>
        <w:autoSpaceDN/>
        <w:spacing w:before="360" w:beforeLines="150" w:after="360" w:afterLines="150" w:line="600" w:lineRule="exact"/>
        <w:jc w:val="both"/>
        <w:rPr>
          <w:rFonts w:ascii="Times New Roman" w:hAnsi="Times New Roman" w:eastAsia="方正小标宋_GBK" w:cs="Times New Roman"/>
          <w:color w:val="auto"/>
          <w:w w:val="98"/>
          <w:sz w:val="44"/>
          <w:szCs w:val="44"/>
        </w:rPr>
      </w:pPr>
      <w:r>
        <w:rPr>
          <w:rFonts w:ascii="Times New Roman" w:hAnsi="Times New Roman" w:eastAsia="方正小标宋_GBK" w:cs="Times New Roman"/>
          <w:color w:val="auto"/>
          <w:spacing w:val="-11"/>
          <w:w w:val="98"/>
          <w:sz w:val="44"/>
          <w:szCs w:val="44"/>
        </w:rPr>
        <w:t>202</w:t>
      </w:r>
      <w:r>
        <w:rPr>
          <w:rFonts w:hint="eastAsia" w:ascii="Times New Roman" w:hAnsi="Times New Roman" w:eastAsia="方正小标宋_GBK" w:cs="Times New Roman"/>
          <w:color w:val="auto"/>
          <w:spacing w:val="-11"/>
          <w:w w:val="98"/>
          <w:sz w:val="44"/>
          <w:szCs w:val="44"/>
          <w:lang w:val="en-US" w:eastAsia="zh-CN"/>
        </w:rPr>
        <w:t>4</w:t>
      </w:r>
      <w:r>
        <w:rPr>
          <w:rFonts w:ascii="Times New Roman" w:hAnsi="Times New Roman" w:eastAsia="方正小标宋_GBK" w:cs="Times New Roman"/>
          <w:color w:val="auto"/>
          <w:spacing w:val="-11"/>
          <w:w w:val="98"/>
          <w:sz w:val="44"/>
          <w:szCs w:val="44"/>
        </w:rPr>
        <w:t>年</w:t>
      </w:r>
      <w:r>
        <w:rPr>
          <w:rFonts w:hint="eastAsia" w:ascii="Times New Roman" w:hAnsi="Times New Roman" w:eastAsia="方正小标宋_GBK" w:cs="Times New Roman"/>
          <w:color w:val="auto"/>
          <w:spacing w:val="-11"/>
          <w:w w:val="98"/>
          <w:sz w:val="44"/>
          <w:szCs w:val="44"/>
        </w:rPr>
        <w:t>度</w:t>
      </w:r>
      <w:r>
        <w:rPr>
          <w:rFonts w:ascii="Times New Roman" w:hAnsi="Times New Roman" w:eastAsia="方正小标宋_GBK" w:cs="Times New Roman"/>
          <w:color w:val="auto"/>
          <w:spacing w:val="-11"/>
          <w:w w:val="98"/>
          <w:sz w:val="44"/>
          <w:szCs w:val="44"/>
        </w:rPr>
        <w:t>项目支出绩效自评表（业务工作经费）</w:t>
      </w:r>
    </w:p>
    <w:tbl>
      <w:tblPr>
        <w:tblStyle w:val="9"/>
        <w:tblW w:w="935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024"/>
        <w:gridCol w:w="1025"/>
        <w:gridCol w:w="908"/>
        <w:gridCol w:w="1181"/>
        <w:gridCol w:w="1183"/>
        <w:gridCol w:w="1216"/>
        <w:gridCol w:w="640"/>
        <w:gridCol w:w="830"/>
        <w:gridCol w:w="13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2957" w:type="dxa"/>
            <w:gridSpan w:val="3"/>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项目支出名称</w:t>
            </w:r>
          </w:p>
        </w:tc>
        <w:tc>
          <w:tcPr>
            <w:tcW w:w="6397" w:type="dxa"/>
            <w:gridSpan w:val="6"/>
            <w:vAlign w:val="center"/>
          </w:tcPr>
          <w:p>
            <w:pPr>
              <w:autoSpaceDE/>
              <w:autoSpaceDN/>
              <w:spacing w:line="24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自贸试验区专项经费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1024"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主管部门</w:t>
            </w:r>
          </w:p>
        </w:tc>
        <w:tc>
          <w:tcPr>
            <w:tcW w:w="4297" w:type="dxa"/>
            <w:gridSpan w:val="4"/>
            <w:vAlign w:val="center"/>
          </w:tcPr>
          <w:p>
            <w:pPr>
              <w:autoSpaceDE/>
              <w:autoSpaceDN/>
              <w:spacing w:line="24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湖南省市场监督管理局</w:t>
            </w:r>
          </w:p>
        </w:tc>
        <w:tc>
          <w:tcPr>
            <w:tcW w:w="1216"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实施单位</w:t>
            </w:r>
          </w:p>
        </w:tc>
        <w:tc>
          <w:tcPr>
            <w:tcW w:w="2817" w:type="dxa"/>
            <w:gridSpan w:val="3"/>
            <w:vAlign w:val="center"/>
          </w:tcPr>
          <w:p>
            <w:pPr>
              <w:autoSpaceDE/>
              <w:autoSpaceDN/>
              <w:spacing w:line="24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湖南省市场监管事务中心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1024" w:type="dxa"/>
            <w:vMerge w:val="restart"/>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项目资金</w:t>
            </w:r>
            <w:r>
              <w:rPr>
                <w:rFonts w:hint="eastAsia" w:ascii="Times New Roman" w:hAnsi="Times New Roman" w:eastAsia="方正仿宋_GBK" w:cs="方正仿宋_GBK"/>
                <w:color w:val="auto"/>
                <w:sz w:val="20"/>
                <w:szCs w:val="20"/>
              </w:rPr>
              <w:br w:type="textWrapping"/>
            </w:r>
            <w:r>
              <w:rPr>
                <w:rFonts w:hint="eastAsia" w:ascii="Times New Roman" w:hAnsi="Times New Roman" w:eastAsia="方正仿宋_GBK" w:cs="方正仿宋_GBK"/>
                <w:color w:val="auto"/>
                <w:sz w:val="20"/>
                <w:szCs w:val="20"/>
              </w:rPr>
              <w:t>（万元）</w:t>
            </w:r>
          </w:p>
        </w:tc>
        <w:tc>
          <w:tcPr>
            <w:tcW w:w="1933" w:type="dxa"/>
            <w:gridSpan w:val="2"/>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181"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年初预算数</w:t>
            </w:r>
          </w:p>
        </w:tc>
        <w:tc>
          <w:tcPr>
            <w:tcW w:w="1183"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全年预算数</w:t>
            </w:r>
          </w:p>
        </w:tc>
        <w:tc>
          <w:tcPr>
            <w:tcW w:w="1216"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全年执行数</w:t>
            </w:r>
          </w:p>
        </w:tc>
        <w:tc>
          <w:tcPr>
            <w:tcW w:w="640"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分值</w:t>
            </w:r>
          </w:p>
        </w:tc>
        <w:tc>
          <w:tcPr>
            <w:tcW w:w="830"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执行率</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自评得分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933" w:type="dxa"/>
            <w:gridSpan w:val="2"/>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年度资金总额</w:t>
            </w:r>
          </w:p>
        </w:tc>
        <w:tc>
          <w:tcPr>
            <w:tcW w:w="1181"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7</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0.68</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10</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9.71%</w:t>
            </w:r>
          </w:p>
        </w:tc>
        <w:tc>
          <w:tcPr>
            <w:tcW w:w="1347" w:type="dxa"/>
            <w:vAlign w:val="center"/>
          </w:tcPr>
          <w:p>
            <w:pPr>
              <w:autoSpaceDE/>
              <w:autoSpaceDN/>
              <w:spacing w:line="240" w:lineRule="exact"/>
              <w:jc w:val="center"/>
              <w:rPr>
                <w:rFonts w:hint="default"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933" w:type="dxa"/>
            <w:gridSpan w:val="2"/>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其中：当年财政拨款</w:t>
            </w:r>
          </w:p>
        </w:tc>
        <w:tc>
          <w:tcPr>
            <w:tcW w:w="1181"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7</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0.68</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32"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933" w:type="dxa"/>
            <w:gridSpan w:val="2"/>
            <w:vAlign w:val="center"/>
          </w:tcPr>
          <w:p>
            <w:pPr>
              <w:autoSpaceDE/>
              <w:autoSpaceDN/>
              <w:spacing w:line="240" w:lineRule="exact"/>
              <w:ind w:firstLine="600" w:firstLineChars="300"/>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上年结转资金</w:t>
            </w:r>
          </w:p>
        </w:tc>
        <w:tc>
          <w:tcPr>
            <w:tcW w:w="1181"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933" w:type="dxa"/>
            <w:gridSpan w:val="2"/>
            <w:vAlign w:val="center"/>
          </w:tcPr>
          <w:p>
            <w:pPr>
              <w:autoSpaceDE/>
              <w:autoSpaceDN/>
              <w:spacing w:line="240" w:lineRule="exact"/>
              <w:ind w:firstLine="600" w:firstLineChars="300"/>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其他资金</w:t>
            </w:r>
          </w:p>
        </w:tc>
        <w:tc>
          <w:tcPr>
            <w:tcW w:w="1181"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1024" w:type="dxa"/>
            <w:vMerge w:val="restart"/>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年度总体目标</w:t>
            </w:r>
          </w:p>
        </w:tc>
        <w:tc>
          <w:tcPr>
            <w:tcW w:w="4297" w:type="dxa"/>
            <w:gridSpan w:val="4"/>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预期目标</w:t>
            </w:r>
          </w:p>
        </w:tc>
        <w:tc>
          <w:tcPr>
            <w:tcW w:w="4033" w:type="dxa"/>
            <w:gridSpan w:val="4"/>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实际完成情况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830"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4297" w:type="dxa"/>
            <w:gridSpan w:val="4"/>
            <w:vAlign w:val="center"/>
          </w:tcPr>
          <w:p>
            <w:pPr>
              <w:autoSpaceDE/>
              <w:autoSpaceDN/>
              <w:spacing w:line="240" w:lineRule="exact"/>
              <w:jc w:val="both"/>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完成自贸试验区建设各项工作。</w:t>
            </w:r>
          </w:p>
        </w:tc>
        <w:tc>
          <w:tcPr>
            <w:tcW w:w="4033" w:type="dxa"/>
            <w:gridSpan w:val="4"/>
            <w:vAlign w:val="center"/>
          </w:tcPr>
          <w:p>
            <w:pPr>
              <w:autoSpaceDE/>
              <w:autoSpaceDN/>
              <w:spacing w:line="240" w:lineRule="exact"/>
              <w:jc w:val="both"/>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sz w:val="20"/>
                <w:szCs w:val="20"/>
                <w:lang w:eastAsia="zh-CN"/>
              </w:rPr>
              <w:t>完成了</w:t>
            </w:r>
            <w:r>
              <w:rPr>
                <w:rFonts w:hint="eastAsia" w:ascii="方正仿宋_GBK" w:hAnsi="方正仿宋_GBK" w:eastAsia="方正仿宋_GBK" w:cs="方正仿宋_GBK"/>
                <w:color w:val="auto"/>
                <w:sz w:val="20"/>
                <w:szCs w:val="20"/>
                <w:lang w:eastAsia="zh-CN"/>
              </w:rPr>
              <w:t>自贸试验区建设各项工作</w:t>
            </w:r>
            <w:r>
              <w:rPr>
                <w:rFonts w:hint="eastAsia" w:ascii="方正仿宋_GBK" w:hAnsi="方正仿宋_GBK" w:eastAsia="方正仿宋_GBK" w:cs="方正仿宋_GBK"/>
                <w:sz w:val="20"/>
                <w:szCs w:val="20"/>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1024" w:type="dxa"/>
            <w:vMerge w:val="restart"/>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绩</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效</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指</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标</w:t>
            </w:r>
          </w:p>
        </w:tc>
        <w:tc>
          <w:tcPr>
            <w:tcW w:w="1025"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一级指标</w:t>
            </w:r>
          </w:p>
        </w:tc>
        <w:tc>
          <w:tcPr>
            <w:tcW w:w="908"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二级指标</w:t>
            </w:r>
          </w:p>
        </w:tc>
        <w:tc>
          <w:tcPr>
            <w:tcW w:w="1181"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三级指标</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年度</w:t>
            </w:r>
          </w:p>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指标值</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实际</w:t>
            </w:r>
          </w:p>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完成值</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分值</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16"/>
                <w:szCs w:val="16"/>
              </w:rPr>
              <w:t>自评得分</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偏差原因分析及改进措施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restart"/>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产出指标</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（50分）</w:t>
            </w:r>
          </w:p>
        </w:tc>
        <w:tc>
          <w:tcPr>
            <w:tcW w:w="908" w:type="dxa"/>
            <w:vMerge w:val="restart"/>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数量指标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sz w:val="20"/>
                <w:szCs w:val="20"/>
                <w:lang w:eastAsia="zh-CN"/>
              </w:rPr>
              <w:t>开展自贸试验区专项课题研究</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w:t>
            </w:r>
            <w:r>
              <w:rPr>
                <w:rFonts w:hint="eastAsia" w:ascii="方正仿宋_GBK" w:hAnsi="方正仿宋_GBK" w:eastAsia="方正仿宋_GBK" w:cs="方正仿宋_GBK"/>
                <w:color w:val="auto"/>
                <w:sz w:val="20"/>
                <w:szCs w:val="20"/>
                <w:lang w:eastAsia="zh-CN"/>
              </w:rPr>
              <w:t>次</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US" w:eastAsia="zh-CN"/>
              </w:rPr>
              <w:t>1</w:t>
            </w:r>
            <w:r>
              <w:rPr>
                <w:rFonts w:hint="eastAsia" w:ascii="方正仿宋_GBK" w:hAnsi="方正仿宋_GBK" w:eastAsia="方正仿宋_GBK" w:cs="方正仿宋_GBK"/>
                <w:color w:val="auto"/>
                <w:sz w:val="20"/>
                <w:szCs w:val="20"/>
                <w:lang w:eastAsia="zh-CN"/>
              </w:rPr>
              <w:t>次</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10</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908"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sz w:val="20"/>
                <w:szCs w:val="20"/>
                <w:lang w:eastAsia="zh-CN"/>
              </w:rPr>
              <w:t>开展自贸试验区工作研讨会</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w:t>
            </w:r>
            <w:r>
              <w:rPr>
                <w:rFonts w:hint="eastAsia" w:ascii="方正仿宋_GBK" w:hAnsi="方正仿宋_GBK" w:eastAsia="方正仿宋_GBK" w:cs="方正仿宋_GBK"/>
                <w:color w:val="auto"/>
                <w:sz w:val="20"/>
                <w:szCs w:val="20"/>
                <w:lang w:eastAsia="zh-CN"/>
              </w:rPr>
              <w:t>次</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w:t>
            </w:r>
            <w:r>
              <w:rPr>
                <w:rFonts w:hint="eastAsia" w:ascii="方正仿宋_GBK" w:hAnsi="方正仿宋_GBK" w:eastAsia="方正仿宋_GBK" w:cs="方正仿宋_GBK"/>
                <w:color w:val="auto"/>
                <w:sz w:val="20"/>
                <w:szCs w:val="20"/>
                <w:lang w:eastAsia="zh-CN"/>
              </w:rPr>
              <w:t>次</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10</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908"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质量指标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自贸试验区改革创新任务完成率</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100%</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US" w:eastAsia="zh-CN"/>
              </w:rPr>
              <w:t>100%</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15</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15</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908"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时效指标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完成自贸试验区建设工作时间</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2024年12月31日前</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US" w:eastAsia="zh-CN"/>
              </w:rPr>
              <w:t>2024年12月31日前</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5</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908" w:type="dxa"/>
            <w:vMerge w:val="restart"/>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成本指标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sz w:val="20"/>
                <w:szCs w:val="20"/>
                <w:lang w:eastAsia="zh-CN"/>
              </w:rPr>
              <w:t>自贸试验区工作研讨会</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000000"/>
                <w:kern w:val="0"/>
                <w:sz w:val="18"/>
                <w:szCs w:val="18"/>
                <w:lang w:val="en-US" w:eastAsia="zh-CN"/>
              </w:rPr>
              <w:t>≤2</w:t>
            </w:r>
            <w:r>
              <w:rPr>
                <w:rFonts w:hint="eastAsia" w:ascii="方正仿宋_GBK" w:hAnsi="方正仿宋_GBK" w:eastAsia="方正仿宋_GBK" w:cs="方正仿宋_GBK"/>
                <w:color w:val="auto"/>
                <w:sz w:val="20"/>
                <w:szCs w:val="20"/>
                <w:lang w:eastAsia="zh-CN"/>
              </w:rPr>
              <w:t>万</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0.68万</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5</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908"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sz w:val="20"/>
                <w:szCs w:val="20"/>
                <w:lang w:eastAsia="zh-CN"/>
              </w:rPr>
              <w:t>完自贸试验区专项课题研究</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rPr>
            </w:pPr>
            <w:r>
              <w:rPr>
                <w:rFonts w:hint="eastAsia" w:ascii="方正仿宋_GBK" w:hAnsi="方正仿宋_GBK" w:eastAsia="方正仿宋_GBK" w:cs="方正仿宋_GBK"/>
                <w:color w:val="000000"/>
                <w:kern w:val="0"/>
                <w:sz w:val="18"/>
                <w:szCs w:val="18"/>
                <w:lang w:val="en-US" w:eastAsia="zh-CN"/>
              </w:rPr>
              <w:t>≤8万</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rPr>
            </w:pPr>
            <w:r>
              <w:rPr>
                <w:rFonts w:hint="eastAsia" w:ascii="方正仿宋_GBK" w:hAnsi="方正仿宋_GBK" w:eastAsia="方正仿宋_GBK" w:cs="方正仿宋_GBK"/>
                <w:color w:val="000000"/>
                <w:kern w:val="0"/>
                <w:sz w:val="18"/>
                <w:szCs w:val="18"/>
                <w:lang w:val="en-US" w:eastAsia="zh-CN"/>
              </w:rPr>
              <w:t>0</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0</w:t>
            </w:r>
          </w:p>
        </w:tc>
        <w:tc>
          <w:tcPr>
            <w:tcW w:w="1347" w:type="dxa"/>
            <w:vAlign w:val="center"/>
          </w:tcPr>
          <w:p>
            <w:pPr>
              <w:autoSpaceDE/>
              <w:autoSpaceDN/>
              <w:spacing w:line="240" w:lineRule="exact"/>
              <w:jc w:val="both"/>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自贸试验区课题费用由市场监管局相关部门支出。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11"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restart"/>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效益指标</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（30分）</w:t>
            </w:r>
          </w:p>
        </w:tc>
        <w:tc>
          <w:tcPr>
            <w:tcW w:w="908"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经济效</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益指标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rPr>
            </w:pP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20"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908"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社会效</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益指标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自贸区改革创新成效完成率</w:t>
            </w: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100%</w:t>
            </w: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100%</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30</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30</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908"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生态效</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益指标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rPr>
            </w:pP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908"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可持续影响指标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rPr>
            </w:pPr>
          </w:p>
        </w:tc>
        <w:tc>
          <w:tcPr>
            <w:tcW w:w="1183"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p>
        </w:tc>
        <w:tc>
          <w:tcPr>
            <w:tcW w:w="1216"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1024" w:type="dxa"/>
            <w:vMerge w:val="continue"/>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c>
          <w:tcPr>
            <w:tcW w:w="1025"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满意度</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指标</w:t>
            </w:r>
          </w:p>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（10分）</w:t>
            </w:r>
          </w:p>
        </w:tc>
        <w:tc>
          <w:tcPr>
            <w:tcW w:w="908"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服务对象满意度指标</w:t>
            </w:r>
          </w:p>
        </w:tc>
        <w:tc>
          <w:tcPr>
            <w:tcW w:w="1181" w:type="dxa"/>
            <w:vAlign w:val="center"/>
          </w:tcPr>
          <w:p>
            <w:pPr>
              <w:autoSpaceDE/>
              <w:autoSpaceDN/>
              <w:spacing w:line="240" w:lineRule="exact"/>
              <w:jc w:val="both"/>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自贸试验区市场主体满意度</w:t>
            </w:r>
          </w:p>
        </w:tc>
        <w:tc>
          <w:tcPr>
            <w:tcW w:w="1183" w:type="dxa"/>
            <w:vAlign w:val="center"/>
          </w:tcPr>
          <w:p>
            <w:pPr>
              <w:widowControl/>
              <w:spacing w:line="240" w:lineRule="exact"/>
              <w:jc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lang w:eastAsia="zh-CN"/>
              </w:rPr>
              <w:t>≥</w:t>
            </w:r>
            <w:r>
              <w:rPr>
                <w:rFonts w:hint="eastAsia" w:ascii="方正仿宋_GBK" w:hAnsi="方正仿宋_GBK" w:eastAsia="方正仿宋_GBK" w:cs="方正仿宋_GBK"/>
                <w:color w:val="000000"/>
                <w:kern w:val="0"/>
                <w:sz w:val="18"/>
                <w:szCs w:val="18"/>
              </w:rPr>
              <w:t>90%</w:t>
            </w:r>
          </w:p>
        </w:tc>
        <w:tc>
          <w:tcPr>
            <w:tcW w:w="1216" w:type="dxa"/>
            <w:vAlign w:val="center"/>
          </w:tcPr>
          <w:p>
            <w:pPr>
              <w:widowControl/>
              <w:spacing w:line="240" w:lineRule="exact"/>
              <w:jc w:val="center"/>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rPr>
              <w:t>90%</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5" w:hRule="atLeast"/>
          <w:jc w:val="center"/>
        </w:trPr>
        <w:tc>
          <w:tcPr>
            <w:tcW w:w="6537" w:type="dxa"/>
            <w:gridSpan w:val="6"/>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总分</w:t>
            </w:r>
          </w:p>
        </w:tc>
        <w:tc>
          <w:tcPr>
            <w:tcW w:w="640" w:type="dxa"/>
            <w:vAlign w:val="center"/>
          </w:tcPr>
          <w:p>
            <w:pPr>
              <w:autoSpaceDE/>
              <w:autoSpaceDN/>
              <w:spacing w:line="24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100</w:t>
            </w:r>
          </w:p>
        </w:tc>
        <w:tc>
          <w:tcPr>
            <w:tcW w:w="830" w:type="dxa"/>
            <w:vAlign w:val="center"/>
          </w:tcPr>
          <w:p>
            <w:pPr>
              <w:autoSpaceDE/>
              <w:autoSpaceDN/>
              <w:spacing w:line="24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90</w:t>
            </w:r>
          </w:p>
        </w:tc>
        <w:tc>
          <w:tcPr>
            <w:tcW w:w="1347" w:type="dxa"/>
            <w:vAlign w:val="center"/>
          </w:tcPr>
          <w:p>
            <w:pPr>
              <w:autoSpaceDE/>
              <w:autoSpaceDN/>
              <w:spacing w:line="240" w:lineRule="exact"/>
              <w:jc w:val="center"/>
              <w:rPr>
                <w:rFonts w:hint="eastAsia" w:ascii="Times New Roman" w:hAnsi="Times New Roman" w:eastAsia="方正仿宋_GBK" w:cs="方正仿宋_GBK"/>
                <w:color w:val="auto"/>
                <w:sz w:val="20"/>
                <w:szCs w:val="20"/>
              </w:rPr>
            </w:pPr>
          </w:p>
        </w:tc>
      </w:tr>
    </w:tbl>
    <w:p>
      <w:pPr>
        <w:pStyle w:val="3"/>
        <w:rPr>
          <w:rFonts w:hint="eastAsia" w:ascii="宋体" w:hAnsi="宋体" w:eastAsia="宋体" w:cs="宋体"/>
          <w:sz w:val="21"/>
          <w:szCs w:val="21"/>
        </w:rPr>
      </w:pPr>
      <w:r>
        <w:rPr>
          <w:rFonts w:hint="eastAsia" w:ascii="宋体" w:hAnsi="宋体" w:eastAsia="宋体" w:cs="宋体"/>
          <w:sz w:val="21"/>
          <w:szCs w:val="21"/>
        </w:rPr>
        <w:t>填表人：</w:t>
      </w:r>
      <w:r>
        <w:rPr>
          <w:rFonts w:hint="eastAsia" w:ascii="宋体" w:hAnsi="宋体" w:eastAsia="宋体" w:cs="宋体"/>
          <w:sz w:val="21"/>
          <w:szCs w:val="21"/>
          <w:lang w:eastAsia="zh-CN"/>
        </w:rPr>
        <w:t>庞桠文</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填报日期：</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3</w:t>
      </w:r>
      <w:r>
        <w:rPr>
          <w:rFonts w:hint="eastAsia" w:ascii="宋体" w:hAnsi="宋体" w:cs="宋体"/>
          <w:sz w:val="21"/>
          <w:szCs w:val="21"/>
          <w:lang w:val="en-US" w:eastAsia="zh-CN"/>
        </w:rPr>
        <w:t xml:space="preserve">/28     </w:t>
      </w:r>
      <w:r>
        <w:rPr>
          <w:rFonts w:hint="eastAsia" w:ascii="宋体" w:hAnsi="宋体" w:eastAsia="宋体" w:cs="宋体"/>
          <w:sz w:val="21"/>
          <w:szCs w:val="21"/>
        </w:rPr>
        <w:t>联系电话：</w:t>
      </w:r>
      <w:r>
        <w:rPr>
          <w:rFonts w:hint="eastAsia" w:ascii="宋体" w:hAnsi="宋体" w:eastAsia="宋体" w:cs="宋体"/>
          <w:sz w:val="21"/>
          <w:szCs w:val="21"/>
          <w:lang w:val="en-US" w:eastAsia="zh-CN"/>
        </w:rPr>
        <w:t>13574880456</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单位负责人签字：</w:t>
      </w:r>
    </w:p>
    <w:p>
      <w:pPr>
        <w:autoSpaceDE/>
        <w:autoSpaceDN/>
        <w:spacing w:before="104" w:line="425" w:lineRule="exact"/>
        <w:ind w:left="69"/>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附件5</w:t>
      </w:r>
    </w:p>
    <w:p>
      <w:pPr>
        <w:autoSpaceDE/>
        <w:autoSpaceDN/>
        <w:spacing w:before="360" w:beforeLines="150" w:after="360" w:afterLines="150" w:line="600" w:lineRule="exact"/>
        <w:jc w:val="both"/>
        <w:rPr>
          <w:rFonts w:ascii="Times New Roman" w:hAnsi="Times New Roman" w:eastAsia="方正小标宋_GBK" w:cs="Times New Roman"/>
          <w:color w:val="auto"/>
          <w:w w:val="98"/>
          <w:sz w:val="44"/>
          <w:szCs w:val="44"/>
        </w:rPr>
      </w:pPr>
      <w:r>
        <w:rPr>
          <w:rFonts w:ascii="Times New Roman" w:hAnsi="Times New Roman" w:eastAsia="方正小标宋_GBK" w:cs="Times New Roman"/>
          <w:color w:val="auto"/>
          <w:spacing w:val="-11"/>
          <w:w w:val="98"/>
          <w:sz w:val="44"/>
          <w:szCs w:val="44"/>
        </w:rPr>
        <w:t>202</w:t>
      </w:r>
      <w:r>
        <w:rPr>
          <w:rFonts w:hint="eastAsia" w:ascii="Times New Roman" w:hAnsi="Times New Roman" w:eastAsia="方正小标宋_GBK" w:cs="Times New Roman"/>
          <w:color w:val="auto"/>
          <w:spacing w:val="-11"/>
          <w:w w:val="98"/>
          <w:sz w:val="44"/>
          <w:szCs w:val="44"/>
          <w:lang w:val="en-US" w:eastAsia="zh-CN"/>
        </w:rPr>
        <w:t>4</w:t>
      </w:r>
      <w:r>
        <w:rPr>
          <w:rFonts w:ascii="Times New Roman" w:hAnsi="Times New Roman" w:eastAsia="方正小标宋_GBK" w:cs="Times New Roman"/>
          <w:color w:val="auto"/>
          <w:spacing w:val="-11"/>
          <w:w w:val="98"/>
          <w:sz w:val="44"/>
          <w:szCs w:val="44"/>
        </w:rPr>
        <w:t>年</w:t>
      </w:r>
      <w:r>
        <w:rPr>
          <w:rFonts w:hint="eastAsia" w:ascii="Times New Roman" w:hAnsi="Times New Roman" w:eastAsia="方正小标宋_GBK" w:cs="Times New Roman"/>
          <w:color w:val="auto"/>
          <w:spacing w:val="-11"/>
          <w:w w:val="98"/>
          <w:sz w:val="44"/>
          <w:szCs w:val="44"/>
        </w:rPr>
        <w:t>度</w:t>
      </w:r>
      <w:r>
        <w:rPr>
          <w:rFonts w:ascii="Times New Roman" w:hAnsi="Times New Roman" w:eastAsia="方正小标宋_GBK" w:cs="Times New Roman"/>
          <w:color w:val="auto"/>
          <w:spacing w:val="-11"/>
          <w:w w:val="98"/>
          <w:sz w:val="44"/>
          <w:szCs w:val="44"/>
        </w:rPr>
        <w:t>项目支出绩效自评表（运行维护专项）</w:t>
      </w:r>
    </w:p>
    <w:tbl>
      <w:tblPr>
        <w:tblStyle w:val="9"/>
        <w:tblW w:w="935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024"/>
        <w:gridCol w:w="1025"/>
        <w:gridCol w:w="908"/>
        <w:gridCol w:w="1298"/>
        <w:gridCol w:w="1065"/>
        <w:gridCol w:w="1216"/>
        <w:gridCol w:w="640"/>
        <w:gridCol w:w="830"/>
        <w:gridCol w:w="1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90" w:hRule="atLeast"/>
          <w:jc w:val="center"/>
        </w:trPr>
        <w:tc>
          <w:tcPr>
            <w:tcW w:w="2957" w:type="dxa"/>
            <w:gridSpan w:val="3"/>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项目支出名称</w:t>
            </w:r>
          </w:p>
        </w:tc>
        <w:tc>
          <w:tcPr>
            <w:tcW w:w="6397" w:type="dxa"/>
            <w:gridSpan w:val="6"/>
            <w:vAlign w:val="center"/>
          </w:tcPr>
          <w:p>
            <w:pPr>
              <w:autoSpaceDE/>
              <w:autoSpaceDN/>
              <w:spacing w:line="26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公共运转费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9" w:hRule="atLeast"/>
          <w:jc w:val="center"/>
        </w:trPr>
        <w:tc>
          <w:tcPr>
            <w:tcW w:w="1024"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主管部门</w:t>
            </w:r>
          </w:p>
        </w:tc>
        <w:tc>
          <w:tcPr>
            <w:tcW w:w="4296" w:type="dxa"/>
            <w:gridSpan w:val="4"/>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eastAsia="zh-CN"/>
              </w:rPr>
              <w:t>湖南省市场监督管理局</w:t>
            </w:r>
          </w:p>
        </w:tc>
        <w:tc>
          <w:tcPr>
            <w:tcW w:w="1216"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实施单位</w:t>
            </w:r>
          </w:p>
        </w:tc>
        <w:tc>
          <w:tcPr>
            <w:tcW w:w="2818" w:type="dxa"/>
            <w:gridSpan w:val="3"/>
            <w:vAlign w:val="center"/>
          </w:tcPr>
          <w:p>
            <w:pPr>
              <w:autoSpaceDE/>
              <w:autoSpaceDN/>
              <w:spacing w:line="26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湖南省市场监管事务中心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9" w:hRule="atLeast"/>
          <w:jc w:val="center"/>
        </w:trPr>
        <w:tc>
          <w:tcPr>
            <w:tcW w:w="1024" w:type="dxa"/>
            <w:vMerge w:val="restart"/>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项目资金</w:t>
            </w:r>
            <w:r>
              <w:rPr>
                <w:rFonts w:hint="eastAsia" w:ascii="Times New Roman" w:hAnsi="Times New Roman" w:eastAsia="方正仿宋_GBK" w:cs="方正仿宋_GBK"/>
                <w:color w:val="auto"/>
                <w:sz w:val="20"/>
                <w:szCs w:val="20"/>
              </w:rPr>
              <w:br w:type="textWrapping"/>
            </w:r>
            <w:r>
              <w:rPr>
                <w:rFonts w:hint="eastAsia" w:ascii="Times New Roman" w:hAnsi="Times New Roman" w:eastAsia="方正仿宋_GBK" w:cs="方正仿宋_GBK"/>
                <w:color w:val="auto"/>
                <w:sz w:val="20"/>
                <w:szCs w:val="20"/>
              </w:rPr>
              <w:t>（万元）</w:t>
            </w:r>
          </w:p>
        </w:tc>
        <w:tc>
          <w:tcPr>
            <w:tcW w:w="1933" w:type="dxa"/>
            <w:gridSpan w:val="2"/>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298"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年初预算数</w:t>
            </w:r>
          </w:p>
        </w:tc>
        <w:tc>
          <w:tcPr>
            <w:tcW w:w="1065"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全年预算数</w:t>
            </w:r>
          </w:p>
        </w:tc>
        <w:tc>
          <w:tcPr>
            <w:tcW w:w="1216"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全年执行数</w:t>
            </w:r>
          </w:p>
        </w:tc>
        <w:tc>
          <w:tcPr>
            <w:tcW w:w="640"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分值</w:t>
            </w:r>
          </w:p>
        </w:tc>
        <w:tc>
          <w:tcPr>
            <w:tcW w:w="830"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执行率</w:t>
            </w:r>
          </w:p>
        </w:tc>
        <w:tc>
          <w:tcPr>
            <w:tcW w:w="1348"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自评得分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9"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933" w:type="dxa"/>
            <w:gridSpan w:val="2"/>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年度资金总额</w:t>
            </w:r>
          </w:p>
        </w:tc>
        <w:tc>
          <w:tcPr>
            <w:tcW w:w="1298"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1218.50</w:t>
            </w:r>
          </w:p>
        </w:tc>
        <w:tc>
          <w:tcPr>
            <w:tcW w:w="1065"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1052.50</w:t>
            </w:r>
          </w:p>
        </w:tc>
        <w:tc>
          <w:tcPr>
            <w:tcW w:w="1216"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1030.71</w:t>
            </w:r>
          </w:p>
        </w:tc>
        <w:tc>
          <w:tcPr>
            <w:tcW w:w="640" w:type="dxa"/>
            <w:vAlign w:val="center"/>
          </w:tcPr>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10</w:t>
            </w:r>
          </w:p>
        </w:tc>
        <w:tc>
          <w:tcPr>
            <w:tcW w:w="830"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93.44%</w:t>
            </w:r>
          </w:p>
        </w:tc>
        <w:tc>
          <w:tcPr>
            <w:tcW w:w="1348" w:type="dxa"/>
            <w:vAlign w:val="center"/>
          </w:tcPr>
          <w:p>
            <w:pPr>
              <w:autoSpaceDE/>
              <w:autoSpaceDN/>
              <w:spacing w:line="260" w:lineRule="exact"/>
              <w:jc w:val="center"/>
              <w:rPr>
                <w:rFonts w:hint="eastAsia"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9"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933" w:type="dxa"/>
            <w:gridSpan w:val="2"/>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其中：当年财政拨款</w:t>
            </w:r>
          </w:p>
        </w:tc>
        <w:tc>
          <w:tcPr>
            <w:tcW w:w="1298"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1218.50</w:t>
            </w:r>
          </w:p>
        </w:tc>
        <w:tc>
          <w:tcPr>
            <w:tcW w:w="1065"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1052.50</w:t>
            </w:r>
          </w:p>
        </w:tc>
        <w:tc>
          <w:tcPr>
            <w:tcW w:w="1216"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1030.71</w:t>
            </w:r>
          </w:p>
        </w:tc>
        <w:tc>
          <w:tcPr>
            <w:tcW w:w="640"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830"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1348" w:type="dxa"/>
            <w:vAlign w:val="center"/>
          </w:tcPr>
          <w:p>
            <w:pPr>
              <w:autoSpaceDE/>
              <w:autoSpaceDN/>
              <w:spacing w:line="260" w:lineRule="exact"/>
              <w:jc w:val="center"/>
              <w:rPr>
                <w:rFonts w:hint="eastAsia" w:ascii="Times New Roman" w:hAnsi="Times New Roman" w:eastAsia="方正仿宋_GBK" w:cs="方正仿宋_GBK"/>
                <w:color w:val="auto"/>
                <w:sz w:val="20"/>
                <w:szCs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9"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933" w:type="dxa"/>
            <w:gridSpan w:val="2"/>
            <w:vAlign w:val="center"/>
          </w:tcPr>
          <w:p>
            <w:pPr>
              <w:autoSpaceDE/>
              <w:autoSpaceDN/>
              <w:spacing w:line="260" w:lineRule="exact"/>
              <w:ind w:firstLine="600" w:firstLineChars="300"/>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上年结转资金</w:t>
            </w:r>
          </w:p>
        </w:tc>
        <w:tc>
          <w:tcPr>
            <w:tcW w:w="1298"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1065"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1216" w:type="dxa"/>
            <w:vAlign w:val="center"/>
          </w:tcPr>
          <w:p>
            <w:pPr>
              <w:autoSpaceDE/>
              <w:autoSpaceDN/>
              <w:spacing w:line="260" w:lineRule="exact"/>
              <w:jc w:val="both"/>
              <w:rPr>
                <w:rFonts w:hint="eastAsia" w:ascii="方正仿宋_GBK" w:hAnsi="方正仿宋_GBK" w:eastAsia="方正仿宋_GBK" w:cs="方正仿宋_GBK"/>
                <w:color w:val="auto"/>
                <w:sz w:val="20"/>
                <w:szCs w:val="20"/>
                <w:lang w:val="en-US" w:eastAsia="zh-CN"/>
              </w:rPr>
            </w:pPr>
          </w:p>
        </w:tc>
        <w:tc>
          <w:tcPr>
            <w:tcW w:w="640"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830"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1348" w:type="dxa"/>
            <w:vAlign w:val="center"/>
          </w:tcPr>
          <w:p>
            <w:pPr>
              <w:autoSpaceDE/>
              <w:autoSpaceDN/>
              <w:spacing w:line="260" w:lineRule="exact"/>
              <w:jc w:val="center"/>
              <w:rPr>
                <w:rFonts w:hint="eastAsia" w:ascii="Times New Roman" w:hAnsi="Times New Roman" w:eastAsia="方正仿宋_GBK" w:cs="方正仿宋_GBK"/>
                <w:color w:val="auto"/>
                <w:sz w:val="20"/>
                <w:szCs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9"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933" w:type="dxa"/>
            <w:gridSpan w:val="2"/>
            <w:vAlign w:val="center"/>
          </w:tcPr>
          <w:p>
            <w:pPr>
              <w:autoSpaceDE/>
              <w:autoSpaceDN/>
              <w:spacing w:line="260" w:lineRule="exact"/>
              <w:ind w:firstLine="600" w:firstLineChars="300"/>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其他资金</w:t>
            </w:r>
          </w:p>
        </w:tc>
        <w:tc>
          <w:tcPr>
            <w:tcW w:w="1298"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1065"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1216"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640"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830" w:type="dxa"/>
            <w:vAlign w:val="center"/>
          </w:tcPr>
          <w:p>
            <w:pPr>
              <w:autoSpaceDE/>
              <w:autoSpaceDN/>
              <w:spacing w:line="260" w:lineRule="exact"/>
              <w:jc w:val="center"/>
              <w:rPr>
                <w:rFonts w:hint="eastAsia" w:ascii="方正仿宋_GBK" w:hAnsi="方正仿宋_GBK" w:eastAsia="方正仿宋_GBK" w:cs="方正仿宋_GBK"/>
                <w:color w:val="auto"/>
                <w:sz w:val="20"/>
                <w:szCs w:val="20"/>
                <w:lang w:val="en-US" w:eastAsia="zh-CN"/>
              </w:rPr>
            </w:pPr>
          </w:p>
        </w:tc>
        <w:tc>
          <w:tcPr>
            <w:tcW w:w="1348" w:type="dxa"/>
            <w:vAlign w:val="center"/>
          </w:tcPr>
          <w:p>
            <w:pPr>
              <w:autoSpaceDE/>
              <w:autoSpaceDN/>
              <w:spacing w:line="260" w:lineRule="exact"/>
              <w:jc w:val="center"/>
              <w:rPr>
                <w:rFonts w:hint="eastAsia" w:ascii="Times New Roman" w:hAnsi="Times New Roman" w:eastAsia="方正仿宋_GBK" w:cs="方正仿宋_GBK"/>
                <w:color w:val="auto"/>
                <w:sz w:val="20"/>
                <w:szCs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9" w:hRule="atLeast"/>
          <w:jc w:val="center"/>
        </w:trPr>
        <w:tc>
          <w:tcPr>
            <w:tcW w:w="1024" w:type="dxa"/>
            <w:vMerge w:val="restart"/>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年度总体目标</w:t>
            </w:r>
          </w:p>
        </w:tc>
        <w:tc>
          <w:tcPr>
            <w:tcW w:w="4296" w:type="dxa"/>
            <w:gridSpan w:val="4"/>
            <w:vAlign w:val="center"/>
          </w:tcPr>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预期目标</w:t>
            </w:r>
          </w:p>
        </w:tc>
        <w:tc>
          <w:tcPr>
            <w:tcW w:w="4034" w:type="dxa"/>
            <w:gridSpan w:val="4"/>
            <w:vAlign w:val="center"/>
          </w:tcPr>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实际完成情况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5"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4296" w:type="dxa"/>
            <w:gridSpan w:val="4"/>
            <w:vAlign w:val="center"/>
          </w:tcPr>
          <w:p>
            <w:pPr>
              <w:autoSpaceDE/>
              <w:autoSpaceDN/>
              <w:spacing w:line="260" w:lineRule="exact"/>
              <w:jc w:val="both"/>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目标1：空调设备采购≥1台，办公家俱采购一批。</w:t>
            </w:r>
          </w:p>
          <w:p>
            <w:pPr>
              <w:autoSpaceDE/>
              <w:autoSpaceDN/>
              <w:spacing w:line="260" w:lineRule="exact"/>
              <w:jc w:val="both"/>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目标2：完成各项公共运转项目。</w:t>
            </w:r>
          </w:p>
        </w:tc>
        <w:tc>
          <w:tcPr>
            <w:tcW w:w="4034" w:type="dxa"/>
            <w:gridSpan w:val="4"/>
            <w:vAlign w:val="center"/>
          </w:tcPr>
          <w:p>
            <w:pPr>
              <w:autoSpaceDE/>
              <w:autoSpaceDN/>
              <w:spacing w:line="260" w:lineRule="exact"/>
              <w:jc w:val="both"/>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目标1：空调设备采购≥1台，办公家俱采购一批。</w:t>
            </w:r>
          </w:p>
          <w:p>
            <w:pPr>
              <w:autoSpaceDE/>
              <w:autoSpaceDN/>
              <w:spacing w:line="260" w:lineRule="exact"/>
              <w:jc w:val="both"/>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目标2：完成各项公共运转项目。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27" w:hRule="atLeast"/>
          <w:jc w:val="center"/>
        </w:trPr>
        <w:tc>
          <w:tcPr>
            <w:tcW w:w="1024" w:type="dxa"/>
            <w:vMerge w:val="restart"/>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绩</w:t>
            </w:r>
          </w:p>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效</w:t>
            </w:r>
          </w:p>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指</w:t>
            </w:r>
          </w:p>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标</w:t>
            </w:r>
          </w:p>
        </w:tc>
        <w:tc>
          <w:tcPr>
            <w:tcW w:w="1025"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一级指标</w:t>
            </w:r>
          </w:p>
        </w:tc>
        <w:tc>
          <w:tcPr>
            <w:tcW w:w="908"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二级指标</w:t>
            </w:r>
          </w:p>
        </w:tc>
        <w:tc>
          <w:tcPr>
            <w:tcW w:w="1298" w:type="dxa"/>
            <w:vAlign w:val="center"/>
          </w:tcPr>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三级指标</w:t>
            </w:r>
          </w:p>
        </w:tc>
        <w:tc>
          <w:tcPr>
            <w:tcW w:w="1065" w:type="dxa"/>
            <w:vAlign w:val="center"/>
          </w:tcPr>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年度</w:t>
            </w:r>
          </w:p>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指标值</w:t>
            </w:r>
          </w:p>
        </w:tc>
        <w:tc>
          <w:tcPr>
            <w:tcW w:w="1216" w:type="dxa"/>
            <w:vAlign w:val="center"/>
          </w:tcPr>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实际</w:t>
            </w:r>
          </w:p>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完成值</w:t>
            </w:r>
          </w:p>
        </w:tc>
        <w:tc>
          <w:tcPr>
            <w:tcW w:w="640" w:type="dxa"/>
            <w:vAlign w:val="center"/>
          </w:tcPr>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分值</w:t>
            </w:r>
          </w:p>
        </w:tc>
        <w:tc>
          <w:tcPr>
            <w:tcW w:w="830" w:type="dxa"/>
            <w:vAlign w:val="center"/>
          </w:tcPr>
          <w:p>
            <w:pPr>
              <w:autoSpaceDE/>
              <w:autoSpaceDN/>
              <w:spacing w:line="260" w:lineRule="exact"/>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16"/>
                <w:szCs w:val="16"/>
              </w:rPr>
              <w:t>自评得分</w:t>
            </w:r>
          </w:p>
        </w:tc>
        <w:tc>
          <w:tcPr>
            <w:tcW w:w="1348" w:type="dxa"/>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偏差原因分析及改进措施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62"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产出指标</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（50分）</w:t>
            </w:r>
          </w:p>
        </w:tc>
        <w:tc>
          <w:tcPr>
            <w:tcW w:w="90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数量指标</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eastAsia="zh-CN"/>
              </w:rPr>
              <w:t>购置空调设备数量</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000000"/>
                <w:kern w:val="0"/>
                <w:sz w:val="18"/>
                <w:szCs w:val="18"/>
                <w:lang w:eastAsia="zh-CN"/>
              </w:rPr>
              <w:t>≥</w:t>
            </w:r>
            <w:r>
              <w:rPr>
                <w:rFonts w:hint="eastAsia" w:ascii="方正仿宋_GBK" w:hAnsi="方正仿宋_GBK" w:eastAsia="方正仿宋_GBK" w:cs="方正仿宋_GBK"/>
                <w:color w:val="auto"/>
                <w:sz w:val="20"/>
                <w:szCs w:val="20"/>
                <w:lang w:val="en-US" w:eastAsia="zh-CN"/>
              </w:rPr>
              <w:t>1台</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1台</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质量指标</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采购验收合格率</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100%</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100%</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时效指标</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eastAsia="zh-CN"/>
              </w:rPr>
              <w:t>采购完成时间</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2024年12月31日以前完成</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US" w:eastAsia="zh-CN"/>
              </w:rPr>
              <w:t>2024年12月31日以前完成</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成本指标</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eastAsia="zh-CN"/>
              </w:rPr>
              <w:t>政务大厅工作人员服装费</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000000"/>
                <w:kern w:val="0"/>
                <w:sz w:val="18"/>
                <w:szCs w:val="18"/>
                <w:lang w:val="en-US" w:eastAsia="zh-CN"/>
              </w:rPr>
              <w:t>≤0.2万/人/年</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000000"/>
                <w:kern w:val="0"/>
                <w:sz w:val="18"/>
                <w:szCs w:val="18"/>
                <w:lang w:val="en-US" w:eastAsia="zh-CN"/>
              </w:rPr>
              <w:t>0.16万/人/年</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体检费</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≤0.18万/人/年</w:t>
            </w:r>
          </w:p>
        </w:tc>
        <w:tc>
          <w:tcPr>
            <w:tcW w:w="12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0.16万/人/年</w:t>
            </w:r>
          </w:p>
        </w:tc>
        <w:tc>
          <w:tcPr>
            <w:tcW w:w="6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8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5</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购置空调设备</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≤0.3万/台</w:t>
            </w:r>
          </w:p>
        </w:tc>
        <w:tc>
          <w:tcPr>
            <w:tcW w:w="12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0.29万/台</w:t>
            </w:r>
          </w:p>
        </w:tc>
        <w:tc>
          <w:tcPr>
            <w:tcW w:w="6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w:t>
            </w:r>
          </w:p>
        </w:tc>
        <w:tc>
          <w:tcPr>
            <w:tcW w:w="8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购置办公沙发</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≤0.3万/张</w:t>
            </w:r>
          </w:p>
        </w:tc>
        <w:tc>
          <w:tcPr>
            <w:tcW w:w="12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0.3万/台</w:t>
            </w:r>
          </w:p>
        </w:tc>
        <w:tc>
          <w:tcPr>
            <w:tcW w:w="6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w:t>
            </w:r>
          </w:p>
        </w:tc>
        <w:tc>
          <w:tcPr>
            <w:tcW w:w="8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购置文件柜</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≤0.2万/个</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0</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eastAsia="zh-CN"/>
              </w:rPr>
              <w:t>本着厉行节约的原则减少支出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劳务费</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≤8.50万/人/年</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8.47万/人/年</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购置办公椅</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≤0.04万/把</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0.04万/人/把</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局机关大院白蚁防治费</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≤6.67万/年</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6.8万/年</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5</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20"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908"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局机关大院公共设施零星维修</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000000"/>
                <w:kern w:val="0"/>
                <w:sz w:val="18"/>
                <w:szCs w:val="18"/>
                <w:lang w:val="en-US" w:eastAsia="zh-CN"/>
              </w:rPr>
              <w:t>≤128万/年</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152万/年</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45"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效益指标</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（30分）</w:t>
            </w:r>
          </w:p>
        </w:tc>
        <w:tc>
          <w:tcPr>
            <w:tcW w:w="90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社会效</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益指标</w:t>
            </w:r>
          </w:p>
        </w:tc>
        <w:tc>
          <w:tcPr>
            <w:tcW w:w="1298"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局机关工作平稳正常运转率</w:t>
            </w:r>
          </w:p>
        </w:tc>
        <w:tc>
          <w:tcPr>
            <w:tcW w:w="106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100%</w:t>
            </w:r>
          </w:p>
        </w:tc>
        <w:tc>
          <w:tcPr>
            <w:tcW w:w="121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100%</w:t>
            </w:r>
          </w:p>
        </w:tc>
        <w:tc>
          <w:tcPr>
            <w:tcW w:w="6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30</w:t>
            </w:r>
          </w:p>
        </w:tc>
        <w:tc>
          <w:tcPr>
            <w:tcW w:w="8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30</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57" w:hRule="atLeast"/>
          <w:jc w:val="center"/>
        </w:trPr>
        <w:tc>
          <w:tcPr>
            <w:tcW w:w="1024" w:type="dxa"/>
            <w:vMerge w:val="continue"/>
            <w:vAlign w:val="center"/>
          </w:tcPr>
          <w:p>
            <w:pPr>
              <w:autoSpaceDE/>
              <w:autoSpaceDN/>
              <w:spacing w:line="260" w:lineRule="exact"/>
              <w:jc w:val="center"/>
              <w:rPr>
                <w:rFonts w:hint="eastAsia" w:ascii="Times New Roman" w:hAnsi="Times New Roman" w:eastAsia="方正仿宋_GBK" w:cs="方正仿宋_GBK"/>
                <w:color w:val="auto"/>
                <w:sz w:val="20"/>
                <w:szCs w:val="20"/>
              </w:rPr>
            </w:pPr>
          </w:p>
        </w:tc>
        <w:tc>
          <w:tcPr>
            <w:tcW w:w="102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满意度</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指标</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（10分）</w:t>
            </w:r>
          </w:p>
        </w:tc>
        <w:tc>
          <w:tcPr>
            <w:tcW w:w="90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服务对象满意度指标</w:t>
            </w:r>
          </w:p>
        </w:tc>
        <w:tc>
          <w:tcPr>
            <w:tcW w:w="1298" w:type="dxa"/>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000000"/>
                <w:kern w:val="0"/>
                <w:sz w:val="20"/>
                <w:szCs w:val="20"/>
                <w:lang w:eastAsia="zh-CN"/>
              </w:rPr>
              <w:t>事务中心</w:t>
            </w:r>
            <w:r>
              <w:rPr>
                <w:rFonts w:hint="eastAsia" w:ascii="方正仿宋_GBK" w:hAnsi="方正仿宋_GBK" w:eastAsia="方正仿宋_GBK" w:cs="方正仿宋_GBK"/>
                <w:color w:val="000000"/>
                <w:kern w:val="0"/>
                <w:sz w:val="20"/>
                <w:szCs w:val="20"/>
              </w:rPr>
              <w:t>服务对象满意度</w:t>
            </w:r>
          </w:p>
        </w:tc>
        <w:tc>
          <w:tcPr>
            <w:tcW w:w="106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lang w:eastAsia="zh-CN"/>
              </w:rPr>
              <w:t>≥</w:t>
            </w:r>
            <w:r>
              <w:rPr>
                <w:rFonts w:hint="eastAsia" w:ascii="方正仿宋_GBK" w:hAnsi="方正仿宋_GBK" w:eastAsia="方正仿宋_GBK" w:cs="方正仿宋_GBK"/>
                <w:color w:val="000000"/>
                <w:kern w:val="0"/>
                <w:sz w:val="18"/>
                <w:szCs w:val="18"/>
              </w:rPr>
              <w:t>90%</w:t>
            </w:r>
          </w:p>
        </w:tc>
        <w:tc>
          <w:tcPr>
            <w:tcW w:w="121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kern w:val="0"/>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rPr>
              <w:t>90%</w:t>
            </w:r>
          </w:p>
        </w:tc>
        <w:tc>
          <w:tcPr>
            <w:tcW w:w="6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8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00" w:hRule="atLeast"/>
          <w:jc w:val="center"/>
        </w:trPr>
        <w:tc>
          <w:tcPr>
            <w:tcW w:w="6536" w:type="dxa"/>
            <w:gridSpan w:val="6"/>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总分</w:t>
            </w:r>
          </w:p>
        </w:tc>
        <w:tc>
          <w:tcPr>
            <w:tcW w:w="64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100</w:t>
            </w:r>
          </w:p>
        </w:tc>
        <w:tc>
          <w:tcPr>
            <w:tcW w:w="8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98</w:t>
            </w:r>
          </w:p>
        </w:tc>
        <w:tc>
          <w:tcPr>
            <w:tcW w:w="134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rPr>
            </w:pPr>
          </w:p>
        </w:tc>
      </w:tr>
    </w:tbl>
    <w:p>
      <w:pPr>
        <w:pStyle w:val="3"/>
        <w:rPr>
          <w:rFonts w:hint="eastAsia" w:ascii="宋体" w:hAnsi="宋体" w:eastAsia="宋体" w:cs="宋体"/>
          <w:sz w:val="22"/>
        </w:rPr>
      </w:pPr>
      <w:r>
        <w:rPr>
          <w:rFonts w:hint="eastAsia" w:ascii="宋体" w:hAnsi="宋体" w:eastAsia="宋体" w:cs="宋体"/>
          <w:sz w:val="22"/>
        </w:rPr>
        <w:t>填表人：</w:t>
      </w:r>
      <w:r>
        <w:rPr>
          <w:rFonts w:hint="eastAsia" w:ascii="宋体" w:hAnsi="宋体" w:eastAsia="宋体" w:cs="宋体"/>
          <w:sz w:val="22"/>
          <w:lang w:eastAsia="zh-CN"/>
        </w:rPr>
        <w:t>庞桠文</w:t>
      </w:r>
      <w:r>
        <w:rPr>
          <w:rFonts w:hint="eastAsia" w:ascii="宋体" w:hAnsi="宋体" w:eastAsia="宋体" w:cs="宋体"/>
          <w:sz w:val="22"/>
        </w:rPr>
        <w:t xml:space="preserve"> </w:t>
      </w:r>
      <w:r>
        <w:rPr>
          <w:rFonts w:hint="eastAsia" w:ascii="宋体" w:hAnsi="宋体" w:cs="宋体"/>
          <w:sz w:val="22"/>
          <w:lang w:val="en-US" w:eastAsia="zh-CN"/>
        </w:rPr>
        <w:t xml:space="preserve">  </w:t>
      </w:r>
      <w:r>
        <w:rPr>
          <w:rFonts w:hint="eastAsia" w:ascii="宋体" w:hAnsi="宋体" w:eastAsia="宋体" w:cs="宋体"/>
          <w:sz w:val="22"/>
        </w:rPr>
        <w:t>填报日期：</w:t>
      </w:r>
      <w:r>
        <w:rPr>
          <w:rFonts w:hint="eastAsia" w:ascii="宋体" w:hAnsi="宋体" w:eastAsia="宋体" w:cs="宋体"/>
          <w:sz w:val="22"/>
          <w:lang w:val="en-US" w:eastAsia="zh-CN"/>
        </w:rPr>
        <w:t>202</w:t>
      </w:r>
      <w:r>
        <w:rPr>
          <w:rFonts w:hint="eastAsia" w:ascii="宋体" w:hAnsi="宋体" w:cs="宋体"/>
          <w:sz w:val="22"/>
          <w:lang w:val="en-US" w:eastAsia="zh-CN"/>
        </w:rPr>
        <w:t>5/</w:t>
      </w:r>
      <w:r>
        <w:rPr>
          <w:rFonts w:hint="eastAsia" w:ascii="宋体" w:hAnsi="宋体" w:eastAsia="宋体" w:cs="宋体"/>
          <w:sz w:val="22"/>
          <w:lang w:val="en-US" w:eastAsia="zh-CN"/>
        </w:rPr>
        <w:t>3</w:t>
      </w:r>
      <w:r>
        <w:rPr>
          <w:rFonts w:hint="eastAsia" w:ascii="宋体" w:hAnsi="宋体" w:cs="宋体"/>
          <w:sz w:val="22"/>
          <w:lang w:val="en-US" w:eastAsia="zh-CN"/>
        </w:rPr>
        <w:t xml:space="preserve">/28     </w:t>
      </w:r>
      <w:r>
        <w:rPr>
          <w:rFonts w:hint="eastAsia" w:ascii="宋体" w:hAnsi="宋体" w:eastAsia="宋体" w:cs="宋体"/>
          <w:sz w:val="22"/>
        </w:rPr>
        <w:t>联系电话：</w:t>
      </w:r>
      <w:r>
        <w:rPr>
          <w:rFonts w:hint="eastAsia" w:ascii="宋体" w:hAnsi="宋体" w:eastAsia="宋体" w:cs="宋体"/>
          <w:sz w:val="22"/>
          <w:lang w:val="en-US" w:eastAsia="zh-CN"/>
        </w:rPr>
        <w:t>13574880456</w:t>
      </w:r>
      <w:r>
        <w:rPr>
          <w:rFonts w:hint="eastAsia" w:ascii="宋体" w:hAnsi="宋体" w:eastAsia="宋体" w:cs="宋体"/>
          <w:sz w:val="22"/>
        </w:rPr>
        <w:t xml:space="preserve"> </w:t>
      </w:r>
      <w:r>
        <w:rPr>
          <w:rFonts w:hint="eastAsia" w:ascii="宋体" w:hAnsi="宋体" w:cs="宋体"/>
          <w:sz w:val="22"/>
          <w:lang w:val="en-US" w:eastAsia="zh-CN"/>
        </w:rPr>
        <w:t xml:space="preserve">  </w:t>
      </w:r>
      <w:r>
        <w:rPr>
          <w:rFonts w:hint="eastAsia" w:ascii="宋体" w:hAnsi="宋体" w:eastAsia="宋体" w:cs="宋体"/>
          <w:sz w:val="22"/>
        </w:rPr>
        <w:t>单位负责人签字：</w:t>
      </w:r>
    </w:p>
    <w:p>
      <w:pPr>
        <w:keepNext w:val="0"/>
        <w:keepLines w:val="0"/>
        <w:pageBreakBefore w:val="0"/>
        <w:widowControl w:val="0"/>
        <w:kinsoku/>
        <w:wordWrap/>
        <w:overflowPunct/>
        <w:topLinePunct w:val="0"/>
        <w:autoSpaceDE/>
        <w:autoSpaceDN/>
        <w:bidi w:val="0"/>
        <w:adjustRightInd/>
        <w:snapToGrid/>
        <w:spacing w:before="104" w:line="320" w:lineRule="exact"/>
        <w:ind w:left="69"/>
        <w:textAlignment w:val="auto"/>
        <w:rPr>
          <w:rFonts w:hint="eastAsia"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rPr>
        <w:t>6</w:t>
      </w:r>
    </w:p>
    <w:p>
      <w:pPr>
        <w:keepNext w:val="0"/>
        <w:keepLines w:val="0"/>
        <w:pageBreakBefore w:val="0"/>
        <w:widowControl w:val="0"/>
        <w:kinsoku/>
        <w:wordWrap/>
        <w:overflowPunct/>
        <w:topLinePunct w:val="0"/>
        <w:autoSpaceDE/>
        <w:autoSpaceDN/>
        <w:bidi w:val="0"/>
        <w:adjustRightInd/>
        <w:snapToGrid/>
        <w:spacing w:before="240" w:beforeLines="100" w:after="240" w:afterLines="100" w:line="320" w:lineRule="exact"/>
        <w:jc w:val="both"/>
        <w:textAlignment w:val="auto"/>
        <w:rPr>
          <w:rFonts w:ascii="Times New Roman" w:hAnsi="Times New Roman" w:eastAsia="方正小标宋_GBK" w:cs="Times New Roman"/>
          <w:color w:val="auto"/>
          <w:w w:val="98"/>
          <w:sz w:val="44"/>
          <w:szCs w:val="44"/>
        </w:rPr>
      </w:pPr>
      <w:r>
        <w:rPr>
          <w:rFonts w:ascii="Times New Roman" w:hAnsi="Times New Roman" w:eastAsia="方正小标宋_GBK" w:cs="Times New Roman"/>
          <w:color w:val="auto"/>
          <w:spacing w:val="-17"/>
          <w:w w:val="98"/>
          <w:sz w:val="44"/>
          <w:szCs w:val="44"/>
        </w:rPr>
        <w:t>202</w:t>
      </w:r>
      <w:r>
        <w:rPr>
          <w:rFonts w:hint="eastAsia" w:ascii="Times New Roman" w:hAnsi="Times New Roman" w:eastAsia="方正小标宋_GBK" w:cs="Times New Roman"/>
          <w:color w:val="auto"/>
          <w:spacing w:val="-17"/>
          <w:w w:val="98"/>
          <w:sz w:val="44"/>
          <w:szCs w:val="44"/>
          <w:lang w:val="en-US" w:eastAsia="zh-CN"/>
        </w:rPr>
        <w:t>4</w:t>
      </w:r>
      <w:r>
        <w:rPr>
          <w:rFonts w:ascii="Times New Roman" w:hAnsi="Times New Roman" w:eastAsia="方正小标宋_GBK" w:cs="Times New Roman"/>
          <w:color w:val="auto"/>
          <w:spacing w:val="-17"/>
          <w:w w:val="98"/>
          <w:sz w:val="44"/>
          <w:szCs w:val="44"/>
        </w:rPr>
        <w:t>年</w:t>
      </w:r>
      <w:r>
        <w:rPr>
          <w:rFonts w:hint="eastAsia" w:ascii="Times New Roman" w:hAnsi="Times New Roman" w:eastAsia="方正小标宋_GBK" w:cs="Times New Roman"/>
          <w:color w:val="auto"/>
          <w:spacing w:val="-17"/>
          <w:w w:val="98"/>
          <w:sz w:val="44"/>
          <w:szCs w:val="44"/>
        </w:rPr>
        <w:t>度</w:t>
      </w:r>
      <w:r>
        <w:rPr>
          <w:rFonts w:ascii="Times New Roman" w:hAnsi="Times New Roman" w:eastAsia="方正小标宋_GBK" w:cs="Times New Roman"/>
          <w:color w:val="auto"/>
          <w:spacing w:val="-17"/>
          <w:w w:val="98"/>
          <w:sz w:val="44"/>
          <w:szCs w:val="44"/>
        </w:rPr>
        <w:t>项目支出绩效自评表</w:t>
      </w:r>
      <w:r>
        <w:rPr>
          <w:rFonts w:hint="eastAsia" w:ascii="Times New Roman" w:hAnsi="Times New Roman" w:eastAsia="方正小标宋_GBK" w:cs="Times New Roman"/>
          <w:color w:val="auto"/>
          <w:spacing w:val="-17"/>
          <w:w w:val="98"/>
          <w:sz w:val="44"/>
          <w:szCs w:val="44"/>
          <w:lang w:val="en-US" w:eastAsia="zh-CN"/>
        </w:rPr>
        <w:t>(</w:t>
      </w:r>
      <w:r>
        <w:rPr>
          <w:rFonts w:ascii="Times New Roman" w:hAnsi="Times New Roman" w:eastAsia="方正小标宋_GBK" w:cs="Times New Roman"/>
          <w:color w:val="auto"/>
          <w:spacing w:val="-17"/>
          <w:w w:val="98"/>
          <w:sz w:val="44"/>
          <w:szCs w:val="44"/>
        </w:rPr>
        <w:t>其他事业发展类）</w:t>
      </w:r>
    </w:p>
    <w:tbl>
      <w:tblPr>
        <w:tblStyle w:val="9"/>
        <w:tblW w:w="9354" w:type="dxa"/>
        <w:jc w:val="center"/>
        <w:tblInd w:w="0" w:type="dxa"/>
        <w:tblLayout w:type="fixed"/>
        <w:tblCellMar>
          <w:top w:w="0" w:type="dxa"/>
          <w:left w:w="108" w:type="dxa"/>
          <w:bottom w:w="0" w:type="dxa"/>
          <w:right w:w="108" w:type="dxa"/>
        </w:tblCellMar>
      </w:tblPr>
      <w:tblGrid>
        <w:gridCol w:w="1024"/>
        <w:gridCol w:w="1025"/>
        <w:gridCol w:w="908"/>
        <w:gridCol w:w="1230"/>
        <w:gridCol w:w="1134"/>
        <w:gridCol w:w="1048"/>
        <w:gridCol w:w="808"/>
        <w:gridCol w:w="979"/>
        <w:gridCol w:w="1198"/>
      </w:tblGrid>
      <w:tr>
        <w:tblPrEx>
          <w:tblLayout w:type="fixed"/>
          <w:tblCellMar>
            <w:top w:w="0" w:type="dxa"/>
            <w:left w:w="108" w:type="dxa"/>
            <w:bottom w:w="0" w:type="dxa"/>
            <w:right w:w="108" w:type="dxa"/>
          </w:tblCellMar>
        </w:tblPrEx>
        <w:trPr>
          <w:trHeight w:val="283" w:hRule="atLeast"/>
          <w:jc w:val="center"/>
        </w:trPr>
        <w:tc>
          <w:tcPr>
            <w:tcW w:w="2957"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项目支出名称</w:t>
            </w:r>
          </w:p>
        </w:tc>
        <w:tc>
          <w:tcPr>
            <w:tcW w:w="6397" w:type="dxa"/>
            <w:gridSpan w:val="6"/>
            <w:tcBorders>
              <w:top w:val="single" w:color="auto" w:sz="4" w:space="0"/>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lang w:eastAsia="zh-CN"/>
              </w:rPr>
            </w:pPr>
            <w:r>
              <w:rPr>
                <w:rFonts w:hint="eastAsia" w:ascii="Times New Roman" w:hAnsi="Times New Roman" w:eastAsia="方正仿宋_GBK" w:cs="方正仿宋_GBK"/>
                <w:color w:val="auto"/>
                <w:sz w:val="22"/>
                <w:szCs w:val="22"/>
                <w:lang w:eastAsia="zh-CN"/>
              </w:rPr>
              <w:t>个私工作经费</w:t>
            </w:r>
          </w:p>
        </w:tc>
      </w:tr>
      <w:tr>
        <w:tblPrEx>
          <w:tblLayout w:type="fixed"/>
          <w:tblCellMar>
            <w:top w:w="0" w:type="dxa"/>
            <w:left w:w="108" w:type="dxa"/>
            <w:bottom w:w="0" w:type="dxa"/>
            <w:right w:w="108" w:type="dxa"/>
          </w:tblCellMar>
        </w:tblPrEx>
        <w:trPr>
          <w:trHeight w:val="283" w:hRule="atLeast"/>
          <w:jc w:val="center"/>
        </w:trPr>
        <w:tc>
          <w:tcPr>
            <w:tcW w:w="1024" w:type="dxa"/>
            <w:tcBorders>
              <w:top w:val="nil"/>
              <w:left w:val="single" w:color="auto" w:sz="4" w:space="0"/>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主管部门</w:t>
            </w:r>
          </w:p>
        </w:tc>
        <w:tc>
          <w:tcPr>
            <w:tcW w:w="4297" w:type="dxa"/>
            <w:gridSpan w:val="4"/>
            <w:tcBorders>
              <w:top w:val="single" w:color="auto" w:sz="4" w:space="0"/>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0"/>
                <w:szCs w:val="20"/>
                <w:lang w:eastAsia="zh-CN"/>
              </w:rPr>
              <w:t>湖南省市场监督管理局</w:t>
            </w:r>
          </w:p>
        </w:tc>
        <w:tc>
          <w:tcPr>
            <w:tcW w:w="1048" w:type="dxa"/>
            <w:tcBorders>
              <w:top w:val="single" w:color="auto" w:sz="4" w:space="0"/>
              <w:left w:val="nil"/>
              <w:bottom w:val="single" w:color="auto" w:sz="4" w:space="0"/>
              <w:right w:val="single" w:color="000000"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实施单位</w:t>
            </w:r>
          </w:p>
        </w:tc>
        <w:tc>
          <w:tcPr>
            <w:tcW w:w="2985" w:type="dxa"/>
            <w:gridSpan w:val="3"/>
            <w:tcBorders>
              <w:top w:val="single" w:color="auto" w:sz="4" w:space="0"/>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0"/>
                <w:szCs w:val="20"/>
                <w:lang w:eastAsia="zh-CN"/>
              </w:rPr>
              <w:t>湖南省市场监管事务中心</w:t>
            </w:r>
          </w:p>
        </w:tc>
      </w:tr>
      <w:tr>
        <w:tblPrEx>
          <w:tblLayout w:type="fixed"/>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bottom w:val="single" w:color="000000" w:sz="4" w:space="0"/>
              <w:right w:val="single" w:color="auto" w:sz="4" w:space="0"/>
            </w:tcBorders>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项目资金</w:t>
            </w:r>
            <w:r>
              <w:rPr>
                <w:rFonts w:hint="eastAsia" w:ascii="Times New Roman" w:hAnsi="Times New Roman" w:eastAsia="方正仿宋_GBK" w:cs="方正仿宋_GBK"/>
                <w:color w:val="auto"/>
                <w:sz w:val="22"/>
                <w:szCs w:val="22"/>
              </w:rPr>
              <w:br w:type="textWrapping"/>
            </w:r>
            <w:r>
              <w:rPr>
                <w:rFonts w:hint="eastAsia" w:ascii="Times New Roman" w:hAnsi="Times New Roman" w:eastAsia="方正仿宋_GBK" w:cs="方正仿宋_GBK"/>
                <w:color w:val="auto"/>
                <w:sz w:val="22"/>
                <w:szCs w:val="22"/>
              </w:rPr>
              <w:t>（万元）</w:t>
            </w:r>
          </w:p>
        </w:tc>
        <w:tc>
          <w:tcPr>
            <w:tcW w:w="1933" w:type="dxa"/>
            <w:gridSpan w:val="2"/>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230" w:type="dxa"/>
            <w:tcBorders>
              <w:top w:val="nil"/>
              <w:left w:val="nil"/>
              <w:bottom w:val="single" w:color="auto" w:sz="4" w:space="0"/>
              <w:right w:val="single" w:color="auto" w:sz="4" w:space="0"/>
            </w:tcBorders>
            <w:tcMar>
              <w:top w:w="0" w:type="dxa"/>
              <w:left w:w="0" w:type="dxa"/>
              <w:bottom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年初预算数</w:t>
            </w:r>
          </w:p>
        </w:tc>
        <w:tc>
          <w:tcPr>
            <w:tcW w:w="1134"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全年预算数</w:t>
            </w:r>
          </w:p>
        </w:tc>
        <w:tc>
          <w:tcPr>
            <w:tcW w:w="104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全年执行数</w:t>
            </w:r>
          </w:p>
        </w:tc>
        <w:tc>
          <w:tcPr>
            <w:tcW w:w="80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分值</w:t>
            </w:r>
          </w:p>
        </w:tc>
        <w:tc>
          <w:tcPr>
            <w:tcW w:w="979"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执行率</w:t>
            </w:r>
          </w:p>
        </w:tc>
        <w:tc>
          <w:tcPr>
            <w:tcW w:w="119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自评得分</w:t>
            </w:r>
          </w:p>
        </w:tc>
      </w:tr>
      <w:tr>
        <w:tblPrEx>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933" w:type="dxa"/>
            <w:gridSpan w:val="2"/>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年度资金总额</w:t>
            </w:r>
          </w:p>
        </w:tc>
        <w:tc>
          <w:tcPr>
            <w:tcW w:w="1230"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50</w:t>
            </w:r>
          </w:p>
        </w:tc>
        <w:tc>
          <w:tcPr>
            <w:tcW w:w="1134"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35</w:t>
            </w:r>
          </w:p>
        </w:tc>
        <w:tc>
          <w:tcPr>
            <w:tcW w:w="104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26.77</w:t>
            </w:r>
          </w:p>
        </w:tc>
        <w:tc>
          <w:tcPr>
            <w:tcW w:w="80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10</w:t>
            </w:r>
          </w:p>
        </w:tc>
        <w:tc>
          <w:tcPr>
            <w:tcW w:w="979"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76.49%</w:t>
            </w:r>
          </w:p>
        </w:tc>
        <w:tc>
          <w:tcPr>
            <w:tcW w:w="119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lang w:val="en-US" w:eastAsia="zh-CN"/>
              </w:rPr>
            </w:pPr>
            <w:r>
              <w:rPr>
                <w:rFonts w:hint="eastAsia" w:ascii="Times New Roman" w:hAnsi="Times New Roman" w:eastAsia="方正仿宋_GBK" w:cs="方正仿宋_GBK"/>
                <w:color w:val="auto"/>
                <w:sz w:val="22"/>
                <w:szCs w:val="22"/>
                <w:lang w:val="en-US" w:eastAsia="zh-CN"/>
              </w:rPr>
              <w:t>8</w:t>
            </w:r>
          </w:p>
        </w:tc>
      </w:tr>
      <w:tr>
        <w:tblPrEx>
          <w:tblLayout w:type="fixed"/>
          <w:tblCellMar>
            <w:top w:w="0" w:type="dxa"/>
            <w:left w:w="108" w:type="dxa"/>
            <w:bottom w:w="0" w:type="dxa"/>
            <w:right w:w="108" w:type="dxa"/>
          </w:tblCellMar>
        </w:tblPrEx>
        <w:trPr>
          <w:trHeight w:val="420" w:hRule="atLeast"/>
          <w:jc w:val="center"/>
        </w:trPr>
        <w:tc>
          <w:tcPr>
            <w:tcW w:w="1024"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933" w:type="dxa"/>
            <w:gridSpan w:val="2"/>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其中</w:t>
            </w:r>
            <w:r>
              <w:rPr>
                <w:rFonts w:hint="eastAsia" w:ascii="Times New Roman" w:hAnsi="Times New Roman" w:eastAsia="方正仿宋_GBK" w:cs="方正仿宋_GBK"/>
                <w:color w:val="auto"/>
                <w:sz w:val="22"/>
                <w:szCs w:val="22"/>
                <w:lang w:val="en-US" w:eastAsia="zh-CN"/>
              </w:rPr>
              <w:t>:</w:t>
            </w:r>
            <w:r>
              <w:rPr>
                <w:rFonts w:hint="eastAsia" w:ascii="Times New Roman" w:hAnsi="Times New Roman" w:eastAsia="方正仿宋_GBK" w:cs="方正仿宋_GBK"/>
                <w:color w:val="auto"/>
                <w:sz w:val="22"/>
                <w:szCs w:val="22"/>
              </w:rPr>
              <w:t>当年财政拨款</w:t>
            </w:r>
          </w:p>
        </w:tc>
        <w:tc>
          <w:tcPr>
            <w:tcW w:w="1230"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50</w:t>
            </w:r>
          </w:p>
        </w:tc>
        <w:tc>
          <w:tcPr>
            <w:tcW w:w="1134"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35</w:t>
            </w:r>
          </w:p>
        </w:tc>
        <w:tc>
          <w:tcPr>
            <w:tcW w:w="104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26.77</w:t>
            </w:r>
          </w:p>
        </w:tc>
        <w:tc>
          <w:tcPr>
            <w:tcW w:w="80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979"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119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r>
      <w:tr>
        <w:tblPrEx>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933" w:type="dxa"/>
            <w:gridSpan w:val="2"/>
            <w:tcBorders>
              <w:top w:val="nil"/>
              <w:left w:val="nil"/>
              <w:bottom w:val="single" w:color="auto" w:sz="4" w:space="0"/>
              <w:right w:val="single" w:color="auto" w:sz="4" w:space="0"/>
            </w:tcBorders>
            <w:tcMar>
              <w:top w:w="0" w:type="dxa"/>
              <w:left w:w="0" w:type="dxa"/>
              <w:bottom w:w="0" w:type="dxa"/>
              <w:right w:w="0" w:type="dxa"/>
            </w:tcMar>
            <w:vAlign w:val="center"/>
          </w:tcPr>
          <w:p>
            <w:pPr>
              <w:autoSpaceDE/>
              <w:autoSpaceDN/>
              <w:spacing w:line="240" w:lineRule="exact"/>
              <w:ind w:firstLine="660" w:firstLineChars="300"/>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上年结转金</w:t>
            </w:r>
          </w:p>
        </w:tc>
        <w:tc>
          <w:tcPr>
            <w:tcW w:w="1230"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1134"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104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80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979"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119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r>
      <w:tr>
        <w:tblPrEx>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933" w:type="dxa"/>
            <w:gridSpan w:val="2"/>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ind w:firstLine="660" w:firstLineChars="300"/>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其他资金</w:t>
            </w:r>
          </w:p>
        </w:tc>
        <w:tc>
          <w:tcPr>
            <w:tcW w:w="1230"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1134"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104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80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979"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p>
        </w:tc>
        <w:tc>
          <w:tcPr>
            <w:tcW w:w="119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r>
      <w:tr>
        <w:tblPrEx>
          <w:tblLayout w:type="fixed"/>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bottom w:val="single" w:color="000000"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年度总体目标</w:t>
            </w:r>
          </w:p>
        </w:tc>
        <w:tc>
          <w:tcPr>
            <w:tcW w:w="4297" w:type="dxa"/>
            <w:gridSpan w:val="4"/>
            <w:tcBorders>
              <w:top w:val="single" w:color="auto" w:sz="4" w:space="0"/>
              <w:left w:val="nil"/>
              <w:bottom w:val="single" w:color="auto" w:sz="4" w:space="0"/>
              <w:right w:val="single" w:color="000000"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预期目标</w:t>
            </w:r>
          </w:p>
        </w:tc>
        <w:tc>
          <w:tcPr>
            <w:tcW w:w="4033" w:type="dxa"/>
            <w:gridSpan w:val="4"/>
            <w:tcBorders>
              <w:top w:val="single" w:color="auto" w:sz="4" w:space="0"/>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实际完成情况</w:t>
            </w:r>
          </w:p>
        </w:tc>
      </w:tr>
      <w:tr>
        <w:tblPrEx>
          <w:tblLayout w:type="fixed"/>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4297" w:type="dxa"/>
            <w:gridSpan w:val="4"/>
            <w:tcBorders>
              <w:top w:val="single" w:color="auto" w:sz="4" w:space="0"/>
              <w:left w:val="nil"/>
              <w:bottom w:val="single" w:color="auto" w:sz="4" w:space="0"/>
              <w:right w:val="single" w:color="000000"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eastAsia="zh-CN"/>
              </w:rPr>
            </w:pPr>
            <w:r>
              <w:rPr>
                <w:rFonts w:hint="eastAsia" w:ascii="方正仿宋_GBK" w:hAnsi="方正仿宋_GBK" w:eastAsia="方正仿宋_GBK" w:cs="方正仿宋_GBK"/>
                <w:color w:val="auto"/>
                <w:sz w:val="22"/>
                <w:szCs w:val="22"/>
                <w:lang w:eastAsia="zh-CN"/>
              </w:rPr>
              <w:t>按时完成个私发展指导服务工作。</w:t>
            </w:r>
          </w:p>
        </w:tc>
        <w:tc>
          <w:tcPr>
            <w:tcW w:w="4033" w:type="dxa"/>
            <w:gridSpan w:val="4"/>
            <w:tcBorders>
              <w:top w:val="single" w:color="auto" w:sz="4" w:space="0"/>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lang w:eastAsia="zh-CN"/>
              </w:rPr>
              <w:t>已</w:t>
            </w:r>
            <w:r>
              <w:rPr>
                <w:rFonts w:hint="eastAsia" w:ascii="方正仿宋_GBK" w:hAnsi="方正仿宋_GBK" w:eastAsia="方正仿宋_GBK" w:cs="方正仿宋_GBK"/>
                <w:color w:val="auto"/>
                <w:sz w:val="22"/>
                <w:szCs w:val="22"/>
              </w:rPr>
              <w:t>按时完成个私发展指导服务工作。</w:t>
            </w:r>
          </w:p>
        </w:tc>
      </w:tr>
      <w:tr>
        <w:tblPrEx>
          <w:tblLayout w:type="fixed"/>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绩</w:t>
            </w:r>
          </w:p>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效</w:t>
            </w:r>
          </w:p>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指</w:t>
            </w:r>
          </w:p>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标</w:t>
            </w:r>
          </w:p>
        </w:tc>
        <w:tc>
          <w:tcPr>
            <w:tcW w:w="1025"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一级指标</w:t>
            </w:r>
          </w:p>
        </w:tc>
        <w:tc>
          <w:tcPr>
            <w:tcW w:w="9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二级指标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三级指标</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年度</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指标值</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实际</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完成值</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分值</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自评</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得分</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偏差原因分析及改进措施</w:t>
            </w:r>
          </w:p>
        </w:tc>
      </w:tr>
      <w:tr>
        <w:tblPrEx>
          <w:tblLayout w:type="fixed"/>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restart"/>
            <w:tcBorders>
              <w:left w:val="nil"/>
              <w:right w:val="single" w:color="auto" w:sz="4" w:space="0"/>
            </w:tcBorders>
            <w:tcMar>
              <w:left w:w="0" w:type="dxa"/>
              <w:right w:w="0" w:type="dxa"/>
            </w:tcMar>
            <w:vAlign w:val="center"/>
          </w:tcPr>
          <w:p>
            <w:pPr>
              <w:autoSpaceDE/>
              <w:autoSpaceDN/>
              <w:spacing w:line="26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产出指标</w:t>
            </w:r>
          </w:p>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0"/>
                <w:szCs w:val="20"/>
              </w:rPr>
              <w:t>（50分）</w:t>
            </w:r>
          </w:p>
        </w:tc>
        <w:tc>
          <w:tcPr>
            <w:tcW w:w="908" w:type="dxa"/>
            <w:vMerge w:val="restart"/>
            <w:tcBorders>
              <w:top w:val="single" w:color="auto" w:sz="4" w:space="0"/>
              <w:left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lang w:eastAsia="zh-CN"/>
              </w:rPr>
            </w:pPr>
            <w:r>
              <w:rPr>
                <w:rFonts w:hint="eastAsia" w:ascii="Times New Roman" w:hAnsi="Times New Roman" w:eastAsia="方正仿宋_GBK" w:cs="方正仿宋_GBK"/>
                <w:color w:val="auto"/>
                <w:sz w:val="22"/>
                <w:szCs w:val="22"/>
                <w:lang w:eastAsia="zh-CN"/>
              </w:rPr>
              <w:t>数量指标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调研走访个体私营企业</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3次</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13次</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Layout w:type="fixed"/>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vMerge w:val="continue"/>
            <w:tcBorders>
              <w:left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lang w:eastAsia="zh-CN"/>
              </w:rPr>
            </w:pP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开展法律宣讲活动</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2场</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2场</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Layout w:type="fixed"/>
          <w:tblCellMar>
            <w:top w:w="0" w:type="dxa"/>
            <w:left w:w="108" w:type="dxa"/>
            <w:bottom w:w="0" w:type="dxa"/>
            <w:right w:w="108" w:type="dxa"/>
          </w:tblCellMar>
        </w:tblPrEx>
        <w:trPr>
          <w:trHeight w:val="388"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vMerge w:val="continue"/>
            <w:tcBorders>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lang w:eastAsia="zh-CN"/>
              </w:rPr>
            </w:pP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开展“能力素质提升与交流合作”活动</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1场</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2场</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Layout w:type="fixed"/>
          <w:tblCellMar>
            <w:top w:w="0" w:type="dxa"/>
            <w:left w:w="108" w:type="dxa"/>
            <w:bottom w:w="0" w:type="dxa"/>
            <w:right w:w="108" w:type="dxa"/>
          </w:tblCellMar>
        </w:tblPrEx>
        <w:trPr>
          <w:trHeight w:val="388"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vMerge w:val="continue"/>
            <w:tcBorders>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lang w:eastAsia="zh-CN"/>
              </w:rPr>
            </w:pP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开展“品牌服务”活动</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2场</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2场</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Layout w:type="fixed"/>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质量指标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个私发展指导服务工作完成率</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100%</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100%</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Layout w:type="fixed"/>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时效指标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任务完成时间</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2024年年底以前</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US" w:eastAsia="zh-CN"/>
              </w:rPr>
              <w:t>2024年年底以前</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Layout w:type="fixed"/>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vMerge w:val="restart"/>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成本指标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仿宋_GBK" w:hAnsi="方正仿宋_GBK" w:eastAsia="方正仿宋_GBK" w:cs="方正仿宋_GBK"/>
                <w:color w:val="auto"/>
                <w:sz w:val="22"/>
                <w:szCs w:val="22"/>
                <w:lang w:eastAsia="zh-CN"/>
              </w:rPr>
            </w:pPr>
            <w:r>
              <w:rPr>
                <w:rFonts w:hint="eastAsia" w:ascii="方正仿宋_GBK" w:hAnsi="方正仿宋_GBK" w:eastAsia="方正仿宋_GBK" w:cs="方正仿宋_GBK"/>
                <w:color w:val="auto"/>
                <w:sz w:val="22"/>
                <w:szCs w:val="22"/>
                <w:lang w:eastAsia="zh-CN"/>
              </w:rPr>
              <w:t>开展“品牌服务”活动成本</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rPr>
            </w:pPr>
            <w:r>
              <w:rPr>
                <w:rFonts w:hint="eastAsia" w:ascii="方正仿宋_GBK" w:hAnsi="方正仿宋_GBK" w:eastAsia="方正仿宋_GBK" w:cs="方正仿宋_GBK"/>
                <w:kern w:val="0"/>
                <w:sz w:val="22"/>
                <w:szCs w:val="22"/>
                <w:lang w:eastAsia="zh-CN"/>
              </w:rPr>
              <w:t>≤15万</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15万</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Layout w:type="fixed"/>
          <w:tblCellMar>
            <w:top w:w="0" w:type="dxa"/>
            <w:left w:w="108" w:type="dxa"/>
            <w:bottom w:w="0" w:type="dxa"/>
            <w:right w:w="108" w:type="dxa"/>
          </w:tblCellMar>
        </w:tblPrEx>
        <w:trPr>
          <w:trHeight w:val="938"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vMerge w:val="continue"/>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“能力素质提升与交流合作”活动成本</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≤10万</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4.24万</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eastAsia="zh-CN"/>
              </w:rPr>
              <w:t>因相关政策规定，</w:t>
            </w:r>
            <w:r>
              <w:rPr>
                <w:rFonts w:hint="eastAsia" w:ascii="Times New Roman" w:hAnsi="Times New Roman" w:eastAsia="方正仿宋_GBK" w:cs="方正仿宋_GBK"/>
                <w:color w:val="auto"/>
                <w:sz w:val="20"/>
                <w:szCs w:val="20"/>
                <w:lang w:val="en-US" w:eastAsia="zh-CN"/>
              </w:rPr>
              <w:t>活动场所在长沙开展，支出减少。</w:t>
            </w:r>
          </w:p>
        </w:tc>
      </w:tr>
      <w:tr>
        <w:tblPrEx>
          <w:tblLayout w:type="fixed"/>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vMerge w:val="continue"/>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法律宣讲费</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≤5万</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5万</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0"/>
                <w:szCs w:val="20"/>
              </w:rPr>
            </w:pPr>
          </w:p>
        </w:tc>
      </w:tr>
      <w:tr>
        <w:tblPrEx>
          <w:tblLayout w:type="fixed"/>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vMerge w:val="continue"/>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调研走访费用</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≤5万</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2.45万</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5</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方正仿宋_GBK" w:cs="方正仿宋_GBK"/>
                <w:color w:val="auto"/>
                <w:sz w:val="20"/>
                <w:szCs w:val="20"/>
                <w:lang w:val="en-US" w:eastAsia="zh-CN"/>
              </w:rPr>
            </w:pPr>
            <w:r>
              <w:rPr>
                <w:rFonts w:hint="eastAsia" w:ascii="Times New Roman" w:hAnsi="Times New Roman" w:eastAsia="方正仿宋_GBK" w:cs="方正仿宋_GBK"/>
                <w:color w:val="auto"/>
                <w:sz w:val="20"/>
                <w:szCs w:val="20"/>
                <w:lang w:eastAsia="zh-CN"/>
              </w:rPr>
              <w:t>响应节约政策，</w:t>
            </w:r>
            <w:r>
              <w:rPr>
                <w:rFonts w:hint="eastAsia" w:ascii="Times New Roman" w:hAnsi="Times New Roman" w:eastAsia="方正仿宋_GBK" w:cs="方正仿宋_GBK"/>
                <w:color w:val="auto"/>
                <w:sz w:val="20"/>
                <w:szCs w:val="20"/>
                <w:lang w:val="en-US" w:eastAsia="zh-CN"/>
              </w:rPr>
              <w:t>优化并调整调研流程，支出减少。</w:t>
            </w:r>
          </w:p>
        </w:tc>
      </w:tr>
      <w:tr>
        <w:tblPrEx>
          <w:tblLayout w:type="fixed"/>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效益指标</w:t>
            </w:r>
          </w:p>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（30分）</w:t>
            </w:r>
          </w:p>
        </w:tc>
        <w:tc>
          <w:tcPr>
            <w:tcW w:w="908" w:type="dxa"/>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经济效</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益指标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Layout w:type="fixed"/>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社会效</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益指标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0"/>
                <w:szCs w:val="20"/>
              </w:rPr>
              <w:t>个私发展指导服务工作</w:t>
            </w:r>
            <w:r>
              <w:rPr>
                <w:rFonts w:hint="eastAsia" w:ascii="方正仿宋_GBK" w:hAnsi="方正仿宋_GBK" w:eastAsia="方正仿宋_GBK" w:cs="方正仿宋_GBK"/>
                <w:color w:val="auto"/>
                <w:sz w:val="20"/>
                <w:szCs w:val="20"/>
                <w:lang w:eastAsia="zh-CN"/>
              </w:rPr>
              <w:t>完成率</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100%</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100%</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30</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30</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Layout w:type="fixed"/>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生态效</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益指标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lang w:val="en-US" w:eastAsia="zh-CN"/>
              </w:rPr>
            </w:pP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仿宋_GBK" w:hAnsi="方正仿宋_GBK" w:eastAsia="方正仿宋_GBK" w:cs="方正仿宋_GBK"/>
                <w:color w:val="auto"/>
                <w:sz w:val="22"/>
                <w:szCs w:val="22"/>
                <w:lang w:val="en-US" w:eastAsia="zh-CN"/>
              </w:rPr>
            </w:pP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Layout w:type="fixed"/>
          <w:tblCellMar>
            <w:top w:w="0" w:type="dxa"/>
            <w:left w:w="108" w:type="dxa"/>
            <w:bottom w:w="0" w:type="dxa"/>
            <w:right w:w="108" w:type="dxa"/>
          </w:tblCellMar>
        </w:tblPrEx>
        <w:trPr>
          <w:trHeight w:val="386"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9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可持续影响指标</w:t>
            </w:r>
          </w:p>
        </w:tc>
        <w:tc>
          <w:tcPr>
            <w:tcW w:w="123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11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104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8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97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K" w:hAnsi="方正仿宋_GBK" w:eastAsia="方正仿宋_GBK" w:cs="方正仿宋_GBK"/>
                <w:color w:val="auto"/>
                <w:sz w:val="22"/>
                <w:szCs w:val="22"/>
              </w:rPr>
            </w:pPr>
          </w:p>
        </w:tc>
        <w:tc>
          <w:tcPr>
            <w:tcW w:w="119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方正仿宋_GBK" w:cs="方正仿宋_GBK"/>
                <w:color w:val="auto"/>
                <w:sz w:val="22"/>
                <w:szCs w:val="22"/>
              </w:rPr>
            </w:pPr>
          </w:p>
        </w:tc>
      </w:tr>
      <w:tr>
        <w:tblPrEx>
          <w:tblLayout w:type="fixed"/>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c>
          <w:tcPr>
            <w:tcW w:w="10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满意度</w:t>
            </w:r>
          </w:p>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指标</w:t>
            </w:r>
          </w:p>
          <w:p>
            <w:pPr>
              <w:autoSpaceDE/>
              <w:autoSpaceDN/>
              <w:spacing w:line="240" w:lineRule="exact"/>
              <w:jc w:val="center"/>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2"/>
                <w:szCs w:val="22"/>
              </w:rPr>
              <w:t>（10分）</w:t>
            </w:r>
          </w:p>
        </w:tc>
        <w:tc>
          <w:tcPr>
            <w:tcW w:w="908" w:type="dxa"/>
            <w:tcBorders>
              <w:top w:val="single" w:color="auto" w:sz="4" w:space="0"/>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服务对象满意度指标</w:t>
            </w:r>
          </w:p>
        </w:tc>
        <w:tc>
          <w:tcPr>
            <w:tcW w:w="1230"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jc w:val="both"/>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 xml:space="preserve"> </w:t>
            </w:r>
            <w:r>
              <w:rPr>
                <w:rFonts w:hint="eastAsia" w:ascii="方正仿宋_GBK" w:hAnsi="方正仿宋_GBK" w:eastAsia="方正仿宋_GBK" w:cs="方正仿宋_GBK"/>
                <w:color w:val="auto"/>
                <w:sz w:val="20"/>
                <w:szCs w:val="20"/>
              </w:rPr>
              <w:t>全省个私企业满意度</w:t>
            </w:r>
          </w:p>
        </w:tc>
        <w:tc>
          <w:tcPr>
            <w:tcW w:w="1134"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000000"/>
                <w:kern w:val="0"/>
                <w:sz w:val="20"/>
                <w:szCs w:val="20"/>
                <w:lang w:eastAsia="zh-CN"/>
              </w:rPr>
              <w:t>≥</w:t>
            </w:r>
            <w:r>
              <w:rPr>
                <w:rFonts w:hint="eastAsia" w:ascii="方正仿宋_GBK" w:hAnsi="方正仿宋_GBK" w:eastAsia="方正仿宋_GBK" w:cs="方正仿宋_GBK"/>
                <w:color w:val="000000"/>
                <w:kern w:val="0"/>
                <w:sz w:val="20"/>
                <w:szCs w:val="20"/>
              </w:rPr>
              <w:t>90%</w:t>
            </w:r>
          </w:p>
        </w:tc>
        <w:tc>
          <w:tcPr>
            <w:tcW w:w="104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90%</w:t>
            </w:r>
          </w:p>
        </w:tc>
        <w:tc>
          <w:tcPr>
            <w:tcW w:w="80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979"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10</w:t>
            </w:r>
          </w:p>
        </w:tc>
        <w:tc>
          <w:tcPr>
            <w:tcW w:w="1198" w:type="dxa"/>
            <w:tcBorders>
              <w:top w:val="nil"/>
              <w:left w:val="nil"/>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ascii="Times New Roman" w:hAnsi="Times New Roman" w:eastAsia="方正仿宋_GBK" w:cs="方正仿宋_GBK"/>
                <w:color w:val="auto"/>
                <w:sz w:val="20"/>
                <w:szCs w:val="20"/>
              </w:rPr>
            </w:pPr>
          </w:p>
        </w:tc>
      </w:tr>
      <w:tr>
        <w:tblPrEx>
          <w:tblLayout w:type="fixed"/>
          <w:tblCellMar>
            <w:top w:w="0" w:type="dxa"/>
            <w:left w:w="108" w:type="dxa"/>
            <w:bottom w:w="0" w:type="dxa"/>
            <w:right w:w="108" w:type="dxa"/>
          </w:tblCellMar>
        </w:tblPrEx>
        <w:trPr>
          <w:trHeight w:val="283" w:hRule="atLeast"/>
          <w:jc w:val="center"/>
        </w:trPr>
        <w:tc>
          <w:tcPr>
            <w:tcW w:w="6369" w:type="dxa"/>
            <w:gridSpan w:val="6"/>
            <w:tcBorders>
              <w:top w:val="single" w:color="auto" w:sz="4" w:space="0"/>
              <w:left w:val="single" w:color="auto" w:sz="4" w:space="0"/>
              <w:bottom w:val="single" w:color="auto" w:sz="4" w:space="0"/>
              <w:right w:val="single" w:color="000000"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总分</w:t>
            </w:r>
          </w:p>
        </w:tc>
        <w:tc>
          <w:tcPr>
            <w:tcW w:w="80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100</w:t>
            </w:r>
          </w:p>
        </w:tc>
        <w:tc>
          <w:tcPr>
            <w:tcW w:w="979"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98</w:t>
            </w:r>
          </w:p>
        </w:tc>
        <w:tc>
          <w:tcPr>
            <w:tcW w:w="1198" w:type="dxa"/>
            <w:tcBorders>
              <w:top w:val="nil"/>
              <w:left w:val="nil"/>
              <w:bottom w:val="single" w:color="auto" w:sz="4" w:space="0"/>
              <w:right w:val="single" w:color="auto" w:sz="4" w:space="0"/>
            </w:tcBorders>
            <w:tcMar>
              <w:left w:w="0" w:type="dxa"/>
              <w:right w:w="0" w:type="dxa"/>
            </w:tcMar>
            <w:vAlign w:val="center"/>
          </w:tcPr>
          <w:p>
            <w:pPr>
              <w:autoSpaceDE/>
              <w:autoSpaceDN/>
              <w:spacing w:line="240" w:lineRule="exact"/>
              <w:jc w:val="center"/>
              <w:rPr>
                <w:rFonts w:hint="eastAsia" w:ascii="Times New Roman" w:hAnsi="Times New Roman" w:eastAsia="方正仿宋_GBK" w:cs="方正仿宋_GBK"/>
                <w:color w:val="auto"/>
                <w:sz w:val="22"/>
                <w:szCs w:val="22"/>
              </w:rPr>
            </w:pPr>
          </w:p>
        </w:tc>
      </w:tr>
    </w:tbl>
    <w:p>
      <w:pPr>
        <w:kinsoku/>
        <w:topLinePunct/>
        <w:autoSpaceDE/>
        <w:autoSpaceDN/>
        <w:spacing w:line="400" w:lineRule="exact"/>
        <w:jc w:val="both"/>
        <w:rPr>
          <w:rFonts w:hint="eastAsia" w:ascii="方正仿宋_GBK" w:hAnsi="方正仿宋_GBK" w:eastAsia="方正仿宋_GBK" w:cs="方正仿宋_GBK"/>
          <w:color w:val="auto"/>
        </w:rPr>
        <w:sectPr>
          <w:footerReference r:id="rId5" w:type="default"/>
          <w:pgSz w:w="11905" w:h="16840"/>
          <w:pgMar w:top="1984" w:right="1474" w:bottom="1474" w:left="1474" w:header="850" w:footer="1134" w:gutter="0"/>
          <w:pgNumType w:fmt="decimal"/>
          <w:cols w:space="720" w:num="1"/>
        </w:sectPr>
      </w:pPr>
      <w:r>
        <w:rPr>
          <w:rFonts w:hint="eastAsia" w:ascii="方正仿宋_GBK" w:hAnsi="方正仿宋_GBK" w:eastAsia="方正仿宋_GBK" w:cs="方正仿宋_GBK"/>
          <w:color w:val="auto"/>
          <w:sz w:val="22"/>
          <w:szCs w:val="22"/>
        </w:rPr>
        <w:t xml:space="preserve">填表人： </w:t>
      </w:r>
      <w:r>
        <w:rPr>
          <w:rFonts w:hint="eastAsia" w:ascii="方正仿宋_GBK" w:hAnsi="方正仿宋_GBK" w:eastAsia="方正仿宋_GBK" w:cs="方正仿宋_GBK"/>
          <w:color w:val="auto"/>
          <w:sz w:val="22"/>
          <w:szCs w:val="22"/>
          <w:lang w:eastAsia="zh-CN"/>
        </w:rPr>
        <w:t>庞桠文</w:t>
      </w:r>
      <w:r>
        <w:rPr>
          <w:rFonts w:hint="eastAsia" w:ascii="方正仿宋_GBK" w:hAnsi="方正仿宋_GBK" w:eastAsia="方正仿宋_GBK" w:cs="方正仿宋_GBK"/>
          <w:color w:val="auto"/>
          <w:sz w:val="22"/>
          <w:szCs w:val="22"/>
          <w:lang w:val="en-US" w:eastAsia="zh-CN"/>
        </w:rPr>
        <w:t xml:space="preserve">  </w:t>
      </w:r>
      <w:r>
        <w:rPr>
          <w:rFonts w:hint="eastAsia" w:ascii="方正仿宋_GBK" w:hAnsi="方正仿宋_GBK" w:eastAsia="方正仿宋_GBK" w:cs="方正仿宋_GBK"/>
          <w:color w:val="auto"/>
          <w:sz w:val="22"/>
          <w:szCs w:val="22"/>
        </w:rPr>
        <w:t xml:space="preserve">填报日期： </w:t>
      </w:r>
      <w:r>
        <w:rPr>
          <w:rFonts w:hint="eastAsia" w:ascii="宋体" w:hAnsi="宋体" w:eastAsia="宋体" w:cs="宋体"/>
          <w:sz w:val="22"/>
          <w:lang w:val="en-US" w:eastAsia="zh-CN"/>
        </w:rPr>
        <w:t>202</w:t>
      </w:r>
      <w:r>
        <w:rPr>
          <w:rFonts w:hint="eastAsia" w:ascii="宋体" w:hAnsi="宋体" w:cs="宋体"/>
          <w:sz w:val="22"/>
          <w:lang w:val="en-US" w:eastAsia="zh-CN"/>
        </w:rPr>
        <w:t>5/</w:t>
      </w:r>
      <w:r>
        <w:rPr>
          <w:rFonts w:hint="eastAsia" w:ascii="宋体" w:hAnsi="宋体" w:eastAsia="宋体" w:cs="宋体"/>
          <w:sz w:val="22"/>
          <w:lang w:val="en-US" w:eastAsia="zh-CN"/>
        </w:rPr>
        <w:t>3</w:t>
      </w:r>
      <w:r>
        <w:rPr>
          <w:rFonts w:hint="eastAsia" w:ascii="宋体" w:hAnsi="宋体" w:cs="宋体"/>
          <w:sz w:val="22"/>
          <w:lang w:val="en-US" w:eastAsia="zh-CN"/>
        </w:rPr>
        <w:t>/28</w:t>
      </w:r>
      <w:r>
        <w:rPr>
          <w:rFonts w:hint="eastAsia" w:ascii="方正仿宋_GBK" w:hAnsi="方正仿宋_GBK" w:eastAsia="方正仿宋_GBK" w:cs="方正仿宋_GBK"/>
          <w:color w:val="auto"/>
          <w:sz w:val="22"/>
          <w:szCs w:val="22"/>
        </w:rPr>
        <w:t xml:space="preserve">  联系电话：</w:t>
      </w:r>
      <w:r>
        <w:rPr>
          <w:rFonts w:hint="eastAsia" w:ascii="方正仿宋_GBK" w:hAnsi="方正仿宋_GBK" w:eastAsia="方正仿宋_GBK" w:cs="方正仿宋_GBK"/>
          <w:color w:val="auto"/>
          <w:sz w:val="22"/>
          <w:szCs w:val="22"/>
          <w:lang w:val="en-US" w:eastAsia="zh-CN"/>
        </w:rPr>
        <w:t>13574880456</w:t>
      </w:r>
      <w:r>
        <w:rPr>
          <w:rFonts w:hint="eastAsia" w:ascii="方正仿宋_GBK" w:hAnsi="方正仿宋_GBK" w:eastAsia="方正仿宋_GBK" w:cs="方正仿宋_GBK"/>
          <w:color w:val="auto"/>
          <w:sz w:val="22"/>
          <w:szCs w:val="22"/>
        </w:rPr>
        <w:t xml:space="preserve">   单位负责人签字：</w:t>
      </w:r>
    </w:p>
    <w:p>
      <w:pPr>
        <w:autoSpaceDE/>
        <w:autoSpaceDN/>
        <w:spacing w:line="600" w:lineRule="exact"/>
        <w:rPr>
          <w:rFonts w:hint="eastAsia"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rPr>
        <w:t>7</w:t>
      </w:r>
    </w:p>
    <w:p>
      <w:pPr>
        <w:autoSpaceDE/>
        <w:autoSpaceDN/>
        <w:spacing w:before="468" w:beforeLines="150" w:after="468" w:afterLines="150" w:line="600" w:lineRule="exact"/>
        <w:jc w:val="center"/>
        <w:rPr>
          <w:rFonts w:hint="eastAsia"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各类支出标准体系建设情况表</w:t>
      </w:r>
    </w:p>
    <w:tbl>
      <w:tblPr>
        <w:tblStyle w:val="10"/>
        <w:tblW w:w="1417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137"/>
        <w:gridCol w:w="1657"/>
        <w:gridCol w:w="1897"/>
        <w:gridCol w:w="1897"/>
        <w:gridCol w:w="1701"/>
        <w:gridCol w:w="2094"/>
        <w:gridCol w:w="19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8" w:type="dxa"/>
            <w:vAlign w:val="center"/>
          </w:tcPr>
          <w:p>
            <w:pPr>
              <w:widowControl/>
              <w:autoSpaceDE/>
              <w:autoSpaceDN/>
              <w:spacing w:line="3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序号</w:t>
            </w:r>
          </w:p>
        </w:tc>
        <w:tc>
          <w:tcPr>
            <w:tcW w:w="2137" w:type="dxa"/>
            <w:vAlign w:val="center"/>
          </w:tcPr>
          <w:p>
            <w:pPr>
              <w:widowControl/>
              <w:autoSpaceDE/>
              <w:autoSpaceDN/>
              <w:spacing w:line="3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标准制定单位名称</w:t>
            </w:r>
          </w:p>
        </w:tc>
        <w:tc>
          <w:tcPr>
            <w:tcW w:w="1657" w:type="dxa"/>
            <w:vAlign w:val="top"/>
          </w:tcPr>
          <w:p>
            <w:pPr>
              <w:widowControl/>
              <w:autoSpaceDE/>
              <w:autoSpaceDN/>
              <w:spacing w:line="4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支出标准</w:t>
            </w:r>
          </w:p>
        </w:tc>
        <w:tc>
          <w:tcPr>
            <w:tcW w:w="1897" w:type="dxa"/>
            <w:vAlign w:val="top"/>
          </w:tcPr>
          <w:p>
            <w:pPr>
              <w:widowControl/>
              <w:autoSpaceDE/>
              <w:autoSpaceDN/>
              <w:spacing w:line="4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标准文件名</w:t>
            </w:r>
          </w:p>
        </w:tc>
        <w:tc>
          <w:tcPr>
            <w:tcW w:w="1897" w:type="dxa"/>
            <w:vAlign w:val="top"/>
          </w:tcPr>
          <w:p>
            <w:pPr>
              <w:widowControl/>
              <w:autoSpaceDE/>
              <w:autoSpaceDN/>
              <w:spacing w:line="400" w:lineRule="exact"/>
              <w:jc w:val="center"/>
              <w:rPr>
                <w:rFonts w:hint="eastAsia" w:ascii="Times New Roman" w:hAnsi="Times New Roman" w:eastAsia="方正仿宋_GBK" w:cs="方正仿宋_GBK"/>
                <w:b/>
                <w:color w:val="auto"/>
                <w:sz w:val="32"/>
                <w:szCs w:val="32"/>
              </w:rPr>
            </w:pPr>
            <w:r>
              <w:rPr>
                <w:rFonts w:hint="eastAsia" w:ascii="Times New Roman" w:hAnsi="Times New Roman" w:eastAsia="方正仿宋_GBK" w:cs="方正仿宋_GBK"/>
                <w:b/>
                <w:color w:val="auto"/>
              </w:rPr>
              <w:t>标准发布时间</w:t>
            </w:r>
          </w:p>
        </w:tc>
        <w:tc>
          <w:tcPr>
            <w:tcW w:w="1701" w:type="dxa"/>
            <w:vAlign w:val="top"/>
          </w:tcPr>
          <w:p>
            <w:pPr>
              <w:widowControl/>
              <w:autoSpaceDE/>
              <w:autoSpaceDN/>
              <w:spacing w:line="4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标准文号</w:t>
            </w:r>
          </w:p>
        </w:tc>
        <w:tc>
          <w:tcPr>
            <w:tcW w:w="2094" w:type="dxa"/>
            <w:vAlign w:val="top"/>
          </w:tcPr>
          <w:p>
            <w:pPr>
              <w:widowControl/>
              <w:autoSpaceDE/>
              <w:autoSpaceDN/>
              <w:spacing w:line="400" w:lineRule="exact"/>
              <w:jc w:val="center"/>
              <w:rPr>
                <w:rFonts w:hint="eastAsia" w:ascii="Times New Roman" w:hAnsi="Times New Roman" w:eastAsia="方正仿宋_GBK" w:cs="方正仿宋_GBK"/>
                <w:b/>
                <w:color w:val="auto"/>
                <w:sz w:val="32"/>
                <w:szCs w:val="32"/>
              </w:rPr>
            </w:pPr>
            <w:r>
              <w:rPr>
                <w:rFonts w:hint="eastAsia" w:ascii="Times New Roman" w:hAnsi="Times New Roman" w:eastAsia="方正仿宋_GBK" w:cs="方正仿宋_GBK"/>
                <w:b/>
                <w:color w:val="auto"/>
              </w:rPr>
              <w:t>标准相关条款</w:t>
            </w:r>
          </w:p>
        </w:tc>
        <w:tc>
          <w:tcPr>
            <w:tcW w:w="1992" w:type="dxa"/>
            <w:vAlign w:val="top"/>
          </w:tcPr>
          <w:p>
            <w:pPr>
              <w:widowControl/>
              <w:autoSpaceDE/>
              <w:autoSpaceDN/>
              <w:spacing w:line="4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标准制定依据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8"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137" w:type="dxa"/>
            <w:vAlign w:val="top"/>
          </w:tcPr>
          <w:p>
            <w:pPr>
              <w:widowControl/>
              <w:autoSpaceDE/>
              <w:autoSpaceDN/>
              <w:spacing w:line="400" w:lineRule="exact"/>
              <w:jc w:val="center"/>
              <w:rPr>
                <w:rFonts w:hint="eastAsia" w:ascii="Times New Roman" w:hAnsi="Times New Roman" w:eastAsia="方正仿宋_GBK" w:cs="方正仿宋_GBK"/>
                <w:color w:val="auto"/>
                <w:sz w:val="20"/>
                <w:szCs w:val="20"/>
              </w:rPr>
            </w:pPr>
          </w:p>
        </w:tc>
        <w:tc>
          <w:tcPr>
            <w:tcW w:w="1657" w:type="dxa"/>
            <w:vAlign w:val="top"/>
          </w:tcPr>
          <w:p>
            <w:pPr>
              <w:widowControl/>
              <w:autoSpaceDE/>
              <w:autoSpaceDN/>
              <w:spacing w:line="40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8"/>
                <w:szCs w:val="28"/>
                <w:lang w:eastAsia="zh-CN"/>
              </w:rPr>
              <w:t>无</w:t>
            </w: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701"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094"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992"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8"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13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65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701"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094"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992"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8"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13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65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701"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094"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992"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8"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13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65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701"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094"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992"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8"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13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65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701"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094"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992"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8"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13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65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701"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094"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992"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8"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13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65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897"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701"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2094"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c>
          <w:tcPr>
            <w:tcW w:w="1992" w:type="dxa"/>
            <w:vAlign w:val="top"/>
          </w:tcPr>
          <w:p>
            <w:pPr>
              <w:widowControl/>
              <w:autoSpaceDE/>
              <w:autoSpaceDN/>
              <w:spacing w:line="400" w:lineRule="exact"/>
              <w:jc w:val="left"/>
              <w:rPr>
                <w:rFonts w:hint="eastAsia" w:ascii="Times New Roman" w:hAnsi="Times New Roman" w:eastAsia="方正仿宋_GBK" w:cs="方正仿宋_GBK"/>
                <w:color w:val="auto"/>
                <w:sz w:val="20"/>
                <w:szCs w:val="20"/>
              </w:rPr>
            </w:pPr>
          </w:p>
        </w:tc>
      </w:tr>
    </w:tbl>
    <w:p>
      <w:pPr>
        <w:autoSpaceDE/>
        <w:autoSpaceDN/>
        <w:spacing w:line="600" w:lineRule="exact"/>
        <w:rPr>
          <w:rFonts w:hint="eastAsia" w:ascii="Times New Roman" w:hAnsi="Times New Roman" w:eastAsia="黑体" w:cs="Times New Roman"/>
          <w:color w:val="auto"/>
          <w:spacing w:val="-25"/>
          <w:position w:val="1"/>
          <w:sz w:val="32"/>
          <w:szCs w:val="32"/>
        </w:rPr>
      </w:pPr>
      <w:r>
        <w:rPr>
          <w:rFonts w:ascii="Times New Roman" w:hAnsi="Times New Roman" w:cs="Times New Roman"/>
          <w:color w:val="auto"/>
        </w:rPr>
        <w:br w:type="page"/>
      </w:r>
      <w:r>
        <w:rPr>
          <w:rFonts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rPr>
        <w:t>8</w:t>
      </w:r>
    </w:p>
    <w:p>
      <w:pPr>
        <w:autoSpaceDE/>
        <w:autoSpaceDN/>
        <w:spacing w:before="468" w:beforeLines="150" w:after="468" w:afterLines="150" w:line="600" w:lineRule="exact"/>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预算绩效管理制度建设清单</w:t>
      </w:r>
    </w:p>
    <w:tbl>
      <w:tblPr>
        <w:tblStyle w:val="10"/>
        <w:tblW w:w="1417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190"/>
        <w:gridCol w:w="2190"/>
        <w:gridCol w:w="2190"/>
        <w:gridCol w:w="1963"/>
        <w:gridCol w:w="2418"/>
        <w:gridCol w:w="23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2" w:type="dxa"/>
            <w:vAlign w:val="center"/>
          </w:tcPr>
          <w:p>
            <w:pPr>
              <w:widowControl/>
              <w:autoSpaceDE/>
              <w:autoSpaceDN/>
              <w:spacing w:line="3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序号</w:t>
            </w:r>
          </w:p>
        </w:tc>
        <w:tc>
          <w:tcPr>
            <w:tcW w:w="2190" w:type="dxa"/>
            <w:vAlign w:val="center"/>
          </w:tcPr>
          <w:p>
            <w:pPr>
              <w:widowControl/>
              <w:autoSpaceDE/>
              <w:autoSpaceDN/>
              <w:spacing w:line="3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单位名称</w:t>
            </w:r>
          </w:p>
        </w:tc>
        <w:tc>
          <w:tcPr>
            <w:tcW w:w="2190" w:type="dxa"/>
            <w:vAlign w:val="center"/>
          </w:tcPr>
          <w:p>
            <w:pPr>
              <w:widowControl/>
              <w:autoSpaceDE/>
              <w:autoSpaceDN/>
              <w:spacing w:line="4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制度名称</w:t>
            </w:r>
          </w:p>
        </w:tc>
        <w:tc>
          <w:tcPr>
            <w:tcW w:w="2190" w:type="dxa"/>
            <w:vAlign w:val="center"/>
          </w:tcPr>
          <w:p>
            <w:pPr>
              <w:widowControl/>
              <w:autoSpaceDE/>
              <w:autoSpaceDN/>
              <w:spacing w:line="400" w:lineRule="exact"/>
              <w:jc w:val="center"/>
              <w:rPr>
                <w:rFonts w:hint="eastAsia" w:ascii="Times New Roman" w:hAnsi="Times New Roman" w:eastAsia="方正仿宋_GBK" w:cs="方正仿宋_GBK"/>
                <w:b/>
                <w:color w:val="auto"/>
                <w:sz w:val="32"/>
                <w:szCs w:val="32"/>
              </w:rPr>
            </w:pPr>
            <w:r>
              <w:rPr>
                <w:rFonts w:hint="eastAsia" w:ascii="Times New Roman" w:hAnsi="Times New Roman" w:eastAsia="方正仿宋_GBK" w:cs="方正仿宋_GBK"/>
                <w:b/>
                <w:color w:val="auto"/>
              </w:rPr>
              <w:t>建设时间</w:t>
            </w:r>
          </w:p>
        </w:tc>
        <w:tc>
          <w:tcPr>
            <w:tcW w:w="1963" w:type="dxa"/>
            <w:vAlign w:val="center"/>
          </w:tcPr>
          <w:p>
            <w:pPr>
              <w:widowControl/>
              <w:autoSpaceDE/>
              <w:autoSpaceDN/>
              <w:spacing w:line="4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制度文号</w:t>
            </w:r>
          </w:p>
        </w:tc>
        <w:tc>
          <w:tcPr>
            <w:tcW w:w="2418" w:type="dxa"/>
            <w:vAlign w:val="center"/>
          </w:tcPr>
          <w:p>
            <w:pPr>
              <w:widowControl/>
              <w:autoSpaceDE/>
              <w:autoSpaceDN/>
              <w:spacing w:line="400" w:lineRule="exact"/>
              <w:jc w:val="center"/>
              <w:rPr>
                <w:rFonts w:hint="eastAsia" w:ascii="Times New Roman" w:hAnsi="Times New Roman" w:eastAsia="方正仿宋_GBK" w:cs="方正仿宋_GBK"/>
                <w:b/>
                <w:color w:val="auto"/>
                <w:sz w:val="32"/>
                <w:szCs w:val="32"/>
              </w:rPr>
            </w:pPr>
            <w:r>
              <w:rPr>
                <w:rFonts w:hint="eastAsia" w:ascii="Times New Roman" w:hAnsi="Times New Roman" w:eastAsia="方正仿宋_GBK" w:cs="方正仿宋_GBK"/>
                <w:b/>
                <w:color w:val="auto"/>
              </w:rPr>
              <w:t>制定依据</w:t>
            </w:r>
          </w:p>
        </w:tc>
        <w:tc>
          <w:tcPr>
            <w:tcW w:w="2300" w:type="dxa"/>
            <w:vAlign w:val="center"/>
          </w:tcPr>
          <w:p>
            <w:pPr>
              <w:widowControl/>
              <w:autoSpaceDE/>
              <w:autoSpaceDN/>
              <w:spacing w:line="40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2"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28"/>
                <w:szCs w:val="28"/>
                <w:lang w:eastAsia="zh-CN"/>
              </w:rPr>
              <w:t>湖南省市场监管事务中心</w:t>
            </w:r>
          </w:p>
        </w:tc>
        <w:tc>
          <w:tcPr>
            <w:tcW w:w="2190" w:type="dxa"/>
            <w:vAlign w:val="center"/>
          </w:tcPr>
          <w:p>
            <w:pPr>
              <w:autoSpaceDE/>
              <w:autoSpaceDN/>
              <w:spacing w:line="360" w:lineRule="exact"/>
              <w:jc w:val="center"/>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无</w:t>
            </w: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1963"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418"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30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2"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autoSpaceDE/>
              <w:autoSpaceDN/>
              <w:spacing w:line="360" w:lineRule="exac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1963"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418"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30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2"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1963"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418"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30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2"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1963"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418"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30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2"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1963"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418"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30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2"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1963"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418"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30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2"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19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1963"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418"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c>
          <w:tcPr>
            <w:tcW w:w="2300" w:type="dxa"/>
            <w:vAlign w:val="center"/>
          </w:tcPr>
          <w:p>
            <w:pPr>
              <w:widowControl/>
              <w:autoSpaceDE/>
              <w:autoSpaceDN/>
              <w:spacing w:line="400" w:lineRule="exact"/>
              <w:jc w:val="left"/>
              <w:rPr>
                <w:rFonts w:hint="eastAsia" w:ascii="Times New Roman" w:hAnsi="Times New Roman" w:eastAsia="方正仿宋_GBK" w:cs="方正仿宋_GBK"/>
                <w:color w:val="auto"/>
                <w:sz w:val="32"/>
                <w:szCs w:val="32"/>
              </w:rPr>
            </w:pPr>
          </w:p>
        </w:tc>
      </w:tr>
    </w:tbl>
    <w:p>
      <w:pPr>
        <w:autoSpaceDE/>
        <w:autoSpaceDN/>
        <w:spacing w:line="400" w:lineRule="exact"/>
        <w:ind w:right="480" w:rightChars="200"/>
        <w:rPr>
          <w:rFonts w:ascii="Times New Roman" w:hAnsi="Times New Roman" w:eastAsia="微软雅黑" w:cs="Times New Roman"/>
          <w:color w:val="auto"/>
          <w:sz w:val="32"/>
          <w:szCs w:val="32"/>
        </w:rPr>
      </w:pPr>
    </w:p>
    <w:p>
      <w:pPr>
        <w:autoSpaceDE/>
        <w:autoSpaceDN/>
        <w:spacing w:line="400" w:lineRule="exact"/>
        <w:ind w:firstLine="712" w:firstLineChars="200"/>
        <w:rPr>
          <w:rFonts w:ascii="Times New Roman" w:hAnsi="Times New Roman" w:eastAsia="仿宋_GB2312" w:cs="Times New Roman"/>
          <w:color w:val="auto"/>
          <w:spacing w:val="18"/>
          <w:sz w:val="32"/>
          <w:szCs w:val="32"/>
        </w:rPr>
        <w:sectPr>
          <w:footerReference r:id="rId6" w:type="default"/>
          <w:pgSz w:w="16838" w:h="11906" w:orient="landscape"/>
          <w:pgMar w:top="1474" w:right="1474" w:bottom="1474" w:left="1474" w:header="851" w:footer="1134" w:gutter="0"/>
          <w:pgNumType w:fmt="decimal"/>
          <w:cols w:space="720" w:num="1"/>
          <w:docGrid w:type="lines" w:linePitch="312" w:charSpace="0"/>
        </w:sectPr>
      </w:pPr>
    </w:p>
    <w:p>
      <w:pPr>
        <w:autoSpaceDE/>
        <w:autoSpaceDN/>
        <w:spacing w:before="104" w:line="425" w:lineRule="exact"/>
        <w:ind w:left="69"/>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rPr>
        <w:t>9</w:t>
      </w:r>
    </w:p>
    <w:p>
      <w:pPr>
        <w:autoSpaceDE/>
        <w:autoSpaceDN/>
        <w:spacing w:before="468" w:beforeLines="150" w:after="468" w:afterLines="150" w:line="600"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单位整体支出绩效自评工作考核评分表</w:t>
      </w:r>
    </w:p>
    <w:tbl>
      <w:tblPr>
        <w:tblStyle w:val="9"/>
        <w:tblW w:w="935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13"/>
        <w:gridCol w:w="4689"/>
        <w:gridCol w:w="28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12" w:type="dxa"/>
            <w:vAlign w:val="center"/>
          </w:tcPr>
          <w:p>
            <w:pPr>
              <w:autoSpaceDE/>
              <w:autoSpaceDN/>
              <w:spacing w:line="34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一级指标</w:t>
            </w:r>
          </w:p>
        </w:tc>
        <w:tc>
          <w:tcPr>
            <w:tcW w:w="1113" w:type="dxa"/>
            <w:vAlign w:val="center"/>
          </w:tcPr>
          <w:p>
            <w:pPr>
              <w:autoSpaceDE/>
              <w:autoSpaceDN/>
              <w:spacing w:line="34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二级指标</w:t>
            </w:r>
          </w:p>
        </w:tc>
        <w:tc>
          <w:tcPr>
            <w:tcW w:w="4689" w:type="dxa"/>
            <w:vAlign w:val="center"/>
          </w:tcPr>
          <w:p>
            <w:pPr>
              <w:autoSpaceDE/>
              <w:autoSpaceDN/>
              <w:spacing w:line="34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评分标准</w:t>
            </w:r>
          </w:p>
        </w:tc>
        <w:tc>
          <w:tcPr>
            <w:tcW w:w="2840" w:type="dxa"/>
            <w:vAlign w:val="center"/>
          </w:tcPr>
          <w:p>
            <w:pPr>
              <w:autoSpaceDE/>
              <w:autoSpaceDN/>
              <w:spacing w:line="340" w:lineRule="exact"/>
              <w:jc w:val="center"/>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所需佐证材料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restart"/>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布置工作</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（5）</w:t>
            </w:r>
          </w:p>
        </w:tc>
        <w:tc>
          <w:tcPr>
            <w:tcW w:w="1113" w:type="dxa"/>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自评通知</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（3分）</w:t>
            </w:r>
          </w:p>
        </w:tc>
        <w:tc>
          <w:tcPr>
            <w:tcW w:w="4689" w:type="dxa"/>
            <w:vAlign w:val="center"/>
          </w:tcPr>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组织本单位内设部门开展绩效自评，有相关文件的得3分，否则不得分。</w:t>
            </w:r>
          </w:p>
        </w:tc>
        <w:tc>
          <w:tcPr>
            <w:tcW w:w="2840" w:type="dxa"/>
            <w:vAlign w:val="center"/>
          </w:tcPr>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绩效自评通知盖章的电子版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autoSpaceDE/>
              <w:autoSpaceDN/>
              <w:spacing w:line="340" w:lineRule="exact"/>
              <w:jc w:val="center"/>
              <w:rPr>
                <w:rFonts w:hint="eastAsia" w:ascii="Times New Roman" w:hAnsi="Times New Roman" w:eastAsia="方正仿宋_GBK" w:cs="方正仿宋_GBK"/>
                <w:color w:val="auto"/>
                <w:sz w:val="20"/>
                <w:szCs w:val="20"/>
              </w:rPr>
            </w:pPr>
          </w:p>
        </w:tc>
        <w:tc>
          <w:tcPr>
            <w:tcW w:w="1113" w:type="dxa"/>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工作小组</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（2分）</w:t>
            </w:r>
          </w:p>
        </w:tc>
        <w:tc>
          <w:tcPr>
            <w:tcW w:w="4689" w:type="dxa"/>
            <w:vAlign w:val="center"/>
          </w:tcPr>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成立绩效自评工作小组的得2分，否则不得分。</w:t>
            </w:r>
          </w:p>
        </w:tc>
        <w:tc>
          <w:tcPr>
            <w:tcW w:w="2840" w:type="dxa"/>
            <w:vAlign w:val="center"/>
          </w:tcPr>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本单位预算绩效管理领导小组/绩效评价工作小组有关文件盖章的电子版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restart"/>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绩效管理基础工作</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10分</w:t>
            </w:r>
          </w:p>
        </w:tc>
        <w:tc>
          <w:tcPr>
            <w:tcW w:w="1113" w:type="dxa"/>
            <w:vAlign w:val="center"/>
          </w:tcPr>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绩效目标</w:t>
            </w:r>
          </w:p>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管理</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（5分）</w:t>
            </w:r>
          </w:p>
        </w:tc>
        <w:tc>
          <w:tcPr>
            <w:tcW w:w="4689" w:type="dxa"/>
            <w:vAlign w:val="center"/>
          </w:tcPr>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每个单位均要按要求开展绩效自查，对照年初绩效目标批复表，完成绩效评价，计1分；</w:t>
            </w:r>
            <w:r>
              <w:rPr>
                <w:rFonts w:hint="eastAsia" w:ascii="Times New Roman" w:hAnsi="Times New Roman" w:eastAsia="方正仿宋_GBK" w:cs="方正仿宋_GBK"/>
                <w:color w:val="auto"/>
                <w:sz w:val="20"/>
                <w:szCs w:val="20"/>
                <w:lang w:bidi="ar"/>
              </w:rPr>
              <w:t>有专项资金的直属机构应积极对接归口管理处室获取绩效目标分解表的，计2分；积极主动对接归口管理处室，并汇总绩效目标表的，计2分。</w:t>
            </w:r>
          </w:p>
        </w:tc>
        <w:tc>
          <w:tcPr>
            <w:tcW w:w="2840" w:type="dxa"/>
            <w:vAlign w:val="center"/>
          </w:tcPr>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绩效目标汇总表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autoSpaceDE/>
              <w:autoSpaceDN/>
              <w:spacing w:line="340" w:lineRule="exact"/>
              <w:jc w:val="center"/>
              <w:rPr>
                <w:rFonts w:hint="eastAsia" w:ascii="Times New Roman" w:hAnsi="Times New Roman" w:eastAsia="方正仿宋_GBK" w:cs="方正仿宋_GBK"/>
                <w:color w:val="auto"/>
                <w:sz w:val="20"/>
                <w:szCs w:val="20"/>
              </w:rPr>
            </w:pPr>
          </w:p>
        </w:tc>
        <w:tc>
          <w:tcPr>
            <w:tcW w:w="1113" w:type="dxa"/>
            <w:vAlign w:val="center"/>
          </w:tcPr>
          <w:p>
            <w:pPr>
              <w:autoSpaceDE/>
              <w:autoSpaceDN/>
              <w:spacing w:line="34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项目管理</w:t>
            </w:r>
          </w:p>
          <w:p>
            <w:pPr>
              <w:autoSpaceDE/>
              <w:autoSpaceDN/>
              <w:spacing w:line="34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情况</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（5分）</w:t>
            </w:r>
          </w:p>
        </w:tc>
        <w:tc>
          <w:tcPr>
            <w:tcW w:w="4689" w:type="dxa"/>
            <w:vAlign w:val="center"/>
          </w:tcPr>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制定发文的项目管理制度，制度应包含项目的绩效目标设置、资金分配、分配因素、项目绩效管理、项目验收、资料归档等方面的内容，全部包含计5分，每发现缺少一项扣1分，扣完为止。</w:t>
            </w:r>
          </w:p>
        </w:tc>
        <w:tc>
          <w:tcPr>
            <w:tcW w:w="2840" w:type="dxa"/>
            <w:vAlign w:val="center"/>
          </w:tcPr>
          <w:p>
            <w:pPr>
              <w:autoSpaceDE/>
              <w:autoSpaceDN/>
              <w:spacing w:line="340" w:lineRule="exact"/>
              <w:jc w:val="both"/>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项目管理制度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restart"/>
            <w:vAlign w:val="center"/>
          </w:tcPr>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绩效运行监控情况</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（5分）</w:t>
            </w:r>
          </w:p>
        </w:tc>
        <w:tc>
          <w:tcPr>
            <w:tcW w:w="1113" w:type="dxa"/>
            <w:vAlign w:val="center"/>
          </w:tcPr>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监控执行性（2分）</w:t>
            </w:r>
          </w:p>
        </w:tc>
        <w:tc>
          <w:tcPr>
            <w:tcW w:w="4689" w:type="dxa"/>
            <w:vAlign w:val="center"/>
          </w:tcPr>
          <w:p>
            <w:pPr>
              <w:autoSpaceDE/>
              <w:autoSpaceDN/>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是否在规定时间内提交预算执行进度和绩效目标完成情况“双监控”表格的，每推迟1个工作日扣1分，扣完为止。</w:t>
            </w:r>
          </w:p>
        </w:tc>
        <w:tc>
          <w:tcPr>
            <w:tcW w:w="2840" w:type="dxa"/>
            <w:vMerge w:val="restart"/>
            <w:vAlign w:val="center"/>
          </w:tcPr>
          <w:p>
            <w:pPr>
              <w:autoSpaceDE/>
              <w:autoSpaceDN/>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2023年度绩效运行监控报告、绩效运行监控表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2" w:type="dxa"/>
            <w:vMerge w:val="continue"/>
            <w:vAlign w:val="center"/>
          </w:tcPr>
          <w:p>
            <w:pPr>
              <w:autoSpaceDE/>
              <w:autoSpaceDN/>
              <w:spacing w:line="340" w:lineRule="exact"/>
              <w:jc w:val="center"/>
              <w:rPr>
                <w:rFonts w:hint="eastAsia" w:ascii="Times New Roman" w:hAnsi="Times New Roman" w:eastAsia="方正仿宋_GBK" w:cs="方正仿宋_GBK"/>
                <w:color w:val="auto"/>
                <w:sz w:val="20"/>
                <w:szCs w:val="20"/>
                <w:lang w:bidi="ar"/>
              </w:rPr>
            </w:pPr>
          </w:p>
        </w:tc>
        <w:tc>
          <w:tcPr>
            <w:tcW w:w="1113" w:type="dxa"/>
            <w:vAlign w:val="center"/>
          </w:tcPr>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监控有效性（3分）</w:t>
            </w:r>
          </w:p>
        </w:tc>
        <w:tc>
          <w:tcPr>
            <w:tcW w:w="4689" w:type="dxa"/>
            <w:vAlign w:val="center"/>
          </w:tcPr>
          <w:p>
            <w:pPr>
              <w:kinsoku/>
              <w:autoSpaceDE/>
              <w:autoSpaceDN/>
              <w:adjustRightInd/>
              <w:snapToGrid/>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①是否存在未经批复随意改动绩效指标的情况，如有扣1分；</w:t>
            </w:r>
          </w:p>
          <w:p>
            <w:pPr>
              <w:kinsoku/>
              <w:autoSpaceDE/>
              <w:autoSpaceDN/>
              <w:adjustRightInd/>
              <w:snapToGrid/>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②绩效目标有偏差，未对偏差原因进行分析，提出整改措施的，每发现一项扣1分，扣完为止。</w:t>
            </w:r>
          </w:p>
        </w:tc>
        <w:tc>
          <w:tcPr>
            <w:tcW w:w="2840" w:type="dxa"/>
            <w:vMerge w:val="continue"/>
            <w:vAlign w:val="center"/>
          </w:tcPr>
          <w:p>
            <w:pPr>
              <w:kinsoku/>
              <w:autoSpaceDE/>
              <w:autoSpaceDN/>
              <w:adjustRightInd/>
              <w:snapToGrid/>
              <w:spacing w:line="340" w:lineRule="exact"/>
              <w:jc w:val="both"/>
              <w:textAlignment w:val="center"/>
              <w:rPr>
                <w:rFonts w:hint="eastAsia" w:ascii="Times New Roman" w:hAnsi="Times New Roman" w:eastAsia="方正仿宋_GBK" w:cs="方正仿宋_GBK"/>
                <w:color w:val="auto"/>
                <w:sz w:val="20"/>
                <w:szCs w:val="20"/>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712" w:type="dxa"/>
            <w:vMerge w:val="restart"/>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资金绩效情况</w:t>
            </w:r>
          </w:p>
          <w:p>
            <w:pPr>
              <w:autoSpaceDE/>
              <w:autoSpaceDN/>
              <w:spacing w:line="340" w:lineRule="exact"/>
              <w:jc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10分</w:t>
            </w:r>
          </w:p>
        </w:tc>
        <w:tc>
          <w:tcPr>
            <w:tcW w:w="1113" w:type="dxa"/>
            <w:vAlign w:val="center"/>
          </w:tcPr>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预算执行</w:t>
            </w:r>
          </w:p>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情况</w:t>
            </w:r>
          </w:p>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（5分）</w:t>
            </w:r>
          </w:p>
        </w:tc>
        <w:tc>
          <w:tcPr>
            <w:tcW w:w="4689" w:type="dxa"/>
            <w:vAlign w:val="center"/>
          </w:tcPr>
          <w:p>
            <w:pPr>
              <w:kinsoku/>
              <w:autoSpaceDE/>
              <w:autoSpaceDN/>
              <w:adjustRightInd/>
              <w:snapToGrid/>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预算执行率超过90%，计5分；预算执行率在80%-90%之间，扣3分；预算执行率低于80%，扣5分。</w:t>
            </w:r>
          </w:p>
        </w:tc>
        <w:tc>
          <w:tcPr>
            <w:tcW w:w="2840" w:type="dxa"/>
            <w:vAlign w:val="center"/>
          </w:tcPr>
          <w:p>
            <w:pPr>
              <w:autoSpaceDE/>
              <w:autoSpaceDN/>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按2023年度单位整体支出绩效自评表中预算执行数及实际执行情况计分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64" w:hRule="atLeast"/>
          <w:jc w:val="center"/>
        </w:trPr>
        <w:tc>
          <w:tcPr>
            <w:tcW w:w="712" w:type="dxa"/>
            <w:vMerge w:val="continue"/>
            <w:vAlign w:val="center"/>
          </w:tcPr>
          <w:p>
            <w:pPr>
              <w:autoSpaceDE/>
              <w:autoSpaceDN/>
              <w:spacing w:line="340" w:lineRule="exact"/>
              <w:jc w:val="center"/>
              <w:rPr>
                <w:rFonts w:hint="eastAsia" w:ascii="Times New Roman" w:hAnsi="Times New Roman" w:eastAsia="方正仿宋_GBK" w:cs="方正仿宋_GBK"/>
                <w:color w:val="auto"/>
                <w:sz w:val="20"/>
                <w:szCs w:val="20"/>
                <w:lang w:bidi="ar"/>
              </w:rPr>
            </w:pPr>
          </w:p>
        </w:tc>
        <w:tc>
          <w:tcPr>
            <w:tcW w:w="1113" w:type="dxa"/>
            <w:vAlign w:val="center"/>
          </w:tcPr>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资金使用</w:t>
            </w:r>
          </w:p>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情况</w:t>
            </w:r>
          </w:p>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（5分）</w:t>
            </w:r>
          </w:p>
        </w:tc>
        <w:tc>
          <w:tcPr>
            <w:tcW w:w="4689" w:type="dxa"/>
            <w:vAlign w:val="center"/>
          </w:tcPr>
          <w:p>
            <w:pPr>
              <w:kinsoku/>
              <w:autoSpaceDE/>
              <w:autoSpaceDN/>
              <w:adjustRightInd/>
              <w:snapToGrid/>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①是否违反财经法规和单位财务管理制度、专项资金管理办法、绩效管理办法、政府采购法、预算批复等规定，每发现一处扣1分；②是否存在截留、挤占、挪用、虚列支出等情况，每发现一处扣1分；③专项资金是否专项核算，每发现一处扣1分；扣完为止。</w:t>
            </w:r>
          </w:p>
        </w:tc>
        <w:tc>
          <w:tcPr>
            <w:tcW w:w="2840" w:type="dxa"/>
            <w:vAlign w:val="center"/>
          </w:tcPr>
          <w:p>
            <w:pPr>
              <w:kinsoku/>
              <w:autoSpaceDE/>
              <w:autoSpaceDN/>
              <w:adjustRightInd/>
              <w:snapToGrid/>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按资料检查和现场检查情况计分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712" w:type="dxa"/>
            <w:vMerge w:val="restart"/>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自评报告</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70分</w:t>
            </w:r>
          </w:p>
        </w:tc>
        <w:tc>
          <w:tcPr>
            <w:tcW w:w="1113" w:type="dxa"/>
            <w:vAlign w:val="center"/>
          </w:tcPr>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及时性</w:t>
            </w:r>
          </w:p>
          <w:p>
            <w:pPr>
              <w:autoSpaceDE/>
              <w:autoSpaceDN/>
              <w:spacing w:line="34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（10分）</w:t>
            </w:r>
          </w:p>
        </w:tc>
        <w:tc>
          <w:tcPr>
            <w:tcW w:w="7529" w:type="dxa"/>
            <w:gridSpan w:val="2"/>
            <w:vAlign w:val="center"/>
          </w:tcPr>
          <w:p>
            <w:pPr>
              <w:kinsoku/>
              <w:autoSpaceDE/>
              <w:autoSpaceDN/>
              <w:adjustRightInd/>
              <w:snapToGrid/>
              <w:spacing w:line="340" w:lineRule="exact"/>
              <w:jc w:val="both"/>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rPr>
              <w:t>按时向省局报送报告的得10分；每推迟一个工作日报送报告的扣3分，最多扣10分。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jc w:val="center"/>
        </w:trPr>
        <w:tc>
          <w:tcPr>
            <w:tcW w:w="712" w:type="dxa"/>
            <w:vMerge w:val="continue"/>
            <w:vAlign w:val="center"/>
          </w:tcPr>
          <w:p>
            <w:pPr>
              <w:autoSpaceDE/>
              <w:autoSpaceDN/>
              <w:spacing w:line="340" w:lineRule="exact"/>
              <w:jc w:val="center"/>
              <w:rPr>
                <w:rFonts w:hint="eastAsia" w:ascii="Times New Roman" w:hAnsi="Times New Roman" w:eastAsia="方正仿宋_GBK" w:cs="方正仿宋_GBK"/>
                <w:color w:val="auto"/>
                <w:sz w:val="20"/>
                <w:szCs w:val="20"/>
              </w:rPr>
            </w:pPr>
          </w:p>
        </w:tc>
        <w:tc>
          <w:tcPr>
            <w:tcW w:w="1113" w:type="dxa"/>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完整性</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（10分）</w:t>
            </w:r>
          </w:p>
        </w:tc>
        <w:tc>
          <w:tcPr>
            <w:tcW w:w="7529" w:type="dxa"/>
            <w:gridSpan w:val="2"/>
            <w:vAlign w:val="center"/>
          </w:tcPr>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1、绩效自评报告正文部分内容齐全的，得5分；否则每少一个部分扣1分，最多扣5分。</w:t>
            </w:r>
          </w:p>
          <w:p>
            <w:pPr>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2、绩效自评报告附件部分内容齐全的，得5分；否则每少一个部分扣1分，最多扣5分。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712" w:type="dxa"/>
            <w:vMerge w:val="continue"/>
            <w:vAlign w:val="center"/>
          </w:tcPr>
          <w:p>
            <w:pPr>
              <w:autoSpaceDE/>
              <w:autoSpaceDN/>
              <w:spacing w:line="340" w:lineRule="exact"/>
              <w:jc w:val="center"/>
              <w:rPr>
                <w:rFonts w:hint="eastAsia" w:ascii="Times New Roman" w:hAnsi="Times New Roman" w:eastAsia="方正仿宋_GBK" w:cs="方正仿宋_GBK"/>
                <w:color w:val="auto"/>
                <w:sz w:val="20"/>
                <w:szCs w:val="20"/>
              </w:rPr>
            </w:pPr>
          </w:p>
        </w:tc>
        <w:tc>
          <w:tcPr>
            <w:tcW w:w="1113" w:type="dxa"/>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绩效</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自评表</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（15分）</w:t>
            </w:r>
          </w:p>
        </w:tc>
        <w:tc>
          <w:tcPr>
            <w:tcW w:w="7529" w:type="dxa"/>
            <w:gridSpan w:val="2"/>
            <w:vAlign w:val="center"/>
          </w:tcPr>
          <w:p>
            <w:pPr>
              <w:kinsoku/>
              <w:topLinePunct/>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1、单位整体支出和项目支出绩效指标反映产出、效益、服务对象满意度方面的指标和预算执行率的权重符合《湖南省省级预算部门绩效自评操作规程》第八条要求的，得5分，否则按比例扣除相应的分数。</w:t>
            </w:r>
          </w:p>
          <w:p>
            <w:pPr>
              <w:kinsoku/>
              <w:topLinePunct/>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2、单位整体支出和项目支出绩效指标全部细化到三级指标的，得5分；部分细化的，酌情扣分；没有细化的，不得分。</w:t>
            </w:r>
          </w:p>
          <w:p>
            <w:pPr>
              <w:kinsoku/>
              <w:topLinePunct/>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3、单位整体支出和项目支出三级绩效指标内涵明确、具体、可衡量的得5分；突出核心指标，精简实用的得3分；指标与部门整体支出和项目支出密切相关，全面反映产出和效益的得2分；否则，每项酌情扣分，最多扣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712" w:type="dxa"/>
            <w:vMerge w:val="continue"/>
            <w:vAlign w:val="center"/>
          </w:tcPr>
          <w:p>
            <w:pPr>
              <w:autoSpaceDE/>
              <w:autoSpaceDN/>
              <w:spacing w:line="340" w:lineRule="exact"/>
              <w:jc w:val="center"/>
              <w:rPr>
                <w:rFonts w:hint="eastAsia" w:ascii="Times New Roman" w:hAnsi="Times New Roman" w:eastAsia="方正仿宋_GBK" w:cs="方正仿宋_GBK"/>
                <w:color w:val="auto"/>
                <w:sz w:val="20"/>
                <w:szCs w:val="20"/>
              </w:rPr>
            </w:pPr>
          </w:p>
        </w:tc>
        <w:tc>
          <w:tcPr>
            <w:tcW w:w="1113" w:type="dxa"/>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反映问</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题情况</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（20分）</w:t>
            </w:r>
          </w:p>
        </w:tc>
        <w:tc>
          <w:tcPr>
            <w:tcW w:w="7529" w:type="dxa"/>
            <w:gridSpan w:val="2"/>
            <w:vAlign w:val="center"/>
          </w:tcPr>
          <w:p>
            <w:pPr>
              <w:kinsoku/>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从预算和预算绩效管理，单位履职效能，资金分配、使用和管理，资产和财务管理，政府采购等方面归纳问题、分析原因，每1条问题应对应1条原因分析，每提出1条问题、1条原因分析的得5分；只提出资金不足问题的不得分，其他情况酌情扣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712" w:type="dxa"/>
            <w:vMerge w:val="continue"/>
            <w:vAlign w:val="center"/>
          </w:tcPr>
          <w:p>
            <w:pPr>
              <w:autoSpaceDE/>
              <w:autoSpaceDN/>
              <w:spacing w:line="340" w:lineRule="exact"/>
              <w:jc w:val="center"/>
              <w:rPr>
                <w:rFonts w:hint="eastAsia" w:ascii="Times New Roman" w:hAnsi="Times New Roman" w:eastAsia="方正仿宋_GBK" w:cs="方正仿宋_GBK"/>
                <w:color w:val="auto"/>
                <w:sz w:val="20"/>
                <w:szCs w:val="20"/>
              </w:rPr>
            </w:pPr>
          </w:p>
        </w:tc>
        <w:tc>
          <w:tcPr>
            <w:tcW w:w="1113" w:type="dxa"/>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建议情况</w:t>
            </w:r>
          </w:p>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（15分）</w:t>
            </w:r>
          </w:p>
        </w:tc>
        <w:tc>
          <w:tcPr>
            <w:tcW w:w="7529" w:type="dxa"/>
            <w:gridSpan w:val="2"/>
            <w:vAlign w:val="center"/>
          </w:tcPr>
          <w:p>
            <w:pPr>
              <w:kinsoku/>
              <w:autoSpaceDE/>
              <w:autoSpaceDN/>
              <w:spacing w:line="340" w:lineRule="exact"/>
              <w:jc w:val="both"/>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建议与问题应一一对应，每提出1条建议得5分，只提出加大资金投入建议的不得分；其他情况酌情扣分。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12" w:type="dxa"/>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合计</w:t>
            </w:r>
          </w:p>
        </w:tc>
        <w:tc>
          <w:tcPr>
            <w:tcW w:w="1113" w:type="dxa"/>
            <w:vAlign w:val="center"/>
          </w:tcPr>
          <w:p>
            <w:pPr>
              <w:autoSpaceDE/>
              <w:autoSpaceDN/>
              <w:spacing w:line="340" w:lineRule="exact"/>
              <w:jc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100分</w:t>
            </w:r>
          </w:p>
        </w:tc>
        <w:tc>
          <w:tcPr>
            <w:tcW w:w="7529" w:type="dxa"/>
            <w:gridSpan w:val="2"/>
            <w:vAlign w:val="center"/>
          </w:tcPr>
          <w:p>
            <w:pPr>
              <w:autoSpaceDE/>
              <w:autoSpaceDN/>
              <w:spacing w:line="340" w:lineRule="exact"/>
              <w:jc w:val="both"/>
              <w:rPr>
                <w:rFonts w:hint="eastAsia" w:ascii="Times New Roman" w:hAnsi="Times New Roman" w:eastAsia="方正仿宋_GBK" w:cs="方正仿宋_GBK"/>
                <w:color w:val="auto"/>
                <w:sz w:val="20"/>
                <w:szCs w:val="20"/>
              </w:rPr>
            </w:pPr>
          </w:p>
        </w:tc>
      </w:tr>
    </w:tbl>
    <w:p>
      <w:pPr>
        <w:autoSpaceDE/>
        <w:autoSpaceDN/>
        <w:rPr>
          <w:rFonts w:ascii="Times New Roman" w:hAnsi="Times New Roman" w:eastAsia="仿宋_GB2312" w:cs="Times New Roman"/>
          <w:color w:val="auto"/>
          <w:spacing w:val="-2"/>
          <w:sz w:val="32"/>
          <w:szCs w:val="32"/>
        </w:rPr>
        <w:sectPr>
          <w:pgSz w:w="11906" w:h="16838"/>
          <w:pgMar w:top="1984" w:right="1474" w:bottom="1474" w:left="1474" w:header="851" w:footer="1134"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04" w:line="220" w:lineRule="exact"/>
        <w:ind w:left="69"/>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附件10</w:t>
      </w:r>
    </w:p>
    <w:p>
      <w:pPr>
        <w:keepNext w:val="0"/>
        <w:keepLines w:val="0"/>
        <w:pageBreakBefore w:val="0"/>
        <w:widowControl w:val="0"/>
        <w:kinsoku/>
        <w:wordWrap/>
        <w:overflowPunct/>
        <w:topLinePunct w:val="0"/>
        <w:autoSpaceDE/>
        <w:autoSpaceDN/>
        <w:bidi w:val="0"/>
        <w:adjustRightInd/>
        <w:snapToGrid/>
        <w:spacing w:before="478" w:beforeLines="150" w:after="478" w:afterLines="150" w:line="220"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预算绩效管理各环节结果应用</w:t>
      </w:r>
      <w:r>
        <w:rPr>
          <w:rFonts w:hint="eastAsia" w:ascii="Times New Roman" w:hAnsi="Times New Roman" w:eastAsia="方正小标宋_GBK" w:cs="Times New Roman"/>
          <w:color w:val="auto"/>
          <w:sz w:val="44"/>
          <w:szCs w:val="44"/>
        </w:rPr>
        <w:t>清单</w:t>
      </w:r>
    </w:p>
    <w:p>
      <w:pPr>
        <w:keepNext w:val="0"/>
        <w:keepLines w:val="0"/>
        <w:pageBreakBefore w:val="0"/>
        <w:widowControl w:val="0"/>
        <w:kinsoku/>
        <w:wordWrap/>
        <w:overflowPunct/>
        <w:topLinePunct w:val="0"/>
        <w:autoSpaceDE/>
        <w:autoSpaceDN/>
        <w:bidi w:val="0"/>
        <w:adjustRightInd/>
        <w:snapToGrid/>
        <w:spacing w:line="220" w:lineRule="exact"/>
        <w:rPr>
          <w:rFonts w:ascii="Times New Roman" w:hAnsi="Times New Roman" w:eastAsia="方正仿宋_GBK" w:cs="Times New Roman"/>
          <w:color w:val="auto"/>
          <w:spacing w:val="-2"/>
          <w:sz w:val="24"/>
          <w:szCs w:val="24"/>
        </w:rPr>
      </w:pPr>
      <w:r>
        <w:rPr>
          <w:rStyle w:val="31"/>
          <w:rFonts w:hint="default" w:ascii="Times New Roman" w:hAnsi="Times New Roman" w:eastAsia="方正仿宋_GBK" w:cs="Times New Roman"/>
          <w:color w:val="auto"/>
          <w:sz w:val="24"/>
          <w:szCs w:val="24"/>
          <w:lang w:bidi="ar"/>
        </w:rPr>
        <w:t>填报单位：</w:t>
      </w:r>
    </w:p>
    <w:tbl>
      <w:tblPr>
        <w:tblStyle w:val="9"/>
        <w:tblW w:w="14173"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97"/>
        <w:gridCol w:w="3142"/>
        <w:gridCol w:w="8750"/>
        <w:gridCol w:w="148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991" w:hRule="atLeast"/>
          <w:jc w:val="center"/>
        </w:trPr>
        <w:tc>
          <w:tcPr>
            <w:tcW w:w="7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序号</w:t>
            </w:r>
          </w:p>
        </w:tc>
        <w:tc>
          <w:tcPr>
            <w:tcW w:w="31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预算绩效管理环节</w:t>
            </w:r>
          </w:p>
        </w:tc>
        <w:tc>
          <w:tcPr>
            <w:tcW w:w="87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结果应用情况（简述问题及实施的整改情况，包括不限于建设相关制度、采取的措施、改进的经验办法、加强相关方面的管理等）</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b/>
                <w:color w:val="auto"/>
              </w:rPr>
            </w:pPr>
            <w:r>
              <w:rPr>
                <w:rFonts w:hint="eastAsia" w:ascii="Times New Roman" w:hAnsi="Times New Roman" w:eastAsia="方正仿宋_GBK" w:cs="方正仿宋_GBK"/>
                <w:b/>
                <w:color w:val="auto"/>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1</w:t>
            </w:r>
          </w:p>
        </w:tc>
        <w:tc>
          <w:tcPr>
            <w:tcW w:w="3142"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部门整体支出绩效评价</w:t>
            </w:r>
          </w:p>
        </w:tc>
        <w:tc>
          <w:tcPr>
            <w:tcW w:w="875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无</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2</w:t>
            </w:r>
          </w:p>
        </w:tc>
        <w:tc>
          <w:tcPr>
            <w:tcW w:w="3142"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专项资金绩效评价</w:t>
            </w:r>
          </w:p>
        </w:tc>
        <w:tc>
          <w:tcPr>
            <w:tcW w:w="875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无</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3</w:t>
            </w:r>
          </w:p>
        </w:tc>
        <w:tc>
          <w:tcPr>
            <w:tcW w:w="3142"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绩效运行监控</w:t>
            </w:r>
          </w:p>
        </w:tc>
        <w:tc>
          <w:tcPr>
            <w:tcW w:w="875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无</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4</w:t>
            </w:r>
          </w:p>
        </w:tc>
        <w:tc>
          <w:tcPr>
            <w:tcW w:w="3142"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绩效目标评审</w:t>
            </w:r>
          </w:p>
        </w:tc>
        <w:tc>
          <w:tcPr>
            <w:tcW w:w="875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rPr>
                <w:rFonts w:hint="eastAsia" w:ascii="Times New Roman" w:hAnsi="Times New Roman" w:eastAsia="方正仿宋_GBK" w:cs="方正仿宋_GBK"/>
                <w:color w:val="auto"/>
                <w:sz w:val="20"/>
                <w:szCs w:val="20"/>
                <w:lang w:eastAsia="zh-CN"/>
              </w:rPr>
            </w:pPr>
            <w:r>
              <w:rPr>
                <w:rFonts w:hint="eastAsia" w:ascii="Times New Roman" w:hAnsi="Times New Roman" w:eastAsia="方正仿宋_GBK" w:cs="方正仿宋_GBK"/>
                <w:color w:val="auto"/>
                <w:sz w:val="20"/>
                <w:szCs w:val="20"/>
                <w:lang w:eastAsia="zh-CN"/>
              </w:rPr>
              <w:t>无</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5</w:t>
            </w:r>
          </w:p>
        </w:tc>
        <w:tc>
          <w:tcPr>
            <w:tcW w:w="3142"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rPr>
              <w:t>现场监督检查</w:t>
            </w:r>
          </w:p>
        </w:tc>
        <w:tc>
          <w:tcPr>
            <w:tcW w:w="875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20" w:lineRule="exact"/>
              <w:jc w:val="both"/>
              <w:textAlignment w:val="auto"/>
              <w:rPr>
                <w:rFonts w:hint="eastAsia" w:ascii="方正仿宋_GBK" w:hAnsi="方正仿宋_GBK" w:eastAsia="方正仿宋_GBK" w:cs="方正仿宋_GBK"/>
                <w:b w:val="0"/>
                <w:bCs w:val="0"/>
                <w:color w:val="auto"/>
                <w:sz w:val="20"/>
                <w:szCs w:val="20"/>
                <w:highlight w:val="none"/>
                <w:lang w:eastAsia="zh-CN"/>
              </w:rPr>
            </w:pPr>
            <w:r>
              <w:rPr>
                <w:rFonts w:hint="eastAsia" w:ascii="方正仿宋_GBK" w:hAnsi="方正仿宋_GBK" w:eastAsia="方正仿宋_GBK" w:cs="方正仿宋_GBK"/>
                <w:b w:val="0"/>
                <w:bCs w:val="0"/>
                <w:sz w:val="20"/>
                <w:szCs w:val="20"/>
                <w:lang w:val="en-US" w:eastAsia="zh-CN"/>
              </w:rPr>
              <w:t>一、关于《湖南省市场监管事务中心原主任邓惠林任期经济责任（离任）审计报告》的问题及实施的整改情况：</w:t>
            </w:r>
            <w:r>
              <w:rPr>
                <w:rFonts w:hint="eastAsia" w:ascii="方正仿宋_GBK" w:hAnsi="方正仿宋_GBK" w:eastAsia="方正仿宋_GBK" w:cs="方正仿宋_GBK"/>
                <w:b w:val="0"/>
                <w:bCs w:val="0"/>
                <w:color w:val="auto"/>
                <w:sz w:val="20"/>
                <w:szCs w:val="20"/>
                <w:lang w:val="en-US" w:eastAsia="zh-CN"/>
              </w:rPr>
              <w:t>内部控制执行方面、</w:t>
            </w:r>
            <w:r>
              <w:rPr>
                <w:rFonts w:hint="eastAsia" w:ascii="方正仿宋_GBK" w:hAnsi="方正仿宋_GBK" w:eastAsia="方正仿宋_GBK" w:cs="方正仿宋_GBK"/>
                <w:b w:val="0"/>
                <w:bCs w:val="0"/>
                <w:color w:val="auto"/>
                <w:sz w:val="20"/>
                <w:szCs w:val="20"/>
              </w:rPr>
              <w:t>财务管理方面</w:t>
            </w:r>
            <w:r>
              <w:rPr>
                <w:rFonts w:hint="eastAsia" w:ascii="方正仿宋_GBK" w:hAnsi="方正仿宋_GBK" w:eastAsia="方正仿宋_GBK" w:cs="方正仿宋_GBK"/>
                <w:b w:val="0"/>
                <w:bCs w:val="0"/>
                <w:color w:val="auto"/>
                <w:sz w:val="20"/>
                <w:szCs w:val="20"/>
                <w:lang w:eastAsia="zh-CN"/>
              </w:rPr>
              <w:t>、资产管理方面、代管资金方面、</w:t>
            </w:r>
            <w:r>
              <w:rPr>
                <w:rFonts w:hint="eastAsia" w:ascii="方正仿宋_GBK" w:hAnsi="方正仿宋_GBK" w:eastAsia="方正仿宋_GBK" w:cs="方正仿宋_GBK"/>
                <w:b w:val="0"/>
                <w:bCs w:val="0"/>
                <w:color w:val="auto"/>
                <w:sz w:val="20"/>
                <w:szCs w:val="20"/>
                <w:lang w:val="en-US" w:eastAsia="zh-CN"/>
              </w:rPr>
              <w:t>其他方面的20个问题现已完成整改。</w:t>
            </w:r>
            <w:r>
              <w:rPr>
                <w:rFonts w:hint="eastAsia" w:ascii="方正仿宋_GBK" w:hAnsi="方正仿宋_GBK" w:eastAsia="方正仿宋_GBK" w:cs="方正仿宋_GBK"/>
                <w:b w:val="0"/>
                <w:bCs w:val="0"/>
                <w:color w:val="auto"/>
                <w:sz w:val="20"/>
                <w:szCs w:val="20"/>
                <w:highlight w:val="none"/>
                <w:lang w:eastAsia="zh-CN"/>
              </w:rPr>
              <w:t>部分往来款长期挂账，未及时清理及</w:t>
            </w:r>
            <w:r>
              <w:rPr>
                <w:rFonts w:hint="eastAsia" w:ascii="方正仿宋_GBK" w:hAnsi="方正仿宋_GBK" w:eastAsia="方正仿宋_GBK" w:cs="方正仿宋_GBK"/>
                <w:b w:val="0"/>
                <w:bCs w:val="0"/>
                <w:color w:val="auto"/>
                <w:sz w:val="20"/>
                <w:szCs w:val="20"/>
                <w:lang w:val="en-US" w:eastAsia="zh-CN"/>
              </w:rPr>
              <w:t>后勤中心（即食堂）固定资产无台账管理问题正在进行整改中。</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0" w:rightChars="0"/>
              <w:textAlignment w:val="auto"/>
              <w:outlineLvl w:val="1"/>
              <w:rPr>
                <w:rFonts w:hint="eastAsia" w:ascii="方正仿宋_GBK" w:hAnsi="方正仿宋_GBK" w:eastAsia="方正仿宋_GBK" w:cs="方正仿宋_GBK"/>
                <w:b w:val="0"/>
                <w:bCs w:val="0"/>
                <w:sz w:val="20"/>
                <w:szCs w:val="20"/>
                <w:lang w:eastAsia="zh-CN"/>
              </w:rPr>
            </w:pPr>
            <w:r>
              <w:rPr>
                <w:rFonts w:hint="eastAsia" w:ascii="方正仿宋_GBK" w:hAnsi="方正仿宋_GBK" w:eastAsia="方正仿宋_GBK" w:cs="方正仿宋_GBK"/>
                <w:b w:val="0"/>
                <w:bCs w:val="0"/>
                <w:sz w:val="20"/>
                <w:szCs w:val="20"/>
                <w:lang w:val="en-US" w:eastAsia="zh-CN"/>
              </w:rPr>
              <w:t>二、关于《湖南省市场监管事务中心2023年财务及内部控制专项审计报告》的问题及实施的整改情况：</w:t>
            </w:r>
            <w:bookmarkStart w:id="0" w:name="_Toc12979"/>
            <w:r>
              <w:rPr>
                <w:rFonts w:hint="eastAsia" w:ascii="方正仿宋_GBK" w:hAnsi="方正仿宋_GBK" w:eastAsia="方正仿宋_GBK" w:cs="方正仿宋_GBK"/>
                <w:b w:val="0"/>
                <w:bCs w:val="0"/>
                <w:sz w:val="20"/>
                <w:szCs w:val="20"/>
              </w:rPr>
              <w:t>验收不规范</w:t>
            </w:r>
            <w:bookmarkEnd w:id="0"/>
            <w:r>
              <w:rPr>
                <w:rFonts w:hint="eastAsia" w:ascii="方正仿宋_GBK" w:hAnsi="方正仿宋_GBK" w:eastAsia="方正仿宋_GBK" w:cs="方正仿宋_GBK"/>
                <w:b w:val="0"/>
                <w:bCs w:val="0"/>
                <w:sz w:val="20"/>
                <w:szCs w:val="20"/>
                <w:lang w:eastAsia="zh-CN"/>
              </w:rPr>
              <w:t>、</w:t>
            </w:r>
            <w:r>
              <w:rPr>
                <w:rFonts w:hint="eastAsia" w:ascii="方正仿宋_GBK" w:hAnsi="方正仿宋_GBK" w:eastAsia="方正仿宋_GBK" w:cs="方正仿宋_GBK"/>
                <w:b w:val="0"/>
                <w:bCs w:val="0"/>
                <w:sz w:val="20"/>
                <w:szCs w:val="20"/>
              </w:rPr>
              <w:t>财务管理不规范</w:t>
            </w:r>
            <w:r>
              <w:rPr>
                <w:rFonts w:hint="eastAsia" w:ascii="方正仿宋_GBK" w:hAnsi="方正仿宋_GBK" w:eastAsia="方正仿宋_GBK" w:cs="方正仿宋_GBK"/>
                <w:b w:val="0"/>
                <w:bCs w:val="0"/>
                <w:sz w:val="20"/>
                <w:szCs w:val="20"/>
                <w:lang w:eastAsia="zh-CN"/>
              </w:rPr>
              <w:t>、</w:t>
            </w:r>
            <w:r>
              <w:rPr>
                <w:rFonts w:hint="eastAsia" w:ascii="方正仿宋_GBK" w:hAnsi="方正仿宋_GBK" w:eastAsia="方正仿宋_GBK" w:cs="方正仿宋_GBK"/>
                <w:b w:val="0"/>
                <w:bCs w:val="0"/>
                <w:sz w:val="20"/>
                <w:szCs w:val="20"/>
              </w:rPr>
              <w:t>采购管理不规范</w:t>
            </w:r>
            <w:r>
              <w:rPr>
                <w:rFonts w:hint="eastAsia" w:ascii="方正仿宋_GBK" w:hAnsi="方正仿宋_GBK" w:eastAsia="方正仿宋_GBK" w:cs="方正仿宋_GBK"/>
                <w:b w:val="0"/>
                <w:bCs w:val="0"/>
                <w:sz w:val="20"/>
                <w:szCs w:val="20"/>
                <w:lang w:eastAsia="zh-CN"/>
              </w:rPr>
              <w:t>、</w:t>
            </w:r>
            <w:r>
              <w:rPr>
                <w:rFonts w:hint="eastAsia" w:ascii="方正仿宋_GBK" w:hAnsi="方正仿宋_GBK" w:eastAsia="方正仿宋_GBK" w:cs="方正仿宋_GBK"/>
                <w:b w:val="0"/>
                <w:bCs w:val="0"/>
                <w:sz w:val="20"/>
                <w:szCs w:val="20"/>
              </w:rPr>
              <w:t>车辆管理不规范</w:t>
            </w:r>
            <w:r>
              <w:rPr>
                <w:rFonts w:hint="eastAsia" w:ascii="方正仿宋_GBK" w:hAnsi="方正仿宋_GBK" w:eastAsia="方正仿宋_GBK" w:cs="方正仿宋_GBK"/>
                <w:b w:val="0"/>
                <w:bCs w:val="0"/>
                <w:sz w:val="20"/>
                <w:szCs w:val="20"/>
                <w:lang w:eastAsia="zh-CN"/>
              </w:rPr>
              <w:t>、</w:t>
            </w:r>
            <w:r>
              <w:rPr>
                <w:rFonts w:hint="eastAsia" w:ascii="方正仿宋_GBK" w:hAnsi="方正仿宋_GBK" w:eastAsia="方正仿宋_GBK" w:cs="方正仿宋_GBK"/>
                <w:b w:val="0"/>
                <w:bCs w:val="0"/>
                <w:sz w:val="20"/>
                <w:szCs w:val="20"/>
              </w:rPr>
              <w:t>餐卡充值费通过“其他应付款-工作餐”挂账</w:t>
            </w:r>
            <w:r>
              <w:rPr>
                <w:rFonts w:hint="eastAsia" w:ascii="方正仿宋_GBK" w:hAnsi="方正仿宋_GBK" w:eastAsia="方正仿宋_GBK" w:cs="方正仿宋_GBK"/>
                <w:b w:val="0"/>
                <w:bCs w:val="0"/>
                <w:sz w:val="20"/>
                <w:szCs w:val="20"/>
                <w:lang w:eastAsia="zh-CN"/>
              </w:rPr>
              <w:t>的问题已完成整改。</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both"/>
              <w:textAlignment w:val="auto"/>
              <w:rPr>
                <w:rFonts w:hint="eastAsia" w:ascii="方正仿宋_GBK" w:hAnsi="方正仿宋_GBK" w:eastAsia="方正仿宋_GBK" w:cs="方正仿宋_GBK"/>
                <w:b w:val="0"/>
                <w:bCs w:val="0"/>
                <w:color w:val="auto"/>
                <w:sz w:val="20"/>
                <w:szCs w:val="20"/>
                <w:lang w:val="en-US" w:eastAsia="zh-CN"/>
              </w:rPr>
            </w:pPr>
            <w:r>
              <w:rPr>
                <w:rFonts w:hint="eastAsia" w:ascii="方正仿宋_GBK" w:hAnsi="方正仿宋_GBK" w:eastAsia="方正仿宋_GBK" w:cs="方正仿宋_GBK"/>
                <w:b w:val="0"/>
                <w:bCs w:val="0"/>
                <w:sz w:val="20"/>
                <w:szCs w:val="20"/>
                <w:lang w:eastAsia="zh-CN"/>
              </w:rPr>
              <w:t>三、关于《湖南省市场监管事务中心主任陈颖同志任期经济责任审计报告》的问题及实施的整改情况：</w:t>
            </w:r>
            <w:r>
              <w:rPr>
                <w:rFonts w:hint="eastAsia" w:ascii="方正仿宋_GBK" w:hAnsi="方正仿宋_GBK" w:eastAsia="方正仿宋_GBK" w:cs="方正仿宋_GBK"/>
                <w:b w:val="0"/>
                <w:bCs w:val="0"/>
                <w:color w:val="auto"/>
                <w:sz w:val="20"/>
                <w:szCs w:val="20"/>
                <w:lang w:val="en-US" w:eastAsia="zh-CN"/>
              </w:rPr>
              <w:t>内控制度方面、</w:t>
            </w:r>
            <w:r>
              <w:rPr>
                <w:rFonts w:hint="eastAsia" w:ascii="方正仿宋_GBK" w:hAnsi="方正仿宋_GBK" w:eastAsia="方正仿宋_GBK" w:cs="方正仿宋_GBK"/>
                <w:b w:val="0"/>
                <w:bCs w:val="0"/>
                <w:color w:val="auto"/>
                <w:sz w:val="20"/>
                <w:szCs w:val="20"/>
              </w:rPr>
              <w:t>采购管理方面</w:t>
            </w:r>
            <w:r>
              <w:rPr>
                <w:rFonts w:hint="eastAsia" w:ascii="方正仿宋_GBK" w:hAnsi="方正仿宋_GBK" w:eastAsia="方正仿宋_GBK" w:cs="方正仿宋_GBK"/>
                <w:b w:val="0"/>
                <w:bCs w:val="0"/>
                <w:color w:val="auto"/>
                <w:sz w:val="20"/>
                <w:szCs w:val="20"/>
                <w:lang w:eastAsia="zh-CN"/>
              </w:rPr>
              <w:t>、资产管理方面、财务管理方面、</w:t>
            </w:r>
            <w:r>
              <w:rPr>
                <w:rFonts w:hint="eastAsia" w:ascii="方正仿宋_GBK" w:hAnsi="方正仿宋_GBK" w:eastAsia="方正仿宋_GBK" w:cs="方正仿宋_GBK"/>
                <w:b w:val="0"/>
                <w:bCs w:val="0"/>
                <w:color w:val="auto"/>
                <w:sz w:val="20"/>
                <w:szCs w:val="20"/>
                <w:lang w:val="en-US" w:eastAsia="zh-CN"/>
              </w:rPr>
              <w:t>食堂管理方面、</w:t>
            </w:r>
            <w:r>
              <w:rPr>
                <w:rFonts w:hint="eastAsia" w:ascii="方正仿宋_GBK" w:hAnsi="方正仿宋_GBK" w:eastAsia="方正仿宋_GBK" w:cs="方正仿宋_GBK"/>
                <w:b w:val="0"/>
                <w:bCs w:val="0"/>
                <w:color w:val="auto"/>
                <w:sz w:val="20"/>
                <w:szCs w:val="20"/>
                <w:lang w:eastAsia="zh-CN"/>
              </w:rPr>
              <w:t>代管资金方面的</w:t>
            </w:r>
            <w:r>
              <w:rPr>
                <w:rFonts w:hint="eastAsia" w:ascii="方正仿宋_GBK" w:hAnsi="方正仿宋_GBK" w:eastAsia="方正仿宋_GBK" w:cs="方正仿宋_GBK"/>
                <w:b w:val="0"/>
                <w:bCs w:val="0"/>
                <w:color w:val="auto"/>
                <w:sz w:val="20"/>
                <w:szCs w:val="20"/>
                <w:lang w:val="en-US" w:eastAsia="zh-CN"/>
              </w:rPr>
              <w:t>11个问题已完成整改。</w:t>
            </w:r>
            <w:r>
              <w:rPr>
                <w:rFonts w:hint="eastAsia" w:ascii="方正仿宋_GBK" w:hAnsi="方正仿宋_GBK" w:eastAsia="方正仿宋_GBK" w:cs="方正仿宋_GBK"/>
                <w:b w:val="0"/>
                <w:bCs w:val="0"/>
                <w:color w:val="auto"/>
                <w:sz w:val="20"/>
                <w:szCs w:val="20"/>
                <w:highlight w:val="none"/>
                <w:lang w:val="en-US" w:eastAsia="zh-CN"/>
              </w:rPr>
              <w:t>未及时更新单位重要信息及</w:t>
            </w:r>
            <w:r>
              <w:rPr>
                <w:rFonts w:hint="eastAsia" w:ascii="方正仿宋_GBK" w:hAnsi="方正仿宋_GBK" w:eastAsia="方正仿宋_GBK" w:cs="方正仿宋_GBK"/>
                <w:b w:val="0"/>
                <w:bCs w:val="0"/>
                <w:color w:val="auto"/>
                <w:sz w:val="20"/>
                <w:szCs w:val="20"/>
                <w:lang w:val="en-US" w:eastAsia="zh-CN"/>
              </w:rPr>
              <w:t>食堂采购合同主体混乱的问题正在进一步整改中。</w:t>
            </w:r>
          </w:p>
          <w:p>
            <w:pPr>
              <w:pStyle w:val="3"/>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b w:val="0"/>
                <w:bCs w:val="0"/>
                <w:sz w:val="20"/>
                <w:szCs w:val="20"/>
                <w:lang w:val="en-US" w:eastAsia="zh-CN"/>
              </w:rPr>
            </w:pP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lang w:bidi="ar"/>
              </w:rPr>
            </w:pPr>
            <w:r>
              <w:rPr>
                <w:rFonts w:hint="eastAsia" w:ascii="Times New Roman" w:hAnsi="Times New Roman" w:eastAsia="方正仿宋_GBK" w:cs="方正仿宋_GBK"/>
                <w:color w:val="auto"/>
                <w:sz w:val="20"/>
                <w:szCs w:val="20"/>
                <w:lang w:bidi="ar"/>
              </w:rPr>
              <w:t>6</w:t>
            </w:r>
          </w:p>
        </w:tc>
        <w:tc>
          <w:tcPr>
            <w:tcW w:w="3142"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r>
              <w:rPr>
                <w:rFonts w:hint="eastAsia" w:ascii="Times New Roman" w:hAnsi="Times New Roman" w:eastAsia="方正仿宋_GBK" w:cs="方正仿宋_GBK"/>
                <w:color w:val="auto"/>
                <w:sz w:val="20"/>
                <w:szCs w:val="20"/>
                <w:lang w:bidi="ar"/>
              </w:rPr>
              <w:t>其他方面</w:t>
            </w:r>
          </w:p>
        </w:tc>
        <w:tc>
          <w:tcPr>
            <w:tcW w:w="875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rPr>
                <w:rFonts w:hint="eastAsia" w:ascii="Times New Roman" w:hAnsi="Times New Roman" w:eastAsia="方正仿宋_GBK" w:cs="方正仿宋_GBK"/>
                <w:color w:val="auto"/>
                <w:sz w:val="20"/>
                <w:szCs w:val="20"/>
              </w:rPr>
            </w:pP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center"/>
              <w:rPr>
                <w:rFonts w:hint="eastAsia" w:ascii="Times New Roman" w:hAnsi="Times New Roman" w:eastAsia="方正仿宋_GBK" w:cs="方正仿宋_GBK"/>
                <w:color w:val="auto"/>
                <w:sz w:val="20"/>
                <w:szCs w:val="20"/>
              </w:rPr>
            </w:pPr>
          </w:p>
        </w:tc>
      </w:tr>
    </w:tbl>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sectPr>
          <w:pgSz w:w="16839" w:h="11907" w:orient="landscape"/>
          <w:pgMar w:top="1440" w:right="1440" w:bottom="1440" w:left="1440" w:header="720" w:footer="720" w:gutter="0"/>
          <w:cols w:space="720" w:num="1"/>
        </w:sectPr>
      </w:pP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vanish w:val="0"/>
          <w:sz w:val="24"/>
        </w:rPr>
      </w:pPr>
      <w:r>
        <w:rPr>
          <w:rFonts w:ascii="宋体" w:hAnsi="宋体" w:eastAsia="宋体" w:cs="宋体"/>
          <w:sz w:val="24"/>
        </w:rPr>
        <w:t xml:space="preserve"> </w:t>
      </w:r>
    </w:p>
    <w:p>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sz w:val="24"/>
        </w:rPr>
      </w:pPr>
    </w:p>
    <w:sectPr>
      <w:pgSz w:w="11907" w:h="16839"/>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_GBK">
    <w:altName w:val="微软雅黑"/>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sz w:val="28"/>
        <w:szCs w:val="28"/>
      </w:rPr>
    </w:pPr>
    <w:r>
      <w:rPr>
        <w:rStyle w:val="7"/>
        <w:rFonts w:hint="eastAsia"/>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5</w:t>
    </w:r>
    <w:r>
      <w:rPr>
        <w:rStyle w:val="7"/>
        <w:sz w:val="28"/>
        <w:szCs w:val="28"/>
      </w:rPr>
      <w:fldChar w:fldCharType="end"/>
    </w:r>
    <w:r>
      <w:rPr>
        <w:rStyle w:val="7"/>
        <w:rFonts w:hint="eastAsia"/>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15</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8240;mso-width-relative:page;mso-height-relative:page;" filled="f" stroked="f" coordsize="21600,21600" o:gfxdata="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QL/t0gAA&#10;AAYBAAAPAAAAAAAAAAEAIAAAACIAAABkcnMvZG93bnJldi54bWxQSwECFAAUAAAACACHTuJAd85R&#10;hbIBAABZAwAADgAAAAAAAAABACAAAAAhAQAAZHJzL2Uyb0RvYy54bWxQSwUGAAAAAAYABgBZAQAA&#10;RQUAAAAA&#10;">
              <v:fill on="f" focussize="0,0"/>
              <v:stroke on="f"/>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15</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19</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0C/7dIAAAAG&#10;AQAADwAAAAAAAAABACAAAAAiAAAAZHJzL2Rvd25yZXYueG1sUEsBAhQAFAAAAAgAh07iQEYQVhSw&#10;AQAAWQMAAA4AAAAAAAAAAQAgAAAAIQEAAGRycy9lMm9Eb2MueG1sUEsFBgAAAAAGAAYAWQEAAEMF&#10;AAAAAA==&#10;">
              <v:fill on="f" focussize="0,0"/>
              <v:stroke on="f"/>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19</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DF7859"/>
    <w:multiLevelType w:val="singleLevel"/>
    <w:tmpl w:val="FDDF7859"/>
    <w:lvl w:ilvl="0" w:tentative="0">
      <w:start w:val="2"/>
      <w:numFmt w:val="chineseCounting"/>
      <w:suff w:val="nothing"/>
      <w:lvlText w:val="（%1）"/>
      <w:lvlJc w:val="left"/>
      <w:rPr>
        <w:rFonts w:hint="eastAsia"/>
      </w:rPr>
    </w:lvl>
  </w:abstractNum>
  <w:abstractNum w:abstractNumId="1">
    <w:nsid w:val="73468719"/>
    <w:multiLevelType w:val="singleLevel"/>
    <w:tmpl w:val="7346871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YTc2ZGZiNzZiNDVlOGViOWVmM2JhOTY0NGJkNjUyYzgifQ=="/>
  </w:docVars>
  <w:rsids>
    <w:rsidRoot w:val="00000000"/>
    <w:rsid w:val="00704336"/>
    <w:rsid w:val="015737CF"/>
    <w:rsid w:val="019D115B"/>
    <w:rsid w:val="03443858"/>
    <w:rsid w:val="049A7BD3"/>
    <w:rsid w:val="063876A4"/>
    <w:rsid w:val="072D4D2F"/>
    <w:rsid w:val="08566507"/>
    <w:rsid w:val="09866978"/>
    <w:rsid w:val="09CF6571"/>
    <w:rsid w:val="09F201DF"/>
    <w:rsid w:val="0A7B568B"/>
    <w:rsid w:val="0A7D7D7B"/>
    <w:rsid w:val="0AC91212"/>
    <w:rsid w:val="0DC45EED"/>
    <w:rsid w:val="0E7F4D81"/>
    <w:rsid w:val="0EC266A4"/>
    <w:rsid w:val="10BC5375"/>
    <w:rsid w:val="119F4A04"/>
    <w:rsid w:val="12336570"/>
    <w:rsid w:val="12F9580B"/>
    <w:rsid w:val="16B25250"/>
    <w:rsid w:val="1767603B"/>
    <w:rsid w:val="17DB1B3A"/>
    <w:rsid w:val="190A3122"/>
    <w:rsid w:val="1BC53330"/>
    <w:rsid w:val="1C246C7A"/>
    <w:rsid w:val="1C414C7D"/>
    <w:rsid w:val="1CA473E9"/>
    <w:rsid w:val="1D2642A2"/>
    <w:rsid w:val="1E0345E3"/>
    <w:rsid w:val="1E0E2B38"/>
    <w:rsid w:val="1E1265D5"/>
    <w:rsid w:val="1E191B76"/>
    <w:rsid w:val="1E214A6A"/>
    <w:rsid w:val="1ED019E9"/>
    <w:rsid w:val="1EEA12FF"/>
    <w:rsid w:val="202C7E22"/>
    <w:rsid w:val="20AD5948"/>
    <w:rsid w:val="216C787B"/>
    <w:rsid w:val="220B7F0B"/>
    <w:rsid w:val="226049CB"/>
    <w:rsid w:val="22E5075C"/>
    <w:rsid w:val="238A5826"/>
    <w:rsid w:val="23D22A8E"/>
    <w:rsid w:val="23F83196"/>
    <w:rsid w:val="24AC106B"/>
    <w:rsid w:val="24C50845"/>
    <w:rsid w:val="25F413E1"/>
    <w:rsid w:val="277F2F2D"/>
    <w:rsid w:val="27AE736E"/>
    <w:rsid w:val="27B150B0"/>
    <w:rsid w:val="286D2DB0"/>
    <w:rsid w:val="29EC2DA9"/>
    <w:rsid w:val="2FAA4D22"/>
    <w:rsid w:val="30446AC1"/>
    <w:rsid w:val="306B16EA"/>
    <w:rsid w:val="31490484"/>
    <w:rsid w:val="31B54F03"/>
    <w:rsid w:val="32126CA5"/>
    <w:rsid w:val="321C6FCB"/>
    <w:rsid w:val="322B0AEA"/>
    <w:rsid w:val="35F9034E"/>
    <w:rsid w:val="361F3BC1"/>
    <w:rsid w:val="38AF2F46"/>
    <w:rsid w:val="39981C2C"/>
    <w:rsid w:val="3BBA3B64"/>
    <w:rsid w:val="3C485B8B"/>
    <w:rsid w:val="3DD1395F"/>
    <w:rsid w:val="3DF902CA"/>
    <w:rsid w:val="3F235467"/>
    <w:rsid w:val="3F487C50"/>
    <w:rsid w:val="3F4C4898"/>
    <w:rsid w:val="3F9358B7"/>
    <w:rsid w:val="3FFB4CC3"/>
    <w:rsid w:val="41D4335E"/>
    <w:rsid w:val="42995A30"/>
    <w:rsid w:val="4348021F"/>
    <w:rsid w:val="43D45F57"/>
    <w:rsid w:val="443609BF"/>
    <w:rsid w:val="447C2876"/>
    <w:rsid w:val="44876DC8"/>
    <w:rsid w:val="44A43B7B"/>
    <w:rsid w:val="4513485D"/>
    <w:rsid w:val="45442C68"/>
    <w:rsid w:val="4A6718D3"/>
    <w:rsid w:val="4B2246F1"/>
    <w:rsid w:val="4C215AB1"/>
    <w:rsid w:val="4F4915A7"/>
    <w:rsid w:val="4F823D2D"/>
    <w:rsid w:val="502617E8"/>
    <w:rsid w:val="50485168"/>
    <w:rsid w:val="51CF4C84"/>
    <w:rsid w:val="52340ED3"/>
    <w:rsid w:val="52344790"/>
    <w:rsid w:val="53C95448"/>
    <w:rsid w:val="569E5D8E"/>
    <w:rsid w:val="57026867"/>
    <w:rsid w:val="586E207E"/>
    <w:rsid w:val="59DE7D34"/>
    <w:rsid w:val="5B0D2A29"/>
    <w:rsid w:val="5D1C2570"/>
    <w:rsid w:val="5DCD4AAD"/>
    <w:rsid w:val="5F2B2A77"/>
    <w:rsid w:val="603B318E"/>
    <w:rsid w:val="605563D5"/>
    <w:rsid w:val="621A7216"/>
    <w:rsid w:val="64897A59"/>
    <w:rsid w:val="65847385"/>
    <w:rsid w:val="66555272"/>
    <w:rsid w:val="66C05AC9"/>
    <w:rsid w:val="682A23EF"/>
    <w:rsid w:val="69236EB5"/>
    <w:rsid w:val="69BA3375"/>
    <w:rsid w:val="69DD0FAB"/>
    <w:rsid w:val="6B347990"/>
    <w:rsid w:val="6B4D17F9"/>
    <w:rsid w:val="6C3C4515"/>
    <w:rsid w:val="6DFA4734"/>
    <w:rsid w:val="6FA2133B"/>
    <w:rsid w:val="705A140E"/>
    <w:rsid w:val="74B15375"/>
    <w:rsid w:val="76994F7F"/>
    <w:rsid w:val="77D221D2"/>
    <w:rsid w:val="77DF669D"/>
    <w:rsid w:val="7AA76657"/>
    <w:rsid w:val="7D382AD7"/>
    <w:rsid w:val="7D627B54"/>
    <w:rsid w:val="7D7D4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note text"/>
    <w:basedOn w:val="1"/>
    <w:unhideWhenUsed/>
    <w:uiPriority w:val="99"/>
    <w:pPr>
      <w:snapToGrid w:val="0"/>
    </w:pPr>
    <w:rPr>
      <w:sz w:val="18"/>
      <w:szCs w:val="18"/>
    </w:rPr>
  </w:style>
  <w:style w:type="paragraph" w:styleId="3">
    <w:name w:val="Body Text"/>
    <w:basedOn w:val="1"/>
    <w:qFormat/>
    <w:uiPriority w:val="0"/>
    <w:rPr>
      <w:kern w:val="0"/>
      <w:sz w:val="20"/>
      <w:szCs w:val="20"/>
    </w:rPr>
  </w:style>
  <w:style w:type="paragraph" w:styleId="4">
    <w:name w:val="footer"/>
    <w:basedOn w:val="1"/>
    <w:unhideWhenUsed/>
    <w:uiPriority w:val="99"/>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unhideWhenUsed/>
    <w:uiPriority w:val="99"/>
  </w:style>
  <w:style w:type="character" w:styleId="8">
    <w:name w:val="Hyperlink"/>
    <w:basedOn w:val="6"/>
    <w:unhideWhenUsed/>
    <w:qFormat/>
    <w:uiPriority w:val="99"/>
    <w:rPr>
      <w:color w:val="0000FF"/>
      <w:u w:val="single"/>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SpireTableThStylea460ebae-9fef-4466-a07f-dd4ec4ac2ed8"/>
    <w:basedOn w:val="1"/>
    <w:qFormat/>
    <w:uiPriority w:val="0"/>
    <w:pPr>
      <w:jc w:val="center"/>
    </w:pPr>
    <w:rPr>
      <w:b/>
      <w:sz w:val="24"/>
    </w:rPr>
  </w:style>
  <w:style w:type="paragraph" w:customStyle="1" w:styleId="12">
    <w:name w:val="SpireTableThStyled9b72b47-8b8f-40ff-8d61-fc55f26e9a8c"/>
    <w:basedOn w:val="1"/>
    <w:qFormat/>
    <w:uiPriority w:val="0"/>
    <w:pPr>
      <w:jc w:val="center"/>
    </w:pPr>
    <w:rPr>
      <w:b/>
      <w:sz w:val="24"/>
    </w:rPr>
  </w:style>
  <w:style w:type="paragraph" w:customStyle="1" w:styleId="13">
    <w:name w:val="SpireTableThStyleaae0a0ba-adf7-4926-a970-521836633dae"/>
    <w:basedOn w:val="1"/>
    <w:qFormat/>
    <w:uiPriority w:val="0"/>
    <w:pPr>
      <w:jc w:val="center"/>
    </w:pPr>
    <w:rPr>
      <w:b/>
      <w:sz w:val="24"/>
    </w:rPr>
  </w:style>
  <w:style w:type="paragraph" w:customStyle="1" w:styleId="14">
    <w:name w:val="SpireTableThStylea279de54-2a05-45b4-bb5b-478ff63a9387"/>
    <w:basedOn w:val="1"/>
    <w:qFormat/>
    <w:uiPriority w:val="0"/>
    <w:pPr>
      <w:jc w:val="center"/>
    </w:pPr>
    <w:rPr>
      <w:b/>
      <w:sz w:val="24"/>
    </w:rPr>
  </w:style>
  <w:style w:type="paragraph" w:customStyle="1" w:styleId="15">
    <w:name w:val="SpireTableThStyled75b28ba-6954-4830-af57-a0ab2a886f20"/>
    <w:basedOn w:val="1"/>
    <w:qFormat/>
    <w:uiPriority w:val="0"/>
    <w:pPr>
      <w:jc w:val="center"/>
    </w:pPr>
    <w:rPr>
      <w:b/>
      <w:sz w:val="24"/>
    </w:rPr>
  </w:style>
  <w:style w:type="paragraph" w:customStyle="1" w:styleId="16">
    <w:name w:val="SpireTableThStyle0c23bee8-af16-4740-b2ac-1cb1d6a7b77a"/>
    <w:basedOn w:val="1"/>
    <w:qFormat/>
    <w:uiPriority w:val="0"/>
    <w:pPr>
      <w:jc w:val="center"/>
    </w:pPr>
    <w:rPr>
      <w:b/>
      <w:sz w:val="24"/>
    </w:rPr>
  </w:style>
  <w:style w:type="paragraph" w:customStyle="1" w:styleId="17">
    <w:name w:val="SpireTableThStyle7c2c1365-ebe9-4329-81dc-c2c81b36ced3"/>
    <w:basedOn w:val="1"/>
    <w:qFormat/>
    <w:uiPriority w:val="0"/>
    <w:pPr>
      <w:jc w:val="center"/>
    </w:pPr>
    <w:rPr>
      <w:b/>
      <w:sz w:val="24"/>
    </w:rPr>
  </w:style>
  <w:style w:type="paragraph" w:customStyle="1" w:styleId="18">
    <w:name w:val="SpireTableThStyledd64d5fe-3253-4aa7-9f7b-1894ff42bbbd"/>
    <w:basedOn w:val="1"/>
    <w:qFormat/>
    <w:uiPriority w:val="0"/>
    <w:pPr>
      <w:jc w:val="center"/>
    </w:pPr>
    <w:rPr>
      <w:b/>
      <w:sz w:val="24"/>
    </w:rPr>
  </w:style>
  <w:style w:type="paragraph" w:customStyle="1" w:styleId="19">
    <w:name w:val="SpireTableThStyleb8bb5ca2-bb4e-4be2-ab44-31426ca58004"/>
    <w:basedOn w:val="1"/>
    <w:qFormat/>
    <w:uiPriority w:val="0"/>
    <w:pPr>
      <w:jc w:val="center"/>
    </w:pPr>
    <w:rPr>
      <w:b/>
      <w:sz w:val="24"/>
    </w:rPr>
  </w:style>
  <w:style w:type="paragraph" w:customStyle="1" w:styleId="20">
    <w:name w:val="SpireTableThStyle7439593f-261d-4c9f-be93-d86cbf663620"/>
    <w:basedOn w:val="1"/>
    <w:qFormat/>
    <w:uiPriority w:val="0"/>
    <w:pPr>
      <w:jc w:val="center"/>
    </w:pPr>
    <w:rPr>
      <w:b/>
      <w:sz w:val="24"/>
    </w:rPr>
  </w:style>
  <w:style w:type="paragraph" w:customStyle="1" w:styleId="21">
    <w:name w:val="SpireTableThStyle7261f40e-f621-4866-a96a-a869920cbcc4"/>
    <w:basedOn w:val="1"/>
    <w:qFormat/>
    <w:uiPriority w:val="0"/>
    <w:pPr>
      <w:jc w:val="center"/>
    </w:pPr>
    <w:rPr>
      <w:b/>
      <w:sz w:val="24"/>
    </w:rPr>
  </w:style>
  <w:style w:type="paragraph" w:customStyle="1" w:styleId="22">
    <w:name w:val="SpireTableThStylebe152ab2-1c55-4722-abeb-13a277197eda"/>
    <w:basedOn w:val="1"/>
    <w:qFormat/>
    <w:uiPriority w:val="0"/>
    <w:pPr>
      <w:jc w:val="center"/>
    </w:pPr>
    <w:rPr>
      <w:b/>
      <w:sz w:val="24"/>
    </w:rPr>
  </w:style>
  <w:style w:type="paragraph" w:customStyle="1" w:styleId="23">
    <w:name w:val="SpireTableThStyle6658597f-9a50-4992-8178-75f58161ff54"/>
    <w:basedOn w:val="1"/>
    <w:qFormat/>
    <w:uiPriority w:val="0"/>
    <w:pPr>
      <w:jc w:val="center"/>
    </w:pPr>
    <w:rPr>
      <w:b/>
      <w:sz w:val="24"/>
    </w:rPr>
  </w:style>
  <w:style w:type="paragraph" w:customStyle="1" w:styleId="24">
    <w:name w:val="SpireTableThStyle56c8ed60-ea19-45d1-b904-d9a9d4fe2bac"/>
    <w:basedOn w:val="1"/>
    <w:qFormat/>
    <w:uiPriority w:val="0"/>
    <w:pPr>
      <w:jc w:val="center"/>
    </w:pPr>
    <w:rPr>
      <w:b/>
      <w:sz w:val="24"/>
    </w:rPr>
  </w:style>
  <w:style w:type="paragraph" w:customStyle="1" w:styleId="25">
    <w:name w:val="SpireTableThStyle0a277bea-afde-4a20-83b4-4aca18691139"/>
    <w:basedOn w:val="1"/>
    <w:qFormat/>
    <w:uiPriority w:val="0"/>
    <w:pPr>
      <w:jc w:val="center"/>
    </w:pPr>
    <w:rPr>
      <w:b/>
      <w:sz w:val="24"/>
    </w:rPr>
  </w:style>
  <w:style w:type="paragraph" w:customStyle="1" w:styleId="26">
    <w:name w:val="SpireTableThStyle25a26844-8bd4-4231-ab40-fe44c188db94"/>
    <w:basedOn w:val="1"/>
    <w:qFormat/>
    <w:uiPriority w:val="0"/>
    <w:pPr>
      <w:jc w:val="center"/>
    </w:pPr>
    <w:rPr>
      <w:b/>
      <w:sz w:val="24"/>
    </w:rPr>
  </w:style>
  <w:style w:type="paragraph" w:customStyle="1" w:styleId="27">
    <w:name w:val="SpireTableThStylea9d69ab3-1174-4642-a85d-58b0ec24f049"/>
    <w:basedOn w:val="1"/>
    <w:qFormat/>
    <w:uiPriority w:val="0"/>
    <w:pPr>
      <w:jc w:val="center"/>
    </w:pPr>
    <w:rPr>
      <w:b/>
      <w:sz w:val="24"/>
    </w:rPr>
  </w:style>
  <w:style w:type="paragraph" w:customStyle="1" w:styleId="28">
    <w:name w:val="SpireTableThStyle90c6799a-9639-483d-bcd3-383259032d22"/>
    <w:basedOn w:val="1"/>
    <w:qFormat/>
    <w:uiPriority w:val="0"/>
    <w:pPr>
      <w:jc w:val="center"/>
    </w:pPr>
    <w:rPr>
      <w:b/>
      <w:sz w:val="24"/>
    </w:rPr>
  </w:style>
  <w:style w:type="paragraph" w:customStyle="1" w:styleId="29">
    <w:name w:val="List Paragraph"/>
    <w:basedOn w:val="1"/>
    <w:qFormat/>
    <w:uiPriority w:val="99"/>
    <w:pPr>
      <w:ind w:firstLine="420" w:firstLineChars="200"/>
    </w:pPr>
    <w:rPr>
      <w:rFonts w:ascii="Calibri" w:hAnsi="Calibri"/>
      <w:szCs w:val="22"/>
    </w:rPr>
  </w:style>
  <w:style w:type="paragraph" w:customStyle="1" w:styleId="30">
    <w:name w:val="_Style 5"/>
    <w:basedOn w:val="1"/>
    <w:qFormat/>
    <w:uiPriority w:val="99"/>
    <w:pPr>
      <w:ind w:firstLine="420" w:firstLineChars="200"/>
    </w:pPr>
    <w:rPr>
      <w:rFonts w:ascii="Calibri" w:hAnsi="Calibri"/>
      <w:szCs w:val="22"/>
    </w:rPr>
  </w:style>
  <w:style w:type="character" w:customStyle="1" w:styleId="31">
    <w:name w:val="font12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1110</Words>
  <Characters>1120</Characters>
  <TotalTime>4</TotalTime>
  <ScaleCrop>false</ScaleCrop>
  <LinksUpToDate>false</LinksUpToDate>
  <CharactersWithSpaces>1134</CharactersWithSpaces>
  <Application>WPS Office_10.8.0.6423_F1E327BC-269C-435d-A152-05C5408002CA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2025-09-02T15:25:00Z</dcterms:created>
  <dc:creator>35239</dc:creator>
  <cp:lastModifiedBy>Administrator</cp:lastModifiedBy>
  <dcterms:modified xsi:type="dcterms:W3CDTF">2025-09-19T04:56:26Z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eyJoZGlkIjoiNDFkZWU2YWU4MjkzOWYzMjAyM2U0ZDA2YTE1ZjdkN2YiLCJ1c2VySWQiOiI1MDk0NDk3MDUifQ==</vt:lpwstr>
  </property>
  <property fmtid="{D5CDD505-2E9C-101B-9397-08002B2CF9AE}" pid="3" name="KSOProductBuildVer">
    <vt:lpwstr>2052-10.8.0.6423</vt:lpwstr>
  </property>
  <property fmtid="{D5CDD505-2E9C-101B-9397-08002B2CF9AE}" pid="4" name="ICV">
    <vt:lpwstr>2A99832F1BBF46AABAF8E6B4D040BB9C_13</vt:lpwstr>
  </property>
</Properties>
</file>