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15510">
      <w:pPr>
        <w:pStyle w:val="15"/>
        <w:jc w:val="both"/>
        <w:rPr>
          <w:rFonts w:hAnsi="黑体"/>
          <w:sz w:val="36"/>
          <w:szCs w:val="36"/>
        </w:rPr>
      </w:pPr>
      <w:r>
        <w:rPr>
          <w:rFonts w:hint="eastAsia" w:hAnsi="黑体"/>
          <w:sz w:val="36"/>
          <w:szCs w:val="36"/>
        </w:rPr>
        <w:t>附件1</w:t>
      </w:r>
    </w:p>
    <w:p w14:paraId="620C4A9F">
      <w:pPr>
        <w:pStyle w:val="15"/>
        <w:jc w:val="center"/>
        <w:rPr>
          <w:rFonts w:ascii="Times New Roman" w:hAnsi="Times New Roman" w:cs="Times New Roman"/>
          <w:sz w:val="56"/>
          <w:szCs w:val="56"/>
        </w:rPr>
      </w:pPr>
    </w:p>
    <w:p w14:paraId="3ED91C39">
      <w:pPr>
        <w:pStyle w:val="15"/>
        <w:jc w:val="center"/>
        <w:rPr>
          <w:rFonts w:ascii="Times New Roman" w:hAnsi="Times New Roman" w:cs="Times New Roman"/>
          <w:sz w:val="84"/>
          <w:szCs w:val="84"/>
        </w:rPr>
      </w:pPr>
    </w:p>
    <w:p w14:paraId="75C92BC9">
      <w:pPr>
        <w:pStyle w:val="15"/>
        <w:jc w:val="center"/>
        <w:rPr>
          <w:rFonts w:ascii="Times New Roman" w:hAnsi="Times New Roman" w:cs="Times New Roman"/>
          <w:sz w:val="84"/>
          <w:szCs w:val="84"/>
        </w:rPr>
      </w:pPr>
    </w:p>
    <w:p w14:paraId="68ABF765">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C6C922A">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湖南省纤维检测研究院单位</w:t>
      </w:r>
      <w:r>
        <w:rPr>
          <w:rFonts w:ascii="Times New Roman" w:hAnsi="Times New Roman" w:eastAsia="方正小标宋简体" w:cs="Times New Roman"/>
          <w:sz w:val="72"/>
          <w:szCs w:val="72"/>
        </w:rPr>
        <w:t>决算</w:t>
      </w:r>
    </w:p>
    <w:p w14:paraId="58606EA3">
      <w:pPr>
        <w:pStyle w:val="15"/>
        <w:jc w:val="center"/>
        <w:rPr>
          <w:rFonts w:ascii="Times New Roman" w:hAnsi="Times New Roman" w:eastAsia="方正小标宋_GBK" w:cs="Times New Roman"/>
          <w:sz w:val="56"/>
          <w:szCs w:val="56"/>
        </w:rPr>
      </w:pPr>
    </w:p>
    <w:p w14:paraId="1B2BBB50">
      <w:pPr>
        <w:pStyle w:val="15"/>
        <w:jc w:val="center"/>
        <w:rPr>
          <w:rFonts w:ascii="Times New Roman" w:hAnsi="Times New Roman" w:cs="Times New Roman"/>
          <w:sz w:val="56"/>
          <w:szCs w:val="56"/>
        </w:rPr>
      </w:pPr>
    </w:p>
    <w:p w14:paraId="7FFD9EFE">
      <w:pPr>
        <w:pStyle w:val="15"/>
        <w:rPr>
          <w:rFonts w:ascii="Times New Roman" w:hAnsi="Times New Roman" w:cs="Times New Roman"/>
          <w:sz w:val="56"/>
          <w:szCs w:val="56"/>
        </w:rPr>
      </w:pPr>
    </w:p>
    <w:p w14:paraId="09B991F4">
      <w:pPr>
        <w:pStyle w:val="15"/>
        <w:jc w:val="center"/>
        <w:rPr>
          <w:rFonts w:ascii="Times New Roman" w:hAnsi="Times New Roman" w:cs="Times New Roman"/>
          <w:sz w:val="32"/>
          <w:szCs w:val="32"/>
        </w:rPr>
      </w:pPr>
    </w:p>
    <w:p w14:paraId="17EC2756">
      <w:pPr>
        <w:pStyle w:val="15"/>
        <w:jc w:val="center"/>
        <w:rPr>
          <w:rFonts w:ascii="Times New Roman" w:hAnsi="Times New Roman" w:cs="Times New Roman"/>
          <w:sz w:val="32"/>
          <w:szCs w:val="32"/>
        </w:rPr>
      </w:pPr>
    </w:p>
    <w:p w14:paraId="78EF11A7">
      <w:pPr>
        <w:pStyle w:val="15"/>
        <w:jc w:val="center"/>
        <w:rPr>
          <w:rFonts w:ascii="Times New Roman" w:hAnsi="Times New Roman" w:cs="Times New Roman"/>
          <w:sz w:val="32"/>
          <w:szCs w:val="32"/>
        </w:rPr>
      </w:pPr>
    </w:p>
    <w:p w14:paraId="1B850068">
      <w:pPr>
        <w:pStyle w:val="15"/>
        <w:jc w:val="center"/>
        <w:rPr>
          <w:rFonts w:ascii="Times New Roman" w:hAnsi="Times New Roman" w:cs="Times New Roman"/>
          <w:sz w:val="32"/>
          <w:szCs w:val="32"/>
        </w:rPr>
      </w:pPr>
    </w:p>
    <w:p w14:paraId="7159BBDB">
      <w:pPr>
        <w:pStyle w:val="15"/>
        <w:jc w:val="center"/>
        <w:rPr>
          <w:rFonts w:ascii="Times New Roman" w:hAnsi="Times New Roman" w:cs="Times New Roman"/>
          <w:sz w:val="32"/>
          <w:szCs w:val="32"/>
        </w:rPr>
      </w:pPr>
    </w:p>
    <w:p w14:paraId="6E21CC70">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CCF5922">
      <w:pPr>
        <w:pStyle w:val="15"/>
        <w:spacing w:line="600" w:lineRule="exact"/>
        <w:jc w:val="both"/>
        <w:rPr>
          <w:rFonts w:ascii="Times New Roman" w:hAnsi="Times New Roman" w:cs="Times New Roman"/>
          <w:b/>
          <w:sz w:val="36"/>
          <w:szCs w:val="28"/>
        </w:rPr>
      </w:pPr>
    </w:p>
    <w:p w14:paraId="66653E8D">
      <w:pPr>
        <w:pStyle w:val="15"/>
        <w:spacing w:line="600" w:lineRule="exact"/>
        <w:jc w:val="center"/>
        <w:rPr>
          <w:rFonts w:ascii="Times New Roman" w:hAnsi="Times New Roman" w:cs="Times New Roman"/>
          <w:bCs/>
          <w:sz w:val="36"/>
          <w:szCs w:val="28"/>
        </w:rPr>
      </w:pPr>
    </w:p>
    <w:p w14:paraId="7F84E5C0">
      <w:pPr>
        <w:pStyle w:val="15"/>
        <w:spacing w:line="600" w:lineRule="exact"/>
        <w:jc w:val="center"/>
        <w:rPr>
          <w:rFonts w:ascii="Times New Roman" w:hAnsi="Times New Roman" w:cs="Times New Roman"/>
          <w:bCs/>
          <w:sz w:val="36"/>
          <w:szCs w:val="28"/>
        </w:rPr>
      </w:pPr>
    </w:p>
    <w:p w14:paraId="564DC7B5">
      <w:pPr>
        <w:pStyle w:val="15"/>
        <w:spacing w:line="600" w:lineRule="exact"/>
        <w:jc w:val="center"/>
        <w:rPr>
          <w:rFonts w:ascii="Times New Roman" w:hAnsi="Times New Roman" w:cs="Times New Roman"/>
          <w:bCs/>
          <w:sz w:val="36"/>
          <w:szCs w:val="28"/>
        </w:rPr>
      </w:pPr>
    </w:p>
    <w:p w14:paraId="41385509">
      <w:pPr>
        <w:pStyle w:val="15"/>
        <w:spacing w:line="600" w:lineRule="exact"/>
        <w:jc w:val="center"/>
        <w:rPr>
          <w:rFonts w:ascii="Times New Roman" w:hAnsi="Times New Roman" w:cs="Times New Roman"/>
          <w:bCs/>
          <w:sz w:val="36"/>
          <w:szCs w:val="28"/>
        </w:rPr>
      </w:pPr>
    </w:p>
    <w:p w14:paraId="24ADAFE4">
      <w:pPr>
        <w:pStyle w:val="15"/>
        <w:spacing w:line="600" w:lineRule="exact"/>
        <w:jc w:val="center"/>
        <w:rPr>
          <w:rFonts w:ascii="Times New Roman" w:hAnsi="Times New Roman" w:cs="Times New Roman"/>
          <w:bCs/>
          <w:sz w:val="36"/>
          <w:szCs w:val="28"/>
        </w:rPr>
      </w:pPr>
    </w:p>
    <w:p w14:paraId="0F9FD8FD">
      <w:pPr>
        <w:pStyle w:val="15"/>
        <w:spacing w:line="600" w:lineRule="exact"/>
        <w:jc w:val="center"/>
        <w:rPr>
          <w:rFonts w:ascii="Times New Roman" w:hAnsi="Times New Roman" w:cs="Times New Roman"/>
          <w:bCs/>
          <w:sz w:val="36"/>
          <w:szCs w:val="28"/>
        </w:rPr>
      </w:pPr>
    </w:p>
    <w:p w14:paraId="1089A844">
      <w:pPr>
        <w:pStyle w:val="15"/>
        <w:spacing w:line="600" w:lineRule="exact"/>
        <w:jc w:val="center"/>
        <w:rPr>
          <w:rFonts w:ascii="Times New Roman" w:hAnsi="Times New Roman" w:cs="Times New Roman"/>
          <w:bCs/>
          <w:sz w:val="36"/>
          <w:szCs w:val="28"/>
        </w:rPr>
      </w:pPr>
    </w:p>
    <w:p w14:paraId="0E932285">
      <w:pPr>
        <w:pStyle w:val="15"/>
        <w:spacing w:line="600" w:lineRule="exact"/>
        <w:jc w:val="center"/>
        <w:rPr>
          <w:rFonts w:ascii="Times New Roman" w:hAnsi="Times New Roman" w:cs="Times New Roman"/>
          <w:bCs/>
          <w:sz w:val="36"/>
          <w:szCs w:val="28"/>
        </w:rPr>
      </w:pPr>
    </w:p>
    <w:p w14:paraId="40649906">
      <w:pPr>
        <w:pStyle w:val="15"/>
        <w:spacing w:line="600" w:lineRule="exact"/>
        <w:jc w:val="center"/>
        <w:rPr>
          <w:rFonts w:ascii="Times New Roman" w:hAnsi="Times New Roman" w:cs="Times New Roman"/>
          <w:bCs/>
          <w:sz w:val="36"/>
          <w:szCs w:val="28"/>
        </w:rPr>
      </w:pPr>
    </w:p>
    <w:p w14:paraId="1C22F104">
      <w:pPr>
        <w:pStyle w:val="15"/>
        <w:spacing w:line="600" w:lineRule="exact"/>
        <w:jc w:val="center"/>
        <w:rPr>
          <w:rFonts w:ascii="Times New Roman" w:hAnsi="Times New Roman" w:cs="Times New Roman"/>
          <w:bCs/>
          <w:sz w:val="36"/>
          <w:szCs w:val="28"/>
        </w:rPr>
      </w:pPr>
    </w:p>
    <w:p w14:paraId="0F1E6ECF">
      <w:pPr>
        <w:pStyle w:val="15"/>
        <w:spacing w:line="600" w:lineRule="exact"/>
        <w:jc w:val="center"/>
        <w:rPr>
          <w:rFonts w:ascii="Times New Roman" w:hAnsi="Times New Roman" w:cs="Times New Roman"/>
          <w:bCs/>
          <w:sz w:val="36"/>
          <w:szCs w:val="28"/>
        </w:rPr>
      </w:pPr>
    </w:p>
    <w:p w14:paraId="162BDC4B">
      <w:pPr>
        <w:pStyle w:val="15"/>
        <w:spacing w:line="600" w:lineRule="exact"/>
        <w:jc w:val="center"/>
        <w:rPr>
          <w:rFonts w:ascii="Times New Roman" w:hAnsi="Times New Roman" w:cs="Times New Roman"/>
          <w:bCs/>
          <w:sz w:val="36"/>
          <w:szCs w:val="28"/>
        </w:rPr>
      </w:pPr>
    </w:p>
    <w:p w14:paraId="28FA63C6">
      <w:pPr>
        <w:pStyle w:val="15"/>
        <w:spacing w:line="600" w:lineRule="exact"/>
        <w:jc w:val="center"/>
        <w:rPr>
          <w:rFonts w:ascii="Times New Roman" w:hAnsi="Times New Roman" w:cs="Times New Roman"/>
          <w:bCs/>
          <w:sz w:val="36"/>
          <w:szCs w:val="28"/>
        </w:rPr>
      </w:pPr>
    </w:p>
    <w:p w14:paraId="65CD8F35">
      <w:pPr>
        <w:pStyle w:val="15"/>
        <w:spacing w:line="600" w:lineRule="exact"/>
        <w:jc w:val="center"/>
        <w:rPr>
          <w:rFonts w:ascii="Times New Roman" w:hAnsi="Times New Roman" w:cs="Times New Roman"/>
          <w:bCs/>
          <w:sz w:val="36"/>
          <w:szCs w:val="28"/>
        </w:rPr>
      </w:pPr>
    </w:p>
    <w:p w14:paraId="7241FFFE">
      <w:pPr>
        <w:pStyle w:val="15"/>
        <w:spacing w:line="600" w:lineRule="exact"/>
        <w:jc w:val="center"/>
        <w:rPr>
          <w:rFonts w:ascii="Times New Roman" w:hAnsi="Times New Roman" w:cs="Times New Roman"/>
          <w:bCs/>
          <w:sz w:val="36"/>
          <w:szCs w:val="28"/>
        </w:rPr>
      </w:pPr>
    </w:p>
    <w:p w14:paraId="6FE2FF64">
      <w:pPr>
        <w:pStyle w:val="15"/>
        <w:spacing w:line="600" w:lineRule="exact"/>
        <w:jc w:val="center"/>
        <w:rPr>
          <w:rFonts w:ascii="Times New Roman" w:hAnsi="Times New Roman" w:cs="Times New Roman"/>
          <w:bCs/>
          <w:sz w:val="36"/>
          <w:szCs w:val="28"/>
        </w:rPr>
      </w:pPr>
    </w:p>
    <w:p w14:paraId="1B2337B9">
      <w:pPr>
        <w:pStyle w:val="15"/>
        <w:spacing w:line="600" w:lineRule="exact"/>
        <w:jc w:val="center"/>
        <w:rPr>
          <w:rFonts w:ascii="Times New Roman" w:hAnsi="Times New Roman" w:cs="Times New Roman"/>
          <w:bCs/>
          <w:sz w:val="36"/>
          <w:szCs w:val="28"/>
        </w:rPr>
      </w:pPr>
    </w:p>
    <w:p w14:paraId="51AA3E89">
      <w:pPr>
        <w:pStyle w:val="15"/>
        <w:spacing w:line="600" w:lineRule="exact"/>
        <w:jc w:val="center"/>
        <w:rPr>
          <w:rFonts w:ascii="Times New Roman" w:hAnsi="Times New Roman" w:cs="Times New Roman"/>
          <w:bCs/>
          <w:sz w:val="36"/>
          <w:szCs w:val="28"/>
        </w:rPr>
      </w:pPr>
    </w:p>
    <w:p w14:paraId="667F1845">
      <w:pPr>
        <w:pStyle w:val="15"/>
        <w:spacing w:line="600" w:lineRule="exact"/>
        <w:jc w:val="center"/>
        <w:rPr>
          <w:rFonts w:ascii="Times New Roman" w:hAnsi="Times New Roman" w:cs="Times New Roman"/>
          <w:bCs/>
          <w:sz w:val="36"/>
          <w:szCs w:val="28"/>
        </w:rPr>
      </w:pPr>
    </w:p>
    <w:p w14:paraId="4BD33838">
      <w:pPr>
        <w:pStyle w:val="15"/>
        <w:spacing w:line="600" w:lineRule="exact"/>
        <w:jc w:val="center"/>
        <w:rPr>
          <w:rFonts w:ascii="Times New Roman" w:hAnsi="Times New Roman" w:cs="Times New Roman"/>
          <w:bCs/>
          <w:sz w:val="36"/>
          <w:szCs w:val="28"/>
        </w:rPr>
      </w:pPr>
    </w:p>
    <w:p w14:paraId="0B0412E3">
      <w:pPr>
        <w:pStyle w:val="15"/>
        <w:spacing w:line="600" w:lineRule="exact"/>
        <w:jc w:val="center"/>
        <w:rPr>
          <w:rFonts w:ascii="Times New Roman" w:hAnsi="Times New Roman" w:cs="Times New Roman"/>
          <w:bCs/>
          <w:sz w:val="36"/>
          <w:szCs w:val="28"/>
        </w:rPr>
      </w:pPr>
    </w:p>
    <w:p w14:paraId="5C7745C0">
      <w:pPr>
        <w:pStyle w:val="15"/>
        <w:spacing w:line="600" w:lineRule="exact"/>
        <w:jc w:val="center"/>
        <w:rPr>
          <w:rFonts w:ascii="Times New Roman" w:hAnsi="Times New Roman" w:cs="Times New Roman"/>
          <w:bCs/>
          <w:sz w:val="36"/>
          <w:szCs w:val="28"/>
        </w:rPr>
      </w:pPr>
    </w:p>
    <w:p w14:paraId="27097272">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286641E">
      <w:pPr>
        <w:pStyle w:val="15"/>
        <w:spacing w:line="600" w:lineRule="exact"/>
        <w:jc w:val="center"/>
        <w:rPr>
          <w:rFonts w:ascii="Times New Roman" w:hAnsi="Times New Roman" w:cs="Times New Roman"/>
          <w:b/>
          <w:sz w:val="36"/>
          <w:szCs w:val="28"/>
        </w:rPr>
      </w:pPr>
    </w:p>
    <w:p w14:paraId="4C076073">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湖南省纤维检测研究院</w:t>
      </w:r>
      <w:r>
        <w:rPr>
          <w:rFonts w:ascii="Times New Roman" w:hAnsi="Times New Roman" w:cs="Times New Roman"/>
          <w:bCs/>
          <w:sz w:val="32"/>
          <w:szCs w:val="32"/>
        </w:rPr>
        <w:t>概况</w:t>
      </w:r>
    </w:p>
    <w:p w14:paraId="4FFEEE9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14:paraId="4FAF9AA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68484F1">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14:paraId="35F7C93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2FE82D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ABB240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8EFE87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181D84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1AA4B3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948132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05152F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8D10E3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5ACB882">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14:paraId="48531A5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9A5AF5A">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CE25A1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94E05A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C1B820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21378D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8A2BBB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BCD847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12C7E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07C1B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5AD047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5C3C9EF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5D6C76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1355BF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5D4D9A3">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43F08F6">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3266C90">
      <w:pPr>
        <w:pStyle w:val="15"/>
        <w:spacing w:line="600" w:lineRule="exact"/>
        <w:rPr>
          <w:rFonts w:ascii="Times New Roman" w:hAnsi="Times New Roman" w:cs="Times New Roman"/>
          <w:bCs/>
          <w:sz w:val="28"/>
          <w:szCs w:val="28"/>
        </w:rPr>
      </w:pPr>
    </w:p>
    <w:p w14:paraId="7E158F12">
      <w:pPr>
        <w:jc w:val="center"/>
        <w:rPr>
          <w:rFonts w:ascii="Times New Roman" w:hAnsi="Times New Roman" w:cs="Times New Roman"/>
          <w:sz w:val="72"/>
          <w:szCs w:val="72"/>
        </w:rPr>
      </w:pPr>
    </w:p>
    <w:p w14:paraId="721762BE">
      <w:pPr>
        <w:jc w:val="center"/>
        <w:rPr>
          <w:rFonts w:ascii="Times New Roman" w:hAnsi="Times New Roman" w:cs="Times New Roman"/>
          <w:sz w:val="72"/>
          <w:szCs w:val="72"/>
        </w:rPr>
      </w:pPr>
    </w:p>
    <w:p w14:paraId="36D6350C">
      <w:pPr>
        <w:jc w:val="center"/>
        <w:rPr>
          <w:rFonts w:ascii="Times New Roman" w:hAnsi="Times New Roman" w:cs="Times New Roman"/>
          <w:sz w:val="72"/>
          <w:szCs w:val="72"/>
        </w:rPr>
      </w:pPr>
    </w:p>
    <w:p w14:paraId="7CB0E21B">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01B709E">
      <w:pPr>
        <w:rPr>
          <w:rFonts w:ascii="Times New Roman" w:hAnsi="Times New Roman" w:eastAsia="方正小标宋_GBK" w:cs="Times New Roman"/>
          <w:sz w:val="72"/>
          <w:szCs w:val="72"/>
        </w:rPr>
      </w:pPr>
    </w:p>
    <w:p w14:paraId="0BC2BD91">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31030F1">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湖南省纤维检测研究院</w:t>
      </w:r>
      <w:r>
        <w:rPr>
          <w:rFonts w:ascii="Times New Roman" w:hAnsi="Times New Roman" w:eastAsia="方正小标宋_GBK" w:cs="Times New Roman"/>
          <w:sz w:val="52"/>
          <w:szCs w:val="52"/>
        </w:rPr>
        <w:t>概况</w:t>
      </w:r>
    </w:p>
    <w:p w14:paraId="2A8C6D2A">
      <w:pPr>
        <w:pStyle w:val="5"/>
        <w:ind w:left="0" w:leftChars="0" w:firstLine="0" w:firstLineChars="0"/>
        <w:rPr>
          <w:rFonts w:ascii="Times New Roman" w:hAnsi="Times New Roman" w:cs="Times New Roman"/>
        </w:rPr>
      </w:pPr>
    </w:p>
    <w:p w14:paraId="5B88F12C">
      <w:pPr>
        <w:pStyle w:val="15"/>
        <w:spacing w:line="500" w:lineRule="exact"/>
        <w:ind w:firstLine="562" w:firstLineChars="200"/>
        <w:rPr>
          <w:rFonts w:ascii="宋体" w:hAnsi="宋体" w:eastAsia="宋体" w:cs="仿宋_GB2312"/>
          <w:b/>
          <w:bCs/>
          <w:sz w:val="28"/>
          <w:szCs w:val="28"/>
          <w:highlight w:val="none"/>
        </w:rPr>
      </w:pPr>
      <w:r>
        <w:rPr>
          <w:rFonts w:ascii="宋体" w:hAnsi="宋体" w:eastAsia="宋体" w:cs="仿宋_GB2312"/>
          <w:b/>
          <w:bCs/>
          <w:sz w:val="28"/>
          <w:szCs w:val="28"/>
          <w:highlight w:val="none"/>
        </w:rPr>
        <w:t>一、</w:t>
      </w:r>
      <w:r>
        <w:rPr>
          <w:rFonts w:hint="eastAsia" w:ascii="宋体" w:hAnsi="宋体" w:eastAsia="宋体" w:cs="仿宋_GB2312"/>
          <w:b/>
          <w:bCs/>
          <w:sz w:val="28"/>
          <w:szCs w:val="28"/>
          <w:highlight w:val="none"/>
          <w:lang w:val="en-US" w:eastAsia="zh-CN"/>
        </w:rPr>
        <w:t>单位</w:t>
      </w:r>
      <w:r>
        <w:rPr>
          <w:rFonts w:ascii="宋体" w:hAnsi="宋体" w:eastAsia="宋体" w:cs="仿宋_GB2312"/>
          <w:b/>
          <w:bCs/>
          <w:sz w:val="28"/>
          <w:szCs w:val="28"/>
          <w:highlight w:val="none"/>
        </w:rPr>
        <w:t>职责</w:t>
      </w:r>
    </w:p>
    <w:p w14:paraId="6216A20B">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none"/>
        </w:rPr>
        <w:t>湖南省纤维检测研究院为湖南省市场监督管理局管理的公益一类事业单位,机构规格相当于正处级</w:t>
      </w:r>
      <w:r>
        <w:rPr>
          <w:rFonts w:hint="eastAsia" w:ascii="仿宋" w:hAnsi="仿宋" w:eastAsia="仿宋" w:cs="仿宋"/>
          <w:sz w:val="28"/>
          <w:szCs w:val="28"/>
          <w:highlight w:val="none"/>
          <w:u w:val="none"/>
          <w:lang w:eastAsia="zh-CN"/>
        </w:rPr>
        <w:t>。主要职能如下：</w:t>
      </w:r>
    </w:p>
    <w:p w14:paraId="38C6CCE0">
      <w:pPr>
        <w:spacing w:line="600" w:lineRule="exact"/>
        <w:ind w:firstLine="560" w:firstLineChars="200"/>
        <w:jc w:val="left"/>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（一）</w:t>
      </w:r>
      <w:r>
        <w:rPr>
          <w:rFonts w:hint="eastAsia" w:ascii="仿宋" w:hAnsi="仿宋" w:eastAsia="仿宋" w:cs="仿宋"/>
          <w:sz w:val="28"/>
          <w:szCs w:val="28"/>
          <w:highlight w:val="none"/>
          <w:u w:val="none"/>
        </w:rPr>
        <w:t>承担棉花、苎麻等纤维质量公证检验,纤维及纤维制品监测、科研等相关事务性职能。</w:t>
      </w:r>
    </w:p>
    <w:p w14:paraId="64F4E9D7">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（二）</w:t>
      </w:r>
      <w:r>
        <w:rPr>
          <w:rFonts w:hint="eastAsia" w:ascii="仿宋" w:hAnsi="仿宋" w:eastAsia="仿宋" w:cs="仿宋"/>
          <w:sz w:val="28"/>
          <w:szCs w:val="28"/>
          <w:highlight w:val="none"/>
          <w:u w:val="none"/>
        </w:rPr>
        <w:t>承担纤维及纤维制品质量监督管理、行政执法、监督抽查、品质调查、评价评估、风险监测、执法办案、投诉举报的相关事务性工作。</w:t>
      </w:r>
    </w:p>
    <w:p w14:paraId="6F4B3134">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（三）</w:t>
      </w:r>
      <w:r>
        <w:rPr>
          <w:rFonts w:hint="eastAsia" w:ascii="仿宋" w:hAnsi="仿宋" w:eastAsia="仿宋" w:cs="仿宋"/>
          <w:sz w:val="28"/>
          <w:szCs w:val="28"/>
          <w:highlight w:val="none"/>
          <w:u w:val="none"/>
        </w:rPr>
        <w:t>承担纤维及纤维制品质量复检、质量抽验、仲裁检验工作。</w:t>
      </w:r>
    </w:p>
    <w:p w14:paraId="03488A2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（四）</w:t>
      </w:r>
      <w:r>
        <w:rPr>
          <w:rFonts w:hint="eastAsia" w:ascii="仿宋" w:hAnsi="仿宋" w:eastAsia="仿宋" w:cs="仿宋"/>
          <w:sz w:val="28"/>
          <w:szCs w:val="28"/>
          <w:highlight w:val="none"/>
          <w:u w:val="none"/>
        </w:rPr>
        <w:t>承担纤维及纤维制品质量监测体系建设工作,承担纤维质量追溯体系建设。</w:t>
      </w:r>
    </w:p>
    <w:p w14:paraId="2E166A94">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（五）</w:t>
      </w:r>
      <w:r>
        <w:rPr>
          <w:rFonts w:hint="eastAsia" w:ascii="仿宋" w:hAnsi="仿宋" w:eastAsia="仿宋" w:cs="仿宋"/>
          <w:sz w:val="28"/>
          <w:szCs w:val="28"/>
          <w:highlight w:val="none"/>
          <w:u w:val="none"/>
        </w:rPr>
        <w:t>承担国家苎麻产品质量检验检测中心日常工作</w:t>
      </w:r>
      <w:r>
        <w:rPr>
          <w:rFonts w:hint="eastAsia" w:ascii="仿宋" w:hAnsi="仿宋" w:eastAsia="仿宋" w:cs="仿宋"/>
          <w:sz w:val="28"/>
          <w:szCs w:val="28"/>
          <w:highlight w:val="none"/>
          <w:u w:val="none"/>
          <w:lang w:eastAsia="zh-CN"/>
        </w:rPr>
        <w:t>。</w:t>
      </w:r>
    </w:p>
    <w:p w14:paraId="795A0D7B">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（六）</w:t>
      </w:r>
      <w:r>
        <w:rPr>
          <w:rFonts w:hint="eastAsia" w:ascii="仿宋" w:hAnsi="仿宋" w:eastAsia="仿宋" w:cs="仿宋"/>
          <w:sz w:val="28"/>
          <w:szCs w:val="28"/>
          <w:highlight w:val="none"/>
          <w:u w:val="none"/>
        </w:rPr>
        <w:t>承担纤维及纤维制品的标准制修订、培训交流、检测技术开发工作。</w:t>
      </w:r>
    </w:p>
    <w:p w14:paraId="4B779BD5">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（七）</w:t>
      </w:r>
      <w:r>
        <w:rPr>
          <w:rFonts w:hint="eastAsia" w:ascii="仿宋" w:hAnsi="仿宋" w:eastAsia="仿宋" w:cs="仿宋"/>
          <w:sz w:val="28"/>
          <w:szCs w:val="28"/>
          <w:highlight w:val="none"/>
          <w:u w:val="none"/>
        </w:rPr>
        <w:t>承担全省纤维及纤维制品专用计量器具的检定、校准工作。</w:t>
      </w:r>
    </w:p>
    <w:p w14:paraId="25768564">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（八）</w:t>
      </w:r>
      <w:r>
        <w:rPr>
          <w:rFonts w:hint="eastAsia" w:ascii="仿宋" w:hAnsi="仿宋" w:eastAsia="仿宋" w:cs="仿宋"/>
          <w:sz w:val="28"/>
          <w:szCs w:val="28"/>
          <w:highlight w:val="none"/>
          <w:u w:val="none"/>
        </w:rPr>
        <w:t>向社会提供纤维质量检测相关技术服务</w:t>
      </w:r>
      <w:r>
        <w:rPr>
          <w:rFonts w:hint="eastAsia" w:ascii="仿宋" w:hAnsi="仿宋" w:eastAsia="仿宋" w:cs="仿宋"/>
          <w:sz w:val="28"/>
          <w:szCs w:val="28"/>
          <w:highlight w:val="none"/>
          <w:u w:val="none"/>
          <w:lang w:eastAsia="zh-CN"/>
        </w:rPr>
        <w:t>。</w:t>
      </w:r>
    </w:p>
    <w:p w14:paraId="5883A63A">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u w:val="none"/>
          <w:lang w:eastAsia="zh-CN"/>
        </w:rPr>
        <w:t>（九）</w:t>
      </w:r>
      <w:r>
        <w:rPr>
          <w:rFonts w:hint="eastAsia" w:ascii="仿宋" w:hAnsi="仿宋" w:eastAsia="仿宋" w:cs="仿宋"/>
          <w:sz w:val="28"/>
          <w:szCs w:val="28"/>
          <w:highlight w:val="none"/>
          <w:u w:val="none"/>
        </w:rPr>
        <w:t>完成省市场监督管理局交办的其他任务</w:t>
      </w:r>
      <w:r>
        <w:rPr>
          <w:rFonts w:hint="eastAsia" w:ascii="仿宋" w:hAnsi="仿宋" w:eastAsia="仿宋" w:cs="仿宋"/>
          <w:sz w:val="28"/>
          <w:szCs w:val="28"/>
          <w:highlight w:val="none"/>
          <w:u w:val="none"/>
          <w:lang w:eastAsia="zh-CN"/>
        </w:rPr>
        <w:t>。</w:t>
      </w:r>
    </w:p>
    <w:p w14:paraId="0676D737">
      <w:pPr>
        <w:pStyle w:val="15"/>
        <w:spacing w:line="500" w:lineRule="exact"/>
        <w:ind w:firstLine="703" w:firstLineChars="250"/>
        <w:rPr>
          <w:rFonts w:hint="default" w:ascii="宋体" w:hAnsi="宋体" w:eastAsia="宋体" w:cs="仿宋_GB2312"/>
          <w:b/>
          <w:bCs/>
          <w:sz w:val="28"/>
          <w:szCs w:val="28"/>
          <w:highlight w:val="none"/>
          <w:lang w:val="en-US" w:eastAsia="zh-CN"/>
        </w:rPr>
      </w:pPr>
      <w:r>
        <w:rPr>
          <w:rFonts w:ascii="宋体" w:hAnsi="宋体" w:eastAsia="宋体" w:cs="仿宋_GB2312"/>
          <w:b/>
          <w:bCs/>
          <w:sz w:val="28"/>
          <w:szCs w:val="28"/>
          <w:highlight w:val="none"/>
        </w:rPr>
        <w:t>二、机构设置</w:t>
      </w:r>
      <w:r>
        <w:rPr>
          <w:rFonts w:hint="eastAsia" w:ascii="宋体" w:hAnsi="宋体" w:eastAsia="宋体" w:cs="仿宋_GB2312"/>
          <w:b/>
          <w:bCs/>
          <w:sz w:val="28"/>
          <w:szCs w:val="28"/>
          <w:highlight w:val="none"/>
          <w:lang w:val="en-US" w:eastAsia="zh-CN"/>
        </w:rPr>
        <w:t>及决算单位构成</w:t>
      </w:r>
    </w:p>
    <w:p w14:paraId="1692425B">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（一）</w:t>
      </w:r>
      <w:r>
        <w:rPr>
          <w:rFonts w:hint="eastAsia" w:ascii="仿宋" w:hAnsi="仿宋" w:eastAsia="仿宋" w:cs="仿宋"/>
          <w:bCs/>
          <w:kern w:val="0"/>
          <w:sz w:val="28"/>
          <w:szCs w:val="28"/>
          <w:highlight w:val="none"/>
        </w:rPr>
        <w:t>内设机构设置。</w:t>
      </w:r>
      <w:r>
        <w:rPr>
          <w:rFonts w:hint="eastAsia" w:ascii="仿宋" w:hAnsi="仿宋" w:eastAsia="仿宋" w:cs="仿宋"/>
          <w:bCs/>
          <w:kern w:val="0"/>
          <w:sz w:val="28"/>
          <w:szCs w:val="28"/>
          <w:highlight w:val="none"/>
          <w:lang w:val="en-US" w:eastAsia="zh-CN"/>
        </w:rPr>
        <w:t>本单位</w:t>
      </w:r>
      <w:r>
        <w:rPr>
          <w:rFonts w:hint="eastAsia" w:ascii="仿宋" w:hAnsi="仿宋" w:eastAsia="仿宋" w:cs="仿宋"/>
          <w:sz w:val="28"/>
          <w:szCs w:val="28"/>
          <w:highlight w:val="none"/>
          <w:u w:val="none"/>
        </w:rPr>
        <w:t>内设</w:t>
      </w:r>
      <w:r>
        <w:rPr>
          <w:rFonts w:hint="eastAsia" w:ascii="仿宋" w:hAnsi="仿宋" w:eastAsia="仿宋" w:cs="仿宋"/>
          <w:sz w:val="28"/>
          <w:szCs w:val="28"/>
          <w:highlight w:val="none"/>
          <w:u w:val="none"/>
          <w:lang w:eastAsia="zh-CN"/>
        </w:rPr>
        <w:t>综合部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党务人事部</w:t>
      </w:r>
      <w:r>
        <w:rPr>
          <w:rFonts w:hint="eastAsia" w:ascii="仿宋" w:hAnsi="仿宋" w:eastAsia="仿宋" w:cs="仿宋"/>
          <w:sz w:val="28"/>
          <w:szCs w:val="28"/>
          <w:highlight w:val="none"/>
          <w:u w:val="none"/>
        </w:rPr>
        <w:t>、质保法制</w:t>
      </w:r>
      <w:r>
        <w:rPr>
          <w:rFonts w:hint="eastAsia" w:ascii="仿宋" w:hAnsi="仿宋" w:eastAsia="仿宋" w:cs="仿宋"/>
          <w:sz w:val="28"/>
          <w:szCs w:val="28"/>
          <w:highlight w:val="none"/>
          <w:u w:val="none"/>
          <w:lang w:eastAsia="zh-CN"/>
        </w:rPr>
        <w:t>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质量</w:t>
      </w:r>
      <w:r>
        <w:rPr>
          <w:rFonts w:hint="eastAsia" w:ascii="仿宋" w:hAnsi="仿宋" w:eastAsia="仿宋" w:cs="仿宋"/>
          <w:sz w:val="28"/>
          <w:szCs w:val="28"/>
          <w:highlight w:val="none"/>
          <w:u w:val="none"/>
        </w:rPr>
        <w:t>监</w:t>
      </w:r>
      <w:r>
        <w:rPr>
          <w:rFonts w:hint="eastAsia" w:ascii="仿宋" w:hAnsi="仿宋" w:eastAsia="仿宋" w:cs="仿宋"/>
          <w:sz w:val="28"/>
          <w:szCs w:val="28"/>
          <w:highlight w:val="none"/>
          <w:u w:val="none"/>
          <w:lang w:eastAsia="zh-CN"/>
        </w:rPr>
        <w:t>测部</w:t>
      </w:r>
      <w:r>
        <w:rPr>
          <w:rFonts w:hint="eastAsia" w:ascii="仿宋" w:hAnsi="仿宋" w:eastAsia="仿宋" w:cs="仿宋"/>
          <w:sz w:val="28"/>
          <w:szCs w:val="28"/>
          <w:highlight w:val="none"/>
          <w:u w:val="none"/>
        </w:rPr>
        <w:t>、棉花公检</w:t>
      </w:r>
      <w:r>
        <w:rPr>
          <w:rFonts w:hint="eastAsia" w:ascii="仿宋" w:hAnsi="仿宋" w:eastAsia="仿宋" w:cs="仿宋"/>
          <w:sz w:val="28"/>
          <w:szCs w:val="28"/>
          <w:highlight w:val="none"/>
          <w:u w:val="none"/>
          <w:lang w:eastAsia="zh-CN"/>
        </w:rPr>
        <w:t>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质量检验部</w:t>
      </w:r>
      <w:r>
        <w:rPr>
          <w:rFonts w:hint="eastAsia" w:ascii="仿宋" w:hAnsi="仿宋" w:eastAsia="仿宋" w:cs="仿宋"/>
          <w:sz w:val="28"/>
          <w:szCs w:val="28"/>
          <w:highlight w:val="none"/>
          <w:u w:val="none"/>
        </w:rPr>
        <w:t>共</w:t>
      </w: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个</w:t>
      </w:r>
      <w:r>
        <w:rPr>
          <w:rFonts w:hint="eastAsia" w:ascii="仿宋" w:hAnsi="仿宋" w:eastAsia="仿宋" w:cs="仿宋"/>
          <w:sz w:val="28"/>
          <w:szCs w:val="28"/>
          <w:highlight w:val="none"/>
          <w:u w:val="none"/>
          <w:lang w:val="en-US" w:eastAsia="zh-CN"/>
        </w:rPr>
        <w:t>部门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具体为：</w:t>
      </w:r>
    </w:p>
    <w:p w14:paraId="364AC6BA">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综合部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负责文秘、财务、宣传、机要、安全、保密、信访、政务公开、后勤管理、信息化建设等工作。</w:t>
      </w:r>
    </w:p>
    <w:p w14:paraId="54EBDF94">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rPr>
        <w:t>党务人事部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负责党建、群团、纪检监察、人事、离退休人员管理、工会等工作。</w:t>
      </w:r>
    </w:p>
    <w:p w14:paraId="3A96B080">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3.</w:t>
      </w:r>
      <w:r>
        <w:rPr>
          <w:rFonts w:hint="eastAsia" w:ascii="仿宋" w:hAnsi="仿宋" w:eastAsia="仿宋" w:cs="仿宋"/>
          <w:sz w:val="28"/>
          <w:szCs w:val="28"/>
          <w:highlight w:val="none"/>
          <w:u w:val="none"/>
        </w:rPr>
        <w:t>质保法制部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负责质量管理、法规宣教工作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负责对本省棉花、苎麻等纤维公检工作质量的抽查抽验。</w:t>
      </w:r>
    </w:p>
    <w:p w14:paraId="1C47BA95">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质量监测部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负责纤维和纤维制品质量监测工作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承担苎麻产品国抽的抽样、纤维和纤维制品质量监督管理、行政执法、投诉举报的相关事务性工作。</w:t>
      </w:r>
    </w:p>
    <w:p w14:paraId="40049431">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棉花公检部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负责棉花公证检验和絮棉制品检验工作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负责全省棉花检验技术管理、标准制修订、科研工作,组织全省棉花检验技术交流活动。承担全省纤维计量检定站日常工作。</w:t>
      </w:r>
    </w:p>
    <w:p w14:paraId="5BB4CB5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质量检验部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承担苎麻的公证检验工作.承担非棉纤维和纤维制品的检验、科研、检测技术开发和标准制修订工作。</w:t>
      </w:r>
    </w:p>
    <w:p w14:paraId="7B62B70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bCs/>
          <w:kern w:val="0"/>
          <w:sz w:val="28"/>
          <w:szCs w:val="28"/>
          <w:highlight w:val="none"/>
        </w:rPr>
        <w:t>（二）</w:t>
      </w:r>
      <w:r>
        <w:rPr>
          <w:rFonts w:hint="eastAsia" w:ascii="仿宋" w:hAnsi="仿宋" w:eastAsia="仿宋" w:cs="仿宋"/>
          <w:sz w:val="28"/>
          <w:szCs w:val="28"/>
          <w:highlight w:val="none"/>
          <w:u w:val="none"/>
        </w:rPr>
        <w:t>决算单位构成。</w:t>
      </w:r>
      <w:r>
        <w:rPr>
          <w:rFonts w:hint="eastAsia" w:ascii="仿宋" w:hAnsi="仿宋" w:eastAsia="仿宋" w:cs="仿宋"/>
          <w:sz w:val="28"/>
          <w:szCs w:val="28"/>
          <w:highlight w:val="none"/>
          <w:u w:val="none"/>
          <w:lang w:eastAsia="zh-CN"/>
        </w:rPr>
        <w:t>湖南省纤维检测研究院</w:t>
      </w:r>
      <w:r>
        <w:rPr>
          <w:rFonts w:hint="eastAsia" w:ascii="仿宋" w:hAnsi="仿宋" w:eastAsia="仿宋" w:cs="仿宋"/>
          <w:sz w:val="28"/>
          <w:szCs w:val="28"/>
          <w:highlight w:val="none"/>
          <w:u w:val="none"/>
        </w:rPr>
        <w:t>2024年部门决算汇总公开单位构成包括：</w:t>
      </w:r>
      <w:r>
        <w:rPr>
          <w:rFonts w:hint="eastAsia" w:ascii="仿宋" w:hAnsi="仿宋" w:eastAsia="仿宋" w:cs="仿宋"/>
          <w:sz w:val="28"/>
          <w:szCs w:val="28"/>
          <w:highlight w:val="none"/>
          <w:u w:val="none"/>
          <w:lang w:eastAsia="zh-CN"/>
        </w:rPr>
        <w:t>湖南省纤维检测研究院</w:t>
      </w:r>
      <w:r>
        <w:rPr>
          <w:rFonts w:hint="eastAsia" w:ascii="仿宋" w:hAnsi="仿宋" w:eastAsia="仿宋" w:cs="仿宋"/>
          <w:sz w:val="28"/>
          <w:szCs w:val="28"/>
          <w:highlight w:val="none"/>
          <w:u w:val="none"/>
        </w:rPr>
        <w:t>本级</w:t>
      </w:r>
      <w:r>
        <w:rPr>
          <w:rFonts w:hint="eastAsia" w:ascii="仿宋" w:hAnsi="仿宋" w:eastAsia="仿宋" w:cs="仿宋"/>
          <w:sz w:val="28"/>
          <w:szCs w:val="28"/>
          <w:highlight w:val="none"/>
          <w:u w:val="none"/>
          <w:lang w:eastAsia="zh-CN"/>
        </w:rPr>
        <w:t>。</w:t>
      </w:r>
    </w:p>
    <w:p w14:paraId="687669AE">
      <w:pPr>
        <w:jc w:val="left"/>
        <w:rPr>
          <w:rFonts w:ascii="Times New Roman" w:hAnsi="Times New Roman" w:eastAsia="仿宋_GB2312" w:cs="Times New Roman"/>
          <w:sz w:val="28"/>
          <w:szCs w:val="32"/>
        </w:rPr>
      </w:pPr>
    </w:p>
    <w:p w14:paraId="55E2EF02">
      <w:pPr>
        <w:jc w:val="center"/>
        <w:rPr>
          <w:rFonts w:ascii="Times New Roman" w:hAnsi="Times New Roman" w:eastAsia="黑体" w:cs="Times New Roman"/>
          <w:sz w:val="28"/>
          <w:szCs w:val="28"/>
        </w:rPr>
      </w:pPr>
    </w:p>
    <w:p w14:paraId="475A576A">
      <w:pPr>
        <w:jc w:val="center"/>
        <w:rPr>
          <w:rFonts w:ascii="Times New Roman" w:hAnsi="Times New Roman" w:eastAsia="黑体" w:cs="Times New Roman"/>
          <w:sz w:val="28"/>
          <w:szCs w:val="28"/>
        </w:rPr>
      </w:pPr>
    </w:p>
    <w:p w14:paraId="472964B8">
      <w:pPr>
        <w:jc w:val="center"/>
        <w:rPr>
          <w:rFonts w:ascii="Times New Roman" w:hAnsi="Times New Roman" w:eastAsia="黑体" w:cs="Times New Roman"/>
          <w:sz w:val="28"/>
          <w:szCs w:val="28"/>
        </w:rPr>
      </w:pPr>
    </w:p>
    <w:p w14:paraId="4FE238B2">
      <w:pPr>
        <w:jc w:val="center"/>
        <w:rPr>
          <w:rFonts w:ascii="Times New Roman" w:hAnsi="Times New Roman" w:eastAsia="黑体" w:cs="Times New Roman"/>
          <w:sz w:val="28"/>
          <w:szCs w:val="28"/>
        </w:rPr>
      </w:pPr>
    </w:p>
    <w:p w14:paraId="6C691D98">
      <w:pPr>
        <w:jc w:val="center"/>
        <w:rPr>
          <w:rFonts w:ascii="Times New Roman" w:hAnsi="Times New Roman" w:eastAsia="黑体" w:cs="Times New Roman"/>
          <w:sz w:val="28"/>
          <w:szCs w:val="28"/>
        </w:rPr>
      </w:pPr>
    </w:p>
    <w:p w14:paraId="73071F88">
      <w:pPr>
        <w:pStyle w:val="9"/>
        <w:rPr>
          <w:rFonts w:ascii="Times New Roman" w:hAnsi="Times New Roman" w:cs="Times New Roman"/>
        </w:rPr>
        <w:sectPr>
          <w:footerReference r:id="rId6"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266FC5F">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tbl>
      <w:tblPr>
        <w:tblStyle w:val="11"/>
        <w:tblW w:w="12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0"/>
        <w:gridCol w:w="656"/>
        <w:gridCol w:w="1276"/>
        <w:gridCol w:w="4094"/>
        <w:gridCol w:w="656"/>
        <w:gridCol w:w="1755"/>
      </w:tblGrid>
      <w:tr w14:paraId="2ACE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nil"/>
              <w:left w:val="nil"/>
              <w:bottom w:val="nil"/>
              <w:right w:val="nil"/>
            </w:tcBorders>
            <w:shd w:val="clear" w:color="auto" w:fill="auto"/>
            <w:noWrap/>
            <w:vAlign w:val="center"/>
          </w:tcPr>
          <w:p w14:paraId="53F05F2E">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 xml:space="preserve">                                                                  </w:t>
            </w:r>
          </w:p>
        </w:tc>
        <w:tc>
          <w:tcPr>
            <w:tcW w:w="656" w:type="dxa"/>
            <w:tcBorders>
              <w:top w:val="nil"/>
              <w:left w:val="nil"/>
              <w:bottom w:val="nil"/>
              <w:right w:val="nil"/>
            </w:tcBorders>
            <w:shd w:val="clear" w:color="auto" w:fill="auto"/>
            <w:noWrap/>
            <w:vAlign w:val="center"/>
          </w:tcPr>
          <w:p w14:paraId="1EDAB224">
            <w:pPr>
              <w:jc w:val="center"/>
              <w:rPr>
                <w:rFonts w:hint="eastAsia" w:ascii="宋体" w:hAnsi="宋体" w:eastAsia="宋体" w:cs="宋体"/>
                <w:i w:val="0"/>
                <w:iCs w:val="0"/>
                <w:color w:val="000000"/>
                <w:sz w:val="22"/>
                <w:szCs w:val="22"/>
                <w:u w:val="none"/>
              </w:rPr>
            </w:pPr>
          </w:p>
        </w:tc>
        <w:tc>
          <w:tcPr>
            <w:tcW w:w="5370" w:type="dxa"/>
            <w:gridSpan w:val="2"/>
            <w:tcBorders>
              <w:top w:val="nil"/>
              <w:left w:val="nil"/>
              <w:bottom w:val="nil"/>
              <w:right w:val="nil"/>
            </w:tcBorders>
            <w:shd w:val="clear" w:color="auto" w:fill="auto"/>
            <w:noWrap/>
            <w:vAlign w:val="center"/>
          </w:tcPr>
          <w:p w14:paraId="316C2892">
            <w:pPr>
              <w:jc w:val="both"/>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36"/>
                <w:szCs w:val="36"/>
                <w:u w:val="none"/>
                <w:lang w:eastAsia="zh-CN"/>
              </w:rPr>
              <w:t>收入支出决算总表</w:t>
            </w:r>
          </w:p>
        </w:tc>
        <w:tc>
          <w:tcPr>
            <w:tcW w:w="656" w:type="dxa"/>
            <w:tcBorders>
              <w:top w:val="nil"/>
              <w:left w:val="nil"/>
              <w:bottom w:val="nil"/>
              <w:right w:val="nil"/>
            </w:tcBorders>
            <w:shd w:val="clear" w:color="auto" w:fill="auto"/>
            <w:noWrap/>
            <w:vAlign w:val="center"/>
          </w:tcPr>
          <w:p w14:paraId="3B3E0F36">
            <w:pPr>
              <w:jc w:val="cente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color="auto" w:fill="auto"/>
            <w:noWrap/>
            <w:vAlign w:val="center"/>
          </w:tcPr>
          <w:p w14:paraId="2DF5D900">
            <w:pPr>
              <w:jc w:val="center"/>
              <w:rPr>
                <w:rFonts w:hint="eastAsia" w:ascii="宋体" w:hAnsi="宋体" w:eastAsia="宋体" w:cs="宋体"/>
                <w:i w:val="0"/>
                <w:iCs w:val="0"/>
                <w:color w:val="000000"/>
                <w:sz w:val="22"/>
                <w:szCs w:val="22"/>
                <w:u w:val="none"/>
              </w:rPr>
            </w:pPr>
          </w:p>
        </w:tc>
      </w:tr>
      <w:tr w14:paraId="64AC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18E33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4168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42B1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6E8E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C03D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8005E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CB1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sz="4" w:space="0"/>
              <w:right w:val="nil"/>
            </w:tcBorders>
            <w:shd w:val="clear" w:color="auto" w:fill="auto"/>
            <w:noWrap/>
            <w:vAlign w:val="bottom"/>
          </w:tcPr>
          <w:p w14:paraId="519E9B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sz="4" w:space="0"/>
              <w:right w:val="nil"/>
            </w:tcBorders>
            <w:shd w:val="clear" w:color="auto" w:fill="auto"/>
            <w:noWrap/>
            <w:vAlign w:val="center"/>
          </w:tcPr>
          <w:p w14:paraId="071F97BF">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17133E87">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554F1D8A">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21A37E93">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14:paraId="0744D5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B6B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555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06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F0E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AF9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65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70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74E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4C1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713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决算数</w:t>
            </w:r>
          </w:p>
        </w:tc>
      </w:tr>
      <w:tr w14:paraId="43D5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8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2836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AE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18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511F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F7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0DA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70B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5CA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A13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7D6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40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17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1,571.47</w:t>
            </w:r>
          </w:p>
        </w:tc>
      </w:tr>
      <w:tr w14:paraId="7047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FB9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2F3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2138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9C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AAE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23546D">
            <w:pPr>
              <w:jc w:val="right"/>
              <w:rPr>
                <w:rFonts w:hint="eastAsia" w:ascii="宋体" w:hAnsi="宋体" w:eastAsia="宋体" w:cs="宋体"/>
                <w:i w:val="0"/>
                <w:iCs w:val="0"/>
                <w:color w:val="000000"/>
                <w:sz w:val="22"/>
                <w:szCs w:val="22"/>
                <w:u w:val="none"/>
              </w:rPr>
            </w:pPr>
          </w:p>
        </w:tc>
      </w:tr>
      <w:tr w14:paraId="4902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C7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39A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C959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30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CD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8F6C27">
            <w:pPr>
              <w:jc w:val="right"/>
              <w:rPr>
                <w:rFonts w:hint="eastAsia" w:ascii="宋体" w:hAnsi="宋体" w:eastAsia="宋体" w:cs="宋体"/>
                <w:i w:val="0"/>
                <w:iCs w:val="0"/>
                <w:color w:val="000000"/>
                <w:sz w:val="22"/>
                <w:szCs w:val="22"/>
                <w:u w:val="none"/>
              </w:rPr>
            </w:pPr>
          </w:p>
        </w:tc>
      </w:tr>
      <w:tr w14:paraId="57B4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C12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01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4614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C66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76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FDA713">
            <w:pPr>
              <w:jc w:val="right"/>
              <w:rPr>
                <w:rFonts w:hint="eastAsia" w:ascii="宋体" w:hAnsi="宋体" w:eastAsia="宋体" w:cs="宋体"/>
                <w:i w:val="0"/>
                <w:iCs w:val="0"/>
                <w:color w:val="000000"/>
                <w:sz w:val="22"/>
                <w:szCs w:val="22"/>
                <w:u w:val="none"/>
              </w:rPr>
            </w:pPr>
          </w:p>
        </w:tc>
      </w:tr>
      <w:tr w14:paraId="46A1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613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36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A915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195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B24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70B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r>
      <w:tr w14:paraId="5FFB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46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C7C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5D00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0F8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A71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AD224D">
            <w:pPr>
              <w:jc w:val="right"/>
              <w:rPr>
                <w:rFonts w:hint="eastAsia" w:ascii="宋体" w:hAnsi="宋体" w:eastAsia="宋体" w:cs="宋体"/>
                <w:i w:val="0"/>
                <w:iCs w:val="0"/>
                <w:color w:val="000000"/>
                <w:sz w:val="22"/>
                <w:szCs w:val="22"/>
                <w:u w:val="none"/>
              </w:rPr>
            </w:pPr>
          </w:p>
        </w:tc>
      </w:tr>
      <w:tr w14:paraId="4567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1D3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3DD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9258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41B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51C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AD2C35">
            <w:pPr>
              <w:jc w:val="right"/>
              <w:rPr>
                <w:rFonts w:hint="eastAsia" w:ascii="宋体" w:hAnsi="宋体" w:eastAsia="宋体" w:cs="宋体"/>
                <w:i w:val="0"/>
                <w:iCs w:val="0"/>
                <w:color w:val="000000"/>
                <w:sz w:val="22"/>
                <w:szCs w:val="22"/>
                <w:u w:val="none"/>
              </w:rPr>
            </w:pPr>
          </w:p>
        </w:tc>
      </w:tr>
      <w:tr w14:paraId="56BB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89D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ED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73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D81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1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BE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r>
      <w:tr w14:paraId="6114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4F963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2B6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AC7B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C8E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F82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D26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r>
      <w:tr w14:paraId="56E5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13D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767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77FC9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8FC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66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37111E">
            <w:pPr>
              <w:jc w:val="right"/>
              <w:rPr>
                <w:rFonts w:hint="eastAsia" w:ascii="宋体" w:hAnsi="宋体" w:eastAsia="宋体" w:cs="宋体"/>
                <w:i w:val="0"/>
                <w:iCs w:val="0"/>
                <w:color w:val="000000"/>
                <w:sz w:val="22"/>
                <w:szCs w:val="22"/>
                <w:u w:val="none"/>
              </w:rPr>
            </w:pPr>
          </w:p>
        </w:tc>
      </w:tr>
      <w:tr w14:paraId="368E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154C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5A3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5CB6A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706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88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F1D162">
            <w:pPr>
              <w:jc w:val="right"/>
              <w:rPr>
                <w:rFonts w:hint="eastAsia" w:ascii="宋体" w:hAnsi="宋体" w:eastAsia="宋体" w:cs="宋体"/>
                <w:i w:val="0"/>
                <w:iCs w:val="0"/>
                <w:color w:val="000000"/>
                <w:sz w:val="22"/>
                <w:szCs w:val="22"/>
                <w:u w:val="none"/>
              </w:rPr>
            </w:pPr>
          </w:p>
        </w:tc>
      </w:tr>
      <w:tr w14:paraId="2F33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798C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8D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4C19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365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367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369CC">
            <w:pPr>
              <w:jc w:val="right"/>
              <w:rPr>
                <w:rFonts w:hint="eastAsia" w:ascii="宋体" w:hAnsi="宋体" w:eastAsia="宋体" w:cs="宋体"/>
                <w:i w:val="0"/>
                <w:iCs w:val="0"/>
                <w:color w:val="000000"/>
                <w:sz w:val="22"/>
                <w:szCs w:val="22"/>
                <w:u w:val="none"/>
              </w:rPr>
            </w:pPr>
          </w:p>
        </w:tc>
      </w:tr>
      <w:tr w14:paraId="2492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3CE44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23D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A093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7F5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E48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446C7B">
            <w:pPr>
              <w:jc w:val="right"/>
              <w:rPr>
                <w:rFonts w:hint="eastAsia" w:ascii="宋体" w:hAnsi="宋体" w:eastAsia="宋体" w:cs="宋体"/>
                <w:i w:val="0"/>
                <w:iCs w:val="0"/>
                <w:color w:val="000000"/>
                <w:sz w:val="22"/>
                <w:szCs w:val="22"/>
                <w:u w:val="none"/>
              </w:rPr>
            </w:pPr>
          </w:p>
        </w:tc>
      </w:tr>
      <w:tr w14:paraId="7EF7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489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22E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C7CE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E7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FE5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5E73CE">
            <w:pPr>
              <w:jc w:val="right"/>
              <w:rPr>
                <w:rFonts w:hint="eastAsia" w:ascii="宋体" w:hAnsi="宋体" w:eastAsia="宋体" w:cs="宋体"/>
                <w:i w:val="0"/>
                <w:iCs w:val="0"/>
                <w:color w:val="000000"/>
                <w:sz w:val="22"/>
                <w:szCs w:val="22"/>
                <w:u w:val="none"/>
              </w:rPr>
            </w:pPr>
          </w:p>
        </w:tc>
      </w:tr>
      <w:tr w14:paraId="01F3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18A4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C76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C632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331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770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2A95D">
            <w:pPr>
              <w:jc w:val="right"/>
              <w:rPr>
                <w:rFonts w:hint="eastAsia" w:ascii="宋体" w:hAnsi="宋体" w:eastAsia="宋体" w:cs="宋体"/>
                <w:i w:val="0"/>
                <w:iCs w:val="0"/>
                <w:color w:val="000000"/>
                <w:sz w:val="22"/>
                <w:szCs w:val="22"/>
                <w:u w:val="none"/>
              </w:rPr>
            </w:pPr>
          </w:p>
        </w:tc>
      </w:tr>
      <w:tr w14:paraId="3E9D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24A1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AF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10DE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1B6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FE6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F50DFA">
            <w:pPr>
              <w:jc w:val="right"/>
              <w:rPr>
                <w:rFonts w:hint="eastAsia" w:ascii="宋体" w:hAnsi="宋体" w:eastAsia="宋体" w:cs="宋体"/>
                <w:i w:val="0"/>
                <w:iCs w:val="0"/>
                <w:color w:val="000000"/>
                <w:sz w:val="22"/>
                <w:szCs w:val="22"/>
                <w:u w:val="none"/>
              </w:rPr>
            </w:pPr>
          </w:p>
        </w:tc>
      </w:tr>
      <w:tr w14:paraId="3B80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61E2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12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3C04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9B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936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EF1093">
            <w:pPr>
              <w:jc w:val="right"/>
              <w:rPr>
                <w:rFonts w:hint="eastAsia" w:ascii="宋体" w:hAnsi="宋体" w:eastAsia="宋体" w:cs="宋体"/>
                <w:i w:val="0"/>
                <w:iCs w:val="0"/>
                <w:color w:val="000000"/>
                <w:sz w:val="22"/>
                <w:szCs w:val="22"/>
                <w:u w:val="none"/>
              </w:rPr>
            </w:pPr>
          </w:p>
        </w:tc>
      </w:tr>
      <w:tr w14:paraId="4581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BE4A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A9D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974C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E6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AE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78E750">
            <w:pPr>
              <w:jc w:val="right"/>
              <w:rPr>
                <w:rFonts w:hint="eastAsia" w:ascii="宋体" w:hAnsi="宋体" w:eastAsia="宋体" w:cs="宋体"/>
                <w:i w:val="0"/>
                <w:iCs w:val="0"/>
                <w:color w:val="000000"/>
                <w:sz w:val="22"/>
                <w:szCs w:val="22"/>
                <w:u w:val="none"/>
              </w:rPr>
            </w:pPr>
          </w:p>
        </w:tc>
      </w:tr>
      <w:tr w14:paraId="0FEC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58858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FF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47AA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D8A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3E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0FC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r>
      <w:tr w14:paraId="49C0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70EF7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C7B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B757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0B6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746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DD7BE">
            <w:pPr>
              <w:jc w:val="right"/>
              <w:rPr>
                <w:rFonts w:hint="eastAsia" w:ascii="宋体" w:hAnsi="宋体" w:eastAsia="宋体" w:cs="宋体"/>
                <w:i w:val="0"/>
                <w:iCs w:val="0"/>
                <w:color w:val="000000"/>
                <w:sz w:val="22"/>
                <w:szCs w:val="22"/>
                <w:u w:val="none"/>
              </w:rPr>
            </w:pPr>
          </w:p>
        </w:tc>
      </w:tr>
      <w:tr w14:paraId="3858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E9B5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C3B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871D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33E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AB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AF4C8">
            <w:pPr>
              <w:jc w:val="right"/>
              <w:rPr>
                <w:rFonts w:hint="eastAsia" w:ascii="宋体" w:hAnsi="宋体" w:eastAsia="宋体" w:cs="宋体"/>
                <w:i w:val="0"/>
                <w:iCs w:val="0"/>
                <w:color w:val="000000"/>
                <w:sz w:val="22"/>
                <w:szCs w:val="22"/>
                <w:u w:val="none"/>
              </w:rPr>
            </w:pPr>
          </w:p>
        </w:tc>
      </w:tr>
      <w:tr w14:paraId="2BC8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6DAB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33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4605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C9D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C9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F0928">
            <w:pPr>
              <w:jc w:val="right"/>
              <w:rPr>
                <w:rFonts w:hint="eastAsia" w:ascii="宋体" w:hAnsi="宋体" w:eastAsia="宋体" w:cs="宋体"/>
                <w:i w:val="0"/>
                <w:iCs w:val="0"/>
                <w:color w:val="000000"/>
                <w:sz w:val="22"/>
                <w:szCs w:val="22"/>
                <w:u w:val="none"/>
              </w:rPr>
            </w:pPr>
          </w:p>
        </w:tc>
      </w:tr>
      <w:tr w14:paraId="355D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D823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733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3ED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030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60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2093D5">
            <w:pPr>
              <w:jc w:val="right"/>
              <w:rPr>
                <w:rFonts w:hint="eastAsia" w:ascii="宋体" w:hAnsi="宋体" w:eastAsia="宋体" w:cs="宋体"/>
                <w:i w:val="0"/>
                <w:iCs w:val="0"/>
                <w:color w:val="000000"/>
                <w:sz w:val="22"/>
                <w:szCs w:val="22"/>
                <w:u w:val="none"/>
              </w:rPr>
            </w:pPr>
          </w:p>
        </w:tc>
      </w:tr>
      <w:tr w14:paraId="0D44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2621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1E6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47ACE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4D1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4A1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0E4BF6">
            <w:pPr>
              <w:jc w:val="right"/>
              <w:rPr>
                <w:rFonts w:hint="eastAsia" w:ascii="宋体" w:hAnsi="宋体" w:eastAsia="宋体" w:cs="宋体"/>
                <w:i w:val="0"/>
                <w:iCs w:val="0"/>
                <w:color w:val="000000"/>
                <w:sz w:val="22"/>
                <w:szCs w:val="22"/>
                <w:u w:val="none"/>
              </w:rPr>
            </w:pPr>
          </w:p>
        </w:tc>
      </w:tr>
      <w:tr w14:paraId="7748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2787C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C8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E94B4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AE8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DA5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3F9988">
            <w:pPr>
              <w:jc w:val="right"/>
              <w:rPr>
                <w:rFonts w:hint="eastAsia" w:ascii="宋体" w:hAnsi="宋体" w:eastAsia="宋体" w:cs="宋体"/>
                <w:i w:val="0"/>
                <w:iCs w:val="0"/>
                <w:color w:val="000000"/>
                <w:sz w:val="22"/>
                <w:szCs w:val="22"/>
                <w:u w:val="none"/>
              </w:rPr>
            </w:pPr>
          </w:p>
        </w:tc>
      </w:tr>
      <w:tr w14:paraId="2EC8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4E87C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C5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A189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3C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B6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0EB0B9">
            <w:pPr>
              <w:jc w:val="right"/>
              <w:rPr>
                <w:rFonts w:hint="eastAsia" w:ascii="宋体" w:hAnsi="宋体" w:eastAsia="宋体" w:cs="宋体"/>
                <w:i w:val="0"/>
                <w:iCs w:val="0"/>
                <w:color w:val="000000"/>
                <w:sz w:val="22"/>
                <w:szCs w:val="22"/>
                <w:u w:val="none"/>
              </w:rPr>
            </w:pPr>
          </w:p>
        </w:tc>
      </w:tr>
      <w:tr w14:paraId="680C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6CE7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8B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78D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399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3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9F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1,910.46</w:t>
            </w:r>
          </w:p>
        </w:tc>
      </w:tr>
      <w:tr w14:paraId="6F0F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26E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6B2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712F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24D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DB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B3E845">
            <w:pPr>
              <w:jc w:val="right"/>
              <w:rPr>
                <w:rFonts w:hint="eastAsia" w:ascii="宋体" w:hAnsi="宋体" w:eastAsia="宋体" w:cs="宋体"/>
                <w:i w:val="0"/>
                <w:iCs w:val="0"/>
                <w:color w:val="000000"/>
                <w:sz w:val="22"/>
                <w:szCs w:val="22"/>
                <w:u w:val="none"/>
              </w:rPr>
            </w:pPr>
          </w:p>
        </w:tc>
      </w:tr>
      <w:tr w14:paraId="31DB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B30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0E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8FE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A1C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1F4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D90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246.33</w:t>
            </w:r>
          </w:p>
        </w:tc>
      </w:tr>
      <w:tr w14:paraId="1DE3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96A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D1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E0E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40F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E7F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B76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2,156.79</w:t>
            </w:r>
          </w:p>
        </w:tc>
      </w:tr>
      <w:tr w14:paraId="4370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themeFill="background1"/>
            <w:noWrap/>
            <w:vAlign w:val="center"/>
          </w:tcPr>
          <w:p w14:paraId="2EC95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7D3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themeFill="background1"/>
            <w:noWrap/>
            <w:vAlign w:val="center"/>
          </w:tcPr>
          <w:p w14:paraId="7C711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50E12FC8">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978F4E0">
      <w:pPr>
        <w:widowControl/>
        <w:spacing w:line="400" w:lineRule="exact"/>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8"/>
        <w:gridCol w:w="240"/>
        <w:gridCol w:w="240"/>
        <w:gridCol w:w="3908"/>
        <w:gridCol w:w="1100"/>
        <w:gridCol w:w="1064"/>
        <w:gridCol w:w="742"/>
        <w:gridCol w:w="702"/>
        <w:gridCol w:w="920"/>
        <w:gridCol w:w="865"/>
        <w:gridCol w:w="1558"/>
      </w:tblGrid>
      <w:tr w14:paraId="4E05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88" w:type="dxa"/>
            <w:tcBorders>
              <w:top w:val="nil"/>
              <w:left w:val="nil"/>
              <w:bottom w:val="nil"/>
              <w:right w:val="nil"/>
            </w:tcBorders>
            <w:shd w:val="clear" w:color="auto" w:fill="auto"/>
            <w:noWrap/>
            <w:vAlign w:val="center"/>
          </w:tcPr>
          <w:p w14:paraId="512D8480">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11CA0FA2">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239D272A">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14:paraId="5DED8E99">
            <w:pPr>
              <w:rPr>
                <w:rFonts w:hint="default" w:ascii="宋体" w:hAnsi="宋体" w:eastAsia="宋体" w:cs="宋体"/>
                <w:i w:val="0"/>
                <w:iCs w:val="0"/>
                <w:color w:val="000000"/>
                <w:sz w:val="22"/>
                <w:szCs w:val="22"/>
                <w:u w:val="none"/>
                <w:lang w:val="en-US"/>
              </w:rPr>
            </w:pPr>
            <w:r>
              <w:rPr>
                <w:rFonts w:hint="eastAsia" w:ascii="黑体" w:hAnsi="宋体" w:eastAsia="黑体" w:cs="黑体"/>
                <w:i w:val="0"/>
                <w:iCs w:val="0"/>
                <w:color w:val="000000"/>
                <w:kern w:val="0"/>
                <w:sz w:val="30"/>
                <w:szCs w:val="30"/>
                <w:u w:val="none"/>
                <w:lang w:val="en-US" w:eastAsia="zh-CN" w:bidi="ar"/>
              </w:rPr>
              <w:t xml:space="preserve">              收入决算表</w:t>
            </w:r>
          </w:p>
        </w:tc>
        <w:tc>
          <w:tcPr>
            <w:tcW w:w="1100" w:type="dxa"/>
            <w:tcBorders>
              <w:top w:val="nil"/>
              <w:left w:val="nil"/>
              <w:bottom w:val="nil"/>
              <w:right w:val="nil"/>
            </w:tcBorders>
            <w:shd w:val="clear" w:color="auto" w:fill="auto"/>
            <w:noWrap/>
            <w:vAlign w:val="center"/>
          </w:tcPr>
          <w:p w14:paraId="41B68954">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14:paraId="501E125A">
            <w:pPr>
              <w:keepNext w:val="0"/>
              <w:keepLines w:val="0"/>
              <w:widowControl/>
              <w:suppressLineNumbers w:val="0"/>
              <w:jc w:val="center"/>
              <w:textAlignment w:val="center"/>
              <w:rPr>
                <w:rFonts w:ascii="黑体" w:hAnsi="宋体" w:eastAsia="黑体" w:cs="黑体"/>
                <w:i w:val="0"/>
                <w:iCs w:val="0"/>
                <w:color w:val="000000"/>
                <w:sz w:val="30"/>
                <w:szCs w:val="30"/>
                <w:u w:val="none"/>
              </w:rPr>
            </w:pPr>
          </w:p>
        </w:tc>
        <w:tc>
          <w:tcPr>
            <w:tcW w:w="742" w:type="dxa"/>
            <w:tcBorders>
              <w:top w:val="nil"/>
              <w:left w:val="nil"/>
              <w:bottom w:val="nil"/>
              <w:right w:val="nil"/>
            </w:tcBorders>
            <w:shd w:val="clear" w:color="auto" w:fill="auto"/>
            <w:noWrap/>
            <w:vAlign w:val="center"/>
          </w:tcPr>
          <w:p w14:paraId="6B9BA30D">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14:paraId="06325182">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14:paraId="2CCCF758">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14:paraId="548F0F52">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center"/>
          </w:tcPr>
          <w:p w14:paraId="63DF4BE7">
            <w:pPr>
              <w:rPr>
                <w:rFonts w:hint="eastAsia" w:ascii="宋体" w:hAnsi="宋体" w:eastAsia="宋体" w:cs="宋体"/>
                <w:i w:val="0"/>
                <w:iCs w:val="0"/>
                <w:color w:val="000000"/>
                <w:sz w:val="22"/>
                <w:szCs w:val="22"/>
                <w:u w:val="none"/>
              </w:rPr>
            </w:pPr>
          </w:p>
        </w:tc>
      </w:tr>
      <w:tr w14:paraId="2D76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8" w:type="dxa"/>
            <w:tcBorders>
              <w:top w:val="nil"/>
              <w:left w:val="nil"/>
              <w:bottom w:val="nil"/>
              <w:right w:val="nil"/>
            </w:tcBorders>
            <w:shd w:val="clear" w:color="auto" w:fill="auto"/>
            <w:noWrap/>
            <w:vAlign w:val="center"/>
          </w:tcPr>
          <w:p w14:paraId="73C7C390">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3D960A65">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16F5E4CD">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14:paraId="13BD876E">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noWrap/>
            <w:vAlign w:val="center"/>
          </w:tcPr>
          <w:p w14:paraId="283F5000">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14:paraId="2EF78AA2">
            <w:pPr>
              <w:rPr>
                <w:rFonts w:hint="eastAsia" w:ascii="宋体" w:hAnsi="宋体" w:eastAsia="宋体" w:cs="宋体"/>
                <w:i w:val="0"/>
                <w:iCs w:val="0"/>
                <w:color w:val="000000"/>
                <w:sz w:val="22"/>
                <w:szCs w:val="22"/>
                <w:u w:val="none"/>
              </w:rPr>
            </w:pPr>
          </w:p>
        </w:tc>
        <w:tc>
          <w:tcPr>
            <w:tcW w:w="742" w:type="dxa"/>
            <w:tcBorders>
              <w:top w:val="nil"/>
              <w:left w:val="nil"/>
              <w:bottom w:val="nil"/>
              <w:right w:val="nil"/>
            </w:tcBorders>
            <w:shd w:val="clear" w:color="auto" w:fill="auto"/>
            <w:noWrap/>
            <w:vAlign w:val="center"/>
          </w:tcPr>
          <w:p w14:paraId="4BB6B3F0">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14:paraId="2950668F">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14:paraId="24CF10B7">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14:paraId="7316C671">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bottom"/>
          </w:tcPr>
          <w:p w14:paraId="13AB63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2548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8" w:type="dxa"/>
            <w:tcBorders>
              <w:top w:val="nil"/>
              <w:left w:val="nil"/>
              <w:bottom w:val="nil"/>
              <w:right w:val="nil"/>
            </w:tcBorders>
            <w:shd w:val="clear" w:color="auto" w:fill="auto"/>
            <w:noWrap/>
            <w:vAlign w:val="bottom"/>
          </w:tcPr>
          <w:p w14:paraId="343DB1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240" w:type="dxa"/>
            <w:tcBorders>
              <w:top w:val="nil"/>
              <w:left w:val="nil"/>
              <w:bottom w:val="nil"/>
              <w:right w:val="nil"/>
            </w:tcBorders>
            <w:shd w:val="clear" w:color="auto" w:fill="auto"/>
            <w:noWrap/>
            <w:vAlign w:val="center"/>
          </w:tcPr>
          <w:p w14:paraId="1B9F481A">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6056F2D3">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14:paraId="3A7EEE9F">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noWrap/>
            <w:vAlign w:val="center"/>
          </w:tcPr>
          <w:p w14:paraId="0075981A">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14:paraId="5E9CC4E6">
            <w:pPr>
              <w:rPr>
                <w:rFonts w:hint="eastAsia" w:ascii="宋体" w:hAnsi="宋体" w:eastAsia="宋体" w:cs="宋体"/>
                <w:i w:val="0"/>
                <w:iCs w:val="0"/>
                <w:color w:val="000000"/>
                <w:sz w:val="22"/>
                <w:szCs w:val="22"/>
                <w:u w:val="none"/>
              </w:rPr>
            </w:pPr>
          </w:p>
        </w:tc>
        <w:tc>
          <w:tcPr>
            <w:tcW w:w="742" w:type="dxa"/>
            <w:tcBorders>
              <w:top w:val="nil"/>
              <w:left w:val="nil"/>
              <w:bottom w:val="nil"/>
              <w:right w:val="nil"/>
            </w:tcBorders>
            <w:shd w:val="clear" w:color="auto" w:fill="auto"/>
            <w:noWrap/>
            <w:vAlign w:val="center"/>
          </w:tcPr>
          <w:p w14:paraId="1414065D">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14:paraId="3EDB3D2D">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14:paraId="7D863BE0">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14:paraId="28DAD1B0">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bottom"/>
          </w:tcPr>
          <w:p w14:paraId="6B01F7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2AC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25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4F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F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F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C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FE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F0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DD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29AA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42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D8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3897D">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56634">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D98E8">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BB72E">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CFB56">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BD9D6">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BF3CC">
            <w:pPr>
              <w:jc w:val="center"/>
              <w:rPr>
                <w:rFonts w:hint="eastAsia" w:ascii="宋体" w:hAnsi="宋体" w:eastAsia="宋体" w:cs="宋体"/>
                <w:i w:val="0"/>
                <w:iCs w:val="0"/>
                <w:color w:val="000000"/>
                <w:sz w:val="22"/>
                <w:szCs w:val="22"/>
                <w:u w:val="none"/>
              </w:rPr>
            </w:pPr>
          </w:p>
        </w:tc>
      </w:tr>
      <w:tr w14:paraId="56BB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B1C58">
            <w:pPr>
              <w:jc w:val="center"/>
              <w:rPr>
                <w:rFonts w:hint="eastAsia" w:ascii="宋体" w:hAnsi="宋体" w:eastAsia="宋体" w:cs="宋体"/>
                <w:i w:val="0"/>
                <w:iCs w:val="0"/>
                <w:color w:val="000000"/>
                <w:sz w:val="22"/>
                <w:szCs w:val="22"/>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F83D5A">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BF0BB">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9CA54">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350A9">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68097">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B67AC">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9DB55">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B2F37">
            <w:pPr>
              <w:jc w:val="center"/>
              <w:rPr>
                <w:rFonts w:hint="eastAsia" w:ascii="宋体" w:hAnsi="宋体" w:eastAsia="宋体" w:cs="宋体"/>
                <w:i w:val="0"/>
                <w:iCs w:val="0"/>
                <w:color w:val="000000"/>
                <w:sz w:val="22"/>
                <w:szCs w:val="22"/>
                <w:u w:val="none"/>
              </w:rPr>
            </w:pPr>
          </w:p>
        </w:tc>
      </w:tr>
      <w:tr w14:paraId="6CDD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EBC35">
            <w:pPr>
              <w:jc w:val="center"/>
              <w:rPr>
                <w:rFonts w:hint="eastAsia" w:ascii="宋体" w:hAnsi="宋体" w:eastAsia="宋体" w:cs="宋体"/>
                <w:i w:val="0"/>
                <w:iCs w:val="0"/>
                <w:color w:val="000000"/>
                <w:sz w:val="22"/>
                <w:szCs w:val="22"/>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81657">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9D2D8">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2C751">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ED948">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57C7C">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84694">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BC245">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8116D">
            <w:pPr>
              <w:jc w:val="center"/>
              <w:rPr>
                <w:rFonts w:hint="eastAsia" w:ascii="宋体" w:hAnsi="宋体" w:eastAsia="宋体" w:cs="宋体"/>
                <w:i w:val="0"/>
                <w:iCs w:val="0"/>
                <w:color w:val="000000"/>
                <w:sz w:val="22"/>
                <w:szCs w:val="22"/>
                <w:u w:val="none"/>
              </w:rPr>
            </w:pPr>
          </w:p>
        </w:tc>
      </w:tr>
      <w:tr w14:paraId="298A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C62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80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43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A0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0B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AB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81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5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890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FF5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E1A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1,704.50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256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1,683.24</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96BE98">
            <w:pPr>
              <w:jc w:val="right"/>
              <w:rPr>
                <w:rFonts w:hint="eastAsia" w:ascii="宋体" w:hAnsi="宋体" w:eastAsia="宋体" w:cs="宋体"/>
                <w:b/>
                <w:bCs/>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A52932">
            <w:pPr>
              <w:jc w:val="right"/>
              <w:rPr>
                <w:rFonts w:hint="eastAsia" w:ascii="宋体" w:hAnsi="宋体" w:eastAsia="宋体" w:cs="宋体"/>
                <w:b/>
                <w:bCs/>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40D1BE">
            <w:pPr>
              <w:jc w:val="right"/>
              <w:rPr>
                <w:rFonts w:hint="eastAsia" w:ascii="宋体" w:hAnsi="宋体" w:eastAsia="宋体" w:cs="宋体"/>
                <w:b/>
                <w:bCs/>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23EBA4">
            <w:pPr>
              <w:jc w:val="right"/>
              <w:rPr>
                <w:rFonts w:hint="eastAsia" w:ascii="宋体" w:hAnsi="宋体" w:eastAsia="宋体" w:cs="宋体"/>
                <w:b/>
                <w:bCs/>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4470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21.26</w:t>
            </w:r>
          </w:p>
        </w:tc>
      </w:tr>
      <w:tr w14:paraId="130B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84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37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54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35F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729.73</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BC7CED">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908636">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00E469">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247803">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1D889">
            <w:pPr>
              <w:jc w:val="right"/>
              <w:rPr>
                <w:rFonts w:hint="eastAsia" w:ascii="宋体" w:hAnsi="宋体" w:eastAsia="宋体" w:cs="宋体"/>
                <w:i w:val="0"/>
                <w:iCs w:val="0"/>
                <w:color w:val="000000"/>
                <w:sz w:val="22"/>
                <w:szCs w:val="22"/>
                <w:u w:val="none"/>
              </w:rPr>
            </w:pPr>
          </w:p>
        </w:tc>
      </w:tr>
      <w:tr w14:paraId="2E7C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0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F5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6E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70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4238">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70813">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E9AAA">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7447B">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7F969">
            <w:pPr>
              <w:jc w:val="right"/>
              <w:rPr>
                <w:rFonts w:hint="eastAsia" w:ascii="宋体" w:hAnsi="宋体" w:eastAsia="宋体" w:cs="宋体"/>
                <w:i w:val="0"/>
                <w:iCs w:val="0"/>
                <w:color w:val="000000"/>
                <w:sz w:val="22"/>
                <w:szCs w:val="22"/>
                <w:u w:val="none"/>
              </w:rPr>
            </w:pPr>
          </w:p>
        </w:tc>
      </w:tr>
      <w:tr w14:paraId="66D1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EA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CC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B3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5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039EE">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43FEC">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B46B">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7D9A">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2D98">
            <w:pPr>
              <w:jc w:val="right"/>
              <w:rPr>
                <w:rFonts w:hint="eastAsia" w:ascii="宋体" w:hAnsi="宋体" w:eastAsia="宋体" w:cs="宋体"/>
                <w:i w:val="0"/>
                <w:iCs w:val="0"/>
                <w:color w:val="000000"/>
                <w:sz w:val="22"/>
                <w:szCs w:val="22"/>
                <w:u w:val="none"/>
              </w:rPr>
            </w:pPr>
          </w:p>
        </w:tc>
      </w:tr>
      <w:tr w14:paraId="5EE2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7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A3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7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B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8F95">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CCF08">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F2D0">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FE980">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4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r>
      <w:tr w14:paraId="3E61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B8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59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E0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19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4E020">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4DBD1">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5A14">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7BEA4">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32EDE">
            <w:pPr>
              <w:jc w:val="right"/>
              <w:rPr>
                <w:rFonts w:hint="eastAsia" w:ascii="宋体" w:hAnsi="宋体" w:eastAsia="宋体" w:cs="宋体"/>
                <w:i w:val="0"/>
                <w:iCs w:val="0"/>
                <w:color w:val="000000"/>
                <w:sz w:val="22"/>
                <w:szCs w:val="22"/>
                <w:u w:val="none"/>
              </w:rPr>
            </w:pPr>
          </w:p>
        </w:tc>
      </w:tr>
      <w:tr w14:paraId="1BF3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2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05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C3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25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2B75D">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3CBD2">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B6EA">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2924">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B1771">
            <w:pPr>
              <w:jc w:val="right"/>
              <w:rPr>
                <w:rFonts w:hint="eastAsia" w:ascii="宋体" w:hAnsi="宋体" w:eastAsia="宋体" w:cs="宋体"/>
                <w:i w:val="0"/>
                <w:iCs w:val="0"/>
                <w:color w:val="000000"/>
                <w:sz w:val="22"/>
                <w:szCs w:val="22"/>
                <w:u w:val="none"/>
              </w:rPr>
            </w:pPr>
          </w:p>
        </w:tc>
      </w:tr>
      <w:tr w14:paraId="07DD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6D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B4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0C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5D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4491E">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D76BF">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5BB1">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55662">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A6AE">
            <w:pPr>
              <w:jc w:val="right"/>
              <w:rPr>
                <w:rFonts w:hint="eastAsia" w:ascii="宋体" w:hAnsi="宋体" w:eastAsia="宋体" w:cs="宋体"/>
                <w:i w:val="0"/>
                <w:iCs w:val="0"/>
                <w:color w:val="000000"/>
                <w:sz w:val="22"/>
                <w:szCs w:val="22"/>
                <w:u w:val="none"/>
              </w:rPr>
            </w:pPr>
          </w:p>
        </w:tc>
      </w:tr>
      <w:tr w14:paraId="4979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D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EC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AA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5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966C">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FA09">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8B080">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5DF46">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8BC3">
            <w:pPr>
              <w:jc w:val="right"/>
              <w:rPr>
                <w:rFonts w:hint="eastAsia" w:ascii="宋体" w:hAnsi="宋体" w:eastAsia="宋体" w:cs="宋体"/>
                <w:i w:val="0"/>
                <w:iCs w:val="0"/>
                <w:color w:val="000000"/>
                <w:sz w:val="22"/>
                <w:szCs w:val="22"/>
                <w:u w:val="none"/>
              </w:rPr>
            </w:pPr>
          </w:p>
        </w:tc>
      </w:tr>
      <w:tr w14:paraId="45BF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FD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D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2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1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AA612">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8A8C">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51B98">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1828B">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2382">
            <w:pPr>
              <w:jc w:val="right"/>
              <w:rPr>
                <w:rFonts w:hint="eastAsia" w:ascii="宋体" w:hAnsi="宋体" w:eastAsia="宋体" w:cs="宋体"/>
                <w:i w:val="0"/>
                <w:iCs w:val="0"/>
                <w:color w:val="000000"/>
                <w:sz w:val="22"/>
                <w:szCs w:val="22"/>
                <w:u w:val="none"/>
              </w:rPr>
            </w:pPr>
          </w:p>
        </w:tc>
      </w:tr>
      <w:tr w14:paraId="12E0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2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07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95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0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91273">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1F4C">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6EF8">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2072">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5BD3C">
            <w:pPr>
              <w:jc w:val="right"/>
              <w:rPr>
                <w:rFonts w:hint="eastAsia" w:ascii="宋体" w:hAnsi="宋体" w:eastAsia="宋体" w:cs="宋体"/>
                <w:i w:val="0"/>
                <w:iCs w:val="0"/>
                <w:color w:val="000000"/>
                <w:sz w:val="22"/>
                <w:szCs w:val="22"/>
                <w:u w:val="none"/>
              </w:rPr>
            </w:pPr>
          </w:p>
        </w:tc>
      </w:tr>
      <w:tr w14:paraId="600F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7E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C9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A8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F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DBA3E">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C4DE6">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7F6B2">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0102B">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D884">
            <w:pPr>
              <w:jc w:val="right"/>
              <w:rPr>
                <w:rFonts w:hint="eastAsia" w:ascii="宋体" w:hAnsi="宋体" w:eastAsia="宋体" w:cs="宋体"/>
                <w:i w:val="0"/>
                <w:iCs w:val="0"/>
                <w:color w:val="000000"/>
                <w:sz w:val="22"/>
                <w:szCs w:val="22"/>
                <w:u w:val="none"/>
              </w:rPr>
            </w:pPr>
          </w:p>
        </w:tc>
      </w:tr>
      <w:tr w14:paraId="5677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27" w:type="dxa"/>
            <w:gridSpan w:val="11"/>
            <w:tcBorders>
              <w:top w:val="nil"/>
              <w:left w:val="nil"/>
              <w:bottom w:val="nil"/>
              <w:right w:val="nil"/>
            </w:tcBorders>
            <w:shd w:val="clear" w:color="auto" w:fill="FFFFFF"/>
            <w:noWrap/>
            <w:vAlign w:val="center"/>
          </w:tcPr>
          <w:p w14:paraId="2ABC7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18D7D5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1A689AE">
      <w:pPr>
        <w:widowControl/>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9"/>
        <w:gridCol w:w="322"/>
        <w:gridCol w:w="322"/>
        <w:gridCol w:w="3646"/>
        <w:gridCol w:w="1394"/>
        <w:gridCol w:w="1352"/>
        <w:gridCol w:w="1213"/>
        <w:gridCol w:w="809"/>
        <w:gridCol w:w="739"/>
        <w:gridCol w:w="1581"/>
      </w:tblGrid>
      <w:tr w14:paraId="2FAC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92" w:type="dxa"/>
            <w:tcBorders>
              <w:top w:val="nil"/>
              <w:left w:val="nil"/>
              <w:bottom w:val="nil"/>
              <w:right w:val="nil"/>
            </w:tcBorders>
            <w:shd w:val="clear" w:color="auto" w:fill="auto"/>
            <w:noWrap/>
            <w:vAlign w:val="center"/>
          </w:tcPr>
          <w:p w14:paraId="1D21D552">
            <w:pPr>
              <w:rPr>
                <w:rFonts w:hint="eastAsia" w:ascii="宋体" w:hAnsi="宋体" w:eastAsia="宋体" w:cs="宋体"/>
                <w:i w:val="0"/>
                <w:iCs w:val="0"/>
                <w:color w:val="000000"/>
                <w:sz w:val="22"/>
                <w:szCs w:val="22"/>
                <w:u w:val="none"/>
              </w:rPr>
            </w:pPr>
            <w:bookmarkStart w:id="0" w:name="RANGE!A1:I22"/>
            <w:bookmarkEnd w:id="0"/>
            <w:bookmarkStart w:id="1" w:name="RANGE!A1:F16"/>
          </w:p>
        </w:tc>
        <w:tc>
          <w:tcPr>
            <w:tcW w:w="325" w:type="dxa"/>
            <w:tcBorders>
              <w:top w:val="nil"/>
              <w:left w:val="nil"/>
              <w:bottom w:val="nil"/>
              <w:right w:val="nil"/>
            </w:tcBorders>
            <w:shd w:val="clear" w:color="auto" w:fill="auto"/>
            <w:noWrap/>
            <w:vAlign w:val="center"/>
          </w:tcPr>
          <w:p w14:paraId="763D9809">
            <w:pPr>
              <w:rPr>
                <w:rFonts w:hint="eastAsia" w:ascii="宋体" w:hAnsi="宋体" w:eastAsia="宋体" w:cs="宋体"/>
                <w:i w:val="0"/>
                <w:iCs w:val="0"/>
                <w:color w:val="000000"/>
                <w:sz w:val="22"/>
                <w:szCs w:val="22"/>
                <w:u w:val="none"/>
              </w:rPr>
            </w:pPr>
          </w:p>
        </w:tc>
        <w:tc>
          <w:tcPr>
            <w:tcW w:w="325" w:type="dxa"/>
            <w:tcBorders>
              <w:top w:val="nil"/>
              <w:left w:val="nil"/>
              <w:bottom w:val="nil"/>
              <w:right w:val="nil"/>
            </w:tcBorders>
            <w:shd w:val="clear" w:color="auto" w:fill="auto"/>
            <w:noWrap/>
            <w:vAlign w:val="center"/>
          </w:tcPr>
          <w:p w14:paraId="2AA6AD88">
            <w:pPr>
              <w:rPr>
                <w:rFonts w:hint="eastAsia" w:ascii="宋体" w:hAnsi="宋体" w:eastAsia="宋体" w:cs="宋体"/>
                <w:i w:val="0"/>
                <w:iCs w:val="0"/>
                <w:color w:val="000000"/>
                <w:sz w:val="22"/>
                <w:szCs w:val="22"/>
                <w:u w:val="none"/>
              </w:rPr>
            </w:pPr>
          </w:p>
        </w:tc>
        <w:tc>
          <w:tcPr>
            <w:tcW w:w="3611" w:type="dxa"/>
            <w:tcBorders>
              <w:top w:val="nil"/>
              <w:left w:val="nil"/>
              <w:bottom w:val="nil"/>
              <w:right w:val="nil"/>
            </w:tcBorders>
            <w:shd w:val="clear" w:color="auto" w:fill="auto"/>
            <w:noWrap/>
            <w:vAlign w:val="center"/>
          </w:tcPr>
          <w:p w14:paraId="0531A94A">
            <w:pPr>
              <w:rPr>
                <w:rFonts w:hint="eastAsia" w:ascii="宋体" w:hAnsi="宋体" w:eastAsia="宋体" w:cs="宋体"/>
                <w:i w:val="0"/>
                <w:iCs w:val="0"/>
                <w:color w:val="000000"/>
                <w:sz w:val="22"/>
                <w:szCs w:val="22"/>
                <w:u w:val="none"/>
              </w:rPr>
            </w:pPr>
          </w:p>
        </w:tc>
        <w:tc>
          <w:tcPr>
            <w:tcW w:w="2807" w:type="dxa"/>
            <w:gridSpan w:val="2"/>
            <w:tcBorders>
              <w:top w:val="nil"/>
              <w:left w:val="nil"/>
              <w:bottom w:val="nil"/>
              <w:right w:val="nil"/>
            </w:tcBorders>
            <w:shd w:val="clear" w:color="auto" w:fill="auto"/>
            <w:noWrap/>
            <w:vAlign w:val="center"/>
          </w:tcPr>
          <w:p w14:paraId="71B4721C">
            <w:pPr>
              <w:keepNext w:val="0"/>
              <w:keepLines w:val="0"/>
              <w:widowControl/>
              <w:suppressLineNumbers w:val="0"/>
              <w:jc w:val="both"/>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239" w:type="dxa"/>
            <w:tcBorders>
              <w:top w:val="nil"/>
              <w:left w:val="nil"/>
              <w:bottom w:val="nil"/>
              <w:right w:val="nil"/>
            </w:tcBorders>
            <w:shd w:val="clear" w:color="auto" w:fill="auto"/>
            <w:noWrap/>
            <w:vAlign w:val="center"/>
          </w:tcPr>
          <w:p w14:paraId="64E46851">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14:paraId="536CFC8E">
            <w:pPr>
              <w:rPr>
                <w:rFonts w:hint="eastAsia" w:ascii="宋体" w:hAnsi="宋体" w:eastAsia="宋体" w:cs="宋体"/>
                <w:i w:val="0"/>
                <w:iCs w:val="0"/>
                <w:color w:val="000000"/>
                <w:sz w:val="22"/>
                <w:szCs w:val="22"/>
                <w:u w:val="none"/>
              </w:rPr>
            </w:pPr>
          </w:p>
        </w:tc>
        <w:tc>
          <w:tcPr>
            <w:tcW w:w="753" w:type="dxa"/>
            <w:tcBorders>
              <w:top w:val="nil"/>
              <w:left w:val="nil"/>
              <w:bottom w:val="nil"/>
              <w:right w:val="nil"/>
            </w:tcBorders>
            <w:shd w:val="clear" w:color="auto" w:fill="auto"/>
            <w:noWrap/>
            <w:vAlign w:val="center"/>
          </w:tcPr>
          <w:p w14:paraId="1616F323">
            <w:pP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14:paraId="68147DF2">
            <w:pPr>
              <w:rPr>
                <w:rFonts w:hint="eastAsia" w:ascii="宋体" w:hAnsi="宋体" w:eastAsia="宋体" w:cs="宋体"/>
                <w:i w:val="0"/>
                <w:iCs w:val="0"/>
                <w:color w:val="000000"/>
                <w:sz w:val="22"/>
                <w:szCs w:val="22"/>
                <w:u w:val="none"/>
              </w:rPr>
            </w:pPr>
          </w:p>
        </w:tc>
      </w:tr>
      <w:tr w14:paraId="528B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05B82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AAF1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14F9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A8BB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8D1B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5EE1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82C8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ED54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2A81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073B0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B88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1C4D7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nil"/>
              <w:right w:val="nil"/>
            </w:tcBorders>
            <w:shd w:val="clear" w:color="auto" w:fill="auto"/>
            <w:noWrap/>
            <w:vAlign w:val="center"/>
          </w:tcPr>
          <w:p w14:paraId="4D6640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795B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62E3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408A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FFE9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4F68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9659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9656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6647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E1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D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7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97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BC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88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69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5B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6F1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3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6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9967F">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62646">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08B35">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6D81E">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919E7">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20312">
            <w:pPr>
              <w:jc w:val="center"/>
              <w:rPr>
                <w:rFonts w:hint="eastAsia" w:ascii="宋体" w:hAnsi="宋体" w:eastAsia="宋体" w:cs="宋体"/>
                <w:i w:val="0"/>
                <w:iCs w:val="0"/>
                <w:color w:val="000000"/>
                <w:sz w:val="22"/>
                <w:szCs w:val="22"/>
                <w:u w:val="none"/>
              </w:rPr>
            </w:pPr>
          </w:p>
        </w:tc>
      </w:tr>
      <w:tr w14:paraId="29A2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8D42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78207">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A1571">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D59D2">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B2851">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538ED">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F09CB">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2FBC5">
            <w:pPr>
              <w:jc w:val="center"/>
              <w:rPr>
                <w:rFonts w:hint="eastAsia" w:ascii="宋体" w:hAnsi="宋体" w:eastAsia="宋体" w:cs="宋体"/>
                <w:i w:val="0"/>
                <w:iCs w:val="0"/>
                <w:color w:val="000000"/>
                <w:sz w:val="22"/>
                <w:szCs w:val="22"/>
                <w:u w:val="none"/>
              </w:rPr>
            </w:pPr>
          </w:p>
        </w:tc>
      </w:tr>
      <w:tr w14:paraId="0F76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4AC3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FEFABF">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ADB3E">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285DA">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47696">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11A6A">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7F112">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C1BBB">
            <w:pPr>
              <w:jc w:val="center"/>
              <w:rPr>
                <w:rFonts w:hint="eastAsia" w:ascii="宋体" w:hAnsi="宋体" w:eastAsia="宋体" w:cs="宋体"/>
                <w:i w:val="0"/>
                <w:iCs w:val="0"/>
                <w:color w:val="000000"/>
                <w:sz w:val="22"/>
                <w:szCs w:val="22"/>
                <w:u w:val="none"/>
              </w:rPr>
            </w:pPr>
          </w:p>
        </w:tc>
      </w:tr>
      <w:tr w14:paraId="38DE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AAC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5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7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12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66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41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AB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B80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DA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54BF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384B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8965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34046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72504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FD7728">
            <w:pPr>
              <w:jc w:val="right"/>
              <w:rPr>
                <w:rFonts w:hint="eastAsia" w:ascii="宋体" w:hAnsi="宋体" w:eastAsia="宋体" w:cs="宋体"/>
                <w:b/>
                <w:bCs/>
                <w:i w:val="0"/>
                <w:iCs w:val="0"/>
                <w:color w:val="000000"/>
                <w:sz w:val="22"/>
                <w:szCs w:val="22"/>
                <w:u w:val="none"/>
              </w:rPr>
            </w:pPr>
          </w:p>
        </w:tc>
      </w:tr>
      <w:tr w14:paraId="349C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2D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1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DA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35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600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C75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4A4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0AA8">
            <w:pPr>
              <w:jc w:val="right"/>
              <w:rPr>
                <w:rFonts w:hint="eastAsia" w:ascii="宋体" w:hAnsi="宋体" w:eastAsia="宋体" w:cs="宋体"/>
                <w:i w:val="0"/>
                <w:iCs w:val="0"/>
                <w:color w:val="000000"/>
                <w:sz w:val="22"/>
                <w:szCs w:val="22"/>
                <w:u w:val="none"/>
              </w:rPr>
            </w:pPr>
          </w:p>
        </w:tc>
      </w:tr>
      <w:tr w14:paraId="0A77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8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7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D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546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3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641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061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49727">
            <w:pPr>
              <w:jc w:val="right"/>
              <w:rPr>
                <w:rFonts w:hint="eastAsia" w:ascii="宋体" w:hAnsi="宋体" w:eastAsia="宋体" w:cs="宋体"/>
                <w:i w:val="0"/>
                <w:iCs w:val="0"/>
                <w:color w:val="000000"/>
                <w:sz w:val="22"/>
                <w:szCs w:val="22"/>
                <w:u w:val="none"/>
              </w:rPr>
            </w:pPr>
          </w:p>
        </w:tc>
      </w:tr>
      <w:tr w14:paraId="45A3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B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6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B2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CB0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D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B70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311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467C">
            <w:pPr>
              <w:jc w:val="right"/>
              <w:rPr>
                <w:rFonts w:hint="eastAsia" w:ascii="宋体" w:hAnsi="宋体" w:eastAsia="宋体" w:cs="宋体"/>
                <w:i w:val="0"/>
                <w:iCs w:val="0"/>
                <w:color w:val="000000"/>
                <w:sz w:val="22"/>
                <w:szCs w:val="22"/>
                <w:u w:val="none"/>
              </w:rPr>
            </w:pPr>
          </w:p>
        </w:tc>
      </w:tr>
      <w:tr w14:paraId="736A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F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CC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D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9B1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50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5ACF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1B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90B6B">
            <w:pPr>
              <w:jc w:val="right"/>
              <w:rPr>
                <w:rFonts w:hint="eastAsia" w:ascii="宋体" w:hAnsi="宋体" w:eastAsia="宋体" w:cs="宋体"/>
                <w:i w:val="0"/>
                <w:iCs w:val="0"/>
                <w:color w:val="000000"/>
                <w:sz w:val="22"/>
                <w:szCs w:val="22"/>
                <w:u w:val="none"/>
              </w:rPr>
            </w:pPr>
          </w:p>
        </w:tc>
      </w:tr>
      <w:tr w14:paraId="44F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7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37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6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7FB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0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334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9A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42B9">
            <w:pPr>
              <w:jc w:val="right"/>
              <w:rPr>
                <w:rFonts w:hint="eastAsia" w:ascii="宋体" w:hAnsi="宋体" w:eastAsia="宋体" w:cs="宋体"/>
                <w:i w:val="0"/>
                <w:iCs w:val="0"/>
                <w:color w:val="000000"/>
                <w:sz w:val="22"/>
                <w:szCs w:val="22"/>
                <w:u w:val="none"/>
              </w:rPr>
            </w:pPr>
          </w:p>
        </w:tc>
      </w:tr>
      <w:tr w14:paraId="531A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8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00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2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89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C1F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93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87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6B174">
            <w:pPr>
              <w:jc w:val="right"/>
              <w:rPr>
                <w:rFonts w:hint="eastAsia" w:ascii="宋体" w:hAnsi="宋体" w:eastAsia="宋体" w:cs="宋体"/>
                <w:i w:val="0"/>
                <w:iCs w:val="0"/>
                <w:color w:val="000000"/>
                <w:sz w:val="22"/>
                <w:szCs w:val="22"/>
                <w:u w:val="none"/>
              </w:rPr>
            </w:pPr>
          </w:p>
        </w:tc>
      </w:tr>
      <w:tr w14:paraId="6C8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A9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98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D3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B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832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038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3B0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C9AE">
            <w:pPr>
              <w:jc w:val="right"/>
              <w:rPr>
                <w:rFonts w:hint="eastAsia" w:ascii="宋体" w:hAnsi="宋体" w:eastAsia="宋体" w:cs="宋体"/>
                <w:i w:val="0"/>
                <w:iCs w:val="0"/>
                <w:color w:val="000000"/>
                <w:sz w:val="22"/>
                <w:szCs w:val="22"/>
                <w:u w:val="none"/>
              </w:rPr>
            </w:pPr>
          </w:p>
        </w:tc>
      </w:tr>
      <w:tr w14:paraId="295B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BD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5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5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6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F97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87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B8B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23EB6">
            <w:pPr>
              <w:jc w:val="right"/>
              <w:rPr>
                <w:rFonts w:hint="eastAsia" w:ascii="宋体" w:hAnsi="宋体" w:eastAsia="宋体" w:cs="宋体"/>
                <w:i w:val="0"/>
                <w:iCs w:val="0"/>
                <w:color w:val="000000"/>
                <w:sz w:val="22"/>
                <w:szCs w:val="22"/>
                <w:u w:val="none"/>
              </w:rPr>
            </w:pPr>
          </w:p>
        </w:tc>
      </w:tr>
      <w:tr w14:paraId="292E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0F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2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2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50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A37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B0F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66F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A229">
            <w:pPr>
              <w:jc w:val="right"/>
              <w:rPr>
                <w:rFonts w:hint="eastAsia" w:ascii="宋体" w:hAnsi="宋体" w:eastAsia="宋体" w:cs="宋体"/>
                <w:i w:val="0"/>
                <w:iCs w:val="0"/>
                <w:color w:val="000000"/>
                <w:sz w:val="22"/>
                <w:szCs w:val="22"/>
                <w:u w:val="none"/>
              </w:rPr>
            </w:pPr>
          </w:p>
        </w:tc>
      </w:tr>
      <w:tr w14:paraId="3735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49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DF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61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3B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3A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A1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DE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9347">
            <w:pPr>
              <w:jc w:val="right"/>
              <w:rPr>
                <w:rFonts w:hint="eastAsia" w:ascii="宋体" w:hAnsi="宋体" w:eastAsia="宋体" w:cs="宋体"/>
                <w:i w:val="0"/>
                <w:iCs w:val="0"/>
                <w:color w:val="000000"/>
                <w:sz w:val="22"/>
                <w:szCs w:val="22"/>
                <w:u w:val="none"/>
              </w:rPr>
            </w:pPr>
          </w:p>
        </w:tc>
      </w:tr>
      <w:tr w14:paraId="3CCD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0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2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D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9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7F9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C87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1C0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21FE">
            <w:pPr>
              <w:jc w:val="right"/>
              <w:rPr>
                <w:rFonts w:hint="eastAsia" w:ascii="宋体" w:hAnsi="宋体" w:eastAsia="宋体" w:cs="宋体"/>
                <w:i w:val="0"/>
                <w:iCs w:val="0"/>
                <w:color w:val="000000"/>
                <w:sz w:val="22"/>
                <w:szCs w:val="22"/>
                <w:u w:val="none"/>
              </w:rPr>
            </w:pPr>
          </w:p>
        </w:tc>
      </w:tr>
      <w:tr w14:paraId="1888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14:paraId="07E0D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692F45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3B5DFE4">
      <w:pPr>
        <w:widowControl/>
        <w:spacing w:line="400" w:lineRule="exact"/>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1"/>
        <w:gridCol w:w="569"/>
        <w:gridCol w:w="1397"/>
        <w:gridCol w:w="3893"/>
        <w:gridCol w:w="439"/>
        <w:gridCol w:w="980"/>
        <w:gridCol w:w="1238"/>
        <w:gridCol w:w="845"/>
        <w:gridCol w:w="1555"/>
      </w:tblGrid>
      <w:tr w14:paraId="4ECE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211" w:type="dxa"/>
            <w:tcBorders>
              <w:top w:val="nil"/>
              <w:left w:val="nil"/>
              <w:bottom w:val="nil"/>
              <w:right w:val="nil"/>
            </w:tcBorders>
            <w:shd w:val="clear" w:color="auto" w:fill="auto"/>
            <w:noWrap/>
            <w:vAlign w:val="center"/>
          </w:tcPr>
          <w:p w14:paraId="1BEACC06">
            <w:pPr>
              <w:rPr>
                <w:rFonts w:hint="eastAsia" w:ascii="宋体" w:hAnsi="宋体" w:eastAsia="宋体" w:cs="宋体"/>
                <w:i w:val="0"/>
                <w:iCs w:val="0"/>
                <w:color w:val="000000"/>
                <w:sz w:val="22"/>
                <w:szCs w:val="22"/>
                <w:u w:val="none"/>
              </w:rPr>
            </w:pPr>
          </w:p>
        </w:tc>
        <w:tc>
          <w:tcPr>
            <w:tcW w:w="569" w:type="dxa"/>
            <w:tcBorders>
              <w:top w:val="nil"/>
              <w:left w:val="nil"/>
              <w:bottom w:val="nil"/>
              <w:right w:val="nil"/>
            </w:tcBorders>
            <w:shd w:val="clear" w:color="auto" w:fill="auto"/>
            <w:noWrap/>
            <w:vAlign w:val="center"/>
          </w:tcPr>
          <w:p w14:paraId="71D7AF1C">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14:paraId="5CA90A49">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14:paraId="5542DA4E">
            <w:pPr>
              <w:keepNext w:val="0"/>
              <w:keepLines w:val="0"/>
              <w:widowControl/>
              <w:suppressLineNumbers w:val="0"/>
              <w:jc w:val="both"/>
              <w:textAlignment w:val="center"/>
              <w:rPr>
                <w:rFonts w:hint="eastAsia" w:ascii="黑体" w:hAnsi="宋体" w:eastAsia="黑体" w:cs="黑体"/>
                <w:i w:val="0"/>
                <w:iCs w:val="0"/>
                <w:color w:val="000000"/>
                <w:kern w:val="0"/>
                <w:sz w:val="30"/>
                <w:szCs w:val="30"/>
                <w:u w:val="none"/>
                <w:lang w:val="en-US" w:eastAsia="zh-CN" w:bidi="ar"/>
              </w:rPr>
            </w:pPr>
          </w:p>
          <w:p w14:paraId="65B96E82">
            <w:pPr>
              <w:keepNext w:val="0"/>
              <w:keepLines w:val="0"/>
              <w:widowControl/>
              <w:suppressLineNumbers w:val="0"/>
              <w:jc w:val="both"/>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439" w:type="dxa"/>
            <w:tcBorders>
              <w:top w:val="nil"/>
              <w:left w:val="nil"/>
              <w:bottom w:val="nil"/>
              <w:right w:val="nil"/>
            </w:tcBorders>
            <w:shd w:val="clear" w:color="auto" w:fill="auto"/>
            <w:noWrap/>
            <w:vAlign w:val="center"/>
          </w:tcPr>
          <w:p w14:paraId="233E5BD3">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14:paraId="39984723">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14:paraId="7D8517FB">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14:paraId="0976A7B1">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center"/>
          </w:tcPr>
          <w:p w14:paraId="219A281A">
            <w:pPr>
              <w:rPr>
                <w:rFonts w:hint="eastAsia" w:ascii="宋体" w:hAnsi="宋体" w:eastAsia="宋体" w:cs="宋体"/>
                <w:i w:val="0"/>
                <w:iCs w:val="0"/>
                <w:color w:val="000000"/>
                <w:sz w:val="22"/>
                <w:szCs w:val="22"/>
                <w:u w:val="none"/>
              </w:rPr>
            </w:pPr>
          </w:p>
        </w:tc>
      </w:tr>
      <w:tr w14:paraId="50AD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1" w:type="dxa"/>
            <w:tcBorders>
              <w:top w:val="nil"/>
              <w:left w:val="nil"/>
              <w:bottom w:val="nil"/>
              <w:right w:val="nil"/>
            </w:tcBorders>
            <w:shd w:val="clear" w:color="auto" w:fill="auto"/>
            <w:noWrap/>
            <w:vAlign w:val="center"/>
          </w:tcPr>
          <w:p w14:paraId="47AB4E3B">
            <w:pPr>
              <w:rPr>
                <w:rFonts w:hint="eastAsia" w:ascii="宋体" w:hAnsi="宋体" w:eastAsia="宋体" w:cs="宋体"/>
                <w:i w:val="0"/>
                <w:iCs w:val="0"/>
                <w:color w:val="000000"/>
                <w:sz w:val="22"/>
                <w:szCs w:val="22"/>
                <w:u w:val="none"/>
              </w:rPr>
            </w:pPr>
          </w:p>
        </w:tc>
        <w:tc>
          <w:tcPr>
            <w:tcW w:w="569" w:type="dxa"/>
            <w:tcBorders>
              <w:top w:val="nil"/>
              <w:left w:val="nil"/>
              <w:bottom w:val="nil"/>
              <w:right w:val="nil"/>
            </w:tcBorders>
            <w:shd w:val="clear" w:color="auto" w:fill="auto"/>
            <w:noWrap/>
            <w:vAlign w:val="center"/>
          </w:tcPr>
          <w:p w14:paraId="6A570D6C">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14:paraId="0B5B392B">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14:paraId="7F8BFBA9">
            <w:pPr>
              <w:rPr>
                <w:rFonts w:hint="eastAsia" w:ascii="宋体" w:hAnsi="宋体" w:eastAsia="宋体" w:cs="宋体"/>
                <w:i w:val="0"/>
                <w:iCs w:val="0"/>
                <w:color w:val="000000"/>
                <w:sz w:val="22"/>
                <w:szCs w:val="22"/>
                <w:u w:val="none"/>
              </w:rPr>
            </w:pPr>
          </w:p>
        </w:tc>
        <w:tc>
          <w:tcPr>
            <w:tcW w:w="439" w:type="dxa"/>
            <w:tcBorders>
              <w:top w:val="nil"/>
              <w:left w:val="nil"/>
              <w:bottom w:val="nil"/>
              <w:right w:val="nil"/>
            </w:tcBorders>
            <w:shd w:val="clear" w:color="auto" w:fill="auto"/>
            <w:noWrap/>
            <w:vAlign w:val="center"/>
          </w:tcPr>
          <w:p w14:paraId="415D5903">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14:paraId="260AC899">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14:paraId="47F5B2F0">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14:paraId="4C395B8F">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bottom"/>
          </w:tcPr>
          <w:p w14:paraId="3A71CD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7A7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1" w:type="dxa"/>
            <w:tcBorders>
              <w:top w:val="nil"/>
              <w:left w:val="nil"/>
              <w:bottom w:val="nil"/>
              <w:right w:val="nil"/>
            </w:tcBorders>
            <w:shd w:val="clear" w:color="auto" w:fill="auto"/>
            <w:noWrap/>
            <w:vAlign w:val="bottom"/>
          </w:tcPr>
          <w:p w14:paraId="1B9B10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569" w:type="dxa"/>
            <w:tcBorders>
              <w:top w:val="nil"/>
              <w:left w:val="nil"/>
              <w:bottom w:val="nil"/>
              <w:right w:val="nil"/>
            </w:tcBorders>
            <w:shd w:val="clear" w:color="auto" w:fill="auto"/>
            <w:noWrap/>
            <w:vAlign w:val="center"/>
          </w:tcPr>
          <w:p w14:paraId="620FA9CA">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14:paraId="64DEA6C1">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14:paraId="6C65F6A7">
            <w:pPr>
              <w:rPr>
                <w:rFonts w:hint="eastAsia" w:ascii="宋体" w:hAnsi="宋体" w:eastAsia="宋体" w:cs="宋体"/>
                <w:i w:val="0"/>
                <w:iCs w:val="0"/>
                <w:color w:val="000000"/>
                <w:sz w:val="22"/>
                <w:szCs w:val="22"/>
                <w:u w:val="none"/>
              </w:rPr>
            </w:pPr>
          </w:p>
        </w:tc>
        <w:tc>
          <w:tcPr>
            <w:tcW w:w="439" w:type="dxa"/>
            <w:tcBorders>
              <w:top w:val="nil"/>
              <w:left w:val="nil"/>
              <w:bottom w:val="nil"/>
              <w:right w:val="nil"/>
            </w:tcBorders>
            <w:shd w:val="clear" w:color="auto" w:fill="auto"/>
            <w:noWrap/>
            <w:vAlign w:val="center"/>
          </w:tcPr>
          <w:p w14:paraId="1728A254">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14:paraId="76A01F67">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14:paraId="139E72A5">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14:paraId="56C241C6">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bottom"/>
          </w:tcPr>
          <w:p w14:paraId="0CB485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270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892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5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8F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7BF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AB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E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B6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B8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A9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CF5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85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6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E2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9DD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2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35031">
            <w:pPr>
              <w:jc w:val="center"/>
              <w:rPr>
                <w:rFonts w:hint="eastAsia" w:ascii="宋体" w:hAnsi="宋体" w:eastAsia="宋体" w:cs="宋体"/>
                <w:i w:val="0"/>
                <w:iCs w:val="0"/>
                <w:color w:val="000000"/>
                <w:sz w:val="22"/>
                <w:szCs w:val="22"/>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AFFF7">
            <w:pPr>
              <w:jc w:val="center"/>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AF471">
            <w:pPr>
              <w:jc w:val="center"/>
              <w:rPr>
                <w:rFonts w:hint="eastAsia" w:ascii="宋体" w:hAnsi="宋体" w:eastAsia="宋体" w:cs="宋体"/>
                <w:i w:val="0"/>
                <w:iCs w:val="0"/>
                <w:color w:val="000000"/>
                <w:sz w:val="22"/>
                <w:szCs w:val="22"/>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CAA18">
            <w:pPr>
              <w:jc w:val="center"/>
              <w:rPr>
                <w:rFonts w:hint="eastAsia" w:ascii="宋体" w:hAnsi="宋体" w:eastAsia="宋体" w:cs="宋体"/>
                <w:i w:val="0"/>
                <w:iCs w:val="0"/>
                <w:color w:val="000000"/>
                <w:sz w:val="22"/>
                <w:szCs w:val="22"/>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29A5A">
            <w:pPr>
              <w:jc w:val="center"/>
              <w:rPr>
                <w:rFonts w:hint="eastAsia" w:ascii="宋体" w:hAnsi="宋体" w:eastAsia="宋体" w:cs="宋体"/>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868835">
            <w:pPr>
              <w:jc w:val="center"/>
              <w:rPr>
                <w:rFonts w:hint="eastAsia" w:ascii="宋体" w:hAnsi="宋体" w:eastAsia="宋体" w:cs="宋体"/>
                <w:i w:val="0"/>
                <w:iCs w:val="0"/>
                <w:color w:val="000000"/>
                <w:sz w:val="22"/>
                <w:szCs w:val="22"/>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29BE7">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ECF2C">
            <w:pPr>
              <w:jc w:val="center"/>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B28C9">
            <w:pPr>
              <w:jc w:val="center"/>
              <w:rPr>
                <w:rFonts w:hint="eastAsia" w:ascii="宋体" w:hAnsi="宋体" w:eastAsia="宋体" w:cs="宋体"/>
                <w:i w:val="0"/>
                <w:iCs w:val="0"/>
                <w:color w:val="000000"/>
                <w:sz w:val="22"/>
                <w:szCs w:val="22"/>
                <w:u w:val="none"/>
              </w:rPr>
            </w:pPr>
          </w:p>
        </w:tc>
      </w:tr>
      <w:tr w14:paraId="5AAB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2B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CC1B0">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C6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304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89429">
            <w:pPr>
              <w:jc w:val="cente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7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133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2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4D8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8D2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70A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71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E7E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7F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52E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FB0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1,554.15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3D3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1,554.15</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04C1C1">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61D378">
            <w:pPr>
              <w:jc w:val="right"/>
              <w:rPr>
                <w:rFonts w:hint="eastAsia" w:ascii="宋体" w:hAnsi="宋体" w:eastAsia="宋体" w:cs="宋体"/>
                <w:i w:val="0"/>
                <w:iCs w:val="0"/>
                <w:color w:val="000000"/>
                <w:sz w:val="22"/>
                <w:szCs w:val="22"/>
                <w:u w:val="none"/>
              </w:rPr>
            </w:pPr>
          </w:p>
        </w:tc>
      </w:tr>
      <w:tr w14:paraId="4673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58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BF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B1AE90">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D0C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F97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4BE3F7">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7093C4">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D8F27C">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518693">
            <w:pPr>
              <w:jc w:val="right"/>
              <w:rPr>
                <w:rFonts w:hint="eastAsia" w:ascii="宋体" w:hAnsi="宋体" w:eastAsia="宋体" w:cs="宋体"/>
                <w:i w:val="0"/>
                <w:iCs w:val="0"/>
                <w:color w:val="000000"/>
                <w:sz w:val="22"/>
                <w:szCs w:val="22"/>
                <w:u w:val="none"/>
              </w:rPr>
            </w:pPr>
          </w:p>
        </w:tc>
      </w:tr>
      <w:tr w14:paraId="04F5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AA5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B7A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FAFB28">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289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42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82FF28">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6E5D4F">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6D6816">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28793B">
            <w:pPr>
              <w:jc w:val="right"/>
              <w:rPr>
                <w:rFonts w:hint="eastAsia" w:ascii="宋体" w:hAnsi="宋体" w:eastAsia="宋体" w:cs="宋体"/>
                <w:i w:val="0"/>
                <w:iCs w:val="0"/>
                <w:color w:val="000000"/>
                <w:sz w:val="22"/>
                <w:szCs w:val="22"/>
                <w:u w:val="none"/>
              </w:rPr>
            </w:pPr>
          </w:p>
        </w:tc>
      </w:tr>
      <w:tr w14:paraId="68F7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5C7E6B">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DA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6C4897">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244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10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0592E1">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DFF937">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D5E17F">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E8CB7D">
            <w:pPr>
              <w:jc w:val="right"/>
              <w:rPr>
                <w:rFonts w:hint="eastAsia" w:ascii="宋体" w:hAnsi="宋体" w:eastAsia="宋体" w:cs="宋体"/>
                <w:i w:val="0"/>
                <w:iCs w:val="0"/>
                <w:color w:val="000000"/>
                <w:sz w:val="22"/>
                <w:szCs w:val="22"/>
                <w:u w:val="none"/>
              </w:rPr>
            </w:pPr>
          </w:p>
        </w:tc>
      </w:tr>
      <w:tr w14:paraId="70DA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C2106A">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48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44D5CD">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562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1C4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580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708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EDD918">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4AFB5">
            <w:pPr>
              <w:jc w:val="right"/>
              <w:rPr>
                <w:rFonts w:hint="eastAsia" w:ascii="宋体" w:hAnsi="宋体" w:eastAsia="宋体" w:cs="宋体"/>
                <w:i w:val="0"/>
                <w:iCs w:val="0"/>
                <w:color w:val="000000"/>
                <w:sz w:val="22"/>
                <w:szCs w:val="22"/>
                <w:u w:val="none"/>
              </w:rPr>
            </w:pPr>
          </w:p>
        </w:tc>
      </w:tr>
      <w:tr w14:paraId="4531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FE04A1">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AD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CADB76">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52F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E0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73C0AF">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8C0A2B">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869A6">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4B261">
            <w:pPr>
              <w:jc w:val="right"/>
              <w:rPr>
                <w:rFonts w:hint="eastAsia" w:ascii="宋体" w:hAnsi="宋体" w:eastAsia="宋体" w:cs="宋体"/>
                <w:i w:val="0"/>
                <w:iCs w:val="0"/>
                <w:color w:val="000000"/>
                <w:sz w:val="22"/>
                <w:szCs w:val="22"/>
                <w:u w:val="none"/>
              </w:rPr>
            </w:pPr>
          </w:p>
        </w:tc>
      </w:tr>
      <w:tr w14:paraId="5C5A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F9E63F">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1F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49C1A6">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C52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BA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DC974A">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9AAB2D">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CBD1CD">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5C6510">
            <w:pPr>
              <w:jc w:val="right"/>
              <w:rPr>
                <w:rFonts w:hint="eastAsia" w:ascii="宋体" w:hAnsi="宋体" w:eastAsia="宋体" w:cs="宋体"/>
                <w:i w:val="0"/>
                <w:iCs w:val="0"/>
                <w:color w:val="000000"/>
                <w:sz w:val="22"/>
                <w:szCs w:val="22"/>
                <w:u w:val="none"/>
              </w:rPr>
            </w:pPr>
          </w:p>
        </w:tc>
      </w:tr>
      <w:tr w14:paraId="79C3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902F8E">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039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387831">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681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19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239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26B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5DC740">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EF48E6">
            <w:pPr>
              <w:jc w:val="right"/>
              <w:rPr>
                <w:rFonts w:hint="eastAsia" w:ascii="宋体" w:hAnsi="宋体" w:eastAsia="宋体" w:cs="宋体"/>
                <w:i w:val="0"/>
                <w:iCs w:val="0"/>
                <w:color w:val="000000"/>
                <w:sz w:val="22"/>
                <w:szCs w:val="22"/>
                <w:u w:val="none"/>
              </w:rPr>
            </w:pPr>
          </w:p>
        </w:tc>
      </w:tr>
      <w:tr w14:paraId="5C98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4FBEC7">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6B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2F8D03">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07D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2B9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2E6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D4D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5DC6D">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F2FCD">
            <w:pPr>
              <w:jc w:val="right"/>
              <w:rPr>
                <w:rFonts w:hint="eastAsia" w:ascii="宋体" w:hAnsi="宋体" w:eastAsia="宋体" w:cs="宋体"/>
                <w:i w:val="0"/>
                <w:iCs w:val="0"/>
                <w:color w:val="000000"/>
                <w:sz w:val="22"/>
                <w:szCs w:val="22"/>
                <w:u w:val="none"/>
              </w:rPr>
            </w:pPr>
          </w:p>
        </w:tc>
      </w:tr>
      <w:tr w14:paraId="67D5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EEA623">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7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B4FD4">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1E5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2D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70BA9D">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0AD8C5">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5CA9D5">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8A3C40">
            <w:pPr>
              <w:jc w:val="right"/>
              <w:rPr>
                <w:rFonts w:hint="eastAsia" w:ascii="宋体" w:hAnsi="宋体" w:eastAsia="宋体" w:cs="宋体"/>
                <w:i w:val="0"/>
                <w:iCs w:val="0"/>
                <w:color w:val="000000"/>
                <w:sz w:val="22"/>
                <w:szCs w:val="22"/>
                <w:u w:val="none"/>
              </w:rPr>
            </w:pPr>
          </w:p>
        </w:tc>
      </w:tr>
      <w:tr w14:paraId="643D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2132C5">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44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DBA304">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5C4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DEA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231634">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B73C6">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678F63">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DBF059">
            <w:pPr>
              <w:jc w:val="right"/>
              <w:rPr>
                <w:rFonts w:hint="eastAsia" w:ascii="宋体" w:hAnsi="宋体" w:eastAsia="宋体" w:cs="宋体"/>
                <w:i w:val="0"/>
                <w:iCs w:val="0"/>
                <w:color w:val="000000"/>
                <w:sz w:val="22"/>
                <w:szCs w:val="22"/>
                <w:u w:val="none"/>
              </w:rPr>
            </w:pPr>
          </w:p>
        </w:tc>
      </w:tr>
      <w:tr w14:paraId="07C0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6A977B">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31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3CC2D">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25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4A4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26CD1">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07527F">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8221FC">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6BE164">
            <w:pPr>
              <w:jc w:val="right"/>
              <w:rPr>
                <w:rFonts w:hint="eastAsia" w:ascii="宋体" w:hAnsi="宋体" w:eastAsia="宋体" w:cs="宋体"/>
                <w:i w:val="0"/>
                <w:iCs w:val="0"/>
                <w:color w:val="000000"/>
                <w:sz w:val="22"/>
                <w:szCs w:val="22"/>
                <w:u w:val="none"/>
              </w:rPr>
            </w:pPr>
          </w:p>
        </w:tc>
      </w:tr>
      <w:tr w14:paraId="74ED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3D21F6">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2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A0BC3C">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CA9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20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ED4E1">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B7CD71">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F8B9BD">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B1C085">
            <w:pPr>
              <w:jc w:val="right"/>
              <w:rPr>
                <w:rFonts w:hint="eastAsia" w:ascii="宋体" w:hAnsi="宋体" w:eastAsia="宋体" w:cs="宋体"/>
                <w:i w:val="0"/>
                <w:iCs w:val="0"/>
                <w:color w:val="000000"/>
                <w:sz w:val="22"/>
                <w:szCs w:val="22"/>
                <w:u w:val="none"/>
              </w:rPr>
            </w:pPr>
          </w:p>
        </w:tc>
      </w:tr>
      <w:tr w14:paraId="5274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E34D3">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2D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D5522A">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11F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BA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A8A43B">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A35A24">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4E41C5">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750080">
            <w:pPr>
              <w:jc w:val="right"/>
              <w:rPr>
                <w:rFonts w:hint="eastAsia" w:ascii="宋体" w:hAnsi="宋体" w:eastAsia="宋体" w:cs="宋体"/>
                <w:i w:val="0"/>
                <w:iCs w:val="0"/>
                <w:color w:val="000000"/>
                <w:sz w:val="22"/>
                <w:szCs w:val="22"/>
                <w:u w:val="none"/>
              </w:rPr>
            </w:pPr>
          </w:p>
        </w:tc>
      </w:tr>
      <w:tr w14:paraId="1D9C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E6740A">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378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E585D9">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EFB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AB1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FB34C">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A1FDAE">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A0C34">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6A7FB">
            <w:pPr>
              <w:jc w:val="right"/>
              <w:rPr>
                <w:rFonts w:hint="eastAsia" w:ascii="宋体" w:hAnsi="宋体" w:eastAsia="宋体" w:cs="宋体"/>
                <w:i w:val="0"/>
                <w:iCs w:val="0"/>
                <w:color w:val="000000"/>
                <w:sz w:val="22"/>
                <w:szCs w:val="22"/>
                <w:u w:val="none"/>
              </w:rPr>
            </w:pPr>
          </w:p>
        </w:tc>
      </w:tr>
      <w:tr w14:paraId="12A5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8868D7">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194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CB0F03">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2B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BD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E151D6">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7D474">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DB34A4">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06C7FF">
            <w:pPr>
              <w:jc w:val="right"/>
              <w:rPr>
                <w:rFonts w:hint="eastAsia" w:ascii="宋体" w:hAnsi="宋体" w:eastAsia="宋体" w:cs="宋体"/>
                <w:i w:val="0"/>
                <w:iCs w:val="0"/>
                <w:color w:val="000000"/>
                <w:sz w:val="22"/>
                <w:szCs w:val="22"/>
                <w:u w:val="none"/>
              </w:rPr>
            </w:pPr>
          </w:p>
        </w:tc>
      </w:tr>
      <w:tr w14:paraId="7774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3D628E">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25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3A14BC">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57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CF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20296">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62A582">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60A63">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9E57E">
            <w:pPr>
              <w:jc w:val="right"/>
              <w:rPr>
                <w:rFonts w:hint="eastAsia" w:ascii="宋体" w:hAnsi="宋体" w:eastAsia="宋体" w:cs="宋体"/>
                <w:i w:val="0"/>
                <w:iCs w:val="0"/>
                <w:color w:val="000000"/>
                <w:sz w:val="22"/>
                <w:szCs w:val="22"/>
                <w:u w:val="none"/>
              </w:rPr>
            </w:pPr>
          </w:p>
        </w:tc>
      </w:tr>
      <w:tr w14:paraId="7DFF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A92808">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4E3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557C29">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2A4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468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8CECF0">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458884">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C071A9">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35B51">
            <w:pPr>
              <w:jc w:val="right"/>
              <w:rPr>
                <w:rFonts w:hint="eastAsia" w:ascii="宋体" w:hAnsi="宋体" w:eastAsia="宋体" w:cs="宋体"/>
                <w:i w:val="0"/>
                <w:iCs w:val="0"/>
                <w:color w:val="000000"/>
                <w:sz w:val="22"/>
                <w:szCs w:val="22"/>
                <w:u w:val="none"/>
              </w:rPr>
            </w:pPr>
          </w:p>
        </w:tc>
      </w:tr>
      <w:tr w14:paraId="3FC9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31E88E">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AF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3B9744">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8FB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0E9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39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8BB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84A4A6">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939BC9">
            <w:pPr>
              <w:jc w:val="right"/>
              <w:rPr>
                <w:rFonts w:hint="eastAsia" w:ascii="宋体" w:hAnsi="宋体" w:eastAsia="宋体" w:cs="宋体"/>
                <w:i w:val="0"/>
                <w:iCs w:val="0"/>
                <w:color w:val="000000"/>
                <w:sz w:val="22"/>
                <w:szCs w:val="22"/>
                <w:u w:val="none"/>
              </w:rPr>
            </w:pPr>
          </w:p>
        </w:tc>
      </w:tr>
      <w:tr w14:paraId="485F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0949A6">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C46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BF9F6">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A28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94B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72DC02">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67A46">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13493D">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C33E5C">
            <w:pPr>
              <w:jc w:val="right"/>
              <w:rPr>
                <w:rFonts w:hint="eastAsia" w:ascii="宋体" w:hAnsi="宋体" w:eastAsia="宋体" w:cs="宋体"/>
                <w:i w:val="0"/>
                <w:iCs w:val="0"/>
                <w:color w:val="000000"/>
                <w:sz w:val="22"/>
                <w:szCs w:val="22"/>
                <w:u w:val="none"/>
              </w:rPr>
            </w:pPr>
          </w:p>
        </w:tc>
      </w:tr>
      <w:tr w14:paraId="413D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5F685D">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878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7A9BD">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1C2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2A8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7A80EF">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8B963C">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8F648A">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310C3B">
            <w:pPr>
              <w:jc w:val="right"/>
              <w:rPr>
                <w:rFonts w:hint="eastAsia" w:ascii="宋体" w:hAnsi="宋体" w:eastAsia="宋体" w:cs="宋体"/>
                <w:i w:val="0"/>
                <w:iCs w:val="0"/>
                <w:color w:val="000000"/>
                <w:sz w:val="22"/>
                <w:szCs w:val="22"/>
                <w:u w:val="none"/>
              </w:rPr>
            </w:pPr>
          </w:p>
        </w:tc>
      </w:tr>
      <w:tr w14:paraId="6DCE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BA84FB">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DB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4DE522">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D81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2D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FEB8A6">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998FA0">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2F4B14">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2986FB">
            <w:pPr>
              <w:jc w:val="right"/>
              <w:rPr>
                <w:rFonts w:hint="eastAsia" w:ascii="宋体" w:hAnsi="宋体" w:eastAsia="宋体" w:cs="宋体"/>
                <w:i w:val="0"/>
                <w:iCs w:val="0"/>
                <w:color w:val="000000"/>
                <w:sz w:val="22"/>
                <w:szCs w:val="22"/>
                <w:u w:val="none"/>
              </w:rPr>
            </w:pPr>
          </w:p>
        </w:tc>
      </w:tr>
      <w:tr w14:paraId="583C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104E90">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C85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65435E">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939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FB1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7DC17C">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8F0A63">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DB7CFA">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08543C">
            <w:pPr>
              <w:jc w:val="right"/>
              <w:rPr>
                <w:rFonts w:hint="eastAsia" w:ascii="宋体" w:hAnsi="宋体" w:eastAsia="宋体" w:cs="宋体"/>
                <w:i w:val="0"/>
                <w:iCs w:val="0"/>
                <w:color w:val="000000"/>
                <w:sz w:val="22"/>
                <w:szCs w:val="22"/>
                <w:u w:val="none"/>
              </w:rPr>
            </w:pPr>
          </w:p>
        </w:tc>
      </w:tr>
      <w:tr w14:paraId="671E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C062E4">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4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B2B956">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09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E41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E958E6">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71B700">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A7D11">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71C5F">
            <w:pPr>
              <w:jc w:val="right"/>
              <w:rPr>
                <w:rFonts w:hint="eastAsia" w:ascii="宋体" w:hAnsi="宋体" w:eastAsia="宋体" w:cs="宋体"/>
                <w:i w:val="0"/>
                <w:iCs w:val="0"/>
                <w:color w:val="000000"/>
                <w:sz w:val="22"/>
                <w:szCs w:val="22"/>
                <w:u w:val="none"/>
              </w:rPr>
            </w:pPr>
          </w:p>
        </w:tc>
      </w:tr>
      <w:tr w14:paraId="0125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694FB">
            <w:pPr>
              <w:jc w:val="left"/>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8B8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8C8060">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92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DC4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F32E4">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10CA8">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108292">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1BEA3">
            <w:pPr>
              <w:jc w:val="right"/>
              <w:rPr>
                <w:rFonts w:hint="eastAsia" w:ascii="宋体" w:hAnsi="宋体" w:eastAsia="宋体" w:cs="宋体"/>
                <w:i w:val="0"/>
                <w:iCs w:val="0"/>
                <w:color w:val="000000"/>
                <w:sz w:val="22"/>
                <w:szCs w:val="22"/>
                <w:u w:val="none"/>
              </w:rPr>
            </w:pPr>
          </w:p>
        </w:tc>
      </w:tr>
      <w:tr w14:paraId="33E0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50B58E">
            <w:pPr>
              <w:jc w:val="left"/>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99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1B1B2A">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DA5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F9A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A9BA66">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B9D62">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67F02D">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BA65D">
            <w:pPr>
              <w:jc w:val="right"/>
              <w:rPr>
                <w:rFonts w:hint="eastAsia" w:ascii="宋体" w:hAnsi="宋体" w:eastAsia="宋体" w:cs="宋体"/>
                <w:i w:val="0"/>
                <w:iCs w:val="0"/>
                <w:color w:val="000000"/>
                <w:sz w:val="22"/>
                <w:szCs w:val="22"/>
                <w:u w:val="none"/>
              </w:rPr>
            </w:pPr>
          </w:p>
        </w:tc>
      </w:tr>
      <w:tr w14:paraId="3934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14B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056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F3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C5C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AF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6F5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1,893.13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419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1,893.13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2CB053">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DC3425">
            <w:pPr>
              <w:jc w:val="right"/>
              <w:rPr>
                <w:rFonts w:hint="eastAsia" w:ascii="宋体" w:hAnsi="宋体" w:eastAsia="宋体" w:cs="宋体"/>
                <w:i w:val="0"/>
                <w:iCs w:val="0"/>
                <w:color w:val="000000"/>
                <w:sz w:val="22"/>
                <w:szCs w:val="22"/>
                <w:u w:val="none"/>
              </w:rPr>
            </w:pPr>
          </w:p>
        </w:tc>
      </w:tr>
      <w:tr w14:paraId="325A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C4E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FB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C3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441.94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F3F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FC6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D46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19E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232.05</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7776A2">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A80F93">
            <w:pPr>
              <w:jc w:val="right"/>
              <w:rPr>
                <w:rFonts w:hint="eastAsia" w:ascii="宋体" w:hAnsi="宋体" w:eastAsia="宋体" w:cs="宋体"/>
                <w:i w:val="0"/>
                <w:iCs w:val="0"/>
                <w:color w:val="000000"/>
                <w:sz w:val="22"/>
                <w:szCs w:val="22"/>
                <w:u w:val="none"/>
              </w:rPr>
            </w:pPr>
          </w:p>
        </w:tc>
      </w:tr>
      <w:tr w14:paraId="37C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77A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9FF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EF9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441.94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29E8D8">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4E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97B28B">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40C87">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1AB45">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A77251">
            <w:pPr>
              <w:jc w:val="right"/>
              <w:rPr>
                <w:rFonts w:hint="eastAsia" w:ascii="宋体" w:hAnsi="宋体" w:eastAsia="宋体" w:cs="宋体"/>
                <w:i w:val="0"/>
                <w:iCs w:val="0"/>
                <w:color w:val="000000"/>
                <w:sz w:val="22"/>
                <w:szCs w:val="22"/>
                <w:u w:val="none"/>
              </w:rPr>
            </w:pPr>
          </w:p>
        </w:tc>
      </w:tr>
      <w:tr w14:paraId="03D4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8B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46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1E534">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A186F">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1C4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B3150C">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6E951B">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6A0BC">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76469">
            <w:pPr>
              <w:jc w:val="right"/>
              <w:rPr>
                <w:rFonts w:hint="eastAsia" w:ascii="宋体" w:hAnsi="宋体" w:eastAsia="宋体" w:cs="宋体"/>
                <w:i w:val="0"/>
                <w:iCs w:val="0"/>
                <w:color w:val="000000"/>
                <w:sz w:val="22"/>
                <w:szCs w:val="22"/>
                <w:u w:val="none"/>
              </w:rPr>
            </w:pPr>
          </w:p>
        </w:tc>
      </w:tr>
      <w:tr w14:paraId="0872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359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E4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F0C414">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8DEE0">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3E8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0AEB2">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D5808">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5EB67C">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FAC76A">
            <w:pPr>
              <w:jc w:val="right"/>
              <w:rPr>
                <w:rFonts w:hint="eastAsia" w:ascii="宋体" w:hAnsi="宋体" w:eastAsia="宋体" w:cs="宋体"/>
                <w:i w:val="0"/>
                <w:iCs w:val="0"/>
                <w:color w:val="000000"/>
                <w:sz w:val="22"/>
                <w:szCs w:val="22"/>
                <w:u w:val="none"/>
              </w:rPr>
            </w:pPr>
          </w:p>
        </w:tc>
      </w:tr>
      <w:tr w14:paraId="71C7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69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8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83E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CFE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40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088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1C6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7809BB">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2F1C20">
            <w:pPr>
              <w:jc w:val="right"/>
              <w:rPr>
                <w:rFonts w:hint="eastAsia" w:ascii="宋体" w:hAnsi="宋体" w:eastAsia="宋体" w:cs="宋体"/>
                <w:i w:val="0"/>
                <w:iCs w:val="0"/>
                <w:color w:val="000000"/>
                <w:sz w:val="22"/>
                <w:szCs w:val="22"/>
                <w:u w:val="none"/>
              </w:rPr>
            </w:pPr>
          </w:p>
        </w:tc>
      </w:tr>
      <w:tr w14:paraId="51EA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72" w:type="dxa"/>
            <w:gridSpan w:val="8"/>
            <w:tcBorders>
              <w:top w:val="single" w:color="000000" w:sz="4" w:space="0"/>
              <w:left w:val="nil"/>
              <w:bottom w:val="nil"/>
              <w:right w:val="nil"/>
            </w:tcBorders>
            <w:shd w:val="clear" w:color="auto" w:fill="FFFFFF"/>
            <w:noWrap/>
            <w:vAlign w:val="center"/>
          </w:tcPr>
          <w:p w14:paraId="5D857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55" w:type="dxa"/>
            <w:tcBorders>
              <w:top w:val="single" w:color="000000" w:sz="4" w:space="0"/>
              <w:left w:val="nil"/>
              <w:bottom w:val="nil"/>
              <w:right w:val="nil"/>
            </w:tcBorders>
            <w:shd w:val="clear" w:color="auto" w:fill="FFFFFF"/>
            <w:noWrap/>
            <w:vAlign w:val="center"/>
          </w:tcPr>
          <w:p w14:paraId="3B36936E">
            <w:pPr>
              <w:jc w:val="left"/>
              <w:rPr>
                <w:rFonts w:hint="eastAsia" w:ascii="宋体" w:hAnsi="宋体" w:eastAsia="宋体" w:cs="宋体"/>
                <w:i w:val="0"/>
                <w:iCs w:val="0"/>
                <w:color w:val="000000"/>
                <w:sz w:val="20"/>
                <w:szCs w:val="20"/>
                <w:u w:val="none"/>
              </w:rPr>
            </w:pPr>
          </w:p>
        </w:tc>
      </w:tr>
    </w:tbl>
    <w:p w14:paraId="546FE758">
      <w:pPr>
        <w:widowControl/>
        <w:jc w:val="center"/>
        <w:rPr>
          <w:rFonts w:ascii="Times New Roman" w:hAnsi="Times New Roman" w:eastAsia="方正小标宋_GBK" w:cs="Times New Roman"/>
          <w:kern w:val="0"/>
          <w:sz w:val="36"/>
          <w:szCs w:val="36"/>
        </w:rPr>
      </w:pPr>
    </w:p>
    <w:p w14:paraId="5E4F9EC6">
      <w:pPr>
        <w:widowControl/>
        <w:jc w:val="center"/>
        <w:rPr>
          <w:rFonts w:ascii="Times New Roman" w:hAnsi="Times New Roman" w:eastAsia="方正小标宋_GBK" w:cs="Times New Roman"/>
          <w:kern w:val="0"/>
          <w:sz w:val="36"/>
          <w:szCs w:val="36"/>
        </w:rPr>
      </w:pPr>
    </w:p>
    <w:p w14:paraId="36CFA8B5">
      <w:pPr>
        <w:widowControl/>
        <w:jc w:val="center"/>
        <w:rPr>
          <w:rFonts w:ascii="Times New Roman" w:hAnsi="Times New Roman" w:eastAsia="方正小标宋_GBK" w:cs="Times New Roman"/>
          <w:kern w:val="0"/>
          <w:sz w:val="36"/>
          <w:szCs w:val="36"/>
        </w:rPr>
      </w:pPr>
    </w:p>
    <w:p w14:paraId="7D092008">
      <w:pPr>
        <w:widowControl/>
        <w:jc w:val="center"/>
        <w:rPr>
          <w:rFonts w:ascii="Times New Roman" w:hAnsi="Times New Roman" w:eastAsia="方正小标宋_GBK" w:cs="Times New Roman"/>
          <w:kern w:val="0"/>
          <w:sz w:val="36"/>
          <w:szCs w:val="36"/>
        </w:rPr>
      </w:pPr>
    </w:p>
    <w:p w14:paraId="06DB5558">
      <w:pPr>
        <w:widowControl/>
        <w:jc w:val="center"/>
        <w:rPr>
          <w:rFonts w:ascii="Times New Roman" w:hAnsi="Times New Roman" w:eastAsia="方正小标宋_GBK" w:cs="Times New Roman"/>
          <w:kern w:val="0"/>
          <w:sz w:val="36"/>
          <w:szCs w:val="36"/>
        </w:rPr>
      </w:pPr>
    </w:p>
    <w:bookmarkEnd w:id="1"/>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4"/>
        <w:gridCol w:w="330"/>
        <w:gridCol w:w="330"/>
        <w:gridCol w:w="3920"/>
        <w:gridCol w:w="2244"/>
        <w:gridCol w:w="2244"/>
        <w:gridCol w:w="2245"/>
      </w:tblGrid>
      <w:tr w14:paraId="2E2D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814" w:type="dxa"/>
            <w:tcBorders>
              <w:top w:val="nil"/>
              <w:left w:val="nil"/>
              <w:bottom w:val="nil"/>
              <w:right w:val="nil"/>
            </w:tcBorders>
            <w:shd w:val="clear" w:color="auto" w:fill="auto"/>
            <w:noWrap/>
            <w:vAlign w:val="center"/>
          </w:tcPr>
          <w:p w14:paraId="2036972D">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3808FB0B">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2F473EF3">
            <w:pPr>
              <w:rPr>
                <w:rFonts w:hint="eastAsia" w:ascii="宋体" w:hAnsi="宋体" w:eastAsia="宋体" w:cs="宋体"/>
                <w:i w:val="0"/>
                <w:iCs w:val="0"/>
                <w:color w:val="000000"/>
                <w:sz w:val="22"/>
                <w:szCs w:val="22"/>
                <w:u w:val="none"/>
              </w:rPr>
            </w:pPr>
          </w:p>
        </w:tc>
        <w:tc>
          <w:tcPr>
            <w:tcW w:w="6164" w:type="dxa"/>
            <w:gridSpan w:val="2"/>
            <w:tcBorders>
              <w:top w:val="nil"/>
              <w:left w:val="nil"/>
              <w:bottom w:val="nil"/>
              <w:right w:val="nil"/>
            </w:tcBorders>
            <w:shd w:val="clear" w:color="auto" w:fill="auto"/>
            <w:noWrap/>
            <w:vAlign w:val="center"/>
          </w:tcPr>
          <w:p w14:paraId="4EBE59EC">
            <w:pPr>
              <w:ind w:firstLine="600" w:firstLineChars="2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244" w:type="dxa"/>
            <w:tcBorders>
              <w:top w:val="nil"/>
              <w:left w:val="nil"/>
              <w:bottom w:val="nil"/>
              <w:right w:val="nil"/>
            </w:tcBorders>
            <w:shd w:val="clear" w:color="auto" w:fill="auto"/>
            <w:noWrap/>
            <w:vAlign w:val="center"/>
          </w:tcPr>
          <w:p w14:paraId="2ECAB5DC">
            <w:pPr>
              <w:rPr>
                <w:rFonts w:hint="eastAsia" w:ascii="宋体" w:hAnsi="宋体" w:eastAsia="宋体" w:cs="宋体"/>
                <w:i w:val="0"/>
                <w:iCs w:val="0"/>
                <w:color w:val="000000"/>
                <w:sz w:val="22"/>
                <w:szCs w:val="22"/>
                <w:u w:val="none"/>
              </w:rPr>
            </w:pPr>
          </w:p>
        </w:tc>
        <w:tc>
          <w:tcPr>
            <w:tcW w:w="2245" w:type="dxa"/>
            <w:tcBorders>
              <w:top w:val="nil"/>
              <w:left w:val="nil"/>
              <w:bottom w:val="nil"/>
              <w:right w:val="nil"/>
            </w:tcBorders>
            <w:shd w:val="clear" w:color="auto" w:fill="auto"/>
            <w:noWrap/>
            <w:vAlign w:val="center"/>
          </w:tcPr>
          <w:p w14:paraId="6692CBE7">
            <w:pPr>
              <w:rPr>
                <w:rFonts w:hint="eastAsia" w:ascii="宋体" w:hAnsi="宋体" w:eastAsia="宋体" w:cs="宋体"/>
                <w:i w:val="0"/>
                <w:iCs w:val="0"/>
                <w:color w:val="000000"/>
                <w:sz w:val="22"/>
                <w:szCs w:val="22"/>
                <w:u w:val="none"/>
              </w:rPr>
            </w:pPr>
          </w:p>
        </w:tc>
      </w:tr>
      <w:tr w14:paraId="00F7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4" w:type="dxa"/>
            <w:tcBorders>
              <w:top w:val="nil"/>
              <w:left w:val="nil"/>
              <w:bottom w:val="nil"/>
              <w:right w:val="nil"/>
            </w:tcBorders>
            <w:shd w:val="clear" w:color="auto" w:fill="auto"/>
            <w:noWrap/>
            <w:vAlign w:val="center"/>
          </w:tcPr>
          <w:p w14:paraId="00BBD658">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7201E15A">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6070D704">
            <w:pPr>
              <w:rPr>
                <w:rFonts w:hint="eastAsia" w:ascii="宋体" w:hAnsi="宋体" w:eastAsia="宋体" w:cs="宋体"/>
                <w:i w:val="0"/>
                <w:iCs w:val="0"/>
                <w:color w:val="000000"/>
                <w:sz w:val="22"/>
                <w:szCs w:val="22"/>
                <w:u w:val="none"/>
              </w:rPr>
            </w:pPr>
          </w:p>
        </w:tc>
        <w:tc>
          <w:tcPr>
            <w:tcW w:w="3920" w:type="dxa"/>
            <w:tcBorders>
              <w:top w:val="nil"/>
              <w:left w:val="nil"/>
              <w:bottom w:val="nil"/>
              <w:right w:val="nil"/>
            </w:tcBorders>
            <w:shd w:val="clear" w:color="auto" w:fill="auto"/>
            <w:noWrap/>
            <w:vAlign w:val="center"/>
          </w:tcPr>
          <w:p w14:paraId="1C5F00A5">
            <w:pPr>
              <w:rPr>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color="auto" w:fill="auto"/>
            <w:noWrap/>
            <w:vAlign w:val="center"/>
          </w:tcPr>
          <w:p w14:paraId="23A1A8F8">
            <w:pPr>
              <w:rPr>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color="auto" w:fill="auto"/>
            <w:noWrap/>
            <w:vAlign w:val="center"/>
          </w:tcPr>
          <w:p w14:paraId="7838BE26">
            <w:pPr>
              <w:rPr>
                <w:rFonts w:hint="eastAsia" w:ascii="宋体" w:hAnsi="宋体" w:eastAsia="宋体" w:cs="宋体"/>
                <w:i w:val="0"/>
                <w:iCs w:val="0"/>
                <w:color w:val="000000"/>
                <w:sz w:val="22"/>
                <w:szCs w:val="22"/>
                <w:u w:val="none"/>
              </w:rPr>
            </w:pPr>
          </w:p>
        </w:tc>
        <w:tc>
          <w:tcPr>
            <w:tcW w:w="2245" w:type="dxa"/>
            <w:tcBorders>
              <w:top w:val="nil"/>
              <w:left w:val="nil"/>
              <w:bottom w:val="nil"/>
              <w:right w:val="nil"/>
            </w:tcBorders>
            <w:shd w:val="clear" w:color="auto" w:fill="auto"/>
            <w:noWrap/>
            <w:vAlign w:val="bottom"/>
          </w:tcPr>
          <w:p w14:paraId="5B4FB5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E7E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4" w:type="dxa"/>
            <w:tcBorders>
              <w:top w:val="nil"/>
              <w:left w:val="nil"/>
              <w:bottom w:val="single" w:color="000000" w:sz="4" w:space="0"/>
              <w:right w:val="nil"/>
            </w:tcBorders>
            <w:shd w:val="clear" w:color="auto" w:fill="auto"/>
            <w:noWrap/>
            <w:vAlign w:val="bottom"/>
          </w:tcPr>
          <w:p w14:paraId="0D8043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330" w:type="dxa"/>
            <w:tcBorders>
              <w:top w:val="nil"/>
              <w:left w:val="nil"/>
              <w:bottom w:val="single" w:color="000000" w:sz="4" w:space="0"/>
              <w:right w:val="nil"/>
            </w:tcBorders>
            <w:shd w:val="clear" w:color="auto" w:fill="auto"/>
            <w:noWrap/>
            <w:vAlign w:val="center"/>
          </w:tcPr>
          <w:p w14:paraId="1199E53B">
            <w:pPr>
              <w:rPr>
                <w:rFonts w:hint="eastAsia" w:ascii="宋体" w:hAnsi="宋体" w:eastAsia="宋体" w:cs="宋体"/>
                <w:i w:val="0"/>
                <w:iCs w:val="0"/>
                <w:color w:val="000000"/>
                <w:sz w:val="22"/>
                <w:szCs w:val="22"/>
                <w:u w:val="none"/>
              </w:rPr>
            </w:pPr>
          </w:p>
        </w:tc>
        <w:tc>
          <w:tcPr>
            <w:tcW w:w="330" w:type="dxa"/>
            <w:tcBorders>
              <w:top w:val="nil"/>
              <w:left w:val="nil"/>
              <w:bottom w:val="single" w:color="000000" w:sz="4" w:space="0"/>
              <w:right w:val="nil"/>
            </w:tcBorders>
            <w:shd w:val="clear" w:color="auto" w:fill="auto"/>
            <w:noWrap/>
            <w:vAlign w:val="center"/>
          </w:tcPr>
          <w:p w14:paraId="1FC27661">
            <w:pPr>
              <w:rPr>
                <w:rFonts w:hint="eastAsia" w:ascii="宋体" w:hAnsi="宋体" w:eastAsia="宋体" w:cs="宋体"/>
                <w:i w:val="0"/>
                <w:iCs w:val="0"/>
                <w:color w:val="000000"/>
                <w:sz w:val="22"/>
                <w:szCs w:val="22"/>
                <w:u w:val="none"/>
              </w:rPr>
            </w:pPr>
          </w:p>
        </w:tc>
        <w:tc>
          <w:tcPr>
            <w:tcW w:w="3920" w:type="dxa"/>
            <w:tcBorders>
              <w:top w:val="nil"/>
              <w:left w:val="nil"/>
              <w:bottom w:val="single" w:color="000000" w:sz="4" w:space="0"/>
              <w:right w:val="nil"/>
            </w:tcBorders>
            <w:shd w:val="clear" w:color="auto" w:fill="auto"/>
            <w:noWrap/>
            <w:vAlign w:val="center"/>
          </w:tcPr>
          <w:p w14:paraId="7EF463DD">
            <w:pPr>
              <w:rPr>
                <w:rFonts w:hint="eastAsia" w:ascii="宋体" w:hAnsi="宋体" w:eastAsia="宋体" w:cs="宋体"/>
                <w:i w:val="0"/>
                <w:iCs w:val="0"/>
                <w:color w:val="000000"/>
                <w:sz w:val="22"/>
                <w:szCs w:val="22"/>
                <w:u w:val="none"/>
              </w:rPr>
            </w:pPr>
          </w:p>
        </w:tc>
        <w:tc>
          <w:tcPr>
            <w:tcW w:w="2244" w:type="dxa"/>
            <w:tcBorders>
              <w:top w:val="nil"/>
              <w:left w:val="nil"/>
              <w:bottom w:val="single" w:color="000000" w:sz="4" w:space="0"/>
              <w:right w:val="nil"/>
            </w:tcBorders>
            <w:shd w:val="clear" w:color="auto" w:fill="auto"/>
            <w:noWrap/>
            <w:vAlign w:val="center"/>
          </w:tcPr>
          <w:p w14:paraId="3C8EEC89">
            <w:pPr>
              <w:rPr>
                <w:rFonts w:hint="eastAsia" w:ascii="宋体" w:hAnsi="宋体" w:eastAsia="宋体" w:cs="宋体"/>
                <w:i w:val="0"/>
                <w:iCs w:val="0"/>
                <w:color w:val="000000"/>
                <w:sz w:val="22"/>
                <w:szCs w:val="22"/>
                <w:u w:val="none"/>
              </w:rPr>
            </w:pPr>
          </w:p>
        </w:tc>
        <w:tc>
          <w:tcPr>
            <w:tcW w:w="2244" w:type="dxa"/>
            <w:tcBorders>
              <w:top w:val="nil"/>
              <w:left w:val="nil"/>
              <w:bottom w:val="single" w:color="000000" w:sz="4" w:space="0"/>
              <w:right w:val="nil"/>
            </w:tcBorders>
            <w:shd w:val="clear" w:color="auto" w:fill="auto"/>
            <w:noWrap/>
            <w:vAlign w:val="center"/>
          </w:tcPr>
          <w:p w14:paraId="7F64FDBB">
            <w:pPr>
              <w:rPr>
                <w:rFonts w:hint="eastAsia" w:ascii="宋体" w:hAnsi="宋体" w:eastAsia="宋体" w:cs="宋体"/>
                <w:i w:val="0"/>
                <w:iCs w:val="0"/>
                <w:color w:val="000000"/>
                <w:sz w:val="22"/>
                <w:szCs w:val="22"/>
                <w:u w:val="none"/>
              </w:rPr>
            </w:pPr>
          </w:p>
        </w:tc>
        <w:tc>
          <w:tcPr>
            <w:tcW w:w="2245" w:type="dxa"/>
            <w:tcBorders>
              <w:top w:val="nil"/>
              <w:left w:val="nil"/>
              <w:bottom w:val="single" w:color="000000" w:sz="4" w:space="0"/>
              <w:right w:val="nil"/>
            </w:tcBorders>
            <w:shd w:val="clear" w:color="auto" w:fill="auto"/>
            <w:noWrap/>
            <w:vAlign w:val="bottom"/>
          </w:tcPr>
          <w:p w14:paraId="5BDC89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395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1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3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F3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DEE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AA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39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41D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4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3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77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FA7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EFD92">
            <w:pPr>
              <w:jc w:val="center"/>
              <w:rPr>
                <w:rFonts w:hint="eastAsia" w:ascii="宋体" w:hAnsi="宋体" w:eastAsia="宋体" w:cs="宋体"/>
                <w:i w:val="0"/>
                <w:iCs w:val="0"/>
                <w:color w:val="000000"/>
                <w:sz w:val="22"/>
                <w:szCs w:val="22"/>
                <w:u w:val="none"/>
              </w:rPr>
            </w:pPr>
          </w:p>
        </w:tc>
        <w:tc>
          <w:tcPr>
            <w:tcW w:w="3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666F96">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C4DF2">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70AAA">
            <w:pPr>
              <w:jc w:val="center"/>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5F1A2">
            <w:pPr>
              <w:jc w:val="center"/>
              <w:rPr>
                <w:rFonts w:hint="eastAsia" w:ascii="宋体" w:hAnsi="宋体" w:eastAsia="宋体" w:cs="宋体"/>
                <w:i w:val="0"/>
                <w:iCs w:val="0"/>
                <w:color w:val="000000"/>
                <w:sz w:val="22"/>
                <w:szCs w:val="22"/>
                <w:u w:val="none"/>
              </w:rPr>
            </w:pPr>
          </w:p>
        </w:tc>
      </w:tr>
      <w:tr w14:paraId="1294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42198">
            <w:pPr>
              <w:jc w:val="center"/>
              <w:rPr>
                <w:rFonts w:hint="eastAsia" w:ascii="宋体" w:hAnsi="宋体" w:eastAsia="宋体" w:cs="宋体"/>
                <w:i w:val="0"/>
                <w:iCs w:val="0"/>
                <w:color w:val="000000"/>
                <w:sz w:val="22"/>
                <w:szCs w:val="22"/>
                <w:u w:val="none"/>
              </w:rPr>
            </w:pPr>
          </w:p>
        </w:tc>
        <w:tc>
          <w:tcPr>
            <w:tcW w:w="3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D43AE5">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CA929">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9E110">
            <w:pPr>
              <w:jc w:val="center"/>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D2510">
            <w:pPr>
              <w:jc w:val="center"/>
              <w:rPr>
                <w:rFonts w:hint="eastAsia" w:ascii="宋体" w:hAnsi="宋体" w:eastAsia="宋体" w:cs="宋体"/>
                <w:i w:val="0"/>
                <w:iCs w:val="0"/>
                <w:color w:val="000000"/>
                <w:sz w:val="22"/>
                <w:szCs w:val="22"/>
                <w:u w:val="none"/>
              </w:rPr>
            </w:pPr>
          </w:p>
        </w:tc>
      </w:tr>
      <w:tr w14:paraId="6C8E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BA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71B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81A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E61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70B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810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3821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1,893.13</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CD71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1,054.97</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E2B1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838.16</w:t>
            </w:r>
          </w:p>
        </w:tc>
      </w:tr>
      <w:tr w14:paraId="2108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A9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B35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61A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47C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E12AE">
            <w:pPr>
              <w:jc w:val="right"/>
              <w:rPr>
                <w:rFonts w:hint="eastAsia" w:ascii="宋体" w:hAnsi="宋体" w:eastAsia="宋体" w:cs="宋体"/>
                <w:i w:val="0"/>
                <w:iCs w:val="0"/>
                <w:color w:val="000000"/>
                <w:sz w:val="22"/>
                <w:szCs w:val="22"/>
                <w:u w:val="none"/>
              </w:rPr>
            </w:pPr>
          </w:p>
        </w:tc>
      </w:tr>
      <w:tr w14:paraId="17AC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859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A8E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1BC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D799A6">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5C2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r>
      <w:tr w14:paraId="30A0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7F0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5ED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BF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ACA2C">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0B2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r>
      <w:tr w14:paraId="490A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D26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4BB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7CF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1E0B17">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A0C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6D7D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EF8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7C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A30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1F9A10">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EC4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r>
      <w:tr w14:paraId="6846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349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5CE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EF9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D76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F81776">
            <w:pPr>
              <w:jc w:val="right"/>
              <w:rPr>
                <w:rFonts w:hint="eastAsia" w:ascii="宋体" w:hAnsi="宋体" w:eastAsia="宋体" w:cs="宋体"/>
                <w:i w:val="0"/>
                <w:iCs w:val="0"/>
                <w:color w:val="000000"/>
                <w:sz w:val="22"/>
                <w:szCs w:val="22"/>
                <w:u w:val="none"/>
              </w:rPr>
            </w:pPr>
          </w:p>
        </w:tc>
      </w:tr>
      <w:tr w14:paraId="314D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0B9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17B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D28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B88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E9450">
            <w:pPr>
              <w:jc w:val="right"/>
              <w:rPr>
                <w:rFonts w:hint="eastAsia" w:ascii="宋体" w:hAnsi="宋体" w:eastAsia="宋体" w:cs="宋体"/>
                <w:i w:val="0"/>
                <w:iCs w:val="0"/>
                <w:color w:val="000000"/>
                <w:sz w:val="22"/>
                <w:szCs w:val="22"/>
                <w:u w:val="none"/>
              </w:rPr>
            </w:pPr>
          </w:p>
        </w:tc>
      </w:tr>
      <w:tr w14:paraId="2808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396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C9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3A5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955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EF8122">
            <w:pPr>
              <w:jc w:val="right"/>
              <w:rPr>
                <w:rFonts w:hint="eastAsia" w:ascii="宋体" w:hAnsi="宋体" w:eastAsia="宋体" w:cs="宋体"/>
                <w:i w:val="0"/>
                <w:iCs w:val="0"/>
                <w:color w:val="000000"/>
                <w:sz w:val="22"/>
                <w:szCs w:val="22"/>
                <w:u w:val="none"/>
              </w:rPr>
            </w:pPr>
          </w:p>
        </w:tc>
      </w:tr>
      <w:tr w14:paraId="4C53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7E5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F7C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D47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F6E5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A2BE11">
            <w:pPr>
              <w:jc w:val="right"/>
              <w:rPr>
                <w:rFonts w:hint="eastAsia" w:ascii="宋体" w:hAnsi="宋体" w:eastAsia="宋体" w:cs="宋体"/>
                <w:i w:val="0"/>
                <w:iCs w:val="0"/>
                <w:color w:val="000000"/>
                <w:sz w:val="22"/>
                <w:szCs w:val="22"/>
                <w:u w:val="none"/>
              </w:rPr>
            </w:pPr>
          </w:p>
        </w:tc>
      </w:tr>
      <w:tr w14:paraId="192D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4AB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3BA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A3B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38D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3A26C4">
            <w:pPr>
              <w:jc w:val="right"/>
              <w:rPr>
                <w:rFonts w:hint="eastAsia" w:ascii="宋体" w:hAnsi="宋体" w:eastAsia="宋体" w:cs="宋体"/>
                <w:i w:val="0"/>
                <w:iCs w:val="0"/>
                <w:color w:val="000000"/>
                <w:sz w:val="22"/>
                <w:szCs w:val="22"/>
                <w:u w:val="none"/>
              </w:rPr>
            </w:pPr>
          </w:p>
        </w:tc>
      </w:tr>
      <w:tr w14:paraId="00CA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C5C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A95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91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950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89C369">
            <w:pPr>
              <w:jc w:val="right"/>
              <w:rPr>
                <w:rFonts w:hint="eastAsia" w:ascii="宋体" w:hAnsi="宋体" w:eastAsia="宋体" w:cs="宋体"/>
                <w:i w:val="0"/>
                <w:iCs w:val="0"/>
                <w:color w:val="000000"/>
                <w:sz w:val="22"/>
                <w:szCs w:val="22"/>
                <w:u w:val="none"/>
              </w:rPr>
            </w:pPr>
          </w:p>
        </w:tc>
      </w:tr>
      <w:tr w14:paraId="5636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27" w:type="dxa"/>
            <w:gridSpan w:val="7"/>
            <w:tcBorders>
              <w:top w:val="single" w:color="000000" w:sz="4" w:space="0"/>
              <w:left w:val="nil"/>
              <w:bottom w:val="nil"/>
              <w:right w:val="nil"/>
            </w:tcBorders>
            <w:shd w:val="clear" w:color="auto" w:fill="FFFFFF"/>
            <w:noWrap/>
            <w:vAlign w:val="center"/>
          </w:tcPr>
          <w:p w14:paraId="5FA7B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17860262">
      <w:pPr>
        <w:widowControl/>
        <w:jc w:val="left"/>
        <w:rPr>
          <w:rFonts w:ascii="Times New Roman" w:hAnsi="Times New Roman" w:eastAsia="仿宋_GB2312" w:cs="Times New Roman"/>
          <w:bCs/>
          <w:kern w:val="0"/>
          <w:szCs w:val="21"/>
        </w:rPr>
      </w:pPr>
    </w:p>
    <w:p w14:paraId="28E86B2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14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6"/>
        <w:gridCol w:w="2189"/>
        <w:gridCol w:w="927"/>
        <w:gridCol w:w="734"/>
        <w:gridCol w:w="2149"/>
        <w:gridCol w:w="828"/>
        <w:gridCol w:w="726"/>
        <w:gridCol w:w="2664"/>
        <w:gridCol w:w="1466"/>
      </w:tblGrid>
      <w:tr w14:paraId="6FD0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tcBorders>
              <w:top w:val="nil"/>
              <w:left w:val="nil"/>
              <w:bottom w:val="nil"/>
              <w:right w:val="nil"/>
            </w:tcBorders>
            <w:shd w:val="clear" w:color="auto" w:fill="auto"/>
            <w:noWrap/>
            <w:vAlign w:val="center"/>
          </w:tcPr>
          <w:p w14:paraId="7B5FC5AF">
            <w:pPr>
              <w:rPr>
                <w:rFonts w:hint="eastAsia" w:ascii="宋体" w:hAnsi="宋体" w:eastAsia="宋体" w:cs="宋体"/>
                <w:i w:val="0"/>
                <w:iCs w:val="0"/>
                <w:color w:val="000000"/>
                <w:sz w:val="22"/>
                <w:szCs w:val="22"/>
                <w:u w:val="none"/>
              </w:rPr>
            </w:pPr>
          </w:p>
        </w:tc>
        <w:tc>
          <w:tcPr>
            <w:tcW w:w="10217" w:type="dxa"/>
            <w:gridSpan w:val="7"/>
            <w:tcBorders>
              <w:top w:val="nil"/>
              <w:left w:val="nil"/>
              <w:bottom w:val="nil"/>
              <w:right w:val="nil"/>
            </w:tcBorders>
            <w:shd w:val="clear" w:color="auto" w:fill="auto"/>
            <w:noWrap/>
            <w:vAlign w:val="center"/>
          </w:tcPr>
          <w:p w14:paraId="4D8FB00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1466" w:type="dxa"/>
            <w:tcBorders>
              <w:top w:val="nil"/>
              <w:left w:val="nil"/>
              <w:bottom w:val="nil"/>
              <w:right w:val="nil"/>
            </w:tcBorders>
            <w:shd w:val="clear" w:color="auto" w:fill="auto"/>
            <w:noWrap/>
            <w:vAlign w:val="center"/>
          </w:tcPr>
          <w:p w14:paraId="23EE3CE1">
            <w:pPr>
              <w:rPr>
                <w:rFonts w:hint="eastAsia" w:ascii="宋体" w:hAnsi="宋体" w:eastAsia="宋体" w:cs="宋体"/>
                <w:i w:val="0"/>
                <w:iCs w:val="0"/>
                <w:color w:val="000000"/>
                <w:sz w:val="22"/>
                <w:szCs w:val="22"/>
                <w:u w:val="none"/>
              </w:rPr>
            </w:pPr>
          </w:p>
        </w:tc>
      </w:tr>
      <w:tr w14:paraId="3EB6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6" w:type="dxa"/>
            <w:tcBorders>
              <w:top w:val="nil"/>
              <w:left w:val="nil"/>
              <w:bottom w:val="nil"/>
              <w:right w:val="nil"/>
            </w:tcBorders>
            <w:shd w:val="clear" w:color="auto" w:fill="auto"/>
            <w:noWrap/>
            <w:vAlign w:val="center"/>
          </w:tcPr>
          <w:p w14:paraId="6855A49F">
            <w:pPr>
              <w:rPr>
                <w:rFonts w:hint="eastAsia" w:ascii="宋体" w:hAnsi="宋体" w:eastAsia="宋体" w:cs="宋体"/>
                <w:i w:val="0"/>
                <w:iCs w:val="0"/>
                <w:color w:val="000000"/>
                <w:sz w:val="22"/>
                <w:szCs w:val="22"/>
                <w:u w:val="none"/>
              </w:rPr>
            </w:pPr>
          </w:p>
        </w:tc>
        <w:tc>
          <w:tcPr>
            <w:tcW w:w="2189" w:type="dxa"/>
            <w:tcBorders>
              <w:top w:val="nil"/>
              <w:left w:val="nil"/>
              <w:bottom w:val="nil"/>
              <w:right w:val="nil"/>
            </w:tcBorders>
            <w:shd w:val="clear" w:color="auto" w:fill="auto"/>
            <w:noWrap/>
            <w:vAlign w:val="center"/>
          </w:tcPr>
          <w:p w14:paraId="6C910BF8">
            <w:pPr>
              <w:rPr>
                <w:rFonts w:hint="eastAsia" w:ascii="宋体" w:hAnsi="宋体" w:eastAsia="宋体" w:cs="宋体"/>
                <w:i w:val="0"/>
                <w:iCs w:val="0"/>
                <w:color w:val="000000"/>
                <w:sz w:val="22"/>
                <w:szCs w:val="22"/>
                <w:u w:val="none"/>
              </w:rPr>
            </w:pPr>
          </w:p>
        </w:tc>
        <w:tc>
          <w:tcPr>
            <w:tcW w:w="927" w:type="dxa"/>
            <w:tcBorders>
              <w:top w:val="nil"/>
              <w:left w:val="nil"/>
              <w:bottom w:val="nil"/>
              <w:right w:val="nil"/>
            </w:tcBorders>
            <w:shd w:val="clear" w:color="auto" w:fill="auto"/>
            <w:noWrap/>
            <w:vAlign w:val="center"/>
          </w:tcPr>
          <w:p w14:paraId="7E58BF64">
            <w:pPr>
              <w:rPr>
                <w:rFonts w:hint="eastAsia" w:ascii="宋体" w:hAnsi="宋体" w:eastAsia="宋体" w:cs="宋体"/>
                <w:i w:val="0"/>
                <w:iCs w:val="0"/>
                <w:color w:val="000000"/>
                <w:sz w:val="22"/>
                <w:szCs w:val="22"/>
                <w:u w:val="none"/>
              </w:rPr>
            </w:pPr>
          </w:p>
        </w:tc>
        <w:tc>
          <w:tcPr>
            <w:tcW w:w="734" w:type="dxa"/>
            <w:tcBorders>
              <w:top w:val="nil"/>
              <w:left w:val="nil"/>
              <w:bottom w:val="nil"/>
              <w:right w:val="nil"/>
            </w:tcBorders>
            <w:shd w:val="clear" w:color="auto" w:fill="auto"/>
            <w:noWrap/>
            <w:vAlign w:val="center"/>
          </w:tcPr>
          <w:p w14:paraId="0C16C8DA">
            <w:pPr>
              <w:rPr>
                <w:rFonts w:hint="eastAsia" w:ascii="宋体" w:hAnsi="宋体" w:eastAsia="宋体" w:cs="宋体"/>
                <w:i w:val="0"/>
                <w:iCs w:val="0"/>
                <w:color w:val="000000"/>
                <w:sz w:val="22"/>
                <w:szCs w:val="22"/>
                <w:u w:val="none"/>
              </w:rPr>
            </w:pPr>
          </w:p>
        </w:tc>
        <w:tc>
          <w:tcPr>
            <w:tcW w:w="2149" w:type="dxa"/>
            <w:tcBorders>
              <w:top w:val="nil"/>
              <w:left w:val="nil"/>
              <w:bottom w:val="nil"/>
              <w:right w:val="nil"/>
            </w:tcBorders>
            <w:shd w:val="clear" w:color="auto" w:fill="auto"/>
            <w:noWrap/>
            <w:vAlign w:val="center"/>
          </w:tcPr>
          <w:p w14:paraId="6BDC6025">
            <w:pPr>
              <w:rPr>
                <w:rFonts w:hint="eastAsia" w:ascii="宋体" w:hAnsi="宋体" w:eastAsia="宋体" w:cs="宋体"/>
                <w:i w:val="0"/>
                <w:iCs w:val="0"/>
                <w:color w:val="000000"/>
                <w:sz w:val="22"/>
                <w:szCs w:val="22"/>
                <w:u w:val="none"/>
              </w:rPr>
            </w:pPr>
          </w:p>
        </w:tc>
        <w:tc>
          <w:tcPr>
            <w:tcW w:w="828" w:type="dxa"/>
            <w:tcBorders>
              <w:top w:val="nil"/>
              <w:left w:val="nil"/>
              <w:bottom w:val="nil"/>
              <w:right w:val="nil"/>
            </w:tcBorders>
            <w:shd w:val="clear" w:color="auto" w:fill="auto"/>
            <w:noWrap/>
            <w:vAlign w:val="center"/>
          </w:tcPr>
          <w:p w14:paraId="75EA315F">
            <w:pPr>
              <w:rPr>
                <w:rFonts w:hint="eastAsia" w:ascii="宋体" w:hAnsi="宋体" w:eastAsia="宋体" w:cs="宋体"/>
                <w:i w:val="0"/>
                <w:iCs w:val="0"/>
                <w:color w:val="000000"/>
                <w:sz w:val="22"/>
                <w:szCs w:val="22"/>
                <w:u w:val="none"/>
              </w:rPr>
            </w:pPr>
          </w:p>
        </w:tc>
        <w:tc>
          <w:tcPr>
            <w:tcW w:w="726" w:type="dxa"/>
            <w:tcBorders>
              <w:top w:val="nil"/>
              <w:left w:val="nil"/>
              <w:bottom w:val="nil"/>
              <w:right w:val="nil"/>
            </w:tcBorders>
            <w:shd w:val="clear" w:color="auto" w:fill="auto"/>
            <w:noWrap/>
            <w:vAlign w:val="center"/>
          </w:tcPr>
          <w:p w14:paraId="66DDDDC4">
            <w:pPr>
              <w:rPr>
                <w:rFonts w:hint="eastAsia" w:ascii="宋体" w:hAnsi="宋体" w:eastAsia="宋体" w:cs="宋体"/>
                <w:i w:val="0"/>
                <w:iCs w:val="0"/>
                <w:color w:val="000000"/>
                <w:sz w:val="22"/>
                <w:szCs w:val="22"/>
                <w:u w:val="none"/>
              </w:rPr>
            </w:pPr>
          </w:p>
        </w:tc>
        <w:tc>
          <w:tcPr>
            <w:tcW w:w="2664" w:type="dxa"/>
            <w:tcBorders>
              <w:top w:val="nil"/>
              <w:left w:val="nil"/>
              <w:bottom w:val="nil"/>
              <w:right w:val="nil"/>
            </w:tcBorders>
            <w:shd w:val="clear" w:color="auto" w:fill="auto"/>
            <w:noWrap/>
            <w:vAlign w:val="center"/>
          </w:tcPr>
          <w:p w14:paraId="289172C6">
            <w:pPr>
              <w:rPr>
                <w:rFonts w:hint="eastAsia" w:ascii="宋体" w:hAnsi="宋体" w:eastAsia="宋体" w:cs="宋体"/>
                <w:i w:val="0"/>
                <w:iCs w:val="0"/>
                <w:color w:val="000000"/>
                <w:sz w:val="22"/>
                <w:szCs w:val="22"/>
                <w:u w:val="none"/>
              </w:rPr>
            </w:pPr>
          </w:p>
        </w:tc>
        <w:tc>
          <w:tcPr>
            <w:tcW w:w="1466" w:type="dxa"/>
            <w:tcBorders>
              <w:top w:val="nil"/>
              <w:left w:val="nil"/>
              <w:bottom w:val="nil"/>
              <w:right w:val="nil"/>
            </w:tcBorders>
            <w:shd w:val="clear" w:color="auto" w:fill="auto"/>
            <w:noWrap/>
            <w:vAlign w:val="bottom"/>
          </w:tcPr>
          <w:p w14:paraId="4C7F83C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4BF8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526" w:type="dxa"/>
            <w:tcBorders>
              <w:top w:val="nil"/>
              <w:left w:val="nil"/>
              <w:bottom w:val="single" w:color="000000" w:sz="4" w:space="0"/>
              <w:right w:val="nil"/>
            </w:tcBorders>
            <w:shd w:val="clear" w:color="auto" w:fill="auto"/>
            <w:noWrap/>
            <w:vAlign w:val="bottom"/>
          </w:tcPr>
          <w:p w14:paraId="3919A2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单位：湖南省纤维检测研究院</w:t>
            </w:r>
          </w:p>
        </w:tc>
        <w:tc>
          <w:tcPr>
            <w:tcW w:w="2189" w:type="dxa"/>
            <w:tcBorders>
              <w:top w:val="nil"/>
              <w:left w:val="nil"/>
              <w:bottom w:val="single" w:color="000000" w:sz="4" w:space="0"/>
              <w:right w:val="nil"/>
            </w:tcBorders>
            <w:shd w:val="clear" w:color="auto" w:fill="auto"/>
            <w:noWrap/>
            <w:vAlign w:val="center"/>
          </w:tcPr>
          <w:p w14:paraId="39CD61A9">
            <w:pPr>
              <w:rPr>
                <w:rFonts w:hint="eastAsia" w:ascii="宋体" w:hAnsi="宋体" w:eastAsia="宋体" w:cs="宋体"/>
                <w:i w:val="0"/>
                <w:iCs w:val="0"/>
                <w:color w:val="000000"/>
                <w:sz w:val="22"/>
                <w:szCs w:val="22"/>
                <w:u w:val="none"/>
              </w:rPr>
            </w:pPr>
          </w:p>
        </w:tc>
        <w:tc>
          <w:tcPr>
            <w:tcW w:w="927" w:type="dxa"/>
            <w:tcBorders>
              <w:top w:val="nil"/>
              <w:left w:val="nil"/>
              <w:bottom w:val="single" w:color="000000" w:sz="4" w:space="0"/>
              <w:right w:val="nil"/>
            </w:tcBorders>
            <w:shd w:val="clear" w:color="auto" w:fill="auto"/>
            <w:noWrap/>
            <w:vAlign w:val="center"/>
          </w:tcPr>
          <w:p w14:paraId="5EBA9041">
            <w:pPr>
              <w:rPr>
                <w:rFonts w:hint="eastAsia" w:ascii="宋体" w:hAnsi="宋体" w:eastAsia="宋体" w:cs="宋体"/>
                <w:i w:val="0"/>
                <w:iCs w:val="0"/>
                <w:color w:val="000000"/>
                <w:sz w:val="22"/>
                <w:szCs w:val="22"/>
                <w:u w:val="none"/>
              </w:rPr>
            </w:pPr>
          </w:p>
        </w:tc>
        <w:tc>
          <w:tcPr>
            <w:tcW w:w="734" w:type="dxa"/>
            <w:tcBorders>
              <w:top w:val="nil"/>
              <w:left w:val="nil"/>
              <w:bottom w:val="single" w:color="000000" w:sz="4" w:space="0"/>
              <w:right w:val="nil"/>
            </w:tcBorders>
            <w:shd w:val="clear" w:color="auto" w:fill="auto"/>
            <w:noWrap/>
            <w:vAlign w:val="center"/>
          </w:tcPr>
          <w:p w14:paraId="2C2EE4DC">
            <w:pPr>
              <w:rPr>
                <w:rFonts w:hint="eastAsia" w:ascii="宋体" w:hAnsi="宋体" w:eastAsia="宋体" w:cs="宋体"/>
                <w:i w:val="0"/>
                <w:iCs w:val="0"/>
                <w:color w:val="000000"/>
                <w:sz w:val="22"/>
                <w:szCs w:val="22"/>
                <w:u w:val="none"/>
              </w:rPr>
            </w:pPr>
          </w:p>
        </w:tc>
        <w:tc>
          <w:tcPr>
            <w:tcW w:w="2149" w:type="dxa"/>
            <w:tcBorders>
              <w:top w:val="nil"/>
              <w:left w:val="nil"/>
              <w:bottom w:val="single" w:color="000000" w:sz="4" w:space="0"/>
              <w:right w:val="nil"/>
            </w:tcBorders>
            <w:shd w:val="clear" w:color="auto" w:fill="auto"/>
            <w:noWrap/>
            <w:vAlign w:val="center"/>
          </w:tcPr>
          <w:p w14:paraId="0C44415A">
            <w:pPr>
              <w:rPr>
                <w:rFonts w:hint="eastAsia" w:ascii="宋体" w:hAnsi="宋体" w:eastAsia="宋体" w:cs="宋体"/>
                <w:i w:val="0"/>
                <w:iCs w:val="0"/>
                <w:color w:val="000000"/>
                <w:sz w:val="22"/>
                <w:szCs w:val="22"/>
                <w:u w:val="none"/>
              </w:rPr>
            </w:pPr>
          </w:p>
        </w:tc>
        <w:tc>
          <w:tcPr>
            <w:tcW w:w="828" w:type="dxa"/>
            <w:tcBorders>
              <w:top w:val="nil"/>
              <w:left w:val="nil"/>
              <w:bottom w:val="single" w:color="000000" w:sz="4" w:space="0"/>
              <w:right w:val="nil"/>
            </w:tcBorders>
            <w:shd w:val="clear" w:color="auto" w:fill="auto"/>
            <w:noWrap/>
            <w:vAlign w:val="center"/>
          </w:tcPr>
          <w:p w14:paraId="61850BEA">
            <w:pPr>
              <w:rPr>
                <w:rFonts w:hint="eastAsia" w:ascii="宋体" w:hAnsi="宋体" w:eastAsia="宋体" w:cs="宋体"/>
                <w:i w:val="0"/>
                <w:iCs w:val="0"/>
                <w:color w:val="000000"/>
                <w:sz w:val="22"/>
                <w:szCs w:val="22"/>
                <w:u w:val="none"/>
              </w:rPr>
            </w:pPr>
          </w:p>
        </w:tc>
        <w:tc>
          <w:tcPr>
            <w:tcW w:w="726" w:type="dxa"/>
            <w:tcBorders>
              <w:top w:val="nil"/>
              <w:left w:val="nil"/>
              <w:bottom w:val="single" w:color="000000" w:sz="4" w:space="0"/>
              <w:right w:val="nil"/>
            </w:tcBorders>
            <w:shd w:val="clear" w:color="auto" w:fill="auto"/>
            <w:noWrap/>
            <w:vAlign w:val="center"/>
          </w:tcPr>
          <w:p w14:paraId="6CA90103">
            <w:pP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nil"/>
            </w:tcBorders>
            <w:shd w:val="clear" w:color="auto" w:fill="auto"/>
            <w:noWrap/>
            <w:vAlign w:val="center"/>
          </w:tcPr>
          <w:p w14:paraId="281BE81A">
            <w:pPr>
              <w:rPr>
                <w:rFonts w:hint="eastAsia" w:ascii="宋体" w:hAnsi="宋体" w:eastAsia="宋体" w:cs="宋体"/>
                <w:i w:val="0"/>
                <w:iCs w:val="0"/>
                <w:color w:val="000000"/>
                <w:sz w:val="22"/>
                <w:szCs w:val="22"/>
                <w:u w:val="none"/>
              </w:rPr>
            </w:pPr>
          </w:p>
        </w:tc>
        <w:tc>
          <w:tcPr>
            <w:tcW w:w="1466" w:type="dxa"/>
            <w:tcBorders>
              <w:top w:val="nil"/>
              <w:left w:val="nil"/>
              <w:bottom w:val="single" w:color="000000" w:sz="4" w:space="0"/>
              <w:right w:val="nil"/>
            </w:tcBorders>
            <w:shd w:val="clear" w:color="auto" w:fill="auto"/>
            <w:noWrap/>
            <w:vAlign w:val="bottom"/>
          </w:tcPr>
          <w:p w14:paraId="32F3386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F0E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59F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BD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512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61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7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89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A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8E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DB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64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E3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5C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DD7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340A9">
            <w:pPr>
              <w:jc w:val="center"/>
              <w:rPr>
                <w:rFonts w:hint="eastAsia" w:ascii="宋体" w:hAnsi="宋体" w:eastAsia="宋体" w:cs="宋体"/>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A2033">
            <w:pPr>
              <w:jc w:val="center"/>
              <w:rPr>
                <w:rFonts w:hint="eastAsia" w:ascii="宋体" w:hAnsi="宋体" w:eastAsia="宋体" w:cs="宋体"/>
                <w:i w:val="0"/>
                <w:iCs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51095">
            <w:pPr>
              <w:jc w:val="center"/>
              <w:rPr>
                <w:rFonts w:hint="eastAsia" w:ascii="宋体" w:hAnsi="宋体" w:eastAsia="宋体" w:cs="宋体"/>
                <w:i w:val="0"/>
                <w:iCs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EBABE">
            <w:pPr>
              <w:jc w:val="center"/>
              <w:rPr>
                <w:rFonts w:hint="eastAsia" w:ascii="宋体" w:hAnsi="宋体" w:eastAsia="宋体" w:cs="宋体"/>
                <w:i w:val="0"/>
                <w:iCs w:val="0"/>
                <w:color w:val="000000"/>
                <w:sz w:val="22"/>
                <w:szCs w:val="22"/>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30AEA">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4A02D">
            <w:pPr>
              <w:jc w:val="center"/>
              <w:rPr>
                <w:rFonts w:hint="eastAsia" w:ascii="宋体" w:hAnsi="宋体" w:eastAsia="宋体" w:cs="宋体"/>
                <w:i w:val="0"/>
                <w:iCs w:val="0"/>
                <w:color w:val="000000"/>
                <w:sz w:val="22"/>
                <w:szCs w:val="22"/>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9DD0A">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D5E09">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4A4AC">
            <w:pPr>
              <w:jc w:val="center"/>
              <w:rPr>
                <w:rFonts w:hint="eastAsia" w:ascii="宋体" w:hAnsi="宋体" w:eastAsia="宋体" w:cs="宋体"/>
                <w:i w:val="0"/>
                <w:iCs w:val="0"/>
                <w:color w:val="000000"/>
                <w:sz w:val="22"/>
                <w:szCs w:val="22"/>
                <w:u w:val="none"/>
              </w:rPr>
            </w:pPr>
          </w:p>
        </w:tc>
      </w:tr>
      <w:tr w14:paraId="60DC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48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F73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E6D7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754.20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DE4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A73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AF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DAE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CEF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5F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3B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716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3C0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E26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171.69</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C6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F6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A95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DC9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31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B72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C2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2F7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C6F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0E5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138.79</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31E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90A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3D7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A37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CED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FF1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9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84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174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59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174.15</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C2B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6E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8A6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073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AD1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051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r>
      <w:tr w14:paraId="4458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824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12C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DD4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6CB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0B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034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6A3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0E1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6D3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2E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C3D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8E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844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932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46B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08B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0F4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575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2AD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r>
      <w:tr w14:paraId="57DF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DC7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B5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1E6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D9A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27A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534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97.15</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4FD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C8C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E35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21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3A6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25F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C62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E7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90F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2BC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9E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F78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82A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19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FE8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B7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8DF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14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B1D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FFA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B8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D27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683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11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6B6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F26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15AB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E68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ED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B2C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611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64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69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A8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AAF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469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106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422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83B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55E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D5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D7D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A29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1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596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56C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1D0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D17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916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506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02F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51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50F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D9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D2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0EB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AA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E0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7E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E5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D50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95C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272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D2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885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DFF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09A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CFC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FB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07A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AC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FA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A0E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A7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31E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296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540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2B7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05C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220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3DB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EF6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9A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3E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061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552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113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A23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ED5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6D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2ED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2A6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317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F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2CE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C53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BE2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54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FA3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D67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2E0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BFA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9AD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59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232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9DC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680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8BC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A19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C4C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786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C94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031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35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A4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EB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9F6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B76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572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D96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DA0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133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2535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1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C6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C25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9E0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17D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C2A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FCB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162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39B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AAF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9C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4B5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F47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9F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495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AB7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480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F1A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B8F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36B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39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A77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F99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CB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EC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B0A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F45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C10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AF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20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4C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A1A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107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2FC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7C9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082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92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C59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EE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EBF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FC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687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798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41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CAA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CEF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571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73A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E27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F3A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7E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3D3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A5C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E12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76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39D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7EF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BC6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ACD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8F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2E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C8F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EDE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182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C30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466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00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A76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3A2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8DE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35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10E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E8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41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235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814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27C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EC3CDF">
            <w:pPr>
              <w:jc w:val="left"/>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53D2E">
            <w:pPr>
              <w:jc w:val="left"/>
              <w:rPr>
                <w:rFonts w:hint="eastAsia" w:ascii="宋体" w:hAnsi="宋体" w:eastAsia="宋体" w:cs="宋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A2F063">
            <w:pPr>
              <w:jc w:val="right"/>
              <w:rPr>
                <w:rFonts w:hint="eastAsia" w:ascii="宋体" w:hAnsi="宋体" w:eastAsia="宋体" w:cs="宋体"/>
                <w:i w:val="0"/>
                <w:iCs w:val="0"/>
                <w:color w:val="000000"/>
                <w:sz w:val="22"/>
                <w:szCs w:val="22"/>
                <w:u w:val="none"/>
              </w:rPr>
            </w:pPr>
          </w:p>
        </w:tc>
      </w:tr>
      <w:tr w14:paraId="2552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BE2605">
            <w:pPr>
              <w:jc w:val="left"/>
              <w:rPr>
                <w:rFonts w:hint="eastAsia" w:ascii="宋体" w:hAnsi="宋体" w:eastAsia="宋体" w:cs="宋体"/>
                <w:i w:val="0"/>
                <w:iCs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8E69D2">
            <w:pPr>
              <w:jc w:val="left"/>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326D07">
            <w:pPr>
              <w:jc w:val="righ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086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318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5A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BF0B83">
            <w:pPr>
              <w:jc w:val="left"/>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1D0AD6">
            <w:pPr>
              <w:jc w:val="left"/>
              <w:rPr>
                <w:rFonts w:hint="eastAsia" w:ascii="宋体" w:hAnsi="宋体" w:eastAsia="宋体" w:cs="宋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3D8A6">
            <w:pPr>
              <w:jc w:val="right"/>
              <w:rPr>
                <w:rFonts w:hint="eastAsia" w:ascii="宋体" w:hAnsi="宋体" w:eastAsia="宋体" w:cs="宋体"/>
                <w:i w:val="0"/>
                <w:iCs w:val="0"/>
                <w:color w:val="000000"/>
                <w:sz w:val="22"/>
                <w:szCs w:val="22"/>
                <w:u w:val="none"/>
              </w:rPr>
            </w:pPr>
          </w:p>
        </w:tc>
      </w:tr>
      <w:tr w14:paraId="7758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D0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983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846.36</w:t>
            </w:r>
          </w:p>
        </w:tc>
        <w:tc>
          <w:tcPr>
            <w:tcW w:w="710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A1A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E27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208.61</w:t>
            </w:r>
          </w:p>
        </w:tc>
      </w:tr>
      <w:tr w14:paraId="3D70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9" w:type="dxa"/>
            <w:gridSpan w:val="9"/>
            <w:tcBorders>
              <w:top w:val="single" w:color="000000" w:sz="4" w:space="0"/>
              <w:left w:val="nil"/>
              <w:bottom w:val="nil"/>
              <w:right w:val="nil"/>
            </w:tcBorders>
            <w:shd w:val="clear" w:color="auto" w:fill="FFFFFF"/>
            <w:noWrap/>
            <w:vAlign w:val="center"/>
          </w:tcPr>
          <w:p w14:paraId="7D028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0B50C38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08DD1B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7B0EEA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B9E2CF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262413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827580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B5A472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1A94341">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1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1096"/>
        <w:gridCol w:w="1501"/>
        <w:gridCol w:w="1448"/>
        <w:gridCol w:w="900"/>
        <w:gridCol w:w="1065"/>
        <w:gridCol w:w="1020"/>
        <w:gridCol w:w="1680"/>
      </w:tblGrid>
      <w:tr w14:paraId="0E9B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70" w:type="dxa"/>
            <w:gridSpan w:val="10"/>
            <w:tcBorders>
              <w:top w:val="nil"/>
              <w:left w:val="nil"/>
              <w:bottom w:val="nil"/>
              <w:right w:val="nil"/>
            </w:tcBorders>
            <w:shd w:val="clear" w:color="auto" w:fill="auto"/>
            <w:noWrap/>
            <w:vAlign w:val="center"/>
          </w:tcPr>
          <w:p w14:paraId="666516EA">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1DF8B37">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6B09C43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0E48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BCD44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D894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C73E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44BA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7532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25C1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311E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F4B8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A943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FB95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499C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themeColor="text1" w:sz="4" w:space="0"/>
              <w:right w:val="nil"/>
            </w:tcBorders>
            <w:shd w:val="clear" w:color="auto" w:fill="auto"/>
            <w:noWrap/>
            <w:vAlign w:val="bottom"/>
          </w:tcPr>
          <w:p w14:paraId="66B361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themeColor="text1" w:sz="4" w:space="0"/>
              <w:right w:val="nil"/>
            </w:tcBorders>
            <w:shd w:val="clear" w:color="auto" w:fill="auto"/>
            <w:noWrap/>
            <w:vAlign w:val="center"/>
          </w:tcPr>
          <w:p w14:paraId="14E69A6D">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63983B39">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6DDD7D2B">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4845C56A">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6677F585">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2423FFEE">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5D1664A0">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56F18902">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bottom"/>
          </w:tcPr>
          <w:p w14:paraId="78FE70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4DA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835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8E1F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FFFF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87B1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E53B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719C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59C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95A5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E58497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C178CAE">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CE15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6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25E9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267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8A7D4AB">
            <w:pPr>
              <w:jc w:val="center"/>
              <w:rPr>
                <w:rFonts w:hint="eastAsia" w:ascii="宋体" w:hAnsi="宋体" w:eastAsia="宋体" w:cs="宋体"/>
                <w:i w:val="0"/>
                <w:iCs w:val="0"/>
                <w:color w:val="000000"/>
                <w:sz w:val="22"/>
                <w:szCs w:val="22"/>
                <w:u w:val="none"/>
              </w:rPr>
            </w:pPr>
          </w:p>
        </w:tc>
      </w:tr>
      <w:tr w14:paraId="5942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74878C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07A6B1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E62CDC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21B3FD5">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F0C788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286A50F">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E7FAD9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CFB14E4">
            <w:pPr>
              <w:jc w:val="center"/>
              <w:rPr>
                <w:rFonts w:hint="eastAsia" w:ascii="宋体" w:hAnsi="宋体" w:eastAsia="宋体" w:cs="宋体"/>
                <w:i w:val="0"/>
                <w:iCs w:val="0"/>
                <w:color w:val="000000"/>
                <w:sz w:val="22"/>
                <w:szCs w:val="22"/>
                <w:u w:val="none"/>
              </w:rPr>
            </w:pPr>
          </w:p>
        </w:tc>
      </w:tr>
      <w:tr w14:paraId="6639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627EB7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FCA498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E67B51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212026D">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0C9656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F2C062F">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BD4941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2A70CAE">
            <w:pPr>
              <w:jc w:val="center"/>
              <w:rPr>
                <w:rFonts w:hint="eastAsia" w:ascii="宋体" w:hAnsi="宋体" w:eastAsia="宋体" w:cs="宋体"/>
                <w:i w:val="0"/>
                <w:iCs w:val="0"/>
                <w:color w:val="000000"/>
                <w:sz w:val="22"/>
                <w:szCs w:val="22"/>
                <w:u w:val="none"/>
              </w:rPr>
            </w:pPr>
          </w:p>
        </w:tc>
      </w:tr>
      <w:tr w14:paraId="6BD9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7ED8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502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9776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B54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4DD3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66D1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D25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42B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C410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D586EF3">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C24FE95">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37E60B6">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0A299B5">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A6606AC">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5B3F576">
            <w:pPr>
              <w:jc w:val="right"/>
              <w:rPr>
                <w:rFonts w:hint="eastAsia" w:ascii="宋体" w:hAnsi="宋体" w:eastAsia="宋体" w:cs="宋体"/>
                <w:b/>
                <w:bCs/>
                <w:i w:val="0"/>
                <w:iCs w:val="0"/>
                <w:color w:val="000000"/>
                <w:sz w:val="22"/>
                <w:szCs w:val="22"/>
                <w:u w:val="none"/>
              </w:rPr>
            </w:pPr>
          </w:p>
        </w:tc>
      </w:tr>
      <w:tr w14:paraId="73B5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DCC4424">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3A2267E">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C03CBBA">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C1E06B0">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70280D3">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DBAE7C4">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8F9C573">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257988A">
            <w:pPr>
              <w:jc w:val="right"/>
              <w:rPr>
                <w:rFonts w:hint="eastAsia" w:ascii="宋体" w:hAnsi="宋体" w:eastAsia="宋体" w:cs="宋体"/>
                <w:i w:val="0"/>
                <w:iCs w:val="0"/>
                <w:color w:val="000000"/>
                <w:sz w:val="22"/>
                <w:szCs w:val="22"/>
                <w:u w:val="none"/>
              </w:rPr>
            </w:pPr>
          </w:p>
        </w:tc>
      </w:tr>
      <w:tr w14:paraId="092B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themeColor="text1" w:sz="4" w:space="0"/>
              <w:left w:val="nil"/>
              <w:bottom w:val="nil"/>
              <w:right w:val="nil"/>
            </w:tcBorders>
            <w:shd w:val="clear" w:color="auto" w:fill="FFFFFF"/>
            <w:noWrap/>
            <w:vAlign w:val="center"/>
          </w:tcPr>
          <w:p w14:paraId="7236E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7376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05" w:type="dxa"/>
            <w:gridSpan w:val="7"/>
            <w:tcBorders>
              <w:top w:val="nil"/>
              <w:left w:val="nil"/>
              <w:bottom w:val="nil"/>
              <w:right w:val="nil"/>
            </w:tcBorders>
            <w:shd w:val="clear" w:color="auto" w:fill="auto"/>
            <w:vAlign w:val="center"/>
          </w:tcPr>
          <w:p w14:paraId="7CB29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说明：我单位没有政府性基金预算财政拨款收入，也没有使用政府性基金安排的支出，故本表无数据。</w:t>
            </w:r>
          </w:p>
        </w:tc>
        <w:tc>
          <w:tcPr>
            <w:tcW w:w="0" w:type="auto"/>
            <w:tcBorders>
              <w:top w:val="nil"/>
              <w:left w:val="nil"/>
              <w:bottom w:val="nil"/>
              <w:right w:val="nil"/>
            </w:tcBorders>
            <w:shd w:val="clear" w:color="auto" w:fill="auto"/>
            <w:noWrap/>
            <w:vAlign w:val="center"/>
          </w:tcPr>
          <w:p w14:paraId="4EB13C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6396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09F450">
            <w:pPr>
              <w:rPr>
                <w:rFonts w:hint="eastAsia" w:ascii="宋体" w:hAnsi="宋体" w:eastAsia="宋体" w:cs="宋体"/>
                <w:i w:val="0"/>
                <w:iCs w:val="0"/>
                <w:color w:val="000000"/>
                <w:sz w:val="22"/>
                <w:szCs w:val="22"/>
                <w:u w:val="none"/>
              </w:rPr>
            </w:pPr>
          </w:p>
        </w:tc>
      </w:tr>
    </w:tbl>
    <w:p w14:paraId="3D1C4C0F">
      <w:pPr>
        <w:widowControl/>
        <w:spacing w:line="400" w:lineRule="exact"/>
        <w:textAlignment w:val="center"/>
        <w:rPr>
          <w:rFonts w:ascii="Times New Roman" w:hAnsi="Times New Roman" w:eastAsia="黑体" w:cs="Times New Roman"/>
          <w:color w:val="000000"/>
          <w:kern w:val="0"/>
          <w:sz w:val="36"/>
          <w:szCs w:val="36"/>
          <w:lang w:bidi="ar"/>
        </w:rPr>
      </w:pPr>
    </w:p>
    <w:p w14:paraId="7BA73FB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159B53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E2824C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C04CD3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9680D0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1EAAC05">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2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330"/>
        <w:gridCol w:w="330"/>
        <w:gridCol w:w="2404"/>
        <w:gridCol w:w="2320"/>
        <w:gridCol w:w="2566"/>
        <w:gridCol w:w="1680"/>
      </w:tblGrid>
      <w:tr w14:paraId="4061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816" w:type="dxa"/>
            <w:tcBorders>
              <w:top w:val="nil"/>
              <w:left w:val="nil"/>
              <w:bottom w:val="nil"/>
              <w:right w:val="nil"/>
            </w:tcBorders>
            <w:shd w:val="clear" w:color="auto" w:fill="auto"/>
            <w:noWrap/>
            <w:vAlign w:val="center"/>
          </w:tcPr>
          <w:p w14:paraId="3F1B0477">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00CA1570">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0510512C">
            <w:pPr>
              <w:rPr>
                <w:rFonts w:hint="eastAsia" w:ascii="宋体" w:hAnsi="宋体" w:eastAsia="宋体" w:cs="宋体"/>
                <w:i w:val="0"/>
                <w:iCs w:val="0"/>
                <w:color w:val="000000"/>
                <w:sz w:val="22"/>
                <w:szCs w:val="22"/>
                <w:u w:val="none"/>
              </w:rPr>
            </w:pPr>
          </w:p>
        </w:tc>
        <w:tc>
          <w:tcPr>
            <w:tcW w:w="7290" w:type="dxa"/>
            <w:gridSpan w:val="3"/>
            <w:tcBorders>
              <w:top w:val="nil"/>
              <w:left w:val="nil"/>
              <w:bottom w:val="nil"/>
              <w:right w:val="nil"/>
            </w:tcBorders>
            <w:shd w:val="clear" w:color="auto" w:fill="auto"/>
            <w:noWrap/>
            <w:vAlign w:val="center"/>
          </w:tcPr>
          <w:p w14:paraId="7DB59321">
            <w:pP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80" w:type="dxa"/>
            <w:tcBorders>
              <w:top w:val="nil"/>
              <w:left w:val="nil"/>
              <w:bottom w:val="nil"/>
              <w:right w:val="nil"/>
            </w:tcBorders>
            <w:shd w:val="clear" w:color="auto" w:fill="auto"/>
            <w:noWrap/>
            <w:vAlign w:val="center"/>
          </w:tcPr>
          <w:p w14:paraId="7AAFA7B1">
            <w:pPr>
              <w:rPr>
                <w:rFonts w:hint="eastAsia" w:ascii="宋体" w:hAnsi="宋体" w:eastAsia="宋体" w:cs="宋体"/>
                <w:i w:val="0"/>
                <w:iCs w:val="0"/>
                <w:color w:val="000000"/>
                <w:sz w:val="22"/>
                <w:szCs w:val="22"/>
                <w:u w:val="none"/>
              </w:rPr>
            </w:pPr>
          </w:p>
        </w:tc>
      </w:tr>
      <w:tr w14:paraId="7549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F09C6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68F9F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E130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BF8A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E428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2C0D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D962B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3059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themeColor="text1" w:sz="4" w:space="0"/>
              <w:right w:val="nil"/>
            </w:tcBorders>
            <w:shd w:val="clear" w:color="auto" w:fill="auto"/>
            <w:noWrap/>
            <w:vAlign w:val="bottom"/>
          </w:tcPr>
          <w:p w14:paraId="09B21F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themeColor="text1" w:sz="4" w:space="0"/>
              <w:right w:val="nil"/>
            </w:tcBorders>
            <w:shd w:val="clear" w:color="auto" w:fill="auto"/>
            <w:noWrap/>
            <w:vAlign w:val="center"/>
          </w:tcPr>
          <w:p w14:paraId="308E169C">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615334BE">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30F28FA5">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047B1985">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14:paraId="11CD4F4C">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bottom"/>
          </w:tcPr>
          <w:p w14:paraId="2B508C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D71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60D4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0101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FC9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62E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166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309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1788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8CFE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7D4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0A7A29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1859533">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2F33ABE">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F17872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343A89E">
            <w:pPr>
              <w:jc w:val="center"/>
              <w:rPr>
                <w:rFonts w:hint="eastAsia" w:ascii="宋体" w:hAnsi="宋体" w:eastAsia="宋体" w:cs="宋体"/>
                <w:i w:val="0"/>
                <w:iCs w:val="0"/>
                <w:color w:val="000000"/>
                <w:sz w:val="22"/>
                <w:szCs w:val="22"/>
                <w:u w:val="none"/>
              </w:rPr>
            </w:pPr>
          </w:p>
        </w:tc>
      </w:tr>
      <w:tr w14:paraId="6352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39D337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1F8D51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B364CA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9B62D4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A08B2BC">
            <w:pPr>
              <w:jc w:val="center"/>
              <w:rPr>
                <w:rFonts w:hint="eastAsia" w:ascii="宋体" w:hAnsi="宋体" w:eastAsia="宋体" w:cs="宋体"/>
                <w:i w:val="0"/>
                <w:iCs w:val="0"/>
                <w:color w:val="000000"/>
                <w:sz w:val="22"/>
                <w:szCs w:val="22"/>
                <w:u w:val="none"/>
              </w:rPr>
            </w:pPr>
          </w:p>
        </w:tc>
      </w:tr>
      <w:tr w14:paraId="64F0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97EF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928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474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5403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DCC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F726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ABA1671">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5D9ED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BB764D3">
            <w:pPr>
              <w:jc w:val="right"/>
              <w:rPr>
                <w:rFonts w:hint="eastAsia" w:ascii="宋体" w:hAnsi="宋体" w:eastAsia="宋体" w:cs="宋体"/>
                <w:b/>
                <w:bCs/>
                <w:i w:val="0"/>
                <w:iCs w:val="0"/>
                <w:color w:val="000000"/>
                <w:sz w:val="22"/>
                <w:szCs w:val="22"/>
                <w:u w:val="none"/>
              </w:rPr>
            </w:pPr>
          </w:p>
        </w:tc>
      </w:tr>
      <w:tr w14:paraId="1B1D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8895352">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0C6E62E">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D9B686D">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043F831">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4B3F3DF">
            <w:pPr>
              <w:jc w:val="right"/>
              <w:rPr>
                <w:rFonts w:hint="eastAsia" w:ascii="宋体" w:hAnsi="宋体" w:eastAsia="宋体" w:cs="宋体"/>
                <w:i w:val="0"/>
                <w:iCs w:val="0"/>
                <w:color w:val="000000"/>
                <w:sz w:val="22"/>
                <w:szCs w:val="22"/>
                <w:u w:val="none"/>
              </w:rPr>
            </w:pPr>
          </w:p>
        </w:tc>
      </w:tr>
      <w:tr w14:paraId="2FEE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themeColor="text1" w:sz="4" w:space="0"/>
              <w:left w:val="nil"/>
              <w:bottom w:val="nil"/>
              <w:right w:val="nil"/>
            </w:tcBorders>
            <w:shd w:val="clear" w:color="auto" w:fill="FFFFFF"/>
            <w:noWrap/>
            <w:vAlign w:val="center"/>
          </w:tcPr>
          <w:p w14:paraId="1DB4C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4F1D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446" w:type="dxa"/>
            <w:gridSpan w:val="7"/>
            <w:tcBorders>
              <w:top w:val="nil"/>
              <w:left w:val="nil"/>
              <w:bottom w:val="nil"/>
              <w:right w:val="nil"/>
            </w:tcBorders>
            <w:shd w:val="clear" w:color="auto" w:fill="auto"/>
            <w:vAlign w:val="center"/>
          </w:tcPr>
          <w:p w14:paraId="2C64A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说明：我单位没有国有资本经营预算财政拨款收入，也没有使用国有资本经营预算财政拨款安排的支出，故本表无数据。</w:t>
            </w:r>
          </w:p>
        </w:tc>
      </w:tr>
    </w:tbl>
    <w:p w14:paraId="287DA95B">
      <w:pPr>
        <w:widowControl/>
        <w:jc w:val="center"/>
        <w:rPr>
          <w:rFonts w:ascii="Times New Roman" w:hAnsi="Times New Roman" w:eastAsia="方正小标宋_GBK" w:cs="Times New Roman"/>
          <w:color w:val="000000"/>
          <w:kern w:val="0"/>
          <w:sz w:val="36"/>
          <w:szCs w:val="36"/>
        </w:rPr>
      </w:pPr>
    </w:p>
    <w:p w14:paraId="19D6C475">
      <w:pPr>
        <w:pStyle w:val="9"/>
        <w:spacing w:line="400" w:lineRule="exact"/>
        <w:rPr>
          <w:rFonts w:ascii="Times New Roman" w:hAnsi="Times New Roman" w:eastAsia="华文中宋" w:cs="Times New Roman"/>
          <w:color w:val="000000"/>
          <w:kern w:val="0"/>
          <w:sz w:val="32"/>
          <w:szCs w:val="32"/>
          <w:lang w:bidi="ar"/>
        </w:rPr>
      </w:pPr>
    </w:p>
    <w:p w14:paraId="4163D8C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508FA4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7EFF00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79998CE">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25"/>
        <w:gridCol w:w="881"/>
        <w:gridCol w:w="643"/>
        <w:gridCol w:w="928"/>
        <w:gridCol w:w="881"/>
        <w:gridCol w:w="825"/>
        <w:gridCol w:w="1125"/>
        <w:gridCol w:w="869"/>
        <w:gridCol w:w="644"/>
        <w:gridCol w:w="928"/>
        <w:gridCol w:w="1616"/>
      </w:tblGrid>
      <w:tr w14:paraId="332F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75" w:type="dxa"/>
            <w:gridSpan w:val="12"/>
            <w:tcBorders>
              <w:top w:val="nil"/>
              <w:left w:val="nil"/>
              <w:bottom w:val="nil"/>
              <w:right w:val="nil"/>
            </w:tcBorders>
            <w:shd w:val="clear" w:color="auto" w:fill="auto"/>
            <w:noWrap/>
            <w:vAlign w:val="center"/>
          </w:tcPr>
          <w:p w14:paraId="25D961D7">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p w14:paraId="7A139C4B">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4B4A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55425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7ACE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7649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DD3F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D4E9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B357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6EA7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F395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E07A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A5CF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074B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2495D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D26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sz="4" w:space="0"/>
              <w:right w:val="nil"/>
            </w:tcBorders>
            <w:shd w:val="clear" w:color="auto" w:fill="auto"/>
            <w:noWrap/>
            <w:vAlign w:val="bottom"/>
          </w:tcPr>
          <w:p w14:paraId="0F4734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sz="4" w:space="0"/>
              <w:right w:val="nil"/>
            </w:tcBorders>
            <w:shd w:val="clear" w:color="auto" w:fill="auto"/>
            <w:noWrap/>
            <w:vAlign w:val="center"/>
          </w:tcPr>
          <w:p w14:paraId="7C8B14D7">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048F33AA">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3695B4B9">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2B5547D2">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7BC1E19D">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4E5E28B0">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70804EF6">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1B85DF05">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7506A3EE">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14:paraId="480BCA4A">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14:paraId="0B4889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BFB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A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1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D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F34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D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2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3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A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35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A6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7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8A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AED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F9E22">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26E93">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0F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EB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09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E0B21">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8561E">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A1A9B">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C7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E3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94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65C5A">
            <w:pPr>
              <w:jc w:val="center"/>
              <w:rPr>
                <w:rFonts w:hint="eastAsia" w:ascii="宋体" w:hAnsi="宋体" w:eastAsia="宋体" w:cs="宋体"/>
                <w:i w:val="0"/>
                <w:iCs w:val="0"/>
                <w:color w:val="000000"/>
                <w:sz w:val="22"/>
                <w:szCs w:val="22"/>
                <w:u w:val="none"/>
              </w:rPr>
            </w:pPr>
          </w:p>
        </w:tc>
      </w:tr>
      <w:tr w14:paraId="0617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10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73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2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1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EB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F0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FD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05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0C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D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F3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CE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BDF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919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5DD1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7E5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2DEA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DC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E7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23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144C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64D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ED6F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096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89A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r>
      <w:tr w14:paraId="2128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75" w:type="dxa"/>
            <w:gridSpan w:val="12"/>
            <w:tcBorders>
              <w:top w:val="single" w:color="000000" w:sz="4" w:space="0"/>
              <w:left w:val="nil"/>
              <w:bottom w:val="nil"/>
              <w:right w:val="nil"/>
            </w:tcBorders>
            <w:shd w:val="clear" w:color="auto" w:fill="FFFFFF"/>
            <w:vAlign w:val="center"/>
          </w:tcPr>
          <w:p w14:paraId="0E6B4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39CB74A">
      <w:pPr>
        <w:autoSpaceDE w:val="0"/>
        <w:autoSpaceDN w:val="0"/>
        <w:adjustRightInd w:val="0"/>
        <w:ind w:left="315" w:leftChars="150"/>
        <w:jc w:val="left"/>
        <w:rPr>
          <w:rFonts w:ascii="Times New Roman" w:hAnsi="Times New Roman" w:eastAsia="宋体" w:cs="Times New Roman"/>
          <w:kern w:val="0"/>
          <w:sz w:val="24"/>
          <w:szCs w:val="24"/>
        </w:rPr>
      </w:pPr>
    </w:p>
    <w:p w14:paraId="459278DF">
      <w:pPr>
        <w:autoSpaceDE w:val="0"/>
        <w:autoSpaceDN w:val="0"/>
        <w:adjustRightInd w:val="0"/>
        <w:ind w:left="315" w:leftChars="150"/>
        <w:jc w:val="left"/>
        <w:rPr>
          <w:rFonts w:ascii="Times New Roman" w:hAnsi="Times New Roman" w:eastAsia="宋体" w:cs="Times New Roman"/>
          <w:kern w:val="0"/>
          <w:sz w:val="24"/>
          <w:szCs w:val="24"/>
        </w:rPr>
      </w:pPr>
    </w:p>
    <w:p w14:paraId="0D7B1E37">
      <w:pPr>
        <w:autoSpaceDE w:val="0"/>
        <w:autoSpaceDN w:val="0"/>
        <w:adjustRightInd w:val="0"/>
        <w:ind w:left="315" w:leftChars="150"/>
        <w:jc w:val="left"/>
        <w:rPr>
          <w:rFonts w:ascii="Times New Roman" w:hAnsi="Times New Roman" w:eastAsia="宋体" w:cs="Times New Roman"/>
          <w:kern w:val="0"/>
          <w:sz w:val="24"/>
          <w:szCs w:val="24"/>
        </w:rPr>
      </w:pPr>
    </w:p>
    <w:p w14:paraId="52350920">
      <w:pPr>
        <w:autoSpaceDE w:val="0"/>
        <w:autoSpaceDN w:val="0"/>
        <w:adjustRightInd w:val="0"/>
        <w:ind w:left="315" w:leftChars="150"/>
        <w:jc w:val="left"/>
        <w:rPr>
          <w:rFonts w:ascii="Times New Roman" w:hAnsi="Times New Roman" w:eastAsia="宋体" w:cs="Times New Roman"/>
          <w:kern w:val="0"/>
          <w:sz w:val="24"/>
          <w:szCs w:val="24"/>
        </w:rPr>
      </w:pPr>
    </w:p>
    <w:p w14:paraId="447585FB">
      <w:pPr>
        <w:autoSpaceDE w:val="0"/>
        <w:autoSpaceDN w:val="0"/>
        <w:adjustRightInd w:val="0"/>
        <w:ind w:left="315" w:leftChars="150"/>
        <w:jc w:val="left"/>
        <w:rPr>
          <w:rFonts w:ascii="Times New Roman" w:hAnsi="Times New Roman" w:eastAsia="宋体" w:cs="Times New Roman"/>
          <w:kern w:val="0"/>
          <w:sz w:val="24"/>
          <w:szCs w:val="24"/>
        </w:rPr>
      </w:pPr>
    </w:p>
    <w:p w14:paraId="0237BA7E">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6771EBAD">
      <w:pPr>
        <w:pStyle w:val="15"/>
        <w:rPr>
          <w:rFonts w:ascii="Times New Roman" w:hAnsi="Times New Roman" w:cs="Times New Roman"/>
          <w:sz w:val="72"/>
          <w:szCs w:val="72"/>
        </w:rPr>
      </w:pPr>
    </w:p>
    <w:p w14:paraId="7B1D2DC4">
      <w:pPr>
        <w:pStyle w:val="15"/>
        <w:rPr>
          <w:rFonts w:ascii="Times New Roman" w:hAnsi="Times New Roman" w:cs="Times New Roman"/>
          <w:sz w:val="72"/>
          <w:szCs w:val="72"/>
        </w:rPr>
      </w:pPr>
    </w:p>
    <w:p w14:paraId="2A25DA9C">
      <w:pPr>
        <w:pStyle w:val="15"/>
        <w:rPr>
          <w:rFonts w:ascii="Times New Roman" w:hAnsi="Times New Roman" w:cs="Times New Roman"/>
          <w:sz w:val="72"/>
          <w:szCs w:val="72"/>
        </w:rPr>
      </w:pPr>
    </w:p>
    <w:p w14:paraId="59314C9B">
      <w:pPr>
        <w:pStyle w:val="15"/>
        <w:jc w:val="center"/>
        <w:rPr>
          <w:rFonts w:ascii="Times New Roman" w:hAnsi="Times New Roman" w:cs="Times New Roman"/>
          <w:sz w:val="72"/>
          <w:szCs w:val="72"/>
        </w:rPr>
      </w:pPr>
    </w:p>
    <w:p w14:paraId="77E916BD">
      <w:pPr>
        <w:pStyle w:val="15"/>
        <w:jc w:val="center"/>
        <w:rPr>
          <w:rFonts w:ascii="Times New Roman" w:hAnsi="Times New Roman" w:eastAsia="方正小标宋_GBK" w:cs="Times New Roman"/>
          <w:sz w:val="72"/>
          <w:szCs w:val="72"/>
        </w:rPr>
      </w:pPr>
    </w:p>
    <w:p w14:paraId="45BE5A1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37D4EFF">
      <w:pPr>
        <w:pStyle w:val="15"/>
        <w:spacing w:line="360" w:lineRule="auto"/>
        <w:jc w:val="center"/>
        <w:rPr>
          <w:rFonts w:ascii="Times New Roman" w:hAnsi="Times New Roman" w:eastAsia="方正小标宋_GBK" w:cs="Times New Roman"/>
          <w:sz w:val="52"/>
          <w:szCs w:val="52"/>
        </w:rPr>
      </w:pPr>
    </w:p>
    <w:p w14:paraId="085DD994">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14:paraId="509E6B9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0BAB66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11F4199">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default" w:ascii="仿宋" w:hAnsi="仿宋" w:eastAsia="仿宋" w:cs="仿宋"/>
          <w:color w:val="000000"/>
          <w:kern w:val="0"/>
          <w:sz w:val="28"/>
          <w:szCs w:val="28"/>
          <w:highlight w:val="none"/>
          <w:lang w:val="en-US"/>
        </w:rPr>
      </w:pPr>
      <w:r>
        <w:rPr>
          <w:rFonts w:hint="eastAsia" w:ascii="仿宋" w:hAnsi="仿宋" w:eastAsia="仿宋" w:cs="仿宋"/>
          <w:color w:val="000000"/>
          <w:kern w:val="0"/>
          <w:sz w:val="28"/>
          <w:szCs w:val="28"/>
          <w:highlight w:val="none"/>
          <w:lang w:val="en-US" w:eastAsia="zh-CN"/>
        </w:rPr>
        <w:t>2024年度</w:t>
      </w:r>
      <w:r>
        <w:rPr>
          <w:rFonts w:hint="eastAsia" w:ascii="仿宋" w:hAnsi="仿宋" w:eastAsia="仿宋" w:cs="仿宋"/>
          <w:color w:val="000000"/>
          <w:kern w:val="0"/>
          <w:sz w:val="28"/>
          <w:szCs w:val="28"/>
          <w:highlight w:val="none"/>
        </w:rPr>
        <w:t>收</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支总计2156.79万元。与上年相比，减少148.89万元</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减少6.46%，主要是因为今年有人员退休导致人员比去年有所减少，</w:t>
      </w:r>
      <w:r>
        <w:rPr>
          <w:rFonts w:hint="eastAsia" w:ascii="仿宋" w:hAnsi="仿宋" w:eastAsia="仿宋" w:cs="仿宋"/>
          <w:color w:val="000000"/>
          <w:kern w:val="0"/>
          <w:sz w:val="28"/>
          <w:szCs w:val="28"/>
          <w:highlight w:val="none"/>
        </w:rPr>
        <w:t>年初预算</w:t>
      </w:r>
      <w:r>
        <w:rPr>
          <w:rFonts w:hint="eastAsia" w:ascii="仿宋" w:hAnsi="仿宋" w:eastAsia="仿宋" w:cs="仿宋"/>
          <w:color w:val="000000"/>
          <w:kern w:val="0"/>
          <w:sz w:val="28"/>
          <w:szCs w:val="28"/>
          <w:highlight w:val="none"/>
          <w:lang w:val="en-US" w:eastAsia="zh-CN"/>
        </w:rPr>
        <w:t>减少</w:t>
      </w:r>
      <w:r>
        <w:rPr>
          <w:rFonts w:hint="eastAsia" w:ascii="仿宋" w:hAnsi="仿宋" w:eastAsia="仿宋" w:cs="仿宋"/>
          <w:color w:val="000000"/>
          <w:kern w:val="0"/>
          <w:sz w:val="28"/>
          <w:szCs w:val="28"/>
          <w:highlight w:val="none"/>
        </w:rPr>
        <w:t>，财政收入</w:t>
      </w:r>
      <w:r>
        <w:rPr>
          <w:rFonts w:hint="eastAsia" w:ascii="仿宋" w:hAnsi="仿宋" w:eastAsia="仿宋" w:cs="仿宋"/>
          <w:color w:val="000000"/>
          <w:kern w:val="0"/>
          <w:sz w:val="28"/>
          <w:szCs w:val="28"/>
          <w:highlight w:val="none"/>
          <w:lang w:val="en-US" w:eastAsia="zh-CN"/>
        </w:rPr>
        <w:t>减少，相应的开支也有所减少。</w:t>
      </w:r>
    </w:p>
    <w:p w14:paraId="53C81E8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ABB610F">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2024年度收入合计1704.5万元，其中：财政拨款收入1683.24万元，占98.75%；其他收入21.26万元，占1.25%；上级补助收入0万元，占0%；事业收入0万元，占0%；经营收入0万元，占0%；附属单位上缴收入0万元，占0%。</w:t>
      </w:r>
    </w:p>
    <w:p w14:paraId="2B17A0A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12CCC21">
      <w:pPr>
        <w:pStyle w:val="15"/>
        <w:keepNext w:val="0"/>
        <w:keepLines w:val="0"/>
        <w:pageBreakBefore w:val="0"/>
        <w:widowControl w:val="0"/>
        <w:kinsoku/>
        <w:wordWrap/>
        <w:overflowPunct w:val="0"/>
        <w:topLinePunct w:val="0"/>
        <w:autoSpaceDE w:val="0"/>
        <w:autoSpaceDN w:val="0"/>
        <w:bidi w:val="0"/>
        <w:spacing w:line="500" w:lineRule="exact"/>
        <w:ind w:firstLine="560" w:firstLineChars="200"/>
        <w:jc w:val="both"/>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2024年度支出合计1910.46万元，其中：基本支出1054.97万元，占55.22%；项目支出855.49万元，占44.78%；上缴上级支出0万元，占0%；经营支出0万元，占0%；对附属单位补助支出0万元，占0%。</w:t>
      </w:r>
    </w:p>
    <w:p w14:paraId="218EF914">
      <w:pPr>
        <w:pStyle w:val="15"/>
        <w:keepNext w:val="0"/>
        <w:keepLines w:val="0"/>
        <w:pageBreakBefore w:val="0"/>
        <w:widowControl w:val="0"/>
        <w:kinsoku/>
        <w:wordWrap/>
        <w:overflowPunct w:val="0"/>
        <w:topLinePunct w:val="0"/>
        <w:autoSpaceDE w:val="0"/>
        <w:autoSpaceDN w:val="0"/>
        <w:bidi w:val="0"/>
        <w:spacing w:line="500" w:lineRule="exact"/>
        <w:ind w:firstLine="640" w:firstLineChars="200"/>
        <w:jc w:val="both"/>
        <w:textAlignment w:val="auto"/>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D54FACE">
      <w:pPr>
        <w:pStyle w:val="15"/>
        <w:keepNext w:val="0"/>
        <w:keepLines w:val="0"/>
        <w:pageBreakBefore w:val="0"/>
        <w:widowControl w:val="0"/>
        <w:kinsoku/>
        <w:wordWrap/>
        <w:overflowPunct/>
        <w:topLinePunct w:val="0"/>
        <w:autoSpaceDE w:val="0"/>
        <w:autoSpaceDN w:val="0"/>
        <w:bidi w:val="0"/>
        <w:snapToGrid/>
        <w:spacing w:line="50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color w:val="000000"/>
          <w:kern w:val="0"/>
          <w:sz w:val="28"/>
          <w:szCs w:val="28"/>
          <w:highlight w:val="none"/>
          <w:lang w:val="en-US" w:eastAsia="zh-CN" w:bidi="ar-SA"/>
        </w:rPr>
        <w:t>2024年度财政拨款</w:t>
      </w:r>
      <w:r>
        <w:rPr>
          <w:rFonts w:hint="eastAsia" w:ascii="仿宋" w:hAnsi="仿宋" w:eastAsia="仿宋" w:cs="仿宋"/>
          <w:color w:val="000000"/>
          <w:kern w:val="0"/>
          <w:sz w:val="28"/>
          <w:szCs w:val="28"/>
          <w:highlight w:val="none"/>
        </w:rPr>
        <w:t>收</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支总计2125.18万元</w:t>
      </w:r>
      <w:r>
        <w:rPr>
          <w:rFonts w:hint="eastAsia" w:ascii="仿宋" w:hAnsi="仿宋" w:eastAsia="仿宋" w:cs="仿宋"/>
          <w:color w:val="000000"/>
          <w:kern w:val="0"/>
          <w:sz w:val="28"/>
          <w:szCs w:val="28"/>
          <w:highlight w:val="none"/>
          <w:lang w:val="en-US" w:eastAsia="zh-CN" w:bidi="ar-SA"/>
        </w:rPr>
        <w:t>，</w:t>
      </w:r>
      <w:r>
        <w:rPr>
          <w:rFonts w:hint="eastAsia" w:ascii="仿宋" w:hAnsi="仿宋" w:eastAsia="仿宋" w:cs="仿宋"/>
          <w:color w:val="000000"/>
          <w:kern w:val="0"/>
          <w:sz w:val="28"/>
          <w:szCs w:val="28"/>
          <w:highlight w:val="none"/>
          <w:lang w:val="en-US" w:eastAsia="zh-CN"/>
        </w:rPr>
        <w:t>与上年相比，增加36.15万元</w:t>
      </w:r>
      <w:r>
        <w:rPr>
          <w:rFonts w:hint="eastAsia" w:ascii="仿宋" w:hAnsi="仿宋" w:eastAsia="仿宋" w:cs="仿宋"/>
          <w:color w:val="000000"/>
          <w:kern w:val="0"/>
          <w:sz w:val="28"/>
          <w:szCs w:val="28"/>
          <w:highlight w:val="none"/>
          <w:lang w:eastAsia="zh-CN"/>
        </w:rPr>
        <w:t>，增加</w:t>
      </w:r>
      <w:r>
        <w:rPr>
          <w:rFonts w:hint="eastAsia" w:ascii="仿宋" w:hAnsi="仿宋" w:eastAsia="仿宋" w:cs="仿宋"/>
          <w:color w:val="000000"/>
          <w:kern w:val="0"/>
          <w:sz w:val="28"/>
          <w:szCs w:val="28"/>
          <w:highlight w:val="none"/>
          <w:lang w:val="en-US" w:eastAsia="zh-CN"/>
        </w:rPr>
        <w:t>1.73%</w:t>
      </w:r>
      <w:r>
        <w:rPr>
          <w:rFonts w:hint="eastAsia" w:ascii="仿宋" w:hAnsi="仿宋" w:eastAsia="仿宋" w:cs="仿宋"/>
          <w:color w:val="000000"/>
          <w:kern w:val="0"/>
          <w:sz w:val="28"/>
          <w:szCs w:val="28"/>
          <w:highlight w:val="none"/>
          <w:lang w:val="en-US" w:eastAsia="zh-CN" w:bidi="ar-SA"/>
        </w:rPr>
        <w:t>，主要是因为</w:t>
      </w:r>
      <w:r>
        <w:rPr>
          <w:rFonts w:hint="eastAsia" w:ascii="仿宋" w:hAnsi="仿宋" w:eastAsia="仿宋" w:cs="仿宋"/>
          <w:color w:val="000000"/>
          <w:kern w:val="0"/>
          <w:sz w:val="28"/>
          <w:szCs w:val="28"/>
          <w:highlight w:val="none"/>
          <w:lang w:val="en-US" w:eastAsia="zh-CN"/>
        </w:rPr>
        <w:t>棉花公检任务比去年有所增加，相应的开支也有所增加</w:t>
      </w:r>
      <w:r>
        <w:rPr>
          <w:rFonts w:hint="eastAsia" w:ascii="仿宋" w:hAnsi="仿宋" w:eastAsia="仿宋" w:cs="仿宋"/>
          <w:color w:val="000000"/>
          <w:kern w:val="0"/>
          <w:sz w:val="28"/>
          <w:szCs w:val="28"/>
          <w:highlight w:val="none"/>
          <w:lang w:val="en-US" w:eastAsia="zh-CN" w:bidi="ar-SA"/>
        </w:rPr>
        <w:t>。</w:t>
      </w:r>
    </w:p>
    <w:p w14:paraId="1CDA922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751043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6A0BDBA">
      <w:pPr>
        <w:pStyle w:val="15"/>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2024年度财政拨款支出1893.13万元，占本年支出合计的89.08%，与上年相比，财政拨款支出增加251.23万元，增加15.3%，主要是因为</w:t>
      </w:r>
      <w:r>
        <w:rPr>
          <w:rFonts w:hint="eastAsia" w:ascii="仿宋" w:hAnsi="仿宋" w:eastAsia="仿宋" w:cs="仿宋"/>
          <w:color w:val="000000"/>
          <w:kern w:val="0"/>
          <w:sz w:val="28"/>
          <w:szCs w:val="28"/>
          <w:highlight w:val="none"/>
          <w:lang w:val="en-US" w:eastAsia="zh-CN"/>
        </w:rPr>
        <w:t>今年棉花公检任务比去年有所增加；社会保障支出增加</w:t>
      </w:r>
      <w:r>
        <w:rPr>
          <w:rFonts w:hint="eastAsia" w:ascii="仿宋" w:hAnsi="仿宋" w:eastAsia="仿宋" w:cs="仿宋"/>
          <w:color w:val="000000"/>
          <w:kern w:val="0"/>
          <w:sz w:val="28"/>
          <w:szCs w:val="28"/>
          <w:highlight w:val="none"/>
          <w:lang w:val="en-US" w:eastAsia="zh-CN" w:bidi="ar-SA"/>
        </w:rPr>
        <w:t>。</w:t>
      </w:r>
    </w:p>
    <w:p w14:paraId="0D543431">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3252E4E">
      <w:pPr>
        <w:pStyle w:val="15"/>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1893.13万元，主要用于以下方面：一般公共服务（类）支出1554.15万元，占82.09%；教育（类）支出12.43万元，占0.66%；社会保障和就业（类）支出162.22万元，占8.57%；卫生健康（类）支出100.93万元，占5.33%；住房保障（类）支出63.4万元，占3.35%。</w:t>
      </w:r>
    </w:p>
    <w:p w14:paraId="558913B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4A1B7E9">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2024年度财政拨款支出年初预算数为1707.38万元，支出决算数为1893.13万元，完成年初预算的110.88%，其中：</w:t>
      </w:r>
    </w:p>
    <w:p w14:paraId="4810AF91">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一般公共服务支出（类）市场监督管理事务（款）行政运行（项）。年初预算为576.24万元，支出决算为728.42万元，完成年初预算的126.41%，决算数大于年初预算数的主要原因是：预算执行到了年底，行政运行存在经费不够的情况，调整了指标到行政运行。</w:t>
      </w:r>
    </w:p>
    <w:p w14:paraId="2641BD01">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2、一般公共服务支出（类）市场监督管理事务（款）市场主体管</w:t>
      </w:r>
    </w:p>
    <w:p w14:paraId="10E8F6E0">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理（项）。</w:t>
      </w:r>
    </w:p>
    <w:p w14:paraId="2551AED7">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年初预算为81.89万元，支出决算为70.17万元，完成年初预算的85.69%，决算数小于年初预算数的主要原因是：预算执行到了年底，行政运行存在经费不够的情况，从本项中调整了指标到行政运行。</w:t>
      </w:r>
    </w:p>
    <w:p w14:paraId="414D45C0">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3、一般公共服务支出（类）市场监督管理事务（款）质量基础（项）。</w:t>
      </w:r>
    </w:p>
    <w:p w14:paraId="19674176">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年初预算为649.05万元，支出决算为748.56万元，完成年初预算的115.33%，决算数大于年初预算数的主要原因是：用了去年棉花公检经费，所以决算数大于预算数。</w:t>
      </w:r>
    </w:p>
    <w:p w14:paraId="57E951C8">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4、一般公共服务支出（类）市场监督管理事务（款）其他市场监督管理事务（项）。</w:t>
      </w:r>
    </w:p>
    <w:p w14:paraId="335D2FBC">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33万元，支出决算为7万元，完成年初预算的21.21%，决算数小于年初预算数的主要原因是：检验检测能力提升、计量监管经费（棉花水份测定仪计量检定）、标准化三项指标年中资金压减，所以决算数小于年初预算数。</w:t>
      </w:r>
    </w:p>
    <w:p w14:paraId="2D9C86D9">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5、教育支出（类）进修及培训（款）培训支出（项）。</w:t>
      </w:r>
    </w:p>
    <w:p w14:paraId="43A6E2CF">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年初预算为25万元，支出决算为12.43万元，完成年初预算的49.72%，决算数小于年初预算数的主要原因是：预算执行到了年底，行政运行存在党建培训经费因工作原因未开展，所以决算数小于年初预算数。</w:t>
      </w:r>
      <w:bookmarkStart w:id="7" w:name="_GoBack"/>
      <w:bookmarkEnd w:id="7"/>
    </w:p>
    <w:p w14:paraId="3D027E1F">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社会保障和就业支出（类）行政事业单位养老支出（款）行政</w:t>
      </w:r>
    </w:p>
    <w:p w14:paraId="6DFA01A3">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单位离退休（项）。</w:t>
      </w:r>
    </w:p>
    <w:p w14:paraId="140C76A7">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年初预算为92.66万元，支出决算为92.16万元，完成年初预算的99.46%，决算数小于年初预算数的主要原因是：有一位退休人员，退休手续在年底未办理完毕，故补贴未发放有结余，年底指标已调整。</w:t>
      </w:r>
    </w:p>
    <w:p w14:paraId="73D256D8">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630" w:leftChars="0" w:firstLine="0" w:firstLine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社会保障和就业支出（类）行政事业单位养老支出（款）机关</w:t>
      </w:r>
    </w:p>
    <w:p w14:paraId="3746B33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事业单位基本养老保险缴费支出（项）。</w:t>
      </w:r>
    </w:p>
    <w:p w14:paraId="0CBD075A">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年初预算为68万元，支出决算为68万元，完成年初预算的100%，决算数等于年初预算数的主要原因是收支基本持平。</w:t>
      </w:r>
    </w:p>
    <w:p w14:paraId="6242D8E7">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8社会保障和就业支出（类）其他社会保障和就业支出（款）其他</w:t>
      </w:r>
    </w:p>
    <w:p w14:paraId="5FF11365">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社会保障和就业支出（项）。</w:t>
      </w:r>
    </w:p>
    <w:p w14:paraId="602BC890">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年初预算为2.06万元，支出决算为2.06万元，完成年初预算的100%，决算数等于年初预算数的主要原因是收支基本持平。</w:t>
      </w:r>
    </w:p>
    <w:p w14:paraId="379DA341">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9、卫生健康支出（类）行政事业单位医疗（款）行政单位医疗（项）。</w:t>
      </w:r>
    </w:p>
    <w:p w14:paraId="76A1314A">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年初预算为59.62万元，支出决算为57.07万元，完成年初预算的95.72%，决算数小于年初预算数的主要原因是：年底有一位退休人员，退休不用缴纳医保，故医疗保险未用完，年底指标已调整。</w:t>
      </w:r>
    </w:p>
    <w:p w14:paraId="4890DE01">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卫生健康支出（类）行政事业单位医疗（款）公务员医疗补助</w:t>
      </w:r>
    </w:p>
    <w:p w14:paraId="58ABAB54">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（项）。</w:t>
      </w:r>
    </w:p>
    <w:p w14:paraId="2F5525E4">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年初预算为47.36万元，支出决算为43.86万元，完成年初预算的92.61%，决算数小于年初预算数的主要原因是：年底有一位退休人员，退休不用缴纳，故未用完，年底指标已调整。</w:t>
      </w:r>
    </w:p>
    <w:p w14:paraId="2EBC6F7F">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11、住房保障支出（类）住房改革支出（款）住房公积金（项）。</w:t>
      </w:r>
    </w:p>
    <w:p w14:paraId="56378BDA">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年初预算为72.50万元，支出决算为63.40万元，完成年初预算的87.45%，决算数小于年初预算数的主要原因是：年底有一位退休人员，退休不用缴纳，故未用完，年底指标已调整。</w:t>
      </w:r>
    </w:p>
    <w:p w14:paraId="004A027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D623BE9">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2024年度财政拨款基本支出1054.97万元，其中：</w:t>
      </w:r>
    </w:p>
    <w:p w14:paraId="5547F7C3">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人员经费846.36万元，占基本支出的80.23%,主要包括基本工资、津贴补贴、奖金、伙食补助费、机关事业单位基本养老保险缴费、职工基本医疗保险缴费、公务员医疗补助缴费、其他社会保障缴费、住房公积金、退休费。</w:t>
      </w:r>
    </w:p>
    <w:p w14:paraId="27CD8AC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公用经费208.61万元，占基本支出的19.77%，主要包括办公费、印刷费、邮电费、差旅费、维修（护）费、培训费、专用材料费、委托业务费、公务接待费、工会经费、公务用车运行维护费、其他交通费用、其他商品和服务支出。</w:t>
      </w:r>
    </w:p>
    <w:p w14:paraId="3A20D83B">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05C8F2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29E82F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840" w:firstLineChars="3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三公”经费财政拨款支出预算为10万元，支出决算为8.69万元，完成预算的86.9%；与上年相比减少36.5万元，降低78.49%。决算数小于预算数的主要原因是：今年的公务接待有所减少。决算数小于上年数的主要原因是今年没有购置公务用车，今年的接待费预算也比去年减少，开支也比去年少。</w:t>
      </w:r>
    </w:p>
    <w:p w14:paraId="65B2567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3AD1378">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因公出国（境）费支出预算为0万元，支出决算为0万元，完成预算的100%；与上年相比增加（减少）0万元，增长（降低）0%。决算数大于（小于）预算数的主要原因是无此预算安排。决算数大于（小于）上年数的主要原因是无此预算安排。2024年安排因公出国（境）团组0个，累计0人次，无具体开支内容。</w:t>
      </w:r>
    </w:p>
    <w:p w14:paraId="1C9D01EC">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2、公务用车购置费及运行维护费支出决算为8万元，支出决算为8万元，完成预算的100%；与上年相比减少35.5万元，降低81.61%。其中：    </w:t>
      </w:r>
    </w:p>
    <w:p w14:paraId="2791305A">
      <w:pPr>
        <w:pStyle w:val="15"/>
        <w:overflowPunct w:val="0"/>
        <w:autoSpaceDE/>
        <w:autoSpaceDN/>
        <w:spacing w:line="600" w:lineRule="exact"/>
        <w:ind w:firstLine="560" w:firstLineChars="200"/>
        <w:jc w:val="both"/>
        <w:rPr>
          <w:rFonts w:ascii="Times New Roman" w:hAnsi="Times New Roman" w:eastAsia="仿宋_GB2312" w:cs="Times New Roman"/>
          <w:sz w:val="32"/>
          <w:szCs w:val="32"/>
        </w:rPr>
      </w:pPr>
      <w:r>
        <w:rPr>
          <w:rFonts w:hint="eastAsia" w:ascii="仿宋" w:hAnsi="仿宋" w:eastAsia="仿宋" w:cs="仿宋"/>
          <w:color w:val="000000"/>
          <w:kern w:val="0"/>
          <w:sz w:val="28"/>
          <w:szCs w:val="28"/>
          <w:highlight w:val="none"/>
          <w:lang w:val="en-US" w:eastAsia="zh-CN" w:bidi="ar-SA"/>
        </w:rPr>
        <w:t>公务用车购置费预算支出为0万元，支出决算为0万元，完成预算的100%；与上年相比减少27.5万元，降低100%。决算数等于预算数的主要原因是无此预算安排，决算数小于上年数的主要原因是今年没有买车的计划。湖南省纤维检测研究院本级更新公务用车0辆。</w:t>
      </w:r>
    </w:p>
    <w:p w14:paraId="39A7D0F2">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公务用车运行维护费支出预算为8万元，支出决算为8万元，主要是公务用车的燃油费、保险费、维修维护费、过桥过路费、司机节油奖励等支出，完成预算的100%；与上年相比减少8万元，降低50%。决算数等于预算数的主要原因是按计划进行开支。决算数小于上年数的主要原因是今年压缩开支。截至2024年12月31日，我单位开支财政拨款的公务用车保有量为2辆。</w:t>
      </w:r>
    </w:p>
    <w:p w14:paraId="49545CE1">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公务接待费支出预算为2万元，支出决算为0.69万元，完成预算的34.5%；与上年相比都是2万元，未增加也未减少。决算数小于预算数的主要原因是接待变少了。决算数大于上年数的主要原因是接待人数有所增加。2024年度共接待来访团组8个、来宾49人次。其中，国内公务接待来访团组8个、49人次，无国外接待批次人数。主要是各市州纤检机构、其他省份地区的纤检机构、高等院校来我单位调研、学习交流等公务活动发生的接待支出。</w:t>
      </w:r>
    </w:p>
    <w:p w14:paraId="5B90FD7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121E7177">
      <w:pPr>
        <w:pStyle w:val="15"/>
        <w:overflowPunct w:val="0"/>
        <w:autoSpaceDE/>
        <w:autoSpaceDN/>
        <w:spacing w:line="600" w:lineRule="exact"/>
        <w:ind w:firstLine="560" w:firstLineChars="200"/>
        <w:jc w:val="both"/>
        <w:rPr>
          <w:rFonts w:ascii="Times New Roman" w:hAnsi="Times New Roman" w:eastAsia="仿宋_GB2312" w:cs="Times New Roman"/>
          <w:sz w:val="32"/>
          <w:szCs w:val="32"/>
        </w:rPr>
      </w:pPr>
      <w:r>
        <w:rPr>
          <w:rFonts w:hint="eastAsia" w:ascii="仿宋" w:hAnsi="仿宋" w:eastAsia="仿宋" w:cs="仿宋"/>
          <w:color w:val="000000"/>
          <w:kern w:val="0"/>
          <w:sz w:val="28"/>
          <w:szCs w:val="28"/>
          <w:highlight w:val="none"/>
          <w:lang w:val="en-US" w:eastAsia="zh-CN" w:bidi="ar-SA"/>
        </w:rPr>
        <w:t>2024年度本单位无政府性基金收支。</w:t>
      </w:r>
    </w:p>
    <w:p w14:paraId="3A4035B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6227B7B3">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bidi="ar-SA"/>
        </w:rPr>
        <w:t>本院2024年度机关运行经费支出1910.46万元，比上年决算数增加62.25万元，增长3.37%。主要原因是：</w:t>
      </w:r>
      <w:r>
        <w:rPr>
          <w:rFonts w:hint="eastAsia" w:ascii="仿宋" w:hAnsi="仿宋" w:eastAsia="仿宋" w:cs="仿宋"/>
          <w:color w:val="000000"/>
          <w:kern w:val="0"/>
          <w:sz w:val="28"/>
          <w:szCs w:val="28"/>
          <w:highlight w:val="none"/>
          <w:lang w:val="en-US" w:eastAsia="zh-CN"/>
        </w:rPr>
        <w:t>社会保障支出增加，</w:t>
      </w:r>
      <w:r>
        <w:rPr>
          <w:rFonts w:hint="eastAsia" w:ascii="仿宋" w:hAnsi="仿宋" w:eastAsia="仿宋" w:cs="仿宋"/>
          <w:color w:val="000000"/>
          <w:kern w:val="0"/>
          <w:sz w:val="28"/>
          <w:szCs w:val="28"/>
          <w:highlight w:val="none"/>
          <w:lang w:val="en-US" w:eastAsia="zh-CN" w:bidi="ar-SA"/>
        </w:rPr>
        <w:t>导致支出也增加</w:t>
      </w:r>
      <w:r>
        <w:rPr>
          <w:rFonts w:hint="eastAsia" w:ascii="仿宋" w:hAnsi="仿宋" w:eastAsia="仿宋" w:cs="仿宋"/>
          <w:color w:val="000000"/>
          <w:kern w:val="0"/>
          <w:sz w:val="28"/>
          <w:szCs w:val="28"/>
          <w:highlight w:val="none"/>
        </w:rPr>
        <w:t>。</w:t>
      </w:r>
    </w:p>
    <w:p w14:paraId="4827D8D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5F60EAF">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bidi="ar-SA"/>
        </w:rPr>
        <w:t>2024年我院开支会议费0万元，未召开会议；开支培训费12.43万元，用于开展内部人员送外培训和标准法规培训，人数191人，内容为相关检验检测业务培训、标准法规培训；未举办节庆、晚会、论坛、赛事活动，开支0万元</w:t>
      </w:r>
      <w:r>
        <w:rPr>
          <w:rFonts w:hint="eastAsia" w:ascii="仿宋" w:hAnsi="仿宋" w:eastAsia="仿宋" w:cs="仿宋"/>
          <w:color w:val="000000"/>
          <w:kern w:val="0"/>
          <w:sz w:val="28"/>
          <w:szCs w:val="28"/>
          <w:highlight w:val="none"/>
        </w:rPr>
        <w:t>。</w:t>
      </w:r>
    </w:p>
    <w:p w14:paraId="1017074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2D0EB8D8">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本院2024年度未采购政府限额标准以上的货物、服务、工程，政府采购支出总额0万元。其中：政府采购工程支出0万元，占比0%；政府采购货物支出0万元，占比0%；政府采购服务支出0万元，占比0%。授予中小企业合同金额0万元，占政府采购支出总额的0%，其中：授予小微企业合同金额0万元，占授予中小企业合同金额的0%；货物采购授予中小企业合同金额为0万元，占政府采购支出金额的0%，工程采购授予中小企业合同金额为0元，占工程支出金额的0%，服务采购金额0万元，授予中小企业合同金额占服务支出金额的0%。</w:t>
      </w:r>
    </w:p>
    <w:p w14:paraId="7AB427D2">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232EF4CF">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截至2024年12月31日，本单位共有车辆2辆，其中，副部（省）级及以上领导用车0辆、主要负责人用车0辆、机要通信用车0辆、应急保障用车0辆、执法执勤用车0辆、特种专业技术用车0辆、离退休干部服务用车0辆、其他用车2辆，其他用车主要是单位正常外出抽样业务，外出检验检测业务等；单位价值100万元以上设备（不含车辆）6台（套）</w:t>
      </w:r>
      <w:r>
        <w:rPr>
          <w:rFonts w:hint="eastAsia" w:ascii="仿宋" w:hAnsi="仿宋" w:eastAsia="仿宋" w:cs="仿宋"/>
          <w:color w:val="auto"/>
          <w:kern w:val="0"/>
          <w:sz w:val="28"/>
          <w:szCs w:val="28"/>
          <w:highlight w:val="none"/>
          <w:lang w:val="en-US" w:eastAsia="zh-CN" w:bidi="ar-SA"/>
        </w:rPr>
        <w:t>。</w:t>
      </w:r>
    </w:p>
    <w:p w14:paraId="57ECAF23">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D392552">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color w:val="000000"/>
          <w:kern w:val="0"/>
          <w:sz w:val="28"/>
          <w:szCs w:val="28"/>
          <w:highlight w:val="none"/>
          <w:lang w:val="en-US" w:eastAsia="zh-CN" w:bidi="ar-SA"/>
        </w:rPr>
      </w:pPr>
      <w:r>
        <w:rPr>
          <w:rFonts w:ascii="Times New Roman" w:hAnsi="Times New Roman" w:eastAsia="楷体_GB2312" w:cs="Times New Roman"/>
          <w:b/>
          <w:bCs/>
          <w:sz w:val="32"/>
          <w:szCs w:val="32"/>
        </w:rPr>
        <w:t>（一）绩效评价工作开展情况。</w:t>
      </w:r>
      <w:r>
        <w:rPr>
          <w:rFonts w:hint="eastAsia" w:ascii="仿宋" w:hAnsi="仿宋" w:eastAsia="仿宋" w:cs="仿宋"/>
          <w:color w:val="000000"/>
          <w:kern w:val="0"/>
          <w:sz w:val="28"/>
          <w:szCs w:val="28"/>
          <w:highlight w:val="none"/>
          <w:lang w:val="en-US" w:eastAsia="zh-CN" w:bidi="ar-SA"/>
        </w:rPr>
        <w:t>零基预算改革让我院预算编制更科学化：一是打破“基数+增长”模式，以检验检测职能为核心，围绕纤维质量安全监管、标准制修订、实验室能力建设等重点工作，逐项论证项目必要性、合理性，优化资金分配。二是资源整合效率提升：重点保障纤维质量监督抽查、仪器设备更新、科研攻关等关键领域，压缩非必要行政开支。三是动态调整机制：根据突发任务（如应急抽检、新纤维标准出台）灵活调整预算，增强财政资金应对行业变化的适配性。</w:t>
      </w:r>
    </w:p>
    <w:p w14:paraId="2F901BF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预算支出的绩效目标全部如期完成。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针刺平面毡》行业标准顺利完成；2024年承担的棉花公检任务为：质量检验61342吨，数量检验34258吨，如期全部完成。</w:t>
      </w:r>
    </w:p>
    <w:p w14:paraId="14861F2D">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color w:val="000000"/>
          <w:kern w:val="0"/>
          <w:sz w:val="28"/>
          <w:szCs w:val="28"/>
          <w:highlight w:val="none"/>
          <w:lang w:val="en-US" w:eastAsia="zh-CN" w:bidi="ar-SA"/>
        </w:rPr>
      </w:pPr>
      <w:r>
        <w:rPr>
          <w:rFonts w:ascii="Times New Roman" w:hAnsi="Times New Roman" w:eastAsia="楷体_GB2312" w:cs="Times New Roman"/>
          <w:b/>
          <w:bCs/>
          <w:sz w:val="32"/>
          <w:szCs w:val="32"/>
        </w:rPr>
        <w:t>（二）绩效评价结果。</w:t>
      </w:r>
      <w:r>
        <w:rPr>
          <w:rFonts w:hint="eastAsia" w:ascii="仿宋" w:hAnsi="仿宋" w:eastAsia="仿宋" w:cs="仿宋"/>
          <w:color w:val="000000"/>
          <w:kern w:val="0"/>
          <w:sz w:val="28"/>
          <w:szCs w:val="28"/>
          <w:highlight w:val="none"/>
          <w:lang w:val="en-US" w:eastAsia="zh-CN" w:bidi="ar-SA"/>
        </w:rPr>
        <w:t>2024年度整体支出全年预算数1708.12万元，执行数2156.79万元，完成预算的126.27%，绩效自评得分100分，评价等级为“优秀”。绩效目标完成情况：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14:paraId="1656F5D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标准化。该项目经费2024年预算3万元，应到位3万元，实际到位3万元。实际支付3万元，支付执行率100%。为其他商品服务支出3万元。</w:t>
      </w:r>
    </w:p>
    <w:p w14:paraId="6178306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计量监管经费。该项目经费2024年预算4万元，应到位4万元，实际到位4万元。实际支付4万元，支付执行率100%。具体为：其他交通费用0.69万元、劳务费1.5万元、差旅费1.81万元。</w:t>
      </w:r>
    </w:p>
    <w:p w14:paraId="0CDEB63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纤维公证检验经费。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14:paraId="2EBC4BA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14:paraId="1492543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2023年度省直机关单位绩效清算经费。该项目是年中追加指标，用于发放上一年度省政府绩效考核奖金。该项目经费应到位15.8万元，实际到位15.8万元。实际支付15.8万元，支付执行率100%。</w:t>
      </w:r>
    </w:p>
    <w:p w14:paraId="0D351479">
      <w:pPr>
        <w:keepNext w:val="0"/>
        <w:keepLines w:val="0"/>
        <w:pageBreakBefore w:val="0"/>
        <w:widowControl/>
        <w:numPr>
          <w:ilvl w:val="0"/>
          <w:numId w:val="3"/>
        </w:numPr>
        <w:kinsoku/>
        <w:wordWrap/>
        <w:overflowPunct/>
        <w:topLinePunct w:val="0"/>
        <w:autoSpaceDE w:val="0"/>
        <w:autoSpaceDN w:val="0"/>
        <w:bidi w:val="0"/>
        <w:adjustRightInd w:val="0"/>
        <w:snapToGrid w:val="0"/>
        <w:spacing w:line="500" w:lineRule="exact"/>
        <w:textAlignment w:val="auto"/>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7E26BDF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 1.资产情况。我中心2024年底资产总额为4006.82万元，其中固定资产原值69.0.02万元，固定资产净值3588.85万元，无形资产原值38.72万元，无形资产净值17.56万元。</w:t>
      </w:r>
    </w:p>
    <w:p w14:paraId="312B5FE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财务管理。严格执行“无预算不支出”原则，严禁超预算或无预算支出，不得擅自改变预算资金支出用途。建立预算执行进度考核机制，实施预算执行进度通报和监督检查制度，促进预算资金均衡使用；按照预算和活动进度安排各项支出，资金的使用应严格执行国家规定的开支范围和标准，按照授权范围进行审批，据实列报各项费用。加强对专项资金的管理和监督，保证专款专用，严禁挤占、挪用专项资金；明确资产管理范围，根据相关规定对资产合理分类，明确各类资产的归口管理部门，规范资产管理业务流程，落实资产管理责任制度，使各项资产都有相关人员负责；不定期对本单位资产进行清查盘点，确保资产账、财务账、资产实物账账相符、账实相符。对账实不符的资产，除调账外应及时查明原因并予以处理；完善会计核算制度，强化会计监督，保证单位各项活动均符合国家法律法规和内部管理的有关规定，确保对外提供会计信息的真实性、准确性和完整性。</w:t>
      </w:r>
    </w:p>
    <w:p w14:paraId="26C93AF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政府采购。结合单位实际采购需求，提前充分理解采购相关文件精神，根据实际需求逐条逐项列出需要采购的货物名称、数量、单价等信息并准确录入采购系统，避免盲目、重复采购；严格按照批准的预算执行采购活动，无预算不采购，凡未编制政府采购预算的，处党委会研究同意外，均不能开展政府采购活动。涉及项目金额需要调整、追加、结转的，均需要按照预算管理权限进行；对于小额零星货物和服务，都是在政采云网站采购。</w:t>
      </w:r>
    </w:p>
    <w:p w14:paraId="2F547A4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p>
    <w:p w14:paraId="5CCD3E6E">
      <w:pPr>
        <w:pStyle w:val="15"/>
        <w:jc w:val="center"/>
        <w:rPr>
          <w:rFonts w:ascii="Times New Roman" w:hAnsi="Times New Roman" w:cs="Times New Roman"/>
          <w:sz w:val="72"/>
          <w:szCs w:val="72"/>
        </w:rPr>
      </w:pPr>
    </w:p>
    <w:p w14:paraId="39C36513">
      <w:pPr>
        <w:pStyle w:val="15"/>
        <w:jc w:val="both"/>
        <w:rPr>
          <w:rFonts w:ascii="Times New Roman" w:hAnsi="Times New Roman" w:cs="Times New Roman"/>
          <w:sz w:val="72"/>
          <w:szCs w:val="72"/>
        </w:rPr>
      </w:pPr>
    </w:p>
    <w:p w14:paraId="1548AB6B">
      <w:pPr>
        <w:pStyle w:val="15"/>
        <w:spacing w:line="360" w:lineRule="auto"/>
        <w:jc w:val="center"/>
        <w:rPr>
          <w:rFonts w:ascii="Times New Roman" w:hAnsi="Times New Roman" w:eastAsia="方正小标宋_GBK" w:cs="Times New Roman"/>
          <w:sz w:val="52"/>
          <w:szCs w:val="52"/>
        </w:rPr>
      </w:pPr>
    </w:p>
    <w:p w14:paraId="7099E80F">
      <w:pPr>
        <w:pStyle w:val="15"/>
        <w:spacing w:line="360" w:lineRule="auto"/>
        <w:jc w:val="center"/>
        <w:rPr>
          <w:rFonts w:ascii="Times New Roman" w:hAnsi="Times New Roman" w:eastAsia="方正小标宋_GBK" w:cs="Times New Roman"/>
          <w:sz w:val="52"/>
          <w:szCs w:val="52"/>
        </w:rPr>
      </w:pPr>
    </w:p>
    <w:p w14:paraId="62399599">
      <w:pPr>
        <w:pStyle w:val="15"/>
        <w:spacing w:line="360" w:lineRule="auto"/>
        <w:jc w:val="center"/>
        <w:rPr>
          <w:rFonts w:ascii="Times New Roman" w:hAnsi="Times New Roman" w:eastAsia="方正小标宋_GBK" w:cs="Times New Roman"/>
          <w:sz w:val="52"/>
          <w:szCs w:val="52"/>
        </w:rPr>
      </w:pPr>
    </w:p>
    <w:p w14:paraId="44A51508">
      <w:pPr>
        <w:pStyle w:val="15"/>
        <w:spacing w:line="360" w:lineRule="auto"/>
        <w:jc w:val="center"/>
        <w:rPr>
          <w:rFonts w:ascii="Times New Roman" w:hAnsi="Times New Roman" w:eastAsia="方正小标宋_GBK" w:cs="Times New Roman"/>
          <w:sz w:val="52"/>
          <w:szCs w:val="52"/>
        </w:rPr>
      </w:pPr>
    </w:p>
    <w:p w14:paraId="553EB57B">
      <w:pPr>
        <w:pStyle w:val="15"/>
        <w:spacing w:line="360" w:lineRule="auto"/>
        <w:jc w:val="center"/>
        <w:rPr>
          <w:rFonts w:ascii="Times New Roman" w:hAnsi="Times New Roman" w:eastAsia="方正小标宋_GBK" w:cs="Times New Roman"/>
          <w:sz w:val="52"/>
          <w:szCs w:val="52"/>
        </w:rPr>
      </w:pPr>
    </w:p>
    <w:p w14:paraId="6F8FFA4B">
      <w:pPr>
        <w:pStyle w:val="15"/>
        <w:spacing w:line="360" w:lineRule="auto"/>
        <w:jc w:val="center"/>
        <w:rPr>
          <w:rFonts w:ascii="Times New Roman" w:hAnsi="Times New Roman" w:eastAsia="方正小标宋_GBK" w:cs="Times New Roman"/>
          <w:sz w:val="52"/>
          <w:szCs w:val="52"/>
        </w:rPr>
      </w:pPr>
    </w:p>
    <w:p w14:paraId="6A4B87E3">
      <w:pPr>
        <w:pStyle w:val="15"/>
        <w:spacing w:line="360" w:lineRule="auto"/>
        <w:jc w:val="center"/>
        <w:rPr>
          <w:rFonts w:ascii="Times New Roman" w:hAnsi="Times New Roman" w:eastAsia="方正小标宋_GBK" w:cs="Times New Roman"/>
          <w:sz w:val="52"/>
          <w:szCs w:val="52"/>
        </w:rPr>
      </w:pPr>
    </w:p>
    <w:p w14:paraId="39C0963B">
      <w:pPr>
        <w:pStyle w:val="15"/>
        <w:spacing w:line="360" w:lineRule="auto"/>
        <w:jc w:val="center"/>
        <w:rPr>
          <w:rFonts w:ascii="Times New Roman" w:hAnsi="Times New Roman" w:eastAsia="方正小标宋_GBK" w:cs="Times New Roman"/>
          <w:sz w:val="52"/>
          <w:szCs w:val="52"/>
        </w:rPr>
      </w:pPr>
    </w:p>
    <w:p w14:paraId="15FED9CF">
      <w:pPr>
        <w:pStyle w:val="15"/>
        <w:spacing w:line="360" w:lineRule="auto"/>
        <w:jc w:val="center"/>
        <w:rPr>
          <w:rFonts w:ascii="Times New Roman" w:hAnsi="Times New Roman" w:eastAsia="方正小标宋_GBK" w:cs="Times New Roman"/>
          <w:sz w:val="52"/>
          <w:szCs w:val="52"/>
        </w:rPr>
      </w:pPr>
    </w:p>
    <w:p w14:paraId="546BE930">
      <w:pPr>
        <w:pStyle w:val="15"/>
        <w:spacing w:line="360" w:lineRule="auto"/>
        <w:jc w:val="center"/>
        <w:rPr>
          <w:rFonts w:ascii="Times New Roman" w:hAnsi="Times New Roman" w:eastAsia="方正小标宋_GBK" w:cs="Times New Roman"/>
          <w:sz w:val="52"/>
          <w:szCs w:val="52"/>
        </w:rPr>
      </w:pPr>
    </w:p>
    <w:p w14:paraId="434B7019">
      <w:pPr>
        <w:pStyle w:val="15"/>
        <w:spacing w:line="360" w:lineRule="auto"/>
        <w:jc w:val="center"/>
        <w:rPr>
          <w:rFonts w:ascii="Times New Roman" w:hAnsi="Times New Roman" w:eastAsia="方正小标宋_GBK" w:cs="Times New Roman"/>
          <w:sz w:val="52"/>
          <w:szCs w:val="52"/>
        </w:rPr>
      </w:pPr>
    </w:p>
    <w:p w14:paraId="451B2C1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12E4EA4">
      <w:pPr>
        <w:widowControl/>
        <w:jc w:val="left"/>
        <w:rPr>
          <w:rFonts w:ascii="Times New Roman" w:hAnsi="Times New Roman" w:cs="Times New Roman"/>
          <w:color w:val="000000"/>
          <w:kern w:val="0"/>
          <w:sz w:val="32"/>
          <w:szCs w:val="32"/>
        </w:rPr>
      </w:pPr>
    </w:p>
    <w:p w14:paraId="71FBA189">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一、一般公共预算财政拨款：本级财政单位当年拨付的财政预算资金。</w:t>
      </w:r>
    </w:p>
    <w:p w14:paraId="78A99203">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二、其他收入：预算单位在“财政拨款、事业收入、经营收入、上级补助收入、附属单位缴款收入”等之外取得的各项收入。</w:t>
      </w:r>
    </w:p>
    <w:p w14:paraId="5AE492F9">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三、基本支出：是预算单位为保障其正常运转，完成日常工作任务所发生的支出，包括人员支出和日常公用支出。</w:t>
      </w:r>
    </w:p>
    <w:p w14:paraId="4ED59AE5">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四、项目支出：是预算单位为完成其特定的行政工作任务或事业发展目标所发生的支出。</w:t>
      </w:r>
    </w:p>
    <w:p w14:paraId="0959936E">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五、三公经费：政府单位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14:paraId="7FD23409">
      <w:pPr>
        <w:pStyle w:val="1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bCs/>
          <w:i/>
          <w:color w:val="auto"/>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六、机关运行经费：反映行政单位和参照公务员法管理事业单位履行一般行政管理职能、维持机关日常运转所必需的，用公共预算财政拨款开支的费用，包括办公及印刷费、水电费、邮电费、取暖费、交通费、差旅费、会议费、福利费、物业管理费、日常维修费、专用材料费、一般购置费等费用。</w:t>
      </w:r>
    </w:p>
    <w:p w14:paraId="62869266">
      <w:pPr>
        <w:pStyle w:val="15"/>
        <w:spacing w:line="600" w:lineRule="exact"/>
        <w:ind w:firstLine="640" w:firstLineChars="200"/>
        <w:rPr>
          <w:rFonts w:ascii="Times New Roman" w:hAnsi="Times New Roman" w:eastAsia="楷体_GB2312" w:cs="Times New Roman"/>
          <w:b/>
          <w:bCs/>
          <w:i/>
          <w:color w:val="auto"/>
          <w:sz w:val="32"/>
          <w:szCs w:val="32"/>
        </w:rPr>
      </w:pPr>
    </w:p>
    <w:p w14:paraId="1BC17EAA">
      <w:pPr>
        <w:pStyle w:val="15"/>
        <w:jc w:val="center"/>
        <w:rPr>
          <w:rFonts w:ascii="Times New Roman" w:hAnsi="Times New Roman" w:cs="Times New Roman"/>
          <w:sz w:val="72"/>
          <w:szCs w:val="72"/>
        </w:rPr>
      </w:pPr>
    </w:p>
    <w:p w14:paraId="0A1A7503">
      <w:pPr>
        <w:pStyle w:val="15"/>
        <w:jc w:val="center"/>
        <w:rPr>
          <w:rFonts w:ascii="Times New Roman" w:hAnsi="Times New Roman" w:cs="Times New Roman"/>
          <w:sz w:val="72"/>
          <w:szCs w:val="72"/>
        </w:rPr>
      </w:pPr>
    </w:p>
    <w:p w14:paraId="28552A71">
      <w:pPr>
        <w:pStyle w:val="15"/>
        <w:jc w:val="center"/>
        <w:rPr>
          <w:rFonts w:ascii="Times New Roman" w:hAnsi="Times New Roman" w:cs="Times New Roman"/>
          <w:sz w:val="72"/>
          <w:szCs w:val="72"/>
        </w:rPr>
      </w:pPr>
    </w:p>
    <w:p w14:paraId="083648CF">
      <w:pPr>
        <w:pStyle w:val="15"/>
        <w:jc w:val="center"/>
        <w:rPr>
          <w:rFonts w:ascii="Times New Roman" w:hAnsi="Times New Roman" w:cs="Times New Roman"/>
          <w:sz w:val="72"/>
          <w:szCs w:val="72"/>
        </w:rPr>
      </w:pPr>
    </w:p>
    <w:p w14:paraId="6A840FAA">
      <w:pPr>
        <w:pStyle w:val="15"/>
        <w:jc w:val="center"/>
        <w:rPr>
          <w:rFonts w:ascii="Times New Roman" w:hAnsi="Times New Roman" w:cs="Times New Roman"/>
          <w:sz w:val="72"/>
          <w:szCs w:val="72"/>
        </w:rPr>
      </w:pPr>
    </w:p>
    <w:p w14:paraId="7688C5BC">
      <w:pPr>
        <w:pStyle w:val="15"/>
        <w:jc w:val="center"/>
        <w:rPr>
          <w:rFonts w:ascii="Times New Roman" w:hAnsi="Times New Roman" w:cs="Times New Roman"/>
          <w:sz w:val="72"/>
          <w:szCs w:val="72"/>
        </w:rPr>
      </w:pPr>
    </w:p>
    <w:p w14:paraId="1341FBEE">
      <w:pPr>
        <w:pStyle w:val="15"/>
        <w:jc w:val="center"/>
        <w:rPr>
          <w:rFonts w:ascii="Times New Roman" w:hAnsi="Times New Roman" w:cs="Times New Roman"/>
          <w:sz w:val="72"/>
          <w:szCs w:val="72"/>
        </w:rPr>
      </w:pPr>
    </w:p>
    <w:p w14:paraId="3CD7E28D">
      <w:pPr>
        <w:pStyle w:val="15"/>
        <w:jc w:val="both"/>
        <w:rPr>
          <w:rFonts w:ascii="Times New Roman" w:hAnsi="Times New Roman" w:cs="Times New Roman"/>
          <w:sz w:val="72"/>
          <w:szCs w:val="72"/>
        </w:rPr>
      </w:pPr>
    </w:p>
    <w:p w14:paraId="13AE1B2D">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5F31F1A">
      <w:pPr>
        <w:rPr>
          <w:rFonts w:ascii="Times New Roman" w:hAnsi="Times New Roman" w:cs="Times New Roman"/>
          <w:sz w:val="72"/>
          <w:szCs w:val="72"/>
        </w:rPr>
      </w:pPr>
    </w:p>
    <w:p w14:paraId="2975AACA">
      <w:pPr>
        <w:rPr>
          <w:rFonts w:ascii="Times New Roman" w:hAnsi="Times New Roman" w:cs="Times New Roman"/>
          <w:sz w:val="72"/>
          <w:szCs w:val="72"/>
        </w:rPr>
      </w:pPr>
    </w:p>
    <w:p w14:paraId="020D076E">
      <w:pPr>
        <w:rPr>
          <w:rFonts w:ascii="Times New Roman" w:hAnsi="Times New Roman" w:cs="Times New Roman"/>
          <w:sz w:val="72"/>
          <w:szCs w:val="72"/>
        </w:rPr>
      </w:pPr>
    </w:p>
    <w:p w14:paraId="184F961B">
      <w:pPr>
        <w:rPr>
          <w:rFonts w:ascii="Times New Roman" w:hAnsi="Times New Roman" w:cs="Times New Roman"/>
          <w:sz w:val="72"/>
          <w:szCs w:val="72"/>
        </w:rPr>
      </w:pPr>
    </w:p>
    <w:p w14:paraId="4B4A8DE4">
      <w:pPr>
        <w:rPr>
          <w:rFonts w:ascii="Times New Roman" w:hAnsi="Times New Roman" w:cs="Times New Roman"/>
          <w:sz w:val="72"/>
          <w:szCs w:val="72"/>
        </w:rPr>
      </w:pPr>
    </w:p>
    <w:p w14:paraId="5330A679">
      <w:pPr>
        <w:rPr>
          <w:rFonts w:ascii="Times New Roman" w:hAnsi="Times New Roman" w:cs="Times New Roman"/>
          <w:sz w:val="72"/>
          <w:szCs w:val="72"/>
        </w:rPr>
      </w:pPr>
    </w:p>
    <w:p w14:paraId="46B16842">
      <w:pPr>
        <w:rPr>
          <w:rFonts w:ascii="Times New Roman" w:hAnsi="Times New Roman" w:cs="Times New Roman"/>
          <w:sz w:val="72"/>
          <w:szCs w:val="72"/>
        </w:rPr>
      </w:pPr>
    </w:p>
    <w:p w14:paraId="698796BA">
      <w:pPr>
        <w:rPr>
          <w:rFonts w:ascii="Times New Roman" w:hAnsi="Times New Roman" w:cs="Times New Roman"/>
          <w:sz w:val="72"/>
          <w:szCs w:val="72"/>
        </w:rPr>
      </w:pPr>
    </w:p>
    <w:p w14:paraId="666D4FCB">
      <w:pPr>
        <w:autoSpaceDE/>
        <w:autoSpaceDN/>
        <w:spacing w:line="625" w:lineRule="exact"/>
        <w:ind w:left="0" w:leftChars="0" w:firstLine="0" w:firstLineChars="0"/>
        <w:jc w:val="both"/>
        <w:rPr>
          <w:rFonts w:hint="eastAsia" w:ascii="宋体" w:hAnsi="宋体" w:eastAsia="宋体" w:cs="宋体"/>
          <w:b/>
          <w:bCs/>
          <w:color w:val="auto"/>
          <w:sz w:val="44"/>
          <w:szCs w:val="44"/>
        </w:rPr>
      </w:pPr>
    </w:p>
    <w:p w14:paraId="63FB9DFD">
      <w:pPr>
        <w:autoSpaceDE/>
        <w:autoSpaceDN/>
        <w:spacing w:line="625" w:lineRule="exact"/>
        <w:ind w:left="0" w:leftChars="0"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rPr>
        <w:t>年度</w:t>
      </w:r>
      <w:r>
        <w:rPr>
          <w:rFonts w:hint="eastAsia" w:ascii="宋体" w:hAnsi="宋体" w:eastAsia="宋体" w:cs="宋体"/>
          <w:b/>
          <w:bCs/>
          <w:color w:val="auto"/>
          <w:sz w:val="44"/>
          <w:szCs w:val="44"/>
          <w:lang w:eastAsia="zh-CN"/>
        </w:rPr>
        <w:t>湖南省纤维质量监测中心</w:t>
      </w:r>
    </w:p>
    <w:p w14:paraId="6A45D754">
      <w:pPr>
        <w:autoSpaceDE/>
        <w:autoSpaceDN/>
        <w:spacing w:line="625" w:lineRule="exact"/>
        <w:ind w:left="0" w:leftChars="0" w:firstLine="0" w:firstLineChars="0"/>
        <w:jc w:val="center"/>
        <w:rPr>
          <w:rFonts w:ascii="Times New Roman" w:hAnsi="Times New Roman" w:eastAsia="方正小标宋_GBK" w:cs="Times New Roman"/>
          <w:color w:val="auto"/>
          <w:sz w:val="44"/>
          <w:szCs w:val="44"/>
        </w:rPr>
      </w:pPr>
      <w:r>
        <w:rPr>
          <w:rFonts w:hint="eastAsia" w:ascii="宋体" w:hAnsi="宋体" w:eastAsia="宋体" w:cs="宋体"/>
          <w:b/>
          <w:bCs/>
          <w:color w:val="auto"/>
          <w:sz w:val="44"/>
          <w:szCs w:val="44"/>
        </w:rPr>
        <w:t>整体支出绩效自评报告</w:t>
      </w:r>
    </w:p>
    <w:p w14:paraId="281BDAD7">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14:paraId="613655FD">
      <w:pPr>
        <w:pStyle w:val="2"/>
        <w:numPr>
          <w:ilvl w:val="0"/>
          <w:numId w:val="4"/>
        </w:numPr>
        <w:bidi w:val="0"/>
        <w:rPr>
          <w:rFonts w:hint="eastAsia"/>
        </w:rPr>
      </w:pPr>
      <w:r>
        <w:rPr>
          <w:rFonts w:hint="eastAsia"/>
        </w:rPr>
        <w:t>单位基本情况</w:t>
      </w:r>
    </w:p>
    <w:p w14:paraId="198D574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（一）职能职责</w:t>
      </w:r>
    </w:p>
    <w:p w14:paraId="66AA5E7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1.承担棉花、苎麻等纤维质量公证检验,纤维及纤维制品监测、科研等相关事务性职能。</w:t>
      </w:r>
    </w:p>
    <w:p w14:paraId="78784FA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2.承担纤维及纤维制品质量监督管理、行政执法、监督抽查、品质调查、评价评估、风险监测、执法办案、投诉举报的相关事务性工作。</w:t>
      </w:r>
    </w:p>
    <w:p w14:paraId="720642E8">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3.承担纤维及纤维制品质量复检、质量抽验、仲裁检验工作。</w:t>
      </w:r>
    </w:p>
    <w:p w14:paraId="03CD73F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4.承担纤维及纤维制品质量监测体系建设工作,承担纤维质量追溯体系建设。</w:t>
      </w:r>
    </w:p>
    <w:p w14:paraId="45B5D4B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5.承担国家苎麻产品质量检验检测中心日常工作。</w:t>
      </w:r>
    </w:p>
    <w:p w14:paraId="7F4C3DF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6.承担纤维及纤维制品的标准制修订、培训交流、检测技术开发工作。</w:t>
      </w:r>
    </w:p>
    <w:p w14:paraId="7CC6B14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7.承担全省纤维及纤维制品专用计量器具的检定、校准工作。</w:t>
      </w:r>
    </w:p>
    <w:p w14:paraId="27318FD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8.向社会提供纤维质量检测相关技术服务。</w:t>
      </w:r>
    </w:p>
    <w:p w14:paraId="70C805B1">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（二）机构设置</w:t>
      </w:r>
    </w:p>
    <w:p w14:paraId="3F6AB440">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内设综合部、党务人事部、质保法制部、质量监测部、棉花公检部、质量检验部共6个部门。具体为：</w:t>
      </w:r>
    </w:p>
    <w:p w14:paraId="1226982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1.综合部。负责文秘、财务、宣传、机要、安全、保密、 信访、政务公开、后勤管理、信息化建设等工作。</w:t>
      </w:r>
    </w:p>
    <w:p w14:paraId="369AD54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2.党务人事部。负责党建、群团、纪检监察、人事、离退休人员管理、工会等工作。</w:t>
      </w:r>
    </w:p>
    <w:p w14:paraId="4B0253F9">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3.质保法制部。负责质量管理、法规宣教工作。负责对本省棉花、苎麻等纤维公检工作质量的抽查抽验。</w:t>
      </w:r>
    </w:p>
    <w:p w14:paraId="4E3A935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4.质量监测部。负责纤维和纤维制品质量监测工作。承担苎麻产品国抽的抽样、纤维和纤维制品质量监督管理、行政执法、投诉举报的相关事务性工作。</w:t>
      </w:r>
    </w:p>
    <w:p w14:paraId="77E85E26">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5.棉花公检部。负责棉花公证检验和絮棉制品检验工作。负责全省棉花检验技术管理、标准制修订、科研工作,组织全省棉花检验技术交流活动。承担全省纤维计量检定站日常工作。</w:t>
      </w:r>
    </w:p>
    <w:p w14:paraId="0B020D7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rPr>
          <w:rFonts w:hint="eastAsia"/>
        </w:rPr>
      </w:pPr>
      <w:r>
        <w:rPr>
          <w:rFonts w:hint="eastAsia" w:ascii="宋体" w:hAnsi="宋体" w:eastAsia="宋体" w:cs="宋体"/>
          <w:snapToGrid w:val="0"/>
          <w:color w:val="000000"/>
          <w:kern w:val="0"/>
          <w:sz w:val="28"/>
          <w:szCs w:val="28"/>
          <w:lang w:val="en-US" w:eastAsia="zh-CN" w:bidi="ar-SA"/>
        </w:rPr>
        <w:t>6.质量检验部。承担苎麻的公证检验工作.承担非棉纤维和纤维和纤维制品的检验、科研、检测技术开发和标准制修订工作。</w:t>
      </w:r>
    </w:p>
    <w:p w14:paraId="54E0A6F0">
      <w:pPr>
        <w:pStyle w:val="2"/>
        <w:bidi w:val="0"/>
        <w:rPr>
          <w:rFonts w:hint="eastAsia"/>
          <w:highlight w:val="none"/>
        </w:rPr>
      </w:pPr>
      <w:r>
        <w:rPr>
          <w:rFonts w:hint="eastAsia"/>
          <w:highlight w:val="none"/>
        </w:rPr>
        <w:t>二、一般公共预算支出情况</w:t>
      </w:r>
    </w:p>
    <w:p w14:paraId="1720CD52">
      <w:pPr>
        <w:pStyle w:val="16"/>
        <w:autoSpaceDE/>
        <w:autoSpaceDN/>
        <w:spacing w:line="625" w:lineRule="exact"/>
        <w:ind w:firstLine="64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（一）基本支出情况</w:t>
      </w:r>
    </w:p>
    <w:p w14:paraId="0A6801C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bCs/>
          <w:color w:val="auto"/>
          <w:sz w:val="28"/>
          <w:szCs w:val="28"/>
        </w:rPr>
      </w:pPr>
      <w:r>
        <w:rPr>
          <w:rFonts w:hint="eastAsia" w:ascii="宋体" w:hAnsi="宋体" w:eastAsia="宋体" w:cs="宋体"/>
          <w:snapToGrid w:val="0"/>
          <w:color w:val="000000"/>
          <w:sz w:val="28"/>
          <w:szCs w:val="28"/>
          <w:lang w:val="en-US" w:eastAsia="zh-CN" w:bidi="ar-SA"/>
        </w:rPr>
        <w:t>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w:t>
      </w:r>
    </w:p>
    <w:p w14:paraId="4A420054">
      <w:pPr>
        <w:pStyle w:val="16"/>
        <w:numPr>
          <w:ilvl w:val="0"/>
          <w:numId w:val="5"/>
        </w:numPr>
        <w:autoSpaceDE/>
        <w:autoSpaceDN/>
        <w:spacing w:line="625" w:lineRule="exact"/>
        <w:ind w:firstLine="64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项目支出情况</w:t>
      </w:r>
    </w:p>
    <w:p w14:paraId="62837FA3">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项目支出系我院为做好纤检工作而发生的各项支出，包括市场监管专项经费、业务工作经费和运行维护经费。项目支出指标金额合计1164.74万元，含年初预算数299万元，追加指标423.80万元，上年度结转结余441.94万元。全年实际支出合计934万元，结余230.74万元。项目支出指标预算执行率80.19%（不包含棉花公检费预算执行率为99.97%）。项目资金结余230.74万元，结余资金实际主要是棉花公检费，占结余资金的99.97%，棉花公检经费是中央资金，它的拨付具备特殊性，一般在每年的2月和6月分两次拨付，而我院一般在10月至下年4月赴疆开展棉花公检工作，需要预留一定资金予以保障。项目支出具体情况如下：</w:t>
      </w:r>
    </w:p>
    <w:p w14:paraId="04C2768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产商品质量抽查与风险监测。该项目为省级专项，我院在项目资金到位后，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14:paraId="5321602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2.标准化。该项目为《针刺平面毡》行业标准的制定事后补助。该项目经费2024年预算3万元，应到位3万元，实际到位3万元。实际支付3万元，支付执行率100%。为其他商品服务支出3万元。</w:t>
      </w:r>
    </w:p>
    <w:p w14:paraId="0445E3B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计量监管经费。该项目为计量监管经费（棉花水份测定仪计量检定），为纤维检验企业和地市纤检机构提供仪器设备的计量检定服务。该项目经费2024年预算4万元，应到位4万元，实际到位4万元。实际支付4万元，支付执行率100%。具体为：其他交通费用0.69万元、劳务费1.5万元、差旅费1.81万元。</w:t>
      </w:r>
    </w:p>
    <w:p w14:paraId="3997EC3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纤维公证检验经费。纤维公证检验经费又叫棉花公检费，基本性质为完成中国纤维质量监测中心下达的棉花公证检验任务；用途是围绕棉花公证检验绩效项目指标，按照任务要求，力争在高质量完成全年的棉花公检任务；主要内容为棉花的数量检验和质量检验。2024年承担的棉花公检任务为：质量检验61342吨，数量检验34258吨；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14:paraId="00278C8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14:paraId="101A3F1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6.2023年度省直机关单位绩效清算经费。该项目是年中追加指标，用于发放上一年度省政府绩效考核奖金。该项目经费应到位15.8万元，实际到位15.8万元。实际支付15.8万元，支付执行率100%。</w:t>
      </w:r>
    </w:p>
    <w:p w14:paraId="394470A7">
      <w:pPr>
        <w:pStyle w:val="16"/>
        <w:autoSpaceDE/>
        <w:autoSpaceDN/>
        <w:spacing w:line="625" w:lineRule="exact"/>
        <w:jc w:val="both"/>
        <w:rPr>
          <w:rFonts w:hint="eastAsia" w:ascii="黑体" w:hAnsi="黑体" w:eastAsia="黑体" w:cs="黑体"/>
          <w:color w:val="auto"/>
          <w:sz w:val="28"/>
          <w:szCs w:val="28"/>
        </w:rPr>
      </w:pPr>
      <w:r>
        <w:rPr>
          <w:rFonts w:hint="eastAsia" w:ascii="黑体" w:hAnsi="黑体" w:eastAsia="黑体" w:cs="黑体"/>
          <w:color w:val="auto"/>
          <w:sz w:val="28"/>
          <w:szCs w:val="28"/>
        </w:rPr>
        <w:t>三、政府性基金预算支出情况</w:t>
      </w:r>
    </w:p>
    <w:p w14:paraId="6B794586">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firstLine="560" w:firstLineChars="200"/>
        <w:jc w:val="both"/>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我院没有政府性基金预算支出。</w:t>
      </w:r>
    </w:p>
    <w:p w14:paraId="6576E779">
      <w:pPr>
        <w:pStyle w:val="16"/>
        <w:numPr>
          <w:ilvl w:val="0"/>
          <w:numId w:val="6"/>
        </w:numPr>
        <w:autoSpaceDE/>
        <w:autoSpaceDN/>
        <w:spacing w:line="625" w:lineRule="exact"/>
        <w:ind w:firstLine="640"/>
        <w:jc w:val="both"/>
        <w:rPr>
          <w:rFonts w:hint="eastAsia" w:ascii="黑体" w:hAnsi="黑体" w:eastAsia="黑体" w:cs="黑体"/>
          <w:color w:val="auto"/>
          <w:sz w:val="28"/>
          <w:szCs w:val="28"/>
        </w:rPr>
      </w:pPr>
      <w:r>
        <w:rPr>
          <w:rFonts w:hint="eastAsia" w:ascii="黑体" w:hAnsi="黑体" w:eastAsia="黑体" w:cs="黑体"/>
          <w:color w:val="auto"/>
          <w:sz w:val="28"/>
          <w:szCs w:val="28"/>
        </w:rPr>
        <w:t>国有资本经营预算支出情况</w:t>
      </w:r>
    </w:p>
    <w:p w14:paraId="7F8B957D">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firstLine="560" w:firstLineChars="200"/>
        <w:rPr>
          <w:rFonts w:hint="default" w:ascii="黑体" w:hAnsi="黑体" w:eastAsia="黑体" w:cs="黑体"/>
          <w:color w:val="auto"/>
          <w:sz w:val="28"/>
          <w:szCs w:val="28"/>
          <w:lang w:val="en-US" w:eastAsia="zh-CN"/>
        </w:rPr>
      </w:pPr>
      <w:r>
        <w:rPr>
          <w:rFonts w:hint="eastAsia" w:ascii="宋体" w:hAnsi="宋体" w:eastAsia="宋体" w:cs="宋体"/>
          <w:snapToGrid w:val="0"/>
          <w:color w:val="000000"/>
          <w:sz w:val="28"/>
          <w:szCs w:val="28"/>
          <w:lang w:val="en-US" w:eastAsia="zh-CN" w:bidi="ar-SA"/>
        </w:rPr>
        <w:t>我院没有国有资本经营预算支出</w:t>
      </w:r>
      <w:r>
        <w:rPr>
          <w:rFonts w:hint="eastAsia" w:ascii="宋体" w:hAnsi="宋体" w:eastAsia="宋体" w:cs="宋体"/>
          <w:snapToGrid w:val="0"/>
          <w:color w:val="000000"/>
          <w:sz w:val="32"/>
          <w:szCs w:val="32"/>
          <w:lang w:val="en-US" w:eastAsia="zh-CN" w:bidi="ar-SA"/>
        </w:rPr>
        <w:t>。</w:t>
      </w:r>
    </w:p>
    <w:p w14:paraId="07C28823">
      <w:pPr>
        <w:pStyle w:val="16"/>
        <w:numPr>
          <w:ilvl w:val="0"/>
          <w:numId w:val="6"/>
        </w:numPr>
        <w:autoSpaceDE/>
        <w:autoSpaceDN/>
        <w:spacing w:line="625" w:lineRule="exact"/>
        <w:ind w:left="0" w:leftChars="0"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社会保险基金预算支出情况</w:t>
      </w:r>
    </w:p>
    <w:p w14:paraId="22738521">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leftChars="200"/>
        <w:jc w:val="both"/>
        <w:rPr>
          <w:rFonts w:hint="eastAsia" w:ascii="宋体" w:hAnsi="宋体" w:eastAsia="宋体" w:cs="宋体"/>
          <w:color w:val="auto"/>
          <w:sz w:val="28"/>
          <w:szCs w:val="28"/>
          <w:lang w:val="en-US" w:eastAsia="zh-CN"/>
        </w:rPr>
      </w:pPr>
      <w:r>
        <w:rPr>
          <w:rFonts w:hint="eastAsia" w:ascii="宋体" w:hAnsi="宋体" w:eastAsia="宋体" w:cs="宋体"/>
          <w:snapToGrid w:val="0"/>
          <w:color w:val="000000"/>
          <w:sz w:val="28"/>
          <w:szCs w:val="28"/>
          <w:lang w:val="en-US" w:eastAsia="zh-CN" w:bidi="ar-SA"/>
        </w:rPr>
        <w:t>我院没有社会保险基金预算支出</w:t>
      </w:r>
      <w:r>
        <w:rPr>
          <w:rFonts w:hint="eastAsia" w:ascii="宋体" w:hAnsi="宋体" w:eastAsia="宋体" w:cs="宋体"/>
          <w:snapToGrid w:val="0"/>
          <w:color w:val="000000"/>
          <w:sz w:val="32"/>
          <w:szCs w:val="32"/>
          <w:lang w:val="en-US" w:eastAsia="zh-CN" w:bidi="ar-SA"/>
        </w:rPr>
        <w:t>。</w:t>
      </w:r>
    </w:p>
    <w:p w14:paraId="0C1904ED">
      <w:pPr>
        <w:pStyle w:val="2"/>
        <w:bidi w:val="0"/>
        <w:rPr>
          <w:rFonts w:hint="eastAsia"/>
        </w:rPr>
      </w:pPr>
      <w:r>
        <w:rPr>
          <w:rFonts w:hint="eastAsia"/>
        </w:rPr>
        <w:t>六、单位整体支出绩效情况</w:t>
      </w:r>
    </w:p>
    <w:p w14:paraId="03E1115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000000"/>
          <w:sz w:val="28"/>
          <w:szCs w:val="28"/>
          <w:lang w:val="en-US" w:eastAsia="zh-CN" w:bidi="ar-SA"/>
        </w:rPr>
        <w:t>（一）</w:t>
      </w:r>
      <w:r>
        <w:rPr>
          <w:rFonts w:hint="eastAsia" w:ascii="宋体" w:hAnsi="宋体" w:eastAsia="宋体" w:cs="宋体"/>
          <w:snapToGrid w:val="0"/>
          <w:color w:val="auto"/>
          <w:sz w:val="28"/>
          <w:szCs w:val="28"/>
          <w:lang w:val="en-US" w:eastAsia="zh-CN" w:bidi="ar-SA"/>
        </w:rPr>
        <w:t>分析总结零基预算改革实施、预算支出的绩效目标完成情况、实现产出和取得效益的情况</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FF0000"/>
          <w:sz w:val="28"/>
          <w:szCs w:val="28"/>
          <w:lang w:val="en-US" w:eastAsia="zh-CN" w:bidi="ar-SA"/>
        </w:rPr>
        <w:t>（此段为预算和预算绩效管理）</w:t>
      </w:r>
    </w:p>
    <w:p w14:paraId="6D9996C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零基预算改革让我院预算编制更科学化：一是打破“基数+增长”模式，以检验检测职能为核心，围绕纤维质量安全监管、标准制修订、实验室能力建设等重点工作，逐项论证项目必要性、合理性，优化资金分配。二是资源整合效率提升：重点保障纤维质量监督抽查、仪器设备更新、科研攻关等关键领域，压缩非必要行政开支。三是动态调整机制：根据突发任务（如应急抽检、新纤维标准出台）灵活调整预算，增强财政资金应对行业变化的适配性。</w:t>
      </w:r>
    </w:p>
    <w:p w14:paraId="61ADA817">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预算支出的绩效目标全部如期完成。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针刺平面毡》行业标准顺利完成；2024年承担的棉花公检任务为：质量检验61342吨，数量检验34258吨，如期全部完成。</w:t>
      </w:r>
    </w:p>
    <w:p w14:paraId="2BE5306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（二）围绕单位职责、行业发展规划，以预算资金管理为主线，总结本单位资产管理和开展业务情况。</w:t>
      </w:r>
      <w:r>
        <w:rPr>
          <w:rFonts w:hint="eastAsia" w:ascii="宋体" w:hAnsi="宋体" w:eastAsia="宋体" w:cs="宋体"/>
          <w:snapToGrid w:val="0"/>
          <w:color w:val="FF0000"/>
          <w:sz w:val="28"/>
          <w:szCs w:val="28"/>
          <w:lang w:val="en-US" w:eastAsia="zh-CN" w:bidi="ar-SA"/>
        </w:rPr>
        <w:t>（此段为单位履职效能）</w:t>
      </w:r>
    </w:p>
    <w:p w14:paraId="54B6214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我院资产配置以支撑纤维质量监督抽查、纤维检验检测、标准制修订、科研攻关等职能为目标，重点保障实验室设备（如光谱仪、色谱仪）、检测耗材、信息化平台等关键领域。预算编制与资产存量挂钩：依托零基预算改革，打破“重购置、轻管理”惯性，在编制年度预算时优先盘活存量资产（如共享闲置设备），严控重复采购；资金执行与资产效能绑定：将设备使用率、实验室开放共享率等指标。资产管理需紧扣“技术支撑行业高质量发展”主线，以预算资金管理为抓手，推动资产配置从“被动保障”向“主动赋能”转型。通过健全全生命周期管理机制、强化预算资产联动、加快数字化转型，可进一步提升资产使用效益，为履行质量安全监管职责、服务纺织行业转型升级提供坚实保障。</w:t>
      </w:r>
    </w:p>
    <w:p w14:paraId="4EC4047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深植理论武装，锤炼政治内核。始终把政治建设放在首位，严格落实“第一议题”学习制度，全年组织开展党委中心组理论专题学习10次，专题研讨发言20人次，举办“纤检讲堂”9期。院领导带动全体党员读原著学原文、悟原理知原义，真正学深悟透、入脑入心，引导党员干部不断提高政治判断力、政治领悟力、政治执行力，用实际行动忠诚拥护“两个确立”，树牢“四个意识”，坚定“四个自信”，做到“两个维护”。</w:t>
      </w:r>
    </w:p>
    <w:p w14:paraId="6F65CF7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强化党纪教育，筑牢纪律防线。实施“学、研、警、行”四维模式，扎实抓好党纪学习教育活动。全年组织《中国共产党纪律处分条例》集中学习4次，领导干部及支部书记讲党课9次，开展微党课6次，专题读书班4次，专题研讨发言21人次，观看警示教育片20余次，外出学习参观2次，收集心得体会13篇，报送征文2篇。同时根据《条例》修订了《湖南省纤维检测研究院纪委工作办法》，有效增强了干部职工的纪律意识和规矩意识。</w:t>
      </w:r>
    </w:p>
    <w:p w14:paraId="1FBF787F">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高质量完成公检任务。棉花公检方面，按照中纤中心的安排部署，省院作为主检机构，与常德、益阳、岳阳中心密切配合，通过构建紧密相连的命运共同体，在公检工作中，各单位始终秉持互相理解、彼此尊重的态度，以开放包容的胸怀接纳各方观点与建议。面对工作推进过程中不可避免的困难与挑战，携手共进，整合资源、凝聚智慧，凭借坚定的决心予以克服。派出检验人员102人次，在中储棉库尔勒有限责任公司和库尔勒银星物流有限责任公司开展监管棉在库公证检验工作。同时，派出人员进驻中储棉岳阳有限公司、湖南福泰物流有限公司和岳阳港龙物流有限公司开展中央储备棉和内地监管棉公检，齐心协力完成了2024年棉花公证检验任务。非棉纤维公检方面，2024年常德纤监中心完成了苎麻精干麻公检1760吨，受到中纤中心通报表扬。</w:t>
      </w:r>
    </w:p>
    <w:p w14:paraId="09838B4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持续推进监管护棉行动。省院为省局代起草《2024年度全省“监管护棉”行动工作方案》，着力在收购环节“护棉农”、加工环节“护棉业”、销售环节“护棉企”，实现棉花监管在重点区域、重点企业、重点问题的全覆盖，督促各方落实主体责任，促进棉花产业高质量发展。</w:t>
      </w:r>
      <w:bookmarkStart w:id="2" w:name="OLE_LINK5"/>
      <w:bookmarkStart w:id="3" w:name="OLE_LINK6"/>
      <w:r>
        <w:rPr>
          <w:rFonts w:hint="eastAsia" w:ascii="宋体" w:hAnsi="宋体" w:eastAsia="宋体" w:cs="宋体"/>
          <w:snapToGrid w:val="0"/>
          <w:color w:val="000000"/>
          <w:sz w:val="28"/>
          <w:szCs w:val="28"/>
          <w:lang w:val="en-US" w:eastAsia="zh-CN" w:bidi="ar-SA"/>
        </w:rPr>
        <w:t>去年5月，省院和三市中心组建全省棉花公证检验技术专家检查组，对全省四家棉花公检机构和两家中储棉仓库开展了棉花公证检验工作质量监督检查，确保公检工作的准确性和公正性。</w:t>
      </w:r>
      <w:bookmarkEnd w:id="2"/>
      <w:bookmarkEnd w:id="3"/>
    </w:p>
    <w:p w14:paraId="31CD0A5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（三）从运行成本、管理效率衡量单位整体及核心业务实施效果（含制度建设情况、项目库建立情况、单位支出标准体系建设情况、核心绩效指标体系建设情况）。</w:t>
      </w:r>
      <w:r>
        <w:rPr>
          <w:rFonts w:hint="eastAsia" w:ascii="宋体" w:hAnsi="宋体" w:eastAsia="宋体" w:cs="宋体"/>
          <w:snapToGrid w:val="0"/>
          <w:color w:val="FF0000"/>
          <w:sz w:val="28"/>
          <w:szCs w:val="28"/>
          <w:lang w:val="en-US" w:eastAsia="zh-CN" w:bidi="ar-SA"/>
        </w:rPr>
        <w:t>（此段为单位履职效能）</w:t>
      </w:r>
    </w:p>
    <w:p w14:paraId="0A9FBA2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棉花公检业务再创新高。2024年新疆监管棉和央储棉公检量达36万吨，同比增长100%；内地监管棉公检量突破2万吨，同比增长近100%，公检工作取得显著成效，服务了棉花产业发展。</w:t>
      </w:r>
    </w:p>
    <w:p w14:paraId="44C592F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调研报告助力产业发展。《全国苎麻产业调研报告》得到市场监管总局及中纤中心高度认可，2024年3月由总局上报至中共中央办公厅、国务院办公厅。该报告在全省市场监管系统第四届优秀调研报告评选中被评选为优秀论文。</w:t>
      </w:r>
    </w:p>
    <w:p w14:paraId="0CF0108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业务活动成效显著。2024年9月，高标准服务保障中纤中心在长沙举办的全国棉花公检业务交流活动，29省150家机构参加；11月，省院与常德纤监中心承办了全国麻类纤维检验技术交流比对活动，7省15家机构参加，两次活动显著提升了湖南纤检影响力。</w:t>
      </w:r>
    </w:p>
    <w:p w14:paraId="403729A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积极开展监督抽查工作。根据省局工作安排，省院起草了2024年湖南省学生服、棉胎产品、床上用品等产品的《质量监督抽查实施细则》，开展了2023年岁末年初、2024年第一、二、四批湖南省重点工业产品质量监督抽查工作，全年对省内学生服、床上用品、棉胎等6类产品进行抽查，共抽查337家企业，435批次产品。</w:t>
      </w:r>
      <w:bookmarkStart w:id="4" w:name="OLE_LINK8"/>
      <w:r>
        <w:rPr>
          <w:rFonts w:hint="eastAsia" w:ascii="宋体" w:hAnsi="宋体" w:eastAsia="宋体" w:cs="宋体"/>
          <w:snapToGrid w:val="0"/>
          <w:color w:val="000000"/>
          <w:sz w:val="28"/>
          <w:szCs w:val="28"/>
          <w:lang w:val="en-US" w:eastAsia="zh-CN" w:bidi="ar-SA"/>
        </w:rPr>
        <w:t>常德完成中纤中心学生服专项质量监测抽查10批次、市级学生服监督抽查20批次。益阳完成中纤中心学生服和絮用纤维制品专项质量监测抽查10批次、市级服装、学生儿童用品监督抽查30批次。</w:t>
      </w:r>
      <w:bookmarkEnd w:id="4"/>
      <w:r>
        <w:rPr>
          <w:rFonts w:hint="eastAsia" w:ascii="宋体" w:hAnsi="宋体" w:eastAsia="宋体" w:cs="宋体"/>
          <w:snapToGrid w:val="0"/>
          <w:color w:val="000000"/>
          <w:sz w:val="28"/>
          <w:szCs w:val="28"/>
          <w:lang w:val="en-US" w:eastAsia="zh-CN" w:bidi="ar-SA"/>
        </w:rPr>
        <w:t>岳阳完成中纤中心学生服专项质量监测抽查10批次、市级纤维及纤维制品监督抽查49批次。</w:t>
      </w:r>
    </w:p>
    <w:p w14:paraId="1FC65C4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稳步推进标准科研工作。积极参与《絮用纤维制品通用技术要求》强制性国家标准修订工作，以及《针刺棉胎通用技术要求》《制式学生服通用技术规范》的技术参数验证任务。圆满完成中纤中心《麻类纤维公证检验检测能力保障服务项目》及湖南省自然科学基金科市联合基金项目“竹节纱面料虚拟设计与风格表征方法”，发表《麻类纺织品舒适性能的研究》学术论文3篇。积极争取衡山实验室《电子扫描显微镜与全自动纤维细度仪对麻类纤维微观结构的比较》项目立项，申报2025年科市联合基金项目1项，深化与湖南工程学院、湖南农业大学苎麻研究所的检学研协同合作，为行业技术创新提供有力支撑。</w:t>
      </w:r>
    </w:p>
    <w:p w14:paraId="43B8D7F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深入开展技术帮扶活动。结合《服务纺织服装产业高质量发展八条措施》，制定技术帮扶方案，选派多名专家成立帮扶小组，走访企业100余家，建议措施305条。与祁阳市市场监督管理局、祁阳科技工业园签订《祁阳现代纺织特色产业园区主体强身质量品牌提升协议》，推进经营主体强身指导帮扶落实落地，助力企业发展提质增效，帮扶祁阳市建设高水平、高质量的现代特色纺织产业群。</w:t>
      </w:r>
    </w:p>
    <w:p w14:paraId="62073D9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强化实验室内部管理。不断加强实验室内部管理，定期开展自查自纠，及时完成国家认监委、国家市场监管总局检验业务相关信息上报工作和《2023年度社会责任报告》《检验检测机构年度报告》。全年参加实验室能力验证10项、实验室间比对7项，组织实验室间比对5项、内部质控实验130项，结果均为满意。年内接受了CNAS复评+扩项+变更评审和省局检验检测机构飞行检查，针对检查中发现的问题，认真分析原因、积极组织整改，检验检测质量进一步提高。</w:t>
      </w:r>
    </w:p>
    <w:p w14:paraId="4D6251D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（四）从履职效能、社会效应、可持续发展能力和服务对象满意度等方面，衡量单位整体及核心业务实施效果。</w:t>
      </w:r>
      <w:r>
        <w:rPr>
          <w:rFonts w:hint="eastAsia" w:ascii="宋体" w:hAnsi="宋体" w:eastAsia="宋体" w:cs="宋体"/>
          <w:snapToGrid w:val="0"/>
          <w:color w:val="FF0000"/>
          <w:sz w:val="28"/>
          <w:szCs w:val="28"/>
          <w:lang w:val="en-US" w:eastAsia="zh-CN" w:bidi="ar-SA"/>
        </w:rPr>
        <w:t>（此段为单位履职效能）</w:t>
      </w:r>
    </w:p>
    <w:p w14:paraId="41DEB9C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2024年，全省纤检系统全面落实党的二十大和二十届二中、三中全会精神，锚定“三高四新”美好蓝图，服务经济社会高质量发展，围绕“一二三四五六”工作思路，坚持讲政治、重监测、优服务、提能力、强管理、塑形象，全面建设取得了新的成绩，省院被省局评为先进集体。政治生态持续优化。省院纵深推进“清廉纤检”建设，风清气正氛围浓厚，全年做到零投诉、零举报，得到省局领导充分肯定。院党委书记撰写的《做到四个全覆盖 紧盯四个关键 纵深推进党风廉政建设》、院纪委书记撰写的《在攻坚战持久战中始终冲锋在最前面》分别在省局报刊和“湖南日报新媒体”刊载。2024年省院被选树为省局系统的“清廉单元”样本，并在省局党风廉政建设工作会议上作典型发言。</w:t>
      </w:r>
    </w:p>
    <w:p w14:paraId="72FA13A6">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2024年的纤检工作，成绩令人鼓舞，来之殊为不易，全省纤检系统干部职工踔厉奋发、笃行不怠，交出了一份令人满意的答卷。这些成绩的取得，是习近平新时代中国特色社会主义思想科学指引的结果，是中纤中心大力支持的结果，是省局党组坚强领导的结果，是分管领导加友二级巡视员和省局监督处等处室关心帮助的结果，是三市市场监管局分管领导鼎力相助的结果，更是全省纤检系统干部职工</w:t>
      </w:r>
      <w:bookmarkStart w:id="5" w:name="OLE_LINK20"/>
      <w:bookmarkStart w:id="6" w:name="OLE_LINK21"/>
      <w:r>
        <w:rPr>
          <w:rFonts w:hint="eastAsia" w:ascii="宋体" w:hAnsi="宋体" w:eastAsia="宋体" w:cs="宋体"/>
          <w:snapToGrid w:val="0"/>
          <w:color w:val="000000"/>
          <w:sz w:val="28"/>
          <w:szCs w:val="28"/>
          <w:lang w:val="en-US" w:eastAsia="zh-CN" w:bidi="ar-SA"/>
        </w:rPr>
        <w:t>拼搏进取、团结协作</w:t>
      </w:r>
      <w:bookmarkEnd w:id="5"/>
      <w:bookmarkEnd w:id="6"/>
      <w:r>
        <w:rPr>
          <w:rFonts w:hint="eastAsia" w:ascii="宋体" w:hAnsi="宋体" w:eastAsia="宋体" w:cs="宋体"/>
          <w:snapToGrid w:val="0"/>
          <w:color w:val="000000"/>
          <w:sz w:val="28"/>
          <w:szCs w:val="28"/>
          <w:lang w:val="en-US" w:eastAsia="zh-CN" w:bidi="ar-SA"/>
        </w:rPr>
        <w:t>的结果。</w:t>
      </w:r>
    </w:p>
    <w:p w14:paraId="0DB64D0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落实主体责任，统筹兼顾全面推进。制定了《党建工作要点》《纪检工作要点》以及《党风廉政建设风险点排查与防控方案》，各部门开展自查自纠，梳理查找出15个廉政风险点，制订防控措施40条。压实领导班子“一岗双责”主体责任，将行风建设融入业务工作，院纪委分别在华容县供销社、常德三湘和达棉花仓库组织召开行风建设推进座谈会，充分听取各方面意见建议和满意度评价。开展专项督查，强化督导确保实效。采用线上线下督考联动纠治“四风”，积极推进“两带头五整治”专项行动，加强公务用餐、公务用车监督，开展廉政谈话22人次，开展劳动纪律专项检查12次，发送廉洁短信260余人次，组织观看警示教育片4次。院领导班子和各部门负责人签署了《家庭助廉承诺书》，促进家庭成员间的相互监督以及“八小时外”自我约束。强化服务意识，增强群众所得所获。以省局“质量月”活动为契机，开展“阳光纤检”进校园活动，在湖南农业大学为学生自购自带絮棉制品进行免费检测，防止“黑心棉”流入校园，维护学生身体健康和安全。积极参与省标准化协会纺织和服装专业委员会筹建工作，为我省纺织行业标准化工作贡献“纤检力量”。</w:t>
      </w:r>
    </w:p>
    <w:p w14:paraId="36CA186F">
      <w:pPr>
        <w:keepNext w:val="0"/>
        <w:keepLines w:val="0"/>
        <w:pageBreakBefore w:val="0"/>
        <w:widowControl/>
        <w:numPr>
          <w:ilvl w:val="0"/>
          <w:numId w:val="7"/>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FF0000"/>
          <w:sz w:val="28"/>
          <w:szCs w:val="28"/>
          <w:lang w:val="en-US" w:eastAsia="zh-CN" w:bidi="ar-SA"/>
        </w:rPr>
        <w:t>资金分配、使用和管理</w:t>
      </w:r>
    </w:p>
    <w:p w14:paraId="6BAB581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auto"/>
          <w:sz w:val="28"/>
          <w:szCs w:val="28"/>
          <w:lang w:val="en-US" w:eastAsia="zh-CN" w:bidi="ar-SA"/>
        </w:rPr>
        <w:t>1.资金分配和使用。</w:t>
      </w:r>
      <w:r>
        <w:rPr>
          <w:rFonts w:hint="eastAsia" w:ascii="宋体" w:hAnsi="宋体" w:eastAsia="宋体" w:cs="宋体"/>
          <w:snapToGrid w:val="0"/>
          <w:color w:val="000000"/>
          <w:sz w:val="28"/>
          <w:szCs w:val="28"/>
          <w:lang w:val="en-US" w:eastAsia="zh-CN" w:bidi="ar-SA"/>
        </w:rPr>
        <w:t>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14:paraId="51CF34AF">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标准化。该项目经费2024年预算3万元，应到位3万元，实际到位3万元。实际支付3万元，支付执行率100%。为其他商品服务支出3万元。</w:t>
      </w:r>
    </w:p>
    <w:p w14:paraId="55BC5DF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计量监管经费。该项目经费2024年预算4万元，应到位4万元，实际到位4万元。实际支付4万元，支付执行率100%。具体为：其他交通费用0.69万元、劳务费1.5万元、差旅费1.81万元。</w:t>
      </w:r>
    </w:p>
    <w:p w14:paraId="546D8726">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纤维公证检验经费。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14:paraId="022FB94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14:paraId="0CF5F89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bCs/>
          <w:color w:val="auto"/>
          <w:sz w:val="28"/>
          <w:szCs w:val="28"/>
        </w:rPr>
      </w:pPr>
      <w:r>
        <w:rPr>
          <w:rFonts w:hint="eastAsia" w:ascii="宋体" w:hAnsi="宋体" w:eastAsia="宋体" w:cs="宋体"/>
          <w:snapToGrid w:val="0"/>
          <w:color w:val="000000"/>
          <w:sz w:val="28"/>
          <w:szCs w:val="28"/>
          <w:lang w:val="en-US" w:eastAsia="zh-CN" w:bidi="ar-SA"/>
        </w:rPr>
        <w:t>2023年度省直机关单位绩效清算经费。该项目是年中追加指标，用于发放上一年度省政府绩效考核奖金。该项目经费应到位15.8万元，实际到位15.8万元。实际支付15.8万元，支付执行率100%。</w:t>
      </w:r>
    </w:p>
    <w:p w14:paraId="1BA4BEAA">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auto"/>
          <w:sz w:val="28"/>
          <w:szCs w:val="28"/>
          <w:lang w:val="en-US" w:eastAsia="zh-CN" w:bidi="ar-SA"/>
        </w:rPr>
        <w:t>2.资金管理。严格执行收支两条线，收入及时入账，支出按照规定的审批程序和标准进行，确保资金的安全和规范使用；通过优化资源配置、提高设备利用率、加强采购管理、控制人员成本等措施，降低运营成本，提高资金使用效益；建立健全财务监督机制，中心纪委定期进行内部检查，对资金的使用情况进行监督和评价，防止资金浪费和违规使用。</w:t>
      </w:r>
    </w:p>
    <w:p w14:paraId="0417DBDC">
      <w:pPr>
        <w:keepNext w:val="0"/>
        <w:keepLines w:val="0"/>
        <w:pageBreakBefore w:val="0"/>
        <w:widowControl/>
        <w:numPr>
          <w:ilvl w:val="0"/>
          <w:numId w:val="7"/>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FF0000"/>
          <w:sz w:val="28"/>
          <w:szCs w:val="28"/>
          <w:lang w:val="en-US" w:eastAsia="zh-CN" w:bidi="ar-SA"/>
        </w:rPr>
        <w:t>资产和财务管理、政府采购</w:t>
      </w:r>
    </w:p>
    <w:p w14:paraId="72C69E29">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napToGrid w:val="0"/>
          <w:color w:val="auto"/>
          <w:sz w:val="28"/>
          <w:szCs w:val="28"/>
          <w:lang w:val="en-US" w:eastAsia="zh-CN" w:bidi="ar-SA"/>
        </w:rPr>
      </w:pPr>
      <w:r>
        <w:rPr>
          <w:rFonts w:hint="eastAsia" w:ascii="宋体" w:hAnsi="宋体" w:eastAsia="宋体" w:cs="宋体"/>
          <w:snapToGrid w:val="0"/>
          <w:color w:val="FF0000"/>
          <w:sz w:val="28"/>
          <w:szCs w:val="28"/>
          <w:lang w:val="en-US" w:eastAsia="zh-CN" w:bidi="ar-SA"/>
        </w:rPr>
        <w:t xml:space="preserve">    </w:t>
      </w:r>
      <w:r>
        <w:rPr>
          <w:rFonts w:hint="eastAsia" w:ascii="宋体" w:hAnsi="宋体" w:eastAsia="宋体" w:cs="宋体"/>
          <w:snapToGrid w:val="0"/>
          <w:color w:val="auto"/>
          <w:sz w:val="28"/>
          <w:szCs w:val="28"/>
          <w:lang w:val="en-US" w:eastAsia="zh-CN" w:bidi="ar-SA"/>
        </w:rPr>
        <w:t>1.资产情况。我中心2024年底资产总额为4006.82万元，其中固定资产原值69.0.02万元，固定资产净值3588.85万元，无形资产原值38.72万元，无形资产净值17.56万元。</w:t>
      </w:r>
    </w:p>
    <w:p w14:paraId="5505B2AC">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auto"/>
          <w:sz w:val="28"/>
          <w:szCs w:val="28"/>
          <w:lang w:val="en-US" w:eastAsia="zh-CN" w:bidi="ar-SA"/>
        </w:rPr>
      </w:pPr>
      <w:r>
        <w:rPr>
          <w:rFonts w:hint="eastAsia" w:ascii="宋体" w:hAnsi="宋体" w:eastAsia="宋体" w:cs="宋体"/>
          <w:snapToGrid w:val="0"/>
          <w:color w:val="auto"/>
          <w:sz w:val="28"/>
          <w:szCs w:val="28"/>
          <w:lang w:val="en-US" w:eastAsia="zh-CN" w:bidi="ar-SA"/>
        </w:rPr>
        <w:t>2.财务管理。严格执行“无预算不支出”原则，严禁超预算或无预算支出，不得擅自改变预算资金支出用途。建立预算执行进度考核机制，实施预算执行进度通报和监督检查制度，促进预算资金均衡使用；按照预算和活动进度安排各项支出，资金的使用应严格执行国家规定的开支范围和标准，按照授权范围进行审批，据实列报各项费用。加强对专项资金的管理和监督，保证专款专用，严禁挤占、挪用专项资金；明确资产管理范围，根据相关规定对资产合理分类，明确各类资产的归口管理部门，规范资产管理业务流程，落实资产管理责任制度，使各项资产都有相关人员负责；不定期对本单位资产进行清查盘点，确保资产账、财务账、资产实物账账相符、账实相符。对账实不符的资产，除调账外应及时查明原因并予以处理；完善会计核算制度，强化会计监督，保证单位各项活动均符合国家法律法规和内部管理的有关规定，确保对外提供会计信息的真实性、准确性和完整性。</w:t>
      </w:r>
    </w:p>
    <w:p w14:paraId="0E117602">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微软雅黑" w:cs="宋体"/>
          <w:snapToGrid w:val="0"/>
          <w:color w:val="auto"/>
          <w:sz w:val="28"/>
          <w:szCs w:val="28"/>
          <w:lang w:val="en-US" w:eastAsia="zh-CN" w:bidi="ar-SA"/>
        </w:rPr>
      </w:pPr>
      <w:r>
        <w:rPr>
          <w:rFonts w:hint="eastAsia" w:ascii="宋体" w:hAnsi="宋体" w:eastAsia="宋体" w:cs="宋体"/>
          <w:snapToGrid w:val="0"/>
          <w:color w:val="auto"/>
          <w:sz w:val="28"/>
          <w:szCs w:val="28"/>
          <w:lang w:val="en-US" w:eastAsia="zh-CN" w:bidi="ar-SA"/>
        </w:rPr>
        <w:t>3.政府采购。结合单位实际采购需求，提前充分理解采购相关文件精神，根据实际需求逐条逐项列出需要采购的货物名称、数量、单价等信息并准确录入采购系统，避免盲目、重复采购；严格按照批准的预算执行采购活动，无预算不采购，凡未编制政府采购预算的，处党委会研究同意外，均不能开展政府采购活动。涉及项目金额需要调整、追加、结转的，均需要按照预算管理权限进行；对于小额零星货物和服务，都是在政采云网站采购。</w:t>
      </w:r>
    </w:p>
    <w:p w14:paraId="7C2AC246">
      <w:pPr>
        <w:pStyle w:val="16"/>
        <w:autoSpaceDE/>
        <w:autoSpaceDN/>
        <w:spacing w:line="600" w:lineRule="exact"/>
        <w:ind w:left="0" w:leftChars="0"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七、存在的问题及原因分析</w:t>
      </w:r>
    </w:p>
    <w:p w14:paraId="3969EB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预算管理不够精细。对全院工作计划了解不够全面，未参考历年来年财政收支、政策变化，预算安排比较不精细。政府预算年度执行过程中，存在指标调整的情况，年初预算编制不够精准，预算执行率总体不太高。</w:t>
      </w:r>
    </w:p>
    <w:p w14:paraId="2BEDE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（二）绩效观念不够深入。绩效理念较薄弱，单位绩效目标编制仍有缺失，需要进一步加强对资金绩效管理的重视程度。</w:t>
      </w:r>
    </w:p>
    <w:p w14:paraId="562C95E0">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黑体" w:hAnsi="黑体" w:eastAsia="黑体" w:cs="黑体"/>
          <w:color w:val="auto"/>
          <w:sz w:val="28"/>
          <w:szCs w:val="28"/>
        </w:rPr>
      </w:pPr>
      <w:r>
        <w:rPr>
          <w:rFonts w:hint="eastAsia" w:ascii="宋体" w:hAnsi="宋体" w:eastAsia="宋体" w:cs="宋体"/>
          <w:snapToGrid w:val="0"/>
          <w:color w:val="000000"/>
          <w:sz w:val="28"/>
          <w:szCs w:val="28"/>
          <w:lang w:val="en-US" w:eastAsia="zh-CN" w:bidi="ar-SA"/>
        </w:rPr>
        <w:t>（三）绩效规范仍有盲区。在省财政厅逐步加强绩效管理的情况下，我院财务人员尚无现成的经验可以借鉴，只能边工作、边学习、边积累，短期内部分工作只能停留在表面，规划的前瞻性、科学性、指导性和可操作性还有待提高，难以满足当前绩效管理要求。</w:t>
      </w:r>
    </w:p>
    <w:p w14:paraId="1140BF74">
      <w:pPr>
        <w:autoSpaceDE/>
        <w:autoSpaceDN/>
        <w:spacing w:line="600" w:lineRule="exact"/>
        <w:ind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八、下一步改进措施</w:t>
      </w:r>
    </w:p>
    <w:p w14:paraId="0AFDDAA0">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细化整体预算编制。加强全院的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p w14:paraId="3181D810">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 xml:space="preserve"> (二)严格财务管理监督。按照预算规定的费用项目和用途进行资金使用审核、列报支付、财务核算；严格控制“三公”经费的规模和比例，杜绝挪用和挤占其他预算资金行为。</w:t>
      </w:r>
    </w:p>
    <w:p w14:paraId="0EE1A65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三）增强绩效管理理念。在管理和使用预算资金的过程中，我院将更加突出资金使用绩效，做到“花钱必问效”。加强与财政绩效科的沟通协调，按照绩效评价原则，开展资金安全性、规范性的监督，确保专项资金的使用符合绩效管理要求。</w:t>
      </w:r>
    </w:p>
    <w:p w14:paraId="58D166CF">
      <w:pPr>
        <w:autoSpaceDE/>
        <w:autoSpaceDN/>
        <w:spacing w:line="600" w:lineRule="exact"/>
        <w:ind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九、单位整体支出绩效自评结果拟应用和公开情况</w:t>
      </w:r>
    </w:p>
    <w:p w14:paraId="5FB9F2FF">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从预算编制、预算执行、预算管理、职责履行和履职效益等方面综合评价，2024年我院整体支出资金绩效评价得分为100分，预算、决算已按规定公开。</w:t>
      </w:r>
    </w:p>
    <w:p w14:paraId="278C7FBC">
      <w:pPr>
        <w:numPr>
          <w:ilvl w:val="0"/>
          <w:numId w:val="0"/>
        </w:numPr>
        <w:autoSpaceDE/>
        <w:autoSpaceDN/>
        <w:spacing w:line="600" w:lineRule="exact"/>
        <w:ind w:left="630" w:leftChars="0"/>
        <w:jc w:val="both"/>
        <w:rPr>
          <w:rFonts w:hint="eastAsia"/>
        </w:rPr>
      </w:pPr>
      <w:r>
        <w:rPr>
          <w:rFonts w:hint="eastAsia" w:ascii="黑体" w:hAnsi="黑体" w:eastAsia="黑体" w:cs="黑体"/>
          <w:color w:val="auto"/>
          <w:sz w:val="28"/>
          <w:szCs w:val="28"/>
          <w:lang w:eastAsia="zh-CN"/>
        </w:rPr>
        <w:t>十、</w:t>
      </w:r>
      <w:r>
        <w:rPr>
          <w:rFonts w:hint="eastAsia" w:ascii="黑体" w:hAnsi="黑体" w:eastAsia="黑体" w:cs="黑体"/>
          <w:color w:val="auto"/>
          <w:sz w:val="28"/>
          <w:szCs w:val="28"/>
        </w:rPr>
        <w:t>其他需要说明的情况</w:t>
      </w:r>
    </w:p>
    <w:p w14:paraId="18907811">
      <w:pPr>
        <w:pStyle w:val="2"/>
        <w:bidi w:val="0"/>
        <w:rPr>
          <w:rFonts w:ascii="Times New Roman" w:hAnsi="Times New Roman" w:eastAsia="仿宋_GB2312" w:cs="Times New Roman"/>
          <w:color w:val="auto"/>
          <w:spacing w:val="-2"/>
          <w:sz w:val="32"/>
          <w:szCs w:val="32"/>
        </w:rPr>
      </w:pPr>
      <w:r>
        <w:rPr>
          <w:rFonts w:hint="eastAsia" w:ascii="宋体" w:hAnsi="宋体" w:eastAsia="宋体" w:cs="宋体"/>
          <w:snapToGrid w:val="0"/>
          <w:color w:val="000000"/>
          <w:kern w:val="0"/>
          <w:sz w:val="28"/>
          <w:szCs w:val="28"/>
          <w:lang w:val="en-US" w:eastAsia="zh-CN" w:bidi="ar-SA"/>
        </w:rPr>
        <w:t>暂无其他需要说明的情况。</w:t>
      </w:r>
    </w:p>
    <w:p w14:paraId="782AFD9F">
      <w:pPr>
        <w:pStyle w:val="15"/>
        <w:spacing w:line="600" w:lineRule="exact"/>
        <w:ind w:firstLine="640" w:firstLineChars="200"/>
        <w:rPr>
          <w:rFonts w:ascii="Times New Roman" w:hAnsi="Times New Roman" w:eastAsia="仿宋_GB2312" w:cs="Times New Roman"/>
          <w:sz w:val="32"/>
          <w:szCs w:val="32"/>
        </w:rPr>
      </w:pPr>
    </w:p>
    <w:p w14:paraId="15620566">
      <w:pPr>
        <w:pStyle w:val="15"/>
        <w:jc w:val="center"/>
        <w:rPr>
          <w:rFonts w:ascii="Times New Roman" w:hAnsi="Times New Roman" w:cs="Times New Roman"/>
          <w:sz w:val="72"/>
          <w:szCs w:val="72"/>
        </w:rPr>
      </w:pPr>
    </w:p>
    <w:p w14:paraId="6ABA44EE">
      <w:pPr>
        <w:pStyle w:val="15"/>
        <w:jc w:val="center"/>
        <w:rPr>
          <w:rFonts w:ascii="Times New Roman" w:hAnsi="Times New Roman" w:cs="Times New Roman"/>
          <w:sz w:val="72"/>
          <w:szCs w:val="72"/>
        </w:rPr>
      </w:pPr>
    </w:p>
    <w:p w14:paraId="1A7B53E1">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F2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6E4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477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828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ECAB5">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0ECAB5">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1DF05"/>
    <w:multiLevelType w:val="singleLevel"/>
    <w:tmpl w:val="9D21DF05"/>
    <w:lvl w:ilvl="0" w:tentative="0">
      <w:start w:val="10"/>
      <w:numFmt w:val="decimal"/>
      <w:suff w:val="nothing"/>
      <w:lvlText w:val="%1、"/>
      <w:lvlJc w:val="left"/>
    </w:lvl>
  </w:abstractNum>
  <w:abstractNum w:abstractNumId="1">
    <w:nsid w:val="C5827EC9"/>
    <w:multiLevelType w:val="singleLevel"/>
    <w:tmpl w:val="C5827EC9"/>
    <w:lvl w:ilvl="0" w:tentative="0">
      <w:start w:val="1"/>
      <w:numFmt w:val="chineseCounting"/>
      <w:suff w:val="nothing"/>
      <w:lvlText w:val="%1、"/>
      <w:lvlJc w:val="left"/>
      <w:rPr>
        <w:rFonts w:hint="eastAsia"/>
      </w:rPr>
    </w:lvl>
  </w:abstractNum>
  <w:abstractNum w:abstractNumId="2">
    <w:nsid w:val="E4C3F458"/>
    <w:multiLevelType w:val="singleLevel"/>
    <w:tmpl w:val="E4C3F458"/>
    <w:lvl w:ilvl="0" w:tentative="0">
      <w:start w:val="2"/>
      <w:numFmt w:val="chineseCounting"/>
      <w:suff w:val="nothing"/>
      <w:lvlText w:val="（%1）"/>
      <w:lvlJc w:val="left"/>
      <w:rPr>
        <w:rFonts w:hint="eastAsia"/>
      </w:rPr>
    </w:lvl>
  </w:abstractNum>
  <w:abstractNum w:abstractNumId="3">
    <w:nsid w:val="F3F7623F"/>
    <w:multiLevelType w:val="singleLevel"/>
    <w:tmpl w:val="F3F7623F"/>
    <w:lvl w:ilvl="0" w:tentative="0">
      <w:start w:val="5"/>
      <w:numFmt w:val="chineseCounting"/>
      <w:suff w:val="nothing"/>
      <w:lvlText w:val="（%1）"/>
      <w:lvlJc w:val="left"/>
      <w:rPr>
        <w:rFonts w:hint="eastAsia"/>
      </w:rPr>
    </w:lvl>
  </w:abstractNum>
  <w:abstractNum w:abstractNumId="4">
    <w:nsid w:val="2158AD85"/>
    <w:multiLevelType w:val="singleLevel"/>
    <w:tmpl w:val="2158AD85"/>
    <w:lvl w:ilvl="0" w:tentative="0">
      <w:start w:val="6"/>
      <w:numFmt w:val="decimal"/>
      <w:suff w:val="nothing"/>
      <w:lvlText w:val="%1、"/>
      <w:lvlJc w:val="left"/>
    </w:lvl>
  </w:abstractNum>
  <w:abstractNum w:abstractNumId="5">
    <w:nsid w:val="335F0AD9"/>
    <w:multiLevelType w:val="singleLevel"/>
    <w:tmpl w:val="335F0AD9"/>
    <w:lvl w:ilvl="0" w:tentative="0">
      <w:start w:val="3"/>
      <w:numFmt w:val="chineseCounting"/>
      <w:suff w:val="nothing"/>
      <w:lvlText w:val="（%1）"/>
      <w:lvlJc w:val="left"/>
      <w:rPr>
        <w:rFonts w:hint="eastAsia"/>
      </w:rPr>
    </w:lvl>
  </w:abstractNum>
  <w:abstractNum w:abstractNumId="6">
    <w:nsid w:val="6F1C04E4"/>
    <w:multiLevelType w:val="singleLevel"/>
    <w:tmpl w:val="6F1C04E4"/>
    <w:lvl w:ilvl="0" w:tentative="0">
      <w:start w:val="4"/>
      <w:numFmt w:val="chineseCounting"/>
      <w:suff w:val="nothing"/>
      <w:lvlText w:val="%1、"/>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35135"/>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A3088B"/>
    <w:rsid w:val="062F07EF"/>
    <w:rsid w:val="06832203"/>
    <w:rsid w:val="07CC09EB"/>
    <w:rsid w:val="090C33A6"/>
    <w:rsid w:val="0A081A83"/>
    <w:rsid w:val="0A5E51A8"/>
    <w:rsid w:val="0B1D50BA"/>
    <w:rsid w:val="0BA852CC"/>
    <w:rsid w:val="0CA041F5"/>
    <w:rsid w:val="0E75778E"/>
    <w:rsid w:val="0E8C4A31"/>
    <w:rsid w:val="0FFE370C"/>
    <w:rsid w:val="10EC17B7"/>
    <w:rsid w:val="178D5376"/>
    <w:rsid w:val="194B4244"/>
    <w:rsid w:val="198527A8"/>
    <w:rsid w:val="19FB3199"/>
    <w:rsid w:val="1AB75F10"/>
    <w:rsid w:val="1C9E76A5"/>
    <w:rsid w:val="1D063C00"/>
    <w:rsid w:val="1D97DEFF"/>
    <w:rsid w:val="1DB47B32"/>
    <w:rsid w:val="1DFF72E5"/>
    <w:rsid w:val="1E4A0464"/>
    <w:rsid w:val="1EFC6F07"/>
    <w:rsid w:val="20DD55C0"/>
    <w:rsid w:val="211440DE"/>
    <w:rsid w:val="219519F6"/>
    <w:rsid w:val="21F7620D"/>
    <w:rsid w:val="23B75C54"/>
    <w:rsid w:val="25BA5ED0"/>
    <w:rsid w:val="26361BB2"/>
    <w:rsid w:val="263802CB"/>
    <w:rsid w:val="26F65ED9"/>
    <w:rsid w:val="2CE122F1"/>
    <w:rsid w:val="2FDF85B8"/>
    <w:rsid w:val="2FFFEE04"/>
    <w:rsid w:val="3107033C"/>
    <w:rsid w:val="33BE4DDD"/>
    <w:rsid w:val="34C71A6F"/>
    <w:rsid w:val="34DF85B0"/>
    <w:rsid w:val="35F920FC"/>
    <w:rsid w:val="37737C8C"/>
    <w:rsid w:val="39D07613"/>
    <w:rsid w:val="3B8F36BC"/>
    <w:rsid w:val="3CA56B3A"/>
    <w:rsid w:val="3DBF00CF"/>
    <w:rsid w:val="3E171CB9"/>
    <w:rsid w:val="3E7C1B1C"/>
    <w:rsid w:val="3E854E75"/>
    <w:rsid w:val="3F9904AC"/>
    <w:rsid w:val="3FAF7CCF"/>
    <w:rsid w:val="41D67795"/>
    <w:rsid w:val="447C0AC8"/>
    <w:rsid w:val="47537AE8"/>
    <w:rsid w:val="491FF225"/>
    <w:rsid w:val="4BF30F0E"/>
    <w:rsid w:val="4EA40C60"/>
    <w:rsid w:val="4FFD214C"/>
    <w:rsid w:val="513D2B25"/>
    <w:rsid w:val="53346A12"/>
    <w:rsid w:val="56D025AE"/>
    <w:rsid w:val="56E12A0D"/>
    <w:rsid w:val="5777D4F5"/>
    <w:rsid w:val="57C87729"/>
    <w:rsid w:val="597162CA"/>
    <w:rsid w:val="59DD8326"/>
    <w:rsid w:val="5B12588A"/>
    <w:rsid w:val="5C723A3B"/>
    <w:rsid w:val="5C7D5FCF"/>
    <w:rsid w:val="5CF52519"/>
    <w:rsid w:val="5DEF592A"/>
    <w:rsid w:val="5F2E35DE"/>
    <w:rsid w:val="5F5703B8"/>
    <w:rsid w:val="5FC6BB1E"/>
    <w:rsid w:val="5FF720F1"/>
    <w:rsid w:val="60B44CEE"/>
    <w:rsid w:val="621E412A"/>
    <w:rsid w:val="63780255"/>
    <w:rsid w:val="64594E8B"/>
    <w:rsid w:val="656C203B"/>
    <w:rsid w:val="67C10A7D"/>
    <w:rsid w:val="67FF5C0B"/>
    <w:rsid w:val="6A721EA2"/>
    <w:rsid w:val="6B1A35C7"/>
    <w:rsid w:val="6B370CF5"/>
    <w:rsid w:val="6E892BA7"/>
    <w:rsid w:val="6EC46A44"/>
    <w:rsid w:val="6EFC0924"/>
    <w:rsid w:val="6F282B2F"/>
    <w:rsid w:val="6F3753FD"/>
    <w:rsid w:val="6FB74722"/>
    <w:rsid w:val="6FEF8B7E"/>
    <w:rsid w:val="71A6591B"/>
    <w:rsid w:val="737D59BA"/>
    <w:rsid w:val="74681C20"/>
    <w:rsid w:val="74B310ED"/>
    <w:rsid w:val="74BB61F3"/>
    <w:rsid w:val="75260BD6"/>
    <w:rsid w:val="77585F7B"/>
    <w:rsid w:val="77BE6726"/>
    <w:rsid w:val="77C37683"/>
    <w:rsid w:val="78E73A5B"/>
    <w:rsid w:val="79A501FE"/>
    <w:rsid w:val="79D19834"/>
    <w:rsid w:val="79FF515B"/>
    <w:rsid w:val="7E9E1962"/>
    <w:rsid w:val="7E9F11B4"/>
    <w:rsid w:val="7EB919F5"/>
    <w:rsid w:val="7F37EC1E"/>
    <w:rsid w:val="7F5D3C8D"/>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jc w:val="both"/>
      <w:outlineLvl w:val="0"/>
    </w:pPr>
    <w:rPr>
      <w:rFonts w:ascii="Times New Roman" w:hAnsi="Times New Roman" w:eastAsia="黑体" w:cs="Times New Roman"/>
      <w:snapToGrid w:val="0"/>
      <w:color w:val="000000"/>
      <w:kern w:val="44"/>
      <w:sz w:val="32"/>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1270</Words>
  <Characters>1286</Characters>
  <Lines>69</Lines>
  <Paragraphs>19</Paragraphs>
  <TotalTime>0</TotalTime>
  <ScaleCrop>false</ScaleCrop>
  <LinksUpToDate>false</LinksUpToDate>
  <CharactersWithSpaces>1369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༘*ೄ淺笑嫣然</cp:lastModifiedBy>
  <cp:lastPrinted>2025-09-11T02:15:00Z</cp:lastPrinted>
  <dcterms:modified xsi:type="dcterms:W3CDTF">2025-09-19T01:44:59Z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eyJoZGlkIjoiYTQ4ZDMzM2VmNjkyZmUzNjcxZDk0ZjczOGY5NDBiMDgiLCJ1c2VySWQiOiI2MjQyMTQxNzEifQ==</vt:lpwstr>
  </property>
</Properties>
</file>